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323AAED" w14:textId="05A05A12" w:rsidR="00BB3D86" w:rsidRPr="00DE25AD" w:rsidRDefault="00BB3D86" w:rsidP="00BB3D86">
      <w:pPr>
        <w:pStyle w:val="ASSAD2017ACCESSHeading1"/>
      </w:pPr>
      <w:bookmarkStart w:id="0" w:name="_Toc419187103"/>
      <w:bookmarkStart w:id="1" w:name="_Toc432412605"/>
      <w:bookmarkStart w:id="2" w:name="_Toc419187153"/>
      <w:bookmarkStart w:id="3" w:name="_Toc432412634"/>
      <w:bookmarkStart w:id="4" w:name="_Toc419187107"/>
      <w:bookmarkStart w:id="5" w:name="_Toc432412609"/>
      <w:bookmarkStart w:id="6" w:name="_GoBack"/>
      <w:bookmarkEnd w:id="6"/>
      <w:r w:rsidRPr="00DE25AD">
        <w:t>ASSAD 2017 Statistics &amp; Trends</w:t>
      </w:r>
    </w:p>
    <w:p w14:paraId="73AC0C53" w14:textId="366A3BE7" w:rsidR="00BB3D86" w:rsidRPr="00DE25AD" w:rsidRDefault="00D10624" w:rsidP="00907D9A">
      <w:pPr>
        <w:pStyle w:val="ASSAD2017ACCESSHeading2"/>
      </w:pPr>
      <w:r>
        <w:t>Trends in Substance Use among Australian Secondary School Students 1996-2017</w:t>
      </w:r>
      <w:r w:rsidR="00D92D4C">
        <w:t>: Second Edition</w:t>
      </w:r>
    </w:p>
    <w:p w14:paraId="750BF782" w14:textId="77777777" w:rsidR="00047D0F" w:rsidRPr="00DE25AD" w:rsidRDefault="00047D0F" w:rsidP="00047D0F">
      <w:pPr>
        <w:pStyle w:val="ASSAD2017ACCESSHeading2"/>
      </w:pPr>
    </w:p>
    <w:p w14:paraId="4D4C3215" w14:textId="5C404915" w:rsidR="00047D0F" w:rsidRPr="00DE25AD" w:rsidRDefault="00047D0F" w:rsidP="00047D0F">
      <w:pPr>
        <w:pStyle w:val="ASSAD2017ACCESSHeading2"/>
        <w:rPr>
          <w:sz w:val="20"/>
          <w:szCs w:val="20"/>
        </w:rPr>
      </w:pPr>
      <w:r w:rsidRPr="00DE25AD">
        <w:rPr>
          <w:sz w:val="20"/>
          <w:szCs w:val="20"/>
        </w:rPr>
        <w:t>Important note for readers</w:t>
      </w:r>
    </w:p>
    <w:p w14:paraId="1D54056C" w14:textId="4BB168E4" w:rsidR="00047D0F" w:rsidRPr="00DE25AD" w:rsidRDefault="00047D0F" w:rsidP="00BB3D86">
      <w:pPr>
        <w:pStyle w:val="ASSAD2017ACCESSBody1"/>
      </w:pPr>
      <w:r w:rsidRPr="00DE25AD">
        <w:t xml:space="preserve">Since its original publication in </w:t>
      </w:r>
      <w:r w:rsidR="00D10624">
        <w:t>May 2019</w:t>
      </w:r>
      <w:r w:rsidR="00D10624" w:rsidRPr="00C87F01">
        <w:t xml:space="preserve">, this report and the associated dataset has undergone a quality control review process. This process identified small errors in the calculation of population weights used during analyses of the 2017 data and inconsistencies compared to previous ASSAD survey years in the data cleaning protocols that were applied to a select group of variables for that survey year. Several transcription errors in the report were also identified. In rectifying these issues for the updated </w:t>
      </w:r>
      <w:r w:rsidR="00D92D4C">
        <w:t>second</w:t>
      </w:r>
      <w:r w:rsidR="00D10624" w:rsidRPr="00C87F01">
        <w:t xml:space="preserve"> edition of this report, it is important to note that some of the previously reported prevalence estimates have changed. However, these changes are generally minor (± 1%) and </w:t>
      </w:r>
      <w:r w:rsidR="00D92D4C">
        <w:t>have</w:t>
      </w:r>
      <w:r w:rsidR="00D10624" w:rsidRPr="00C87F01">
        <w:t xml:space="preserve"> not affect</w:t>
      </w:r>
      <w:r w:rsidR="00D92D4C">
        <w:t>ed</w:t>
      </w:r>
      <w:r w:rsidR="00D10624" w:rsidRPr="00C87F01">
        <w:t xml:space="preserve"> the key prevalence estimates of current (past week) and past month smoking and drinking among students aged 12-17 years, both overall and for</w:t>
      </w:r>
      <w:r w:rsidRPr="00DE25AD">
        <w:t xml:space="preserve"> male and female students separately.</w:t>
      </w:r>
    </w:p>
    <w:p w14:paraId="07A48140" w14:textId="2EEBB56E" w:rsidR="00047D0F" w:rsidRPr="00DE25AD" w:rsidRDefault="00047D0F" w:rsidP="00BB3D86">
      <w:pPr>
        <w:pStyle w:val="ASSAD2017ACCESSBody1"/>
      </w:pPr>
    </w:p>
    <w:p w14:paraId="688CE1FA" w14:textId="137F79E9" w:rsidR="00047D0F" w:rsidRPr="00DE25AD" w:rsidRDefault="00047D0F" w:rsidP="00047D0F">
      <w:pPr>
        <w:tabs>
          <w:tab w:val="left" w:pos="992"/>
        </w:tabs>
        <w:spacing w:after="120" w:line="360" w:lineRule="auto"/>
        <w:rPr>
          <w:rFonts w:ascii="Arial" w:hAnsi="Arial" w:cs="Arial"/>
          <w:bCs/>
          <w:color w:val="000000" w:themeColor="text1"/>
          <w:sz w:val="20"/>
          <w:szCs w:val="20"/>
        </w:rPr>
      </w:pPr>
      <w:bookmarkStart w:id="7" w:name="_Toc437931444"/>
      <w:r w:rsidRPr="00DE25AD">
        <w:rPr>
          <w:rFonts w:ascii="Arial" w:hAnsi="Arial" w:cs="Arial"/>
          <w:bCs/>
          <w:color w:val="000000" w:themeColor="text1"/>
          <w:sz w:val="20"/>
          <w:szCs w:val="20"/>
        </w:rPr>
        <w:t>Ju</w:t>
      </w:r>
      <w:r w:rsidR="00D92D4C">
        <w:rPr>
          <w:rFonts w:ascii="Arial" w:hAnsi="Arial" w:cs="Arial"/>
          <w:bCs/>
          <w:color w:val="000000" w:themeColor="text1"/>
          <w:sz w:val="20"/>
          <w:szCs w:val="20"/>
        </w:rPr>
        <w:t>ly</w:t>
      </w:r>
      <w:r w:rsidRPr="00DE25AD">
        <w:rPr>
          <w:rFonts w:ascii="Arial" w:hAnsi="Arial" w:cs="Arial"/>
          <w:bCs/>
          <w:color w:val="000000" w:themeColor="text1"/>
          <w:sz w:val="20"/>
          <w:szCs w:val="20"/>
        </w:rPr>
        <w:t xml:space="preserve"> 2020, Centre for Behavioural Research in Cancer, Cancer Council Victoria</w:t>
      </w:r>
    </w:p>
    <w:p w14:paraId="7FC62974" w14:textId="77777777" w:rsidR="00047D0F" w:rsidRPr="00DE25AD" w:rsidRDefault="00047D0F" w:rsidP="00047D0F">
      <w:pPr>
        <w:tabs>
          <w:tab w:val="left" w:pos="992"/>
        </w:tabs>
        <w:spacing w:after="120" w:line="360" w:lineRule="auto"/>
        <w:rPr>
          <w:rFonts w:ascii="Arial" w:hAnsi="Arial" w:cs="Arial"/>
          <w:bCs/>
          <w:color w:val="000000" w:themeColor="text1"/>
          <w:sz w:val="20"/>
          <w:szCs w:val="20"/>
        </w:rPr>
      </w:pPr>
      <w:r w:rsidRPr="00DE25AD">
        <w:rPr>
          <w:rFonts w:ascii="Arial" w:hAnsi="Arial" w:cs="Arial"/>
          <w:bCs/>
          <w:color w:val="000000" w:themeColor="text1"/>
          <w:sz w:val="20"/>
          <w:szCs w:val="20"/>
        </w:rPr>
        <w:t>Report prepared by: Nicola Guerin and Victoria White</w:t>
      </w:r>
    </w:p>
    <w:p w14:paraId="70314E15" w14:textId="77777777" w:rsidR="00047D0F" w:rsidRPr="00DE25AD" w:rsidRDefault="00047D0F" w:rsidP="00047D0F">
      <w:pPr>
        <w:tabs>
          <w:tab w:val="left" w:pos="992"/>
        </w:tabs>
        <w:spacing w:after="120" w:line="360" w:lineRule="auto"/>
        <w:rPr>
          <w:rFonts w:ascii="Arial" w:hAnsi="Arial" w:cs="Arial"/>
          <w:b/>
          <w:color w:val="000000" w:themeColor="text1"/>
          <w:sz w:val="20"/>
          <w:szCs w:val="20"/>
        </w:rPr>
      </w:pPr>
      <w:r w:rsidRPr="00DE25AD">
        <w:rPr>
          <w:rFonts w:ascii="Arial" w:hAnsi="Arial" w:cs="Arial"/>
          <w:bCs/>
          <w:color w:val="000000" w:themeColor="text1"/>
          <w:sz w:val="20"/>
          <w:szCs w:val="20"/>
        </w:rPr>
        <w:t xml:space="preserve">Prepared for Drug Strategy Branch, Australian Government Department of Health </w:t>
      </w:r>
    </w:p>
    <w:p w14:paraId="2E8D8114" w14:textId="77777777" w:rsidR="00047D0F" w:rsidRPr="00DE25AD" w:rsidRDefault="00047D0F" w:rsidP="00047D0F">
      <w:pPr>
        <w:tabs>
          <w:tab w:val="left" w:pos="992"/>
        </w:tabs>
        <w:spacing w:after="120" w:line="360" w:lineRule="auto"/>
        <w:rPr>
          <w:rFonts w:ascii="Arial" w:hAnsi="Arial" w:cs="Arial"/>
          <w:bCs/>
          <w:color w:val="000000" w:themeColor="text1"/>
          <w:sz w:val="20"/>
          <w:szCs w:val="20"/>
        </w:rPr>
      </w:pPr>
      <w:r w:rsidRPr="00DE25AD">
        <w:rPr>
          <w:rFonts w:ascii="Arial" w:hAnsi="Arial" w:cs="Arial"/>
          <w:bCs/>
          <w:color w:val="000000" w:themeColor="text1"/>
          <w:sz w:val="20"/>
          <w:szCs w:val="20"/>
        </w:rPr>
        <w:t>Published by Cancer Council Victoria</w:t>
      </w:r>
    </w:p>
    <w:p w14:paraId="059DA314" w14:textId="77777777" w:rsidR="00047D0F" w:rsidRPr="00DE25AD" w:rsidRDefault="00047D0F" w:rsidP="00047D0F">
      <w:pPr>
        <w:tabs>
          <w:tab w:val="left" w:pos="992"/>
        </w:tabs>
        <w:spacing w:after="120" w:line="360" w:lineRule="auto"/>
        <w:rPr>
          <w:rFonts w:ascii="Arial" w:hAnsi="Arial" w:cs="Arial"/>
          <w:bCs/>
          <w:color w:val="000000" w:themeColor="text1"/>
          <w:sz w:val="20"/>
          <w:szCs w:val="20"/>
        </w:rPr>
      </w:pPr>
      <w:r w:rsidRPr="00DE25AD">
        <w:rPr>
          <w:rFonts w:ascii="Arial" w:hAnsi="Arial" w:cs="Arial"/>
          <w:bCs/>
          <w:color w:val="000000" w:themeColor="text1"/>
          <w:sz w:val="20"/>
          <w:szCs w:val="20"/>
        </w:rPr>
        <w:t>Suggested citation:</w:t>
      </w:r>
    </w:p>
    <w:p w14:paraId="0B85DC55" w14:textId="6172A7DD" w:rsidR="00047D0F" w:rsidRPr="00DE25AD" w:rsidRDefault="00D10624" w:rsidP="00047D0F">
      <w:pPr>
        <w:tabs>
          <w:tab w:val="left" w:pos="992"/>
        </w:tabs>
        <w:spacing w:after="120"/>
        <w:rPr>
          <w:rFonts w:ascii="Arial" w:hAnsi="Arial" w:cs="Arial"/>
          <w:bCs/>
          <w:color w:val="000000" w:themeColor="text1"/>
          <w:sz w:val="20"/>
          <w:szCs w:val="20"/>
        </w:rPr>
      </w:pPr>
      <w:r w:rsidRPr="002E5727">
        <w:rPr>
          <w:rFonts w:ascii="Arial" w:hAnsi="Arial" w:cs="Arial"/>
          <w:bCs/>
          <w:color w:val="000000"/>
          <w:sz w:val="20"/>
          <w:szCs w:val="20"/>
        </w:rPr>
        <w:t>Guerin, N. &amp; White, V. (20</w:t>
      </w:r>
      <w:r>
        <w:rPr>
          <w:rFonts w:ascii="Arial" w:hAnsi="Arial" w:cs="Arial"/>
          <w:bCs/>
          <w:color w:val="000000"/>
          <w:sz w:val="20"/>
          <w:szCs w:val="20"/>
        </w:rPr>
        <w:t>20</w:t>
      </w:r>
      <w:r w:rsidRPr="002E5727">
        <w:rPr>
          <w:rFonts w:ascii="Arial" w:hAnsi="Arial" w:cs="Arial"/>
          <w:bCs/>
          <w:color w:val="000000"/>
          <w:sz w:val="20"/>
          <w:szCs w:val="20"/>
        </w:rPr>
        <w:t>). ASSAD 2017 Statistics &amp; Trends: Trends in Substance Use Among Australian Secondary Students</w:t>
      </w:r>
      <w:r w:rsidR="005918D4">
        <w:rPr>
          <w:rFonts w:ascii="Arial" w:hAnsi="Arial" w:cs="Arial"/>
          <w:bCs/>
          <w:color w:val="000000"/>
          <w:sz w:val="20"/>
          <w:szCs w:val="20"/>
        </w:rPr>
        <w:t xml:space="preserve"> 1996-2017</w:t>
      </w:r>
      <w:r w:rsidRPr="002E5727">
        <w:rPr>
          <w:rFonts w:ascii="Arial" w:hAnsi="Arial" w:cs="Arial"/>
          <w:bCs/>
          <w:color w:val="000000"/>
          <w:sz w:val="20"/>
          <w:szCs w:val="20"/>
        </w:rPr>
        <w:t>.</w:t>
      </w:r>
      <w:r>
        <w:rPr>
          <w:rFonts w:ascii="Arial" w:hAnsi="Arial" w:cs="Arial"/>
          <w:bCs/>
          <w:color w:val="000000"/>
          <w:sz w:val="20"/>
          <w:szCs w:val="20"/>
        </w:rPr>
        <w:t xml:space="preserve"> </w:t>
      </w:r>
      <w:r w:rsidR="00D92D4C">
        <w:rPr>
          <w:rFonts w:ascii="Arial" w:hAnsi="Arial" w:cs="Arial"/>
          <w:bCs/>
          <w:color w:val="000000"/>
          <w:sz w:val="20"/>
          <w:szCs w:val="20"/>
        </w:rPr>
        <w:t>Second</w:t>
      </w:r>
      <w:r>
        <w:rPr>
          <w:rFonts w:ascii="Arial" w:hAnsi="Arial" w:cs="Arial"/>
          <w:bCs/>
          <w:color w:val="000000"/>
          <w:sz w:val="20"/>
          <w:szCs w:val="20"/>
        </w:rPr>
        <w:t xml:space="preserve"> </w:t>
      </w:r>
      <w:r w:rsidR="00E025E8">
        <w:rPr>
          <w:rFonts w:ascii="Arial" w:hAnsi="Arial" w:cs="Arial"/>
          <w:bCs/>
          <w:color w:val="000000"/>
          <w:sz w:val="20"/>
          <w:szCs w:val="20"/>
        </w:rPr>
        <w:t>E</w:t>
      </w:r>
      <w:r>
        <w:rPr>
          <w:rFonts w:ascii="Arial" w:hAnsi="Arial" w:cs="Arial"/>
          <w:bCs/>
          <w:color w:val="000000"/>
          <w:sz w:val="20"/>
          <w:szCs w:val="20"/>
        </w:rPr>
        <w:t>dition.</w:t>
      </w:r>
      <w:r w:rsidRPr="002E5727">
        <w:rPr>
          <w:rFonts w:ascii="Arial" w:hAnsi="Arial" w:cs="Arial"/>
          <w:bCs/>
          <w:color w:val="000000"/>
          <w:sz w:val="20"/>
          <w:szCs w:val="20"/>
        </w:rPr>
        <w:t xml:space="preserve"> Cancer Council Victoria.</w:t>
      </w:r>
    </w:p>
    <w:p w14:paraId="296266D9" w14:textId="77777777"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615 St Kilda Road</w:t>
      </w:r>
      <w:r w:rsidRPr="00DE25AD">
        <w:rPr>
          <w:rFonts w:ascii="Arial" w:hAnsi="Arial" w:cs="Arial"/>
          <w:bCs/>
          <w:color w:val="000000" w:themeColor="text1"/>
          <w:sz w:val="20"/>
          <w:szCs w:val="20"/>
        </w:rPr>
        <w:br/>
        <w:t>Melbourne Victoria 3004</w:t>
      </w:r>
      <w:r w:rsidRPr="00DE25AD">
        <w:rPr>
          <w:rFonts w:ascii="Arial" w:hAnsi="Arial" w:cs="Arial"/>
          <w:bCs/>
          <w:color w:val="000000" w:themeColor="text1"/>
          <w:sz w:val="20"/>
          <w:szCs w:val="20"/>
        </w:rPr>
        <w:br/>
        <w:t>Australia</w:t>
      </w:r>
    </w:p>
    <w:p w14:paraId="7DFCE69E" w14:textId="77777777" w:rsidR="00D92D4C" w:rsidRDefault="00D92D4C" w:rsidP="00047D0F">
      <w:pPr>
        <w:tabs>
          <w:tab w:val="left" w:pos="992"/>
        </w:tabs>
        <w:spacing w:after="120"/>
        <w:rPr>
          <w:rFonts w:ascii="Arial" w:hAnsi="Arial" w:cs="Arial"/>
          <w:bCs/>
          <w:color w:val="000000" w:themeColor="text1"/>
          <w:sz w:val="20"/>
          <w:szCs w:val="20"/>
        </w:rPr>
      </w:pPr>
    </w:p>
    <w:p w14:paraId="5DA019A6" w14:textId="14C8FF75"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For enquiries contact:</w:t>
      </w:r>
    </w:p>
    <w:p w14:paraId="6204E027" w14:textId="77777777"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Centre for Behavioural Research in Cancer</w:t>
      </w:r>
    </w:p>
    <w:p w14:paraId="701812C1" w14:textId="77777777" w:rsidR="00047D0F" w:rsidRPr="00DE25AD" w:rsidRDefault="00047D0F" w:rsidP="00047D0F">
      <w:pPr>
        <w:tabs>
          <w:tab w:val="left" w:pos="992"/>
        </w:tabs>
        <w:spacing w:after="120"/>
        <w:rPr>
          <w:rFonts w:ascii="Arial" w:hAnsi="Arial" w:cs="Arial"/>
          <w:bCs/>
          <w:color w:val="000000" w:themeColor="text1"/>
          <w:sz w:val="20"/>
          <w:szCs w:val="20"/>
        </w:rPr>
      </w:pPr>
      <w:r w:rsidRPr="00DE25AD">
        <w:rPr>
          <w:rFonts w:ascii="Arial" w:hAnsi="Arial" w:cs="Arial"/>
          <w:bCs/>
          <w:color w:val="000000" w:themeColor="text1"/>
          <w:sz w:val="20"/>
          <w:szCs w:val="20"/>
        </w:rPr>
        <w:t>T: +61 3 9514 6410</w:t>
      </w:r>
    </w:p>
    <w:p w14:paraId="164D2949" w14:textId="2E1BFAFB" w:rsidR="00907D9A" w:rsidRPr="00DE25AD" w:rsidRDefault="00047D0F" w:rsidP="00047D0F">
      <w:pPr>
        <w:pStyle w:val="ASSAD2017ACCESSBody1"/>
        <w:rPr>
          <w:rFonts w:ascii="Arial Rounded MT Bold" w:hAnsi="Arial Rounded MT Bold"/>
          <w:bCs w:val="0"/>
          <w:sz w:val="40"/>
          <w:szCs w:val="40"/>
        </w:rPr>
      </w:pPr>
      <w:r w:rsidRPr="00DE25AD">
        <w:t xml:space="preserve">E: </w:t>
      </w:r>
      <w:hyperlink r:id="rId8" w:history="1">
        <w:r w:rsidRPr="00DE25AD">
          <w:rPr>
            <w:rStyle w:val="Hyperlink"/>
          </w:rPr>
          <w:t>cbrc@cancervic.org.au</w:t>
        </w:r>
      </w:hyperlink>
      <w:r w:rsidRPr="00DE25AD">
        <w:t xml:space="preserve"> </w:t>
      </w:r>
      <w:r w:rsidR="00907D9A" w:rsidRPr="00DE25AD">
        <w:br w:type="page"/>
      </w:r>
    </w:p>
    <w:p w14:paraId="445EC054" w14:textId="4921EB54" w:rsidR="00E31F21" w:rsidRPr="00DE25AD" w:rsidRDefault="00BB3D86" w:rsidP="00907D9A">
      <w:pPr>
        <w:pStyle w:val="ASSAD2017ACCESSHeading2"/>
      </w:pPr>
      <w:r w:rsidRPr="00DE25AD">
        <w:lastRenderedPageBreak/>
        <w:t xml:space="preserve">ASSAD 2017 </w:t>
      </w:r>
      <w:r w:rsidR="006C01DC">
        <w:t>Trends in Substance Use 1996-2017</w:t>
      </w:r>
    </w:p>
    <w:p w14:paraId="018F2B7F" w14:textId="77777777" w:rsidR="006C01DC" w:rsidRPr="002E5727" w:rsidRDefault="006C01DC" w:rsidP="006C01DC">
      <w:pPr>
        <w:widowControl w:val="0"/>
        <w:spacing w:after="120"/>
        <w:rPr>
          <w:rFonts w:ascii="Arial Rounded MT Bold" w:hAnsi="Arial Rounded MT Bold" w:cs="Arial"/>
          <w:bCs/>
          <w:color w:val="000000"/>
          <w:sz w:val="40"/>
          <w:szCs w:val="40"/>
          <w:lang w:val="en-US"/>
        </w:rPr>
      </w:pPr>
      <w:r w:rsidRPr="002E5727">
        <w:rPr>
          <w:rFonts w:ascii="Arial" w:hAnsi="Arial" w:cs="Arial"/>
          <w:bCs/>
          <w:color w:val="000000"/>
          <w:sz w:val="20"/>
          <w:szCs w:val="20"/>
          <w:lang w:val="en-US"/>
        </w:rPr>
        <w:t>The triennial Australian Secondary Students’ Alcohol and Drug Survey (ASSAD) is the largest national survey of adolescent substance use in Australia. This report presents information from ASSAD surveys between 1996 and 2017 on the use of tobacco, alcohol, and other licit and illicit substances among school students aged 12 to 17 in Australia. In measuring changes in substance use over time, this survey series provides a unique contribution to substance use research, policy, and prevention in this age group. This research tracks how changes in substance use relate to the characteristics and attitudes of the adolescents who use them, the social conditions of use, and the policy and legislative contexts of substance use. As a result, ASSAD findings have important implications for public policy. Our findings provide an evaluation of the effects of past substance use policies, and an indication of the current and future needs of adolescents in Australia. In this report, we analyse changes in substance use between 1996 and 2017</w:t>
      </w:r>
      <w:r w:rsidRPr="002E5727">
        <w:rPr>
          <w:rFonts w:ascii="Arial" w:hAnsi="Arial" w:cs="Arial"/>
          <w:bCs/>
          <w:color w:val="000000"/>
          <w:sz w:val="20"/>
          <w:szCs w:val="20"/>
          <w:vertAlign w:val="superscript"/>
          <w:lang w:val="en-US"/>
        </w:rPr>
        <w:footnoteReference w:id="1"/>
      </w:r>
      <w:r w:rsidRPr="002E5727">
        <w:rPr>
          <w:rFonts w:ascii="Arial" w:hAnsi="Arial" w:cs="Arial"/>
          <w:bCs/>
          <w:color w:val="000000"/>
          <w:sz w:val="20"/>
          <w:szCs w:val="20"/>
          <w:lang w:val="en-US"/>
        </w:rPr>
        <w:t xml:space="preserve"> and examine these trends by sex</w:t>
      </w:r>
      <w:r>
        <w:rPr>
          <w:rFonts w:ascii="Arial" w:hAnsi="Arial" w:cs="Arial"/>
          <w:bCs/>
          <w:color w:val="000000"/>
          <w:sz w:val="20"/>
          <w:szCs w:val="20"/>
          <w:lang w:val="en-US"/>
        </w:rPr>
        <w:t xml:space="preserve"> and</w:t>
      </w:r>
      <w:r w:rsidRPr="002E5727">
        <w:rPr>
          <w:rFonts w:ascii="Arial" w:hAnsi="Arial" w:cs="Arial"/>
          <w:bCs/>
          <w:color w:val="000000"/>
          <w:sz w:val="20"/>
          <w:szCs w:val="20"/>
          <w:lang w:val="en-US"/>
        </w:rPr>
        <w:t xml:space="preserve"> age.</w:t>
      </w:r>
    </w:p>
    <w:p w14:paraId="6C845F2E" w14:textId="77777777" w:rsidR="006C01DC" w:rsidRPr="002E5727" w:rsidRDefault="006C01DC" w:rsidP="006C01DC">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In each survey year since 19</w:t>
      </w:r>
      <w:r>
        <w:rPr>
          <w:rFonts w:ascii="Arial" w:hAnsi="Arial" w:cs="Arial"/>
          <w:bCs/>
          <w:color w:val="000000"/>
          <w:sz w:val="20"/>
          <w:szCs w:val="20"/>
          <w:lang w:val="en-US"/>
        </w:rPr>
        <w:t>96</w:t>
      </w:r>
      <w:r w:rsidRPr="002E5727">
        <w:rPr>
          <w:rFonts w:ascii="Arial" w:hAnsi="Arial" w:cs="Arial"/>
          <w:bCs/>
          <w:color w:val="000000"/>
          <w:sz w:val="20"/>
          <w:szCs w:val="20"/>
          <w:lang w:val="en-US"/>
        </w:rPr>
        <w:t xml:space="preserve">, </w:t>
      </w:r>
      <w:r>
        <w:rPr>
          <w:rFonts w:ascii="Arial" w:hAnsi="Arial" w:cs="Arial"/>
          <w:bCs/>
          <w:color w:val="000000"/>
          <w:sz w:val="20"/>
          <w:szCs w:val="20"/>
          <w:lang w:val="en-US"/>
        </w:rPr>
        <w:t>19</w:t>
      </w:r>
      <w:r w:rsidRPr="002E5727">
        <w:rPr>
          <w:rFonts w:ascii="Arial" w:hAnsi="Arial" w:cs="Arial"/>
          <w:bCs/>
          <w:color w:val="000000"/>
          <w:sz w:val="20"/>
          <w:szCs w:val="20"/>
          <w:lang w:val="en-US"/>
        </w:rPr>
        <w:t>,000-30,000 secondary students aged 12 to 17 have participated in the ASSAD survey. Teenagers who were not at school were not included in the school-based samples. Students answered questions about their current and lifetime use of tobacco, alcohol, analgesics, tranquilisers, and other substances, and their behaviour related to the use of these substances. Our measures include use in the lifetime, past year, past month, and past week (current use).</w:t>
      </w:r>
    </w:p>
    <w:p w14:paraId="2D4462D2" w14:textId="77777777" w:rsidR="006C01DC" w:rsidRPr="002E5727" w:rsidRDefault="006C01DC" w:rsidP="006C01DC">
      <w:pPr>
        <w:widowControl w:val="0"/>
        <w:spacing w:after="120"/>
        <w:rPr>
          <w:rFonts w:ascii="Arial" w:hAnsi="Arial" w:cs="Arial"/>
          <w:bCs/>
          <w:color w:val="000000"/>
          <w:sz w:val="20"/>
          <w:szCs w:val="20"/>
          <w:lang w:val="en-US"/>
        </w:rPr>
        <w:sectPr w:rsidR="006C01DC" w:rsidRPr="002E5727" w:rsidSect="00893D4D">
          <w:footerReference w:type="even" r:id="rId9"/>
          <w:footerReference w:type="default" r:id="rId10"/>
          <w:footerReference w:type="first" r:id="rId11"/>
          <w:type w:val="continuous"/>
          <w:pgSz w:w="11906" w:h="16838"/>
          <w:pgMar w:top="1418" w:right="1418" w:bottom="568" w:left="1418" w:header="567" w:footer="403" w:gutter="0"/>
          <w:pgNumType w:start="1"/>
          <w:cols w:space="720"/>
          <w:docGrid w:linePitch="360"/>
        </w:sectPr>
      </w:pPr>
      <w:r w:rsidRPr="002E5727">
        <w:rPr>
          <w:rFonts w:ascii="Arial" w:hAnsi="Arial" w:cs="Arial"/>
          <w:bCs/>
          <w:color w:val="000000"/>
          <w:sz w:val="20"/>
          <w:szCs w:val="20"/>
          <w:lang w:val="en-US"/>
        </w:rPr>
        <w:t>An overview of the survey’s history and methodology is available in our report of national findings from ASSAD 2017</w:t>
      </w:r>
      <w:r w:rsidRPr="002E5727">
        <w:rPr>
          <w:rFonts w:ascii="Arial" w:hAnsi="Arial" w:cs="Arial"/>
          <w:bCs/>
          <w:color w:val="000000"/>
          <w:sz w:val="20"/>
          <w:szCs w:val="20"/>
          <w:vertAlign w:val="superscript"/>
          <w:lang w:val="en-US"/>
        </w:rPr>
        <w:footnoteReference w:id="2"/>
      </w:r>
      <w:r w:rsidRPr="002E5727">
        <w:rPr>
          <w:rFonts w:ascii="Arial" w:hAnsi="Arial" w:cs="Arial"/>
          <w:bCs/>
          <w:color w:val="000000"/>
          <w:sz w:val="20"/>
          <w:szCs w:val="20"/>
          <w:lang w:val="en-US"/>
        </w:rPr>
        <w:t>, which detailed the prevalence of substance use and related behaviour among secondary students in Australia in 2017.</w:t>
      </w:r>
    </w:p>
    <w:p w14:paraId="18C53BDC" w14:textId="7F73B24B" w:rsidR="006876C1" w:rsidRPr="00DE25AD" w:rsidRDefault="006876C1" w:rsidP="00907D9A">
      <w:pPr>
        <w:pStyle w:val="ASSAD2017ACCESSHeading2"/>
      </w:pPr>
      <w:r w:rsidRPr="00DE25AD">
        <w:lastRenderedPageBreak/>
        <w:t>A</w:t>
      </w:r>
      <w:bookmarkEnd w:id="0"/>
      <w:bookmarkEnd w:id="1"/>
      <w:bookmarkEnd w:id="7"/>
      <w:r w:rsidR="001369FC" w:rsidRPr="00DE25AD">
        <w:t>cknowledgements</w:t>
      </w:r>
    </w:p>
    <w:p w14:paraId="464E4A44"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Centre for Behavioural Research in Cancer at Cancer Council Victoria gratefully acknowledges the cooperation and assistance of the people and organisations listed here in the running of this survey:</w:t>
      </w:r>
    </w:p>
    <w:p w14:paraId="4483F48F"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all students who participated in the survey</w:t>
      </w:r>
    </w:p>
    <w:p w14:paraId="1549F455"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staff of participating schools</w:t>
      </w:r>
    </w:p>
    <w:p w14:paraId="512F2750"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state departments of education</w:t>
      </w:r>
    </w:p>
    <w:p w14:paraId="1903F804"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state and diocese Catholic education offices</w:t>
      </w:r>
    </w:p>
    <w:p w14:paraId="484E5DA9"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state associations of independent schools</w:t>
      </w:r>
    </w:p>
    <w:p w14:paraId="52E37DAD" w14:textId="77777777" w:rsidR="00923552" w:rsidRDefault="00923552" w:rsidP="00923552">
      <w:pPr>
        <w:widowControl w:val="0"/>
        <w:spacing w:after="120"/>
        <w:rPr>
          <w:rFonts w:ascii="Arial" w:hAnsi="Arial" w:cs="Arial"/>
          <w:bCs/>
          <w:color w:val="000000"/>
          <w:sz w:val="20"/>
          <w:szCs w:val="20"/>
          <w:lang w:val="en-US"/>
        </w:rPr>
      </w:pPr>
    </w:p>
    <w:p w14:paraId="016BFCAE" w14:textId="64595A21"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organisations listed below funded ASSAD data collection in states or territories during survey years between 1996 and 2017:</w:t>
      </w:r>
    </w:p>
    <w:p w14:paraId="26C96259"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Australian Government Department of Health </w:t>
      </w:r>
    </w:p>
    <w:p w14:paraId="16CEC096"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Cancer Council Victoria</w:t>
      </w:r>
    </w:p>
    <w:p w14:paraId="14BEE7B7"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Department of Health and Human Services, Victorian Government </w:t>
      </w:r>
    </w:p>
    <w:p w14:paraId="7ACC0F90"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Centre for Epidemiology and Evidence, NSW Ministry of Health</w:t>
      </w:r>
    </w:p>
    <w:p w14:paraId="017DF2BA"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Centre for Population Health, NSW Ministry of Health</w:t>
      </w:r>
    </w:p>
    <w:p w14:paraId="57D5788D"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Mental Health &amp; Drug and Alcohol Office, NSW Ministry of Health</w:t>
      </w:r>
    </w:p>
    <w:p w14:paraId="337E8ECB"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Cancer Institute, NSW</w:t>
      </w:r>
    </w:p>
    <w:p w14:paraId="1938D153"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Cancer Council New South Wales</w:t>
      </w:r>
    </w:p>
    <w:p w14:paraId="33C30CE2"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Cancer Council South Australia</w:t>
      </w:r>
    </w:p>
    <w:p w14:paraId="5CD208A0"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Drug and Alcohol Services South Australia, SA Health</w:t>
      </w:r>
    </w:p>
    <w:p w14:paraId="00A1C9C1"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Tobacco Control Research and Evaluation, South Australian Health and Medical Research Institute (SAHMRI)</w:t>
      </w:r>
    </w:p>
    <w:p w14:paraId="59C5AC9B"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Chronic Disease Prevention Tobacco Policy Team, Health Department of Western Australia</w:t>
      </w:r>
    </w:p>
    <w:p w14:paraId="0F7B98B2"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Performance and Programs, Mental Health Commission, Government of Western Australia</w:t>
      </w:r>
    </w:p>
    <w:p w14:paraId="139D9033"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Cancer Council Queensland</w:t>
      </w:r>
    </w:p>
    <w:p w14:paraId="1EB1BC76"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Queensland Health</w:t>
      </w:r>
    </w:p>
    <w:p w14:paraId="2397BCBB"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ACT Health, Epidemiology Section, Health Improvement Branch, Population Health Division</w:t>
      </w:r>
    </w:p>
    <w:p w14:paraId="0F301ED0"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Cancer Council Tasmania</w:t>
      </w:r>
    </w:p>
    <w:p w14:paraId="441AD2FA"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Communities, Sport and Recreation, Department of Premier and Cabinet, Tasmania</w:t>
      </w:r>
    </w:p>
    <w:p w14:paraId="541C8A40"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Department of Education, Tasmania</w:t>
      </w:r>
    </w:p>
    <w:p w14:paraId="65F09363"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Public Health Services, Department of Health and Human Services, Tasmania</w:t>
      </w:r>
    </w:p>
    <w:p w14:paraId="59532A82"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Alcohol &amp; Drug Services, Tasmanian Health Service</w:t>
      </w:r>
    </w:p>
    <w:p w14:paraId="6692AC7E"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Northern Territory Government, Department of Health, Mental Health, Alcohol, and Other Drugs Branch</w:t>
      </w:r>
    </w:p>
    <w:p w14:paraId="06F7088D" w14:textId="77777777" w:rsidR="00923552" w:rsidRDefault="00923552" w:rsidP="00923552">
      <w:pPr>
        <w:widowControl w:val="0"/>
        <w:spacing w:after="120"/>
        <w:rPr>
          <w:rFonts w:ascii="Arial" w:hAnsi="Arial" w:cs="Arial"/>
          <w:bCs/>
          <w:color w:val="000000"/>
          <w:sz w:val="20"/>
          <w:szCs w:val="20"/>
          <w:lang w:val="en-US"/>
        </w:rPr>
      </w:pPr>
    </w:p>
    <w:p w14:paraId="23F053DD" w14:textId="7C593FF1"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people listed below coordinated the survey and/or organised data collection in their state or territory during 2017:</w:t>
      </w:r>
    </w:p>
    <w:p w14:paraId="55CE02F3"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Tanya Plueckhahn, Gorjana Radisic, Kate Clarke-Palmer, Greg Sharplin, and Tony Daly, Cancer Council South Australia</w:t>
      </w:r>
    </w:p>
    <w:p w14:paraId="5B5410EC"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Frances Gibson, Ann-Maree Hughes, Hai Phung, Sommer Sherwood, Epidemiology Section, Health Improvement Branch, Population Health Division, ACT Health</w:t>
      </w:r>
    </w:p>
    <w:p w14:paraId="431A161C"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Tim Harrold, Jessica Gugusheff, Heather Baldwin, Suzanne Schindler, Health Behaviour Surveillance, Centre for Epidemiology and Evidence, NSW Ministry of Health</w:t>
      </w:r>
    </w:p>
    <w:p w14:paraId="5ACF0AFC"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Chris Moon, Warren Que Noy, Northern Territory Government, Department of Health, Mental Health, </w:t>
      </w:r>
      <w:r w:rsidRPr="002E5727">
        <w:rPr>
          <w:rFonts w:ascii="Arial" w:hAnsi="Arial" w:cs="Arial"/>
          <w:bCs/>
          <w:color w:val="000000"/>
          <w:sz w:val="20"/>
          <w:szCs w:val="20"/>
          <w:lang w:val="en-US"/>
        </w:rPr>
        <w:lastRenderedPageBreak/>
        <w:t>Alcohol, and Other Drugs Branch</w:t>
      </w:r>
    </w:p>
    <w:p w14:paraId="53E54514"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Amanda Harrison, Rebecca Hood, Su-Ann Drew, Russell Bridle, Performance and Programs, Mental Health Commission, Government of Western Australia</w:t>
      </w:r>
    </w:p>
    <w:p w14:paraId="1D9800CF"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Mandy Gardener, Natalie Klein, Abby Smith, Cancer Council Tasmania </w:t>
      </w:r>
    </w:p>
    <w:p w14:paraId="6B63D84B"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Nicola Guerin, Tahlia Williams, Maree Scully, Felicity Houewen, Cancer Council Victoria</w:t>
      </w:r>
    </w:p>
    <w:p w14:paraId="706D9FF1"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Rebecca Perkins, Peter Anderson, Peter Baade, Upeksha Chandrasiri, Cancer Council Queensland</w:t>
      </w:r>
    </w:p>
    <w:p w14:paraId="389DD391"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Ted White, Tendai Dawkins, Community Solutions, Queensland</w:t>
      </w:r>
    </w:p>
    <w:p w14:paraId="19CA34A0"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Saskia Kirson, Angela Brooks, McNair Ingenuity Research, NSW</w:t>
      </w:r>
    </w:p>
    <w:p w14:paraId="7D519485"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Catherine Manley, Sonja Porter, Miles Morgan Australia, Western Australia</w:t>
      </w:r>
    </w:p>
    <w:p w14:paraId="3DBBAD93" w14:textId="77777777" w:rsidR="00923552" w:rsidRPr="002E5727" w:rsidRDefault="00923552" w:rsidP="00923552">
      <w:pPr>
        <w:widowControl w:val="0"/>
        <w:spacing w:after="120"/>
        <w:rPr>
          <w:rFonts w:ascii="Arial" w:hAnsi="Arial" w:cs="Arial"/>
          <w:bCs/>
          <w:color w:val="000000"/>
          <w:sz w:val="20"/>
          <w:szCs w:val="20"/>
          <w:lang w:val="en-US"/>
        </w:rPr>
      </w:pPr>
    </w:p>
    <w:p w14:paraId="63FEB299"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Australian Council for Educational Research advised on all aspects of sampling in 2017 and earlier survey years.</w:t>
      </w:r>
    </w:p>
    <w:p w14:paraId="3D167B63" w14:textId="77777777" w:rsidR="00923552" w:rsidRPr="002E5727" w:rsidRDefault="00923552" w:rsidP="00923552">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Wai Yen Loh, Larissa Popowski, Alison Hopkins of Cancer Council Victoria, undertook and managed data cleaning and coding for ASSAD 2017.</w:t>
      </w:r>
    </w:p>
    <w:p w14:paraId="01CEBAD7" w14:textId="22885CB5" w:rsidR="00665246" w:rsidRPr="00DE25AD" w:rsidRDefault="00923552" w:rsidP="00923552">
      <w:pPr>
        <w:pStyle w:val="ASSAD2017ACCESSBody1"/>
        <w:rPr>
          <w:rFonts w:ascii="Arial Rounded MT Bold" w:hAnsi="Arial Rounded MT Bold"/>
          <w:bCs w:val="0"/>
          <w:sz w:val="40"/>
          <w:szCs w:val="40"/>
        </w:rPr>
      </w:pPr>
      <w:r w:rsidRPr="002E5727">
        <w:rPr>
          <w:color w:val="000000"/>
        </w:rPr>
        <w:t>We also thank the research teams that administered the survey to students throughout Australia 1996-2017.</w:t>
      </w:r>
      <w:r w:rsidR="00665246" w:rsidRPr="00DE25AD">
        <w:br w:type="page"/>
      </w:r>
    </w:p>
    <w:p w14:paraId="31BE61EC" w14:textId="57E18596" w:rsidR="006876C1" w:rsidRPr="00B27B71" w:rsidRDefault="001369FC" w:rsidP="00907D9A">
      <w:pPr>
        <w:pStyle w:val="ASSAD2017ACCESSHeading2"/>
      </w:pPr>
      <w:r w:rsidRPr="00B27B71">
        <w:lastRenderedPageBreak/>
        <w:t>Table of Contents</w:t>
      </w:r>
    </w:p>
    <w:p w14:paraId="772009EA" w14:textId="3A7919B0" w:rsidR="00EF4631" w:rsidRPr="00DE25AD" w:rsidRDefault="0025153B" w:rsidP="00665246">
      <w:pPr>
        <w:pStyle w:val="ASSAD2017ACCESSBody1"/>
        <w:tabs>
          <w:tab w:val="right" w:pos="9356"/>
        </w:tabs>
      </w:pPr>
      <w:r w:rsidRPr="00594BA6">
        <w:rPr>
          <w:b/>
          <w:bCs w:val="0"/>
        </w:rPr>
        <w:t xml:space="preserve">Key </w:t>
      </w:r>
      <w:r w:rsidR="00F0768C" w:rsidRPr="00594BA6">
        <w:rPr>
          <w:b/>
          <w:bCs w:val="0"/>
        </w:rPr>
        <w:t>f</w:t>
      </w:r>
      <w:r w:rsidRPr="00594BA6">
        <w:rPr>
          <w:b/>
          <w:bCs w:val="0"/>
        </w:rPr>
        <w:t>indings</w:t>
      </w:r>
      <w:r w:rsidR="00F0768C" w:rsidRPr="00594BA6">
        <w:rPr>
          <w:b/>
          <w:bCs w:val="0"/>
        </w:rPr>
        <w:t xml:space="preserve"> and conclusions</w:t>
      </w:r>
      <w:r w:rsidR="00C853FF" w:rsidRPr="00DE25AD">
        <w:rPr>
          <w:b/>
          <w:u w:val="dotted"/>
        </w:rPr>
        <w:tab/>
      </w:r>
      <w:r w:rsidR="001D3E75" w:rsidRPr="00DE25AD">
        <w:rPr>
          <w:b/>
        </w:rPr>
        <w:t>6</w:t>
      </w:r>
    </w:p>
    <w:p w14:paraId="7B88B66A" w14:textId="6F51A552" w:rsidR="00285F09" w:rsidRPr="00DE25AD" w:rsidRDefault="00157DDD" w:rsidP="00665246">
      <w:pPr>
        <w:pStyle w:val="ASSAD2017ACCESSBody1"/>
        <w:tabs>
          <w:tab w:val="right" w:pos="9356"/>
        </w:tabs>
      </w:pPr>
      <w:r w:rsidRPr="00594BA6">
        <w:rPr>
          <w:b/>
          <w:bCs w:val="0"/>
        </w:rPr>
        <w:t>T</w:t>
      </w:r>
      <w:r w:rsidR="00F0768C" w:rsidRPr="00594BA6">
        <w:rPr>
          <w:b/>
          <w:bCs w:val="0"/>
        </w:rPr>
        <w:t>rends in smoking among</w:t>
      </w:r>
      <w:r w:rsidRPr="00594BA6">
        <w:rPr>
          <w:b/>
          <w:bCs w:val="0"/>
        </w:rPr>
        <w:t xml:space="preserve"> Australian secondary s</w:t>
      </w:r>
      <w:r w:rsidR="00285F09" w:rsidRPr="00594BA6">
        <w:rPr>
          <w:b/>
          <w:bCs w:val="0"/>
        </w:rPr>
        <w:t>tudents</w:t>
      </w:r>
      <w:r w:rsidR="007C1BD6">
        <w:rPr>
          <w:b/>
          <w:bCs w:val="0"/>
        </w:rPr>
        <w:t xml:space="preserve"> 1996-2017</w:t>
      </w:r>
      <w:r w:rsidR="00C853FF" w:rsidRPr="00DE25AD">
        <w:rPr>
          <w:b/>
          <w:u w:val="dotted"/>
        </w:rPr>
        <w:tab/>
      </w:r>
      <w:r w:rsidR="001F7A96" w:rsidRPr="00DE25AD">
        <w:rPr>
          <w:b/>
        </w:rPr>
        <w:t>1</w:t>
      </w:r>
      <w:r w:rsidR="00594BA6">
        <w:rPr>
          <w:b/>
        </w:rPr>
        <w:t>0</w:t>
      </w:r>
    </w:p>
    <w:p w14:paraId="4E93C82B" w14:textId="22589857" w:rsidR="00285F09" w:rsidRPr="00DE25AD" w:rsidRDefault="00F0768C" w:rsidP="00665246">
      <w:pPr>
        <w:pStyle w:val="ASSAD2017ACCESSBody1"/>
        <w:tabs>
          <w:tab w:val="right" w:pos="9356"/>
        </w:tabs>
      </w:pPr>
      <w:r w:rsidRPr="00594BA6">
        <w:rPr>
          <w:b/>
          <w:bCs w:val="0"/>
        </w:rPr>
        <w:t>Trends in drinking among</w:t>
      </w:r>
      <w:r w:rsidR="00157DDD" w:rsidRPr="00594BA6">
        <w:rPr>
          <w:b/>
          <w:bCs w:val="0"/>
        </w:rPr>
        <w:t xml:space="preserve"> Australian secondary students</w:t>
      </w:r>
      <w:r w:rsidR="007C1BD6">
        <w:rPr>
          <w:b/>
          <w:bCs w:val="0"/>
        </w:rPr>
        <w:t xml:space="preserve"> 1996-2017</w:t>
      </w:r>
      <w:r w:rsidR="00C853FF" w:rsidRPr="00DE25AD">
        <w:rPr>
          <w:b/>
          <w:u w:val="dotted"/>
        </w:rPr>
        <w:tab/>
      </w:r>
      <w:r w:rsidR="00594BA6">
        <w:rPr>
          <w:b/>
        </w:rPr>
        <w:t>17</w:t>
      </w:r>
    </w:p>
    <w:p w14:paraId="51FC695F" w14:textId="5F38C37E" w:rsidR="00285F09" w:rsidRPr="00DE25AD" w:rsidRDefault="00F0768C" w:rsidP="00665246">
      <w:pPr>
        <w:pStyle w:val="ASSAD2017ACCESSBody1"/>
        <w:tabs>
          <w:tab w:val="right" w:pos="9356"/>
        </w:tabs>
      </w:pPr>
      <w:r w:rsidRPr="00594BA6">
        <w:rPr>
          <w:b/>
          <w:bCs w:val="0"/>
        </w:rPr>
        <w:t>Trends in</w:t>
      </w:r>
      <w:r w:rsidR="00157DDD" w:rsidRPr="00594BA6">
        <w:rPr>
          <w:b/>
          <w:bCs w:val="0"/>
        </w:rPr>
        <w:t xml:space="preserve"> over-the-counter d</w:t>
      </w:r>
      <w:r w:rsidR="00285F09" w:rsidRPr="00594BA6">
        <w:rPr>
          <w:b/>
          <w:bCs w:val="0"/>
        </w:rPr>
        <w:t>rug</w:t>
      </w:r>
      <w:r w:rsidRPr="00594BA6">
        <w:rPr>
          <w:b/>
          <w:bCs w:val="0"/>
        </w:rPr>
        <w:t xml:space="preserve"> use</w:t>
      </w:r>
      <w:r w:rsidR="00285F09" w:rsidRPr="00594BA6">
        <w:rPr>
          <w:b/>
          <w:bCs w:val="0"/>
        </w:rPr>
        <w:t xml:space="preserve"> </w:t>
      </w:r>
      <w:r w:rsidR="00157DDD" w:rsidRPr="00594BA6">
        <w:rPr>
          <w:b/>
          <w:bCs w:val="0"/>
        </w:rPr>
        <w:t>among Australian secondary students</w:t>
      </w:r>
      <w:r w:rsidR="007C1BD6">
        <w:rPr>
          <w:b/>
          <w:bCs w:val="0"/>
        </w:rPr>
        <w:t xml:space="preserve"> 1996-2017</w:t>
      </w:r>
      <w:r w:rsidR="00C853FF" w:rsidRPr="00DE25AD">
        <w:rPr>
          <w:b/>
          <w:u w:val="dotted"/>
        </w:rPr>
        <w:tab/>
      </w:r>
      <w:r w:rsidR="001F7A96" w:rsidRPr="00DE25AD">
        <w:rPr>
          <w:b/>
        </w:rPr>
        <w:t>2</w:t>
      </w:r>
      <w:r w:rsidR="00594BA6">
        <w:rPr>
          <w:b/>
        </w:rPr>
        <w:t>2</w:t>
      </w:r>
    </w:p>
    <w:p w14:paraId="6CD7CD20" w14:textId="3242E8F9" w:rsidR="00285F09" w:rsidRPr="00DE25AD" w:rsidRDefault="00F0768C" w:rsidP="00665246">
      <w:pPr>
        <w:pStyle w:val="ASSAD2017ACCESSBody1"/>
        <w:tabs>
          <w:tab w:val="right" w:pos="9356"/>
        </w:tabs>
      </w:pPr>
      <w:r w:rsidRPr="00594BA6">
        <w:rPr>
          <w:b/>
          <w:bCs w:val="0"/>
        </w:rPr>
        <w:t>Trends in i</w:t>
      </w:r>
      <w:r w:rsidR="00157DDD" w:rsidRPr="00594BA6">
        <w:rPr>
          <w:b/>
          <w:bCs w:val="0"/>
        </w:rPr>
        <w:t>llicit s</w:t>
      </w:r>
      <w:r w:rsidR="00285F09" w:rsidRPr="00594BA6">
        <w:rPr>
          <w:b/>
          <w:bCs w:val="0"/>
        </w:rPr>
        <w:t xml:space="preserve">ubstance </w:t>
      </w:r>
      <w:r w:rsidR="00157DDD" w:rsidRPr="00594BA6">
        <w:rPr>
          <w:b/>
          <w:bCs w:val="0"/>
        </w:rPr>
        <w:t>use among Australian secondary students</w:t>
      </w:r>
      <w:r w:rsidR="007C1BD6">
        <w:rPr>
          <w:b/>
          <w:bCs w:val="0"/>
        </w:rPr>
        <w:t xml:space="preserve"> 1996-2017</w:t>
      </w:r>
      <w:r w:rsidR="00C853FF" w:rsidRPr="00DE25AD">
        <w:rPr>
          <w:b/>
          <w:u w:val="dotted"/>
        </w:rPr>
        <w:tab/>
      </w:r>
      <w:r w:rsidR="001F7A96" w:rsidRPr="00DE25AD">
        <w:rPr>
          <w:b/>
        </w:rPr>
        <w:t>2</w:t>
      </w:r>
      <w:r w:rsidR="001D3E75" w:rsidRPr="00DE25AD">
        <w:rPr>
          <w:b/>
        </w:rPr>
        <w:t>4</w:t>
      </w:r>
    </w:p>
    <w:p w14:paraId="5CCD67F6" w14:textId="0D0A666E" w:rsidR="006724D2" w:rsidRPr="00DE25AD" w:rsidRDefault="007E2624" w:rsidP="00665246">
      <w:pPr>
        <w:pStyle w:val="ASSAD2017ACCESSBody1"/>
        <w:tabs>
          <w:tab w:val="right" w:pos="9356"/>
        </w:tabs>
      </w:pPr>
      <w:r w:rsidRPr="00594BA6">
        <w:rPr>
          <w:b/>
          <w:bCs w:val="0"/>
        </w:rPr>
        <w:t>Tables</w:t>
      </w:r>
      <w:r w:rsidR="00990507" w:rsidRPr="00DE25AD">
        <w:rPr>
          <w:b/>
          <w:u w:val="dotted"/>
        </w:rPr>
        <w:tab/>
      </w:r>
      <w:r w:rsidR="00594BA6">
        <w:rPr>
          <w:b/>
        </w:rPr>
        <w:t>30</w:t>
      </w:r>
    </w:p>
    <w:p w14:paraId="0F49DF91" w14:textId="7B6C1C34" w:rsidR="007E2624" w:rsidRPr="00DE25AD" w:rsidRDefault="00F0768C" w:rsidP="00D452E7">
      <w:pPr>
        <w:pStyle w:val="ASSAD2017ACCESSBody1"/>
        <w:tabs>
          <w:tab w:val="right" w:pos="9356"/>
        </w:tabs>
        <w:ind w:left="426"/>
      </w:pPr>
      <w:r>
        <w:t>List of tables</w:t>
      </w:r>
      <w:r w:rsidR="00990507" w:rsidRPr="00DE25AD">
        <w:rPr>
          <w:u w:val="dotted"/>
        </w:rPr>
        <w:tab/>
      </w:r>
      <w:r w:rsidR="00594BA6">
        <w:t>30</w:t>
      </w:r>
    </w:p>
    <w:p w14:paraId="201263E4" w14:textId="503B661C" w:rsidR="007E2624" w:rsidRPr="00DE25AD" w:rsidRDefault="00C20D0B" w:rsidP="00D452E7">
      <w:pPr>
        <w:pStyle w:val="ASSAD2017ACCESSBody1"/>
        <w:tabs>
          <w:tab w:val="right" w:pos="9356"/>
        </w:tabs>
        <w:ind w:left="426"/>
      </w:pPr>
      <w:r>
        <w:t>Trends in smoking among Australian secondary students 1996-2017</w:t>
      </w:r>
      <w:r w:rsidR="00990507" w:rsidRPr="00DE25AD">
        <w:rPr>
          <w:u w:val="dotted"/>
        </w:rPr>
        <w:tab/>
      </w:r>
      <w:r w:rsidR="008D59F4">
        <w:t>31</w:t>
      </w:r>
    </w:p>
    <w:p w14:paraId="0622B8EF" w14:textId="33FB36D5" w:rsidR="007E2624" w:rsidRPr="00DE25AD" w:rsidRDefault="00C20D0B" w:rsidP="00D452E7">
      <w:pPr>
        <w:pStyle w:val="ASSAD2017ACCESSBody1"/>
        <w:tabs>
          <w:tab w:val="right" w:pos="9356"/>
        </w:tabs>
        <w:ind w:left="426"/>
      </w:pPr>
      <w:r>
        <w:t>Trends in drinking among Australian secondary students 1996-2017</w:t>
      </w:r>
      <w:r w:rsidR="00990507" w:rsidRPr="00DE25AD">
        <w:rPr>
          <w:u w:val="dotted"/>
        </w:rPr>
        <w:tab/>
      </w:r>
      <w:r w:rsidR="006A3725">
        <w:t>34</w:t>
      </w:r>
    </w:p>
    <w:p w14:paraId="632F32AE" w14:textId="56D648D5" w:rsidR="00C20D0B" w:rsidRPr="00DE25AD" w:rsidRDefault="00C20D0B" w:rsidP="00C20D0B">
      <w:pPr>
        <w:pStyle w:val="ASSAD2017ACCESSBody1"/>
        <w:tabs>
          <w:tab w:val="right" w:pos="9356"/>
        </w:tabs>
        <w:ind w:left="426"/>
      </w:pPr>
      <w:r>
        <w:t>Trends in over-the-counter drug use among Australian secondary students 1996-2017</w:t>
      </w:r>
      <w:r w:rsidRPr="00DE25AD">
        <w:rPr>
          <w:u w:val="dotted"/>
        </w:rPr>
        <w:tab/>
      </w:r>
      <w:r w:rsidR="006A3725">
        <w:t>36</w:t>
      </w:r>
    </w:p>
    <w:p w14:paraId="24B82C06" w14:textId="5FDE716A" w:rsidR="00C20D0B" w:rsidRPr="00DE25AD" w:rsidRDefault="00C20D0B" w:rsidP="00C20D0B">
      <w:pPr>
        <w:pStyle w:val="ASSAD2017ACCESSBody1"/>
        <w:tabs>
          <w:tab w:val="right" w:pos="9356"/>
        </w:tabs>
        <w:ind w:left="426"/>
      </w:pPr>
      <w:r>
        <w:t>Trends in illicit substance use among Australian secondary students 1996-2017</w:t>
      </w:r>
      <w:r w:rsidRPr="00DE25AD">
        <w:rPr>
          <w:u w:val="dotted"/>
        </w:rPr>
        <w:tab/>
      </w:r>
      <w:r w:rsidR="006A3725">
        <w:t>40</w:t>
      </w:r>
    </w:p>
    <w:p w14:paraId="2A9C32CB" w14:textId="4591C330" w:rsidR="007E2624" w:rsidRPr="00DE25AD" w:rsidRDefault="00C20D0B" w:rsidP="00665246">
      <w:pPr>
        <w:pStyle w:val="ASSAD2017ACCESSBody1"/>
        <w:tabs>
          <w:tab w:val="right" w:pos="9356"/>
        </w:tabs>
      </w:pPr>
      <w:r w:rsidRPr="00594BA6">
        <w:rPr>
          <w:b/>
          <w:bCs w:val="0"/>
        </w:rPr>
        <w:t>Summary of methods</w:t>
      </w:r>
      <w:r w:rsidR="00990507" w:rsidRPr="00DE25AD">
        <w:rPr>
          <w:b/>
          <w:u w:val="dotted"/>
        </w:rPr>
        <w:tab/>
      </w:r>
      <w:r w:rsidR="006A3725">
        <w:rPr>
          <w:b/>
        </w:rPr>
        <w:t>50</w:t>
      </w:r>
    </w:p>
    <w:p w14:paraId="757FD43B" w14:textId="374435C3" w:rsidR="00665246" w:rsidRPr="00DE25AD" w:rsidRDefault="00665246" w:rsidP="0088687E">
      <w:pPr>
        <w:pStyle w:val="ASSAD2017ACCESSBody1"/>
        <w:tabs>
          <w:tab w:val="right" w:pos="9356"/>
        </w:tabs>
        <w:rPr>
          <w:rFonts w:ascii="Arial Rounded MT Bold" w:hAnsi="Arial Rounded MT Bold"/>
          <w:bCs w:val="0"/>
          <w:sz w:val="40"/>
          <w:szCs w:val="40"/>
        </w:rPr>
      </w:pPr>
      <w:bookmarkStart w:id="8" w:name="_Hlk524086945"/>
      <w:bookmarkStart w:id="9" w:name="_Toc437870247"/>
      <w:bookmarkStart w:id="10" w:name="_Toc437870249"/>
      <w:r w:rsidRPr="00DE25AD">
        <w:br w:type="page"/>
      </w:r>
    </w:p>
    <w:p w14:paraId="41495913" w14:textId="5C23304C" w:rsidR="00045242" w:rsidRPr="00DE25AD" w:rsidRDefault="00665246" w:rsidP="00ED7758">
      <w:pPr>
        <w:pStyle w:val="ASSAD2017ACCESSHeading1"/>
        <w:rPr>
          <w:color w:val="0070C0"/>
        </w:rPr>
      </w:pPr>
      <w:r w:rsidRPr="00DE25AD">
        <w:lastRenderedPageBreak/>
        <w:t xml:space="preserve">Key </w:t>
      </w:r>
      <w:r w:rsidR="00BB2EB1">
        <w:t>f</w:t>
      </w:r>
      <w:r w:rsidRPr="00DE25AD">
        <w:t>indings</w:t>
      </w:r>
      <w:r w:rsidR="00BB2EB1">
        <w:t xml:space="preserve"> and conclusions</w:t>
      </w:r>
    </w:p>
    <w:p w14:paraId="7C376AC3" w14:textId="17F0C565" w:rsidR="00D2066F" w:rsidRDefault="00BB2EB1" w:rsidP="00BB2EB1">
      <w:pPr>
        <w:pStyle w:val="ASSAD2017CWBody1"/>
        <w:rPr>
          <w:color w:val="000000"/>
        </w:rPr>
      </w:pPr>
      <w:bookmarkStart w:id="11" w:name="_Toc419187108"/>
      <w:bookmarkStart w:id="12" w:name="_Toc432412610"/>
      <w:bookmarkStart w:id="13" w:name="_Toc437931449"/>
      <w:bookmarkEnd w:id="8"/>
      <w:bookmarkEnd w:id="9"/>
      <w:bookmarkEnd w:id="10"/>
      <w:r w:rsidRPr="002E5727">
        <w:rPr>
          <w:color w:val="000000"/>
        </w:rPr>
        <w:t>Substance use is a risky behaviour that has significant and serious health consequences among adolescents in Australia</w:t>
      </w:r>
      <w:r w:rsidRPr="002E5727">
        <w:rPr>
          <w:color w:val="000000"/>
          <w:vertAlign w:val="superscript"/>
        </w:rPr>
        <w:footnoteReference w:id="3"/>
      </w:r>
      <w:r>
        <w:rPr>
          <w:color w:val="000000"/>
          <w:vertAlign w:val="superscript"/>
        </w:rPr>
        <w:t>,</w:t>
      </w:r>
      <w:r w:rsidRPr="002E5727">
        <w:rPr>
          <w:color w:val="000000"/>
          <w:vertAlign w:val="superscript"/>
        </w:rPr>
        <w:footnoteReference w:id="4"/>
      </w:r>
      <w:r w:rsidRPr="002E5727">
        <w:rPr>
          <w:color w:val="000000"/>
        </w:rPr>
        <w:t xml:space="preserve">. After overall increases in the prevalence of substance use among secondary students during the 1990s, trends in substance use in ASSAD survey data collected between 2002 and 2017 show a substantial improvement in the prevalence of smoking, drinking (including drinking at risky levels), and cannabis use in this population. The use of other illicit substances was generally low overall. Similar trends have been observed in comparable </w:t>
      </w:r>
      <w:r>
        <w:rPr>
          <w:color w:val="000000"/>
        </w:rPr>
        <w:t>high-income</w:t>
      </w:r>
      <w:r w:rsidRPr="002E5727">
        <w:rPr>
          <w:color w:val="000000"/>
        </w:rPr>
        <w:t xml:space="preserve"> nations, including the US</w:t>
      </w:r>
      <w:r w:rsidRPr="002E5727">
        <w:rPr>
          <w:color w:val="000000"/>
          <w:vertAlign w:val="superscript"/>
        </w:rPr>
        <w:footnoteReference w:id="5"/>
      </w:r>
      <w:r w:rsidRPr="002E5727">
        <w:rPr>
          <w:color w:val="000000"/>
        </w:rPr>
        <w:t>, UK</w:t>
      </w:r>
      <w:r w:rsidRPr="002E5727">
        <w:rPr>
          <w:color w:val="000000"/>
          <w:vertAlign w:val="superscript"/>
        </w:rPr>
        <w:footnoteReference w:id="6"/>
      </w:r>
      <w:r w:rsidR="00D71FF2">
        <w:rPr>
          <w:color w:val="000000"/>
          <w:vertAlign w:val="superscript"/>
        </w:rPr>
        <w:t>,</w:t>
      </w:r>
      <w:r w:rsidR="00D71FF2">
        <w:rPr>
          <w:rStyle w:val="FootnoteReference"/>
          <w:color w:val="000000"/>
        </w:rPr>
        <w:footnoteReference w:id="7"/>
      </w:r>
      <w:r w:rsidRPr="002E5727">
        <w:rPr>
          <w:color w:val="000000"/>
        </w:rPr>
        <w:t>, Canada</w:t>
      </w:r>
      <w:r w:rsidRPr="002E5727">
        <w:rPr>
          <w:color w:val="000000"/>
          <w:vertAlign w:val="superscript"/>
        </w:rPr>
        <w:footnoteReference w:id="8"/>
      </w:r>
      <w:r w:rsidRPr="002E5727">
        <w:rPr>
          <w:color w:val="000000"/>
        </w:rPr>
        <w:t>, and New Zealand</w:t>
      </w:r>
      <w:r w:rsidRPr="002E5727">
        <w:rPr>
          <w:color w:val="000000"/>
          <w:vertAlign w:val="superscript"/>
        </w:rPr>
        <w:footnoteReference w:id="9"/>
      </w:r>
      <w:r>
        <w:rPr>
          <w:color w:val="000000"/>
          <w:vertAlign w:val="superscript"/>
        </w:rPr>
        <w:t>,</w:t>
      </w:r>
      <w:r w:rsidRPr="002E5727">
        <w:rPr>
          <w:color w:val="000000"/>
          <w:vertAlign w:val="superscript"/>
        </w:rPr>
        <w:footnoteReference w:id="10"/>
      </w:r>
      <w:r w:rsidRPr="002E5727">
        <w:rPr>
          <w:color w:val="000000"/>
        </w:rPr>
        <w:t>.</w:t>
      </w:r>
    </w:p>
    <w:p w14:paraId="7507AC47" w14:textId="6B4F7ED9" w:rsidR="00D2066F" w:rsidRPr="00DE25AD" w:rsidRDefault="00D2066F" w:rsidP="00D2066F">
      <w:pPr>
        <w:pStyle w:val="ASSAD2017ACCESSHeading3"/>
        <w:rPr>
          <w:i w:val="0"/>
          <w:iCs/>
        </w:rPr>
      </w:pPr>
      <w:r>
        <w:rPr>
          <w:i w:val="0"/>
          <w:iCs/>
        </w:rPr>
        <w:t>Causes and implications of changing trends in substance use</w:t>
      </w:r>
    </w:p>
    <w:p w14:paraId="4269204C" w14:textId="1798E706" w:rsidR="00D2066F" w:rsidRDefault="00D2066F" w:rsidP="00D2066F">
      <w:pPr>
        <w:pStyle w:val="ASSAD2017ACCESSBody1"/>
      </w:pPr>
      <w:r w:rsidRPr="002E5727">
        <w:rPr>
          <w:color w:val="000000"/>
        </w:rPr>
        <w:t>The timing of changes in substance use and their patterns across student ages and generations suggest that public health policies and legislation are likely to have played a key role in declining use, as has been found with adult populations</w:t>
      </w:r>
      <w:r w:rsidRPr="002E5727">
        <w:rPr>
          <w:color w:val="000000"/>
          <w:vertAlign w:val="superscript"/>
        </w:rPr>
        <w:footnoteReference w:id="11"/>
      </w:r>
      <w:r>
        <w:rPr>
          <w:color w:val="000000"/>
          <w:vertAlign w:val="superscript"/>
        </w:rPr>
        <w:t>-</w:t>
      </w:r>
      <w:r w:rsidRPr="00F74770">
        <w:rPr>
          <w:vanish/>
          <w:color w:val="000000"/>
          <w:vertAlign w:val="superscript"/>
        </w:rPr>
        <w:footnoteReference w:id="12"/>
      </w:r>
      <w:r w:rsidRPr="00F74770">
        <w:rPr>
          <w:vanish/>
          <w:color w:val="000000"/>
          <w:vertAlign w:val="superscript"/>
        </w:rPr>
        <w:footnoteReference w:id="13"/>
      </w:r>
      <w:r w:rsidRPr="002E5727">
        <w:rPr>
          <w:color w:val="000000"/>
          <w:vertAlign w:val="superscript"/>
        </w:rPr>
        <w:footnoteReference w:id="14"/>
      </w:r>
      <w:r w:rsidRPr="002E5727">
        <w:rPr>
          <w:color w:val="000000"/>
        </w:rPr>
        <w:t xml:space="preserve">. Social, political, and economic effects have been cumulative, and ongoing research is needed to identify the policy and legislative initiatives that are likely to be most effective </w:t>
      </w:r>
      <w:r>
        <w:rPr>
          <w:color w:val="000000"/>
        </w:rPr>
        <w:t>in</w:t>
      </w:r>
      <w:r w:rsidRPr="002E5727">
        <w:rPr>
          <w:color w:val="000000"/>
        </w:rPr>
        <w:t xml:space="preserve"> further reduc</w:t>
      </w:r>
      <w:r>
        <w:rPr>
          <w:color w:val="000000"/>
        </w:rPr>
        <w:t>ing</w:t>
      </w:r>
      <w:r w:rsidRPr="002E5727">
        <w:rPr>
          <w:color w:val="000000"/>
        </w:rPr>
        <w:t xml:space="preserve"> adolescent smoking, drinking, and illicit substance use in the future.</w:t>
      </w:r>
    </w:p>
    <w:p w14:paraId="11DEBE49" w14:textId="54164D7E" w:rsidR="00D2066F" w:rsidRPr="00DE25AD" w:rsidRDefault="00D2066F" w:rsidP="00D2066F">
      <w:pPr>
        <w:pStyle w:val="ASSAD2017ACCESSHeading3"/>
        <w:rPr>
          <w:i w:val="0"/>
          <w:iCs/>
        </w:rPr>
      </w:pPr>
      <w:r>
        <w:rPr>
          <w:i w:val="0"/>
          <w:iCs/>
        </w:rPr>
        <w:t>Declines in smoking</w:t>
      </w:r>
    </w:p>
    <w:p w14:paraId="2936B490" w14:textId="3B1FB568" w:rsidR="00D2066F" w:rsidRDefault="00D2066F" w:rsidP="00D2066F">
      <w:pPr>
        <w:pStyle w:val="ASSAD2017ACCESSBody1"/>
        <w:rPr>
          <w:color w:val="000000"/>
        </w:rPr>
      </w:pPr>
      <w:r w:rsidRPr="002E5727">
        <w:rPr>
          <w:color w:val="000000"/>
        </w:rPr>
        <w:t>Smoking prevention and cessation measures have been extremely effective in reducing the prevalence of tobacco use among adolescents in Australia</w:t>
      </w:r>
      <w:r w:rsidRPr="002E5727">
        <w:rPr>
          <w:color w:val="000000"/>
          <w:vertAlign w:val="superscript"/>
        </w:rPr>
        <w:footnoteReference w:id="15"/>
      </w:r>
      <w:r>
        <w:rPr>
          <w:color w:val="000000"/>
          <w:vertAlign w:val="superscript"/>
        </w:rPr>
        <w:t>,</w:t>
      </w:r>
      <w:r w:rsidRPr="002E5727">
        <w:rPr>
          <w:color w:val="000000"/>
          <w:vertAlign w:val="superscript"/>
        </w:rPr>
        <w:footnoteReference w:id="16"/>
      </w:r>
      <w:r w:rsidRPr="002E5727">
        <w:rPr>
          <w:color w:val="000000"/>
        </w:rPr>
        <w:t>. However, the continued decline of smoking in this age group is threatened by the proliferation and uptake of novel products</w:t>
      </w:r>
      <w:r w:rsidRPr="002E5727">
        <w:rPr>
          <w:color w:val="000000"/>
          <w:vertAlign w:val="superscript"/>
        </w:rPr>
        <w:footnoteReference w:id="17"/>
      </w:r>
      <w:r w:rsidRPr="002E5727">
        <w:rPr>
          <w:color w:val="000000"/>
        </w:rPr>
        <w:t xml:space="preserve"> such as crushball cigarettes, smaller factory-made cigarette pack sizes, smaller roll-your-own tobacco pouch sizes, and e-cigarettes</w:t>
      </w:r>
      <w:r w:rsidRPr="002E5727">
        <w:rPr>
          <w:color w:val="000000"/>
          <w:vertAlign w:val="superscript"/>
        </w:rPr>
        <w:footnoteReference w:id="18"/>
      </w:r>
      <w:r>
        <w:rPr>
          <w:color w:val="000000"/>
          <w:vertAlign w:val="superscript"/>
        </w:rPr>
        <w:t>,</w:t>
      </w:r>
      <w:r w:rsidRPr="002E5727">
        <w:rPr>
          <w:color w:val="000000"/>
          <w:vertAlign w:val="superscript"/>
        </w:rPr>
        <w:footnoteReference w:id="19"/>
      </w:r>
      <w:r w:rsidRPr="002E5727">
        <w:rPr>
          <w:color w:val="000000"/>
        </w:rPr>
        <w:t>.</w:t>
      </w:r>
    </w:p>
    <w:p w14:paraId="449220C6" w14:textId="77777777" w:rsidR="00A25BED" w:rsidRDefault="00A25BED">
      <w:pPr>
        <w:suppressAutoHyphens w:val="0"/>
        <w:rPr>
          <w:rFonts w:ascii="Arial" w:hAnsi="Arial" w:cs="Arial"/>
          <w:bCs/>
          <w:color w:val="000000"/>
          <w:sz w:val="20"/>
          <w:szCs w:val="20"/>
          <w:lang w:val="en-US" w:eastAsia="en-US"/>
        </w:rPr>
      </w:pPr>
      <w:r>
        <w:rPr>
          <w:color w:val="000000"/>
        </w:rPr>
        <w:br w:type="page"/>
      </w:r>
    </w:p>
    <w:p w14:paraId="4A7F2262" w14:textId="72BC8047" w:rsidR="00D2066F" w:rsidRPr="00DE25AD" w:rsidRDefault="00D2066F" w:rsidP="00D2066F">
      <w:pPr>
        <w:pStyle w:val="ASSAD2017ACCESSBody1"/>
      </w:pPr>
      <w:r w:rsidRPr="002E5727">
        <w:rPr>
          <w:color w:val="000000"/>
        </w:rPr>
        <w:lastRenderedPageBreak/>
        <w:t>Further standardising pack and pouch size to effectively prohibit the sale of smaller, cheaper products, and prohibiting the sale of novel products that attract adolescents, could be expected to lower smoking uptake and reduce the likelihood of teenagers becoming more regular smokers, and continuing to smoke in</w:t>
      </w:r>
      <w:r w:rsidR="00457F65">
        <w:rPr>
          <w:color w:val="000000"/>
        </w:rPr>
        <w:t xml:space="preserve"> </w:t>
      </w:r>
      <w:r w:rsidRPr="002E5727">
        <w:rPr>
          <w:color w:val="000000"/>
        </w:rPr>
        <w:t>adulthood</w:t>
      </w:r>
      <w:r w:rsidRPr="002E5727">
        <w:rPr>
          <w:color w:val="000000"/>
          <w:vertAlign w:val="superscript"/>
        </w:rPr>
        <w:footnoteReference w:id="20"/>
      </w:r>
      <w:r w:rsidRPr="002E5727">
        <w:rPr>
          <w:color w:val="000000"/>
        </w:rPr>
        <w:t>.</w:t>
      </w:r>
    </w:p>
    <w:p w14:paraId="32B9BB13" w14:textId="2FD8C779" w:rsidR="00D2066F" w:rsidRPr="00DE25AD" w:rsidRDefault="00D2066F" w:rsidP="00D2066F">
      <w:pPr>
        <w:pStyle w:val="ASSAD2017ACCESSHeading3"/>
        <w:rPr>
          <w:i w:val="0"/>
          <w:iCs/>
        </w:rPr>
      </w:pPr>
      <w:r>
        <w:rPr>
          <w:i w:val="0"/>
          <w:iCs/>
        </w:rPr>
        <w:t>Declines in drinking</w:t>
      </w:r>
    </w:p>
    <w:p w14:paraId="7CF2F914" w14:textId="4748DFE5" w:rsidR="00D2066F" w:rsidRPr="002E5727" w:rsidRDefault="00D2066F" w:rsidP="00D2066F">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Alcohol consumption among secondary students in Australia has declined since the 2000s, most markedly among the younger age group (aged 12 to 15). We explore suggested reasons for these trends in a later section of this report (</w:t>
      </w:r>
      <w:r w:rsidRPr="002E5727">
        <w:rPr>
          <w:rFonts w:ascii="Arial" w:hAnsi="Arial" w:cs="Arial"/>
          <w:bCs/>
          <w:i/>
          <w:color w:val="000000"/>
          <w:sz w:val="20"/>
          <w:szCs w:val="20"/>
          <w:lang w:val="en-US"/>
        </w:rPr>
        <w:t>Trends in drinking among secondary students in Australia 1996-2017</w:t>
      </w:r>
      <w:r w:rsidRPr="002E5727">
        <w:rPr>
          <w:rFonts w:ascii="Arial" w:hAnsi="Arial" w:cs="Arial"/>
          <w:bCs/>
          <w:color w:val="000000"/>
          <w:sz w:val="20"/>
          <w:szCs w:val="20"/>
          <w:lang w:val="en-US"/>
        </w:rPr>
        <w:t>).</w:t>
      </w:r>
    </w:p>
    <w:p w14:paraId="1A4A9BAD" w14:textId="13474307" w:rsidR="00D2066F" w:rsidRDefault="00D2066F" w:rsidP="00D2066F">
      <w:pPr>
        <w:pStyle w:val="ASSAD2017ACCESSBody1"/>
        <w:rPr>
          <w:color w:val="000000"/>
        </w:rPr>
      </w:pPr>
      <w:r w:rsidRPr="002E5727">
        <w:rPr>
          <w:color w:val="000000"/>
        </w:rPr>
        <w:t>Despite these declines, the continued substantial prevalence of drinking among older adolescents (49% in the past month in 2017) is of particular concern, given strong associations between uptake in adolescence (especially early adolescence) and later unhealthy drinking behaviour and attitudes</w:t>
      </w:r>
      <w:r w:rsidRPr="002E5727">
        <w:rPr>
          <w:color w:val="000000"/>
          <w:vertAlign w:val="superscript"/>
        </w:rPr>
        <w:footnoteReference w:id="21"/>
      </w:r>
      <w:r>
        <w:rPr>
          <w:color w:val="000000"/>
          <w:vertAlign w:val="superscript"/>
        </w:rPr>
        <w:t>-</w:t>
      </w:r>
      <w:r w:rsidRPr="00F74770">
        <w:rPr>
          <w:vanish/>
          <w:color w:val="000000"/>
          <w:vertAlign w:val="superscript"/>
        </w:rPr>
        <w:footnoteReference w:id="22"/>
      </w:r>
      <w:r w:rsidRPr="002E5727">
        <w:rPr>
          <w:color w:val="000000"/>
          <w:vertAlign w:val="superscript"/>
        </w:rPr>
        <w:footnoteReference w:id="23"/>
      </w:r>
      <w:r w:rsidRPr="002E5727">
        <w:rPr>
          <w:color w:val="000000"/>
        </w:rPr>
        <w:t>.</w:t>
      </w:r>
    </w:p>
    <w:p w14:paraId="2FE31D50" w14:textId="36E861A0" w:rsidR="00A95D56" w:rsidRPr="00DE25AD" w:rsidRDefault="00A95D56" w:rsidP="00D2066F">
      <w:pPr>
        <w:pStyle w:val="ASSAD2017ACCESSBody1"/>
      </w:pPr>
      <w:r w:rsidRPr="002E5727">
        <w:rPr>
          <w:color w:val="000000"/>
        </w:rPr>
        <w:t>The net liberalisation of alcohol regulation over time, including extended opening hours and expanded locations of licensed premises</w:t>
      </w:r>
      <w:r w:rsidRPr="002E5727">
        <w:rPr>
          <w:color w:val="000000"/>
          <w:vertAlign w:val="superscript"/>
        </w:rPr>
        <w:footnoteReference w:id="24"/>
      </w:r>
      <w:r w:rsidRPr="002E5727">
        <w:rPr>
          <w:color w:val="000000"/>
        </w:rPr>
        <w:t>, generally increased retail availability, and widescale alcohol sponsorship of major sporting teams and events, have created a social environment that normalises alcohol use and maintains adolescent exposure</w:t>
      </w:r>
      <w:r w:rsidRPr="002E5727">
        <w:rPr>
          <w:color w:val="000000"/>
          <w:vertAlign w:val="superscript"/>
        </w:rPr>
        <w:footnoteReference w:id="25"/>
      </w:r>
      <w:r>
        <w:rPr>
          <w:color w:val="000000"/>
          <w:vertAlign w:val="superscript"/>
        </w:rPr>
        <w:t>,</w:t>
      </w:r>
      <w:r w:rsidRPr="002E5727">
        <w:rPr>
          <w:color w:val="000000"/>
          <w:vertAlign w:val="superscript"/>
        </w:rPr>
        <w:footnoteReference w:id="26"/>
      </w:r>
      <w:r w:rsidRPr="002E5727">
        <w:rPr>
          <w:color w:val="000000"/>
        </w:rPr>
        <w:t>.</w:t>
      </w:r>
    </w:p>
    <w:p w14:paraId="3B42F22C" w14:textId="1DCA51DF" w:rsidR="00D2066F" w:rsidRPr="00DE25AD" w:rsidRDefault="00A95D56" w:rsidP="00D2066F">
      <w:pPr>
        <w:pStyle w:val="ASSAD2017ACCESSHeading3"/>
        <w:rPr>
          <w:i w:val="0"/>
          <w:iCs/>
        </w:rPr>
      </w:pPr>
      <w:r>
        <w:rPr>
          <w:i w:val="0"/>
          <w:iCs/>
        </w:rPr>
        <w:t>Trends in illicit substance use</w:t>
      </w:r>
    </w:p>
    <w:p w14:paraId="12514FEA" w14:textId="54F40291" w:rsidR="00D2066F" w:rsidRPr="00DE25AD" w:rsidRDefault="00A95D56" w:rsidP="00D2066F">
      <w:pPr>
        <w:pStyle w:val="ASSAD2017ACCESSBody1"/>
      </w:pPr>
      <w:r w:rsidRPr="002E5727">
        <w:rPr>
          <w:color w:val="000000"/>
        </w:rPr>
        <w:t xml:space="preserve">While the prevalence of other illicit substance use remains low among secondary students, increased prevalence of reported use of cannabis and ecstasy might be concerning and should continue to be monitored. Considered in the context of small fluctuations in any illicit substance use, and declining alcohol use, these increases might indicate changes in the relative popularity or availability of these substances, rather than increased substance use </w:t>
      </w:r>
      <w:r w:rsidRPr="002E5727">
        <w:rPr>
          <w:i/>
          <w:color w:val="000000"/>
        </w:rPr>
        <w:t>per se</w:t>
      </w:r>
      <w:r w:rsidRPr="002E5727">
        <w:rPr>
          <w:color w:val="000000"/>
        </w:rPr>
        <w:t>.</w:t>
      </w:r>
    </w:p>
    <w:p w14:paraId="547373E3" w14:textId="5E1717E5" w:rsidR="00D2066F" w:rsidRPr="00DE25AD" w:rsidRDefault="00A95D56" w:rsidP="00D2066F">
      <w:pPr>
        <w:pStyle w:val="ASSAD2017ACCESSHeading3"/>
        <w:rPr>
          <w:i w:val="0"/>
          <w:iCs/>
        </w:rPr>
      </w:pPr>
      <w:r>
        <w:rPr>
          <w:i w:val="0"/>
          <w:iCs/>
        </w:rPr>
        <w:t>Associations between drinking and other substance use</w:t>
      </w:r>
    </w:p>
    <w:p w14:paraId="6C31A7ED" w14:textId="3474D6CC" w:rsidR="00D2066F" w:rsidRDefault="00A95D56" w:rsidP="00D2066F">
      <w:pPr>
        <w:pStyle w:val="ASSAD2017ACCESSBody1"/>
        <w:rPr>
          <w:color w:val="000000"/>
        </w:rPr>
      </w:pPr>
      <w:r w:rsidRPr="002E5727">
        <w:rPr>
          <w:color w:val="000000"/>
        </w:rPr>
        <w:t>Importantly, broader trends suggest changes in different kinds of substance use might be related</w:t>
      </w:r>
      <w:r w:rsidRPr="002E5727">
        <w:rPr>
          <w:color w:val="000000"/>
          <w:vertAlign w:val="superscript"/>
        </w:rPr>
        <w:footnoteReference w:id="27"/>
      </w:r>
      <w:r w:rsidRPr="002E5727">
        <w:rPr>
          <w:color w:val="000000"/>
        </w:rPr>
        <w:t>, with alcohol use playing a pivotal role. While the association between alcohol use and smoking among adolescents has weakened with the very strong decline in smoking, students continue to identify smoking as a common negative consequence of consuming alcohol</w:t>
      </w:r>
      <w:r w:rsidRPr="002E5727">
        <w:rPr>
          <w:color w:val="000000"/>
          <w:vertAlign w:val="superscript"/>
        </w:rPr>
        <w:footnoteReference w:id="28"/>
      </w:r>
      <w:r w:rsidRPr="002E5727">
        <w:rPr>
          <w:color w:val="000000"/>
        </w:rPr>
        <w:t>. Exposure to alcohol is also likely to be a key factor in students’ other drug use. Drinking can initiate a cascade effect of lowered self-control, exposure to other substances, and increased substance use experimentation</w:t>
      </w:r>
      <w:r w:rsidRPr="002E5727">
        <w:rPr>
          <w:color w:val="000000"/>
          <w:vertAlign w:val="superscript"/>
        </w:rPr>
        <w:footnoteReference w:id="29"/>
      </w:r>
      <w:r w:rsidRPr="002E5727">
        <w:rPr>
          <w:color w:val="000000"/>
        </w:rPr>
        <w:t>.</w:t>
      </w:r>
    </w:p>
    <w:p w14:paraId="016117D2" w14:textId="1EFE1FC7" w:rsidR="00A95D56" w:rsidRPr="00DE25AD" w:rsidRDefault="00A95D56" w:rsidP="00D2066F">
      <w:pPr>
        <w:pStyle w:val="ASSAD2017ACCESSBody1"/>
      </w:pPr>
      <w:r w:rsidRPr="002E5727">
        <w:rPr>
          <w:color w:val="000000"/>
        </w:rPr>
        <w:t>If alcohol is instrumental in further substance use, preventing or reducing alcohol would also be likely to reduce the prevalence of other substance use, including smoking. Longitudinal research is needed to establish causation in these observed associations between adolescents’ use of different substances.</w:t>
      </w:r>
    </w:p>
    <w:p w14:paraId="619349CA" w14:textId="77777777" w:rsidR="00A25BED" w:rsidRDefault="00A25BED">
      <w:pPr>
        <w:suppressAutoHyphens w:val="0"/>
        <w:rPr>
          <w:rFonts w:ascii="Arial" w:hAnsi="Arial" w:cs="Arial"/>
          <w:b/>
          <w:bCs/>
          <w:iCs/>
          <w:szCs w:val="28"/>
        </w:rPr>
      </w:pPr>
      <w:r>
        <w:rPr>
          <w:i/>
          <w:iCs/>
        </w:rPr>
        <w:br w:type="page"/>
      </w:r>
    </w:p>
    <w:p w14:paraId="48040E7B" w14:textId="350024DF" w:rsidR="00D2066F" w:rsidRPr="00DE25AD" w:rsidRDefault="00A95D56" w:rsidP="00D2066F">
      <w:pPr>
        <w:pStyle w:val="ASSAD2017ACCESSHeading3"/>
        <w:rPr>
          <w:i w:val="0"/>
          <w:iCs/>
        </w:rPr>
      </w:pPr>
      <w:r>
        <w:rPr>
          <w:i w:val="0"/>
          <w:iCs/>
        </w:rPr>
        <w:lastRenderedPageBreak/>
        <w:t>Policy implications</w:t>
      </w:r>
    </w:p>
    <w:p w14:paraId="5EAC675D" w14:textId="0A078857" w:rsidR="00D2066F" w:rsidRDefault="00BD401A" w:rsidP="00D2066F">
      <w:pPr>
        <w:pStyle w:val="ASSAD2017ACCESSBody1"/>
        <w:rPr>
          <w:color w:val="000000"/>
        </w:rPr>
      </w:pPr>
      <w:r w:rsidRPr="002E5727">
        <w:rPr>
          <w:color w:val="000000"/>
        </w:rPr>
        <w:t>In light of its association with other substance use, alcohol consumption, particularly among younger adolescents, should remain a priority target for policy initiatives and regulation. Interventions to counter adolescent alcohol consumption are likely to influence other risky substance use</w:t>
      </w:r>
      <w:r w:rsidRPr="002E5727">
        <w:rPr>
          <w:color w:val="000000"/>
          <w:vertAlign w:val="superscript"/>
        </w:rPr>
        <w:footnoteReference w:id="30"/>
      </w:r>
      <w:r w:rsidRPr="002E5727">
        <w:rPr>
          <w:color w:val="000000"/>
        </w:rPr>
        <w:t>.</w:t>
      </w:r>
    </w:p>
    <w:p w14:paraId="5E062022" w14:textId="2F0590ED" w:rsidR="00BD401A" w:rsidRDefault="00BD401A" w:rsidP="00D2066F">
      <w:pPr>
        <w:pStyle w:val="ASSAD2017ACCESSBody1"/>
        <w:rPr>
          <w:color w:val="000000"/>
        </w:rPr>
      </w:pPr>
      <w:r w:rsidRPr="002E5727">
        <w:rPr>
          <w:color w:val="000000"/>
        </w:rPr>
        <w:t>Tightening regulation of alcohol advertising is likely to be effective in reducing adolescent exposure to alcohol and its use by others, and to counter the normali</w:t>
      </w:r>
      <w:r>
        <w:rPr>
          <w:color w:val="000000"/>
        </w:rPr>
        <w:t>s</w:t>
      </w:r>
      <w:r w:rsidRPr="002E5727">
        <w:rPr>
          <w:color w:val="000000"/>
        </w:rPr>
        <w:t>ation of alcohol use across a widening range of social settings and events</w:t>
      </w:r>
      <w:r w:rsidRPr="002E5727">
        <w:rPr>
          <w:color w:val="000000"/>
          <w:vertAlign w:val="superscript"/>
        </w:rPr>
        <w:footnoteReference w:id="31"/>
      </w:r>
      <w:r w:rsidRPr="002E5727">
        <w:rPr>
          <w:color w:val="000000"/>
        </w:rPr>
        <w:t>. Lower levels of alcohol advertising in the mass media since 2005 have coincided with observed declines in adolescent drinking and are likely to have contributed to this lower drinking prevalence</w:t>
      </w:r>
      <w:r w:rsidRPr="002E5727">
        <w:rPr>
          <w:color w:val="000000"/>
          <w:vertAlign w:val="superscript"/>
        </w:rPr>
        <w:footnoteReference w:id="32"/>
      </w:r>
      <w:r w:rsidRPr="002E5727">
        <w:rPr>
          <w:color w:val="000000"/>
        </w:rPr>
        <w:t>.</w:t>
      </w:r>
    </w:p>
    <w:p w14:paraId="0395A3C0" w14:textId="16295B2D" w:rsidR="00BD401A" w:rsidRDefault="00BD401A" w:rsidP="00D2066F">
      <w:pPr>
        <w:pStyle w:val="ASSAD2017ACCESSBody1"/>
        <w:rPr>
          <w:color w:val="000000"/>
        </w:rPr>
      </w:pPr>
      <w:r w:rsidRPr="002E5727">
        <w:rPr>
          <w:color w:val="000000"/>
        </w:rPr>
        <w:t>Product price can have an immediate impact on substance use patterns and prevalence. As such, price represents a prime target for policy that might reduce adolescent alcohol consumption</w:t>
      </w:r>
      <w:r w:rsidR="005F10EE">
        <w:rPr>
          <w:color w:val="000000"/>
        </w:rPr>
        <w:t>, for</w:t>
      </w:r>
      <w:r w:rsidRPr="002E5727">
        <w:rPr>
          <w:color w:val="000000"/>
        </w:rPr>
        <w:t xml:space="preserve"> example, through higher and increasing excise on all alcohol products</w:t>
      </w:r>
      <w:r w:rsidRPr="002E5727">
        <w:rPr>
          <w:color w:val="000000"/>
          <w:vertAlign w:val="superscript"/>
        </w:rPr>
        <w:footnoteReference w:id="33"/>
      </w:r>
      <w:r w:rsidRPr="002E5727">
        <w:rPr>
          <w:color w:val="000000"/>
        </w:rPr>
        <w:t xml:space="preserve"> and product regulation.</w:t>
      </w:r>
    </w:p>
    <w:p w14:paraId="008A6BC5" w14:textId="3075C949" w:rsidR="00BD401A" w:rsidRDefault="00BD401A" w:rsidP="00D2066F">
      <w:pPr>
        <w:pStyle w:val="ASSAD2017ACCESSBody1"/>
        <w:rPr>
          <w:color w:val="000000"/>
        </w:rPr>
      </w:pPr>
      <w:r w:rsidRPr="002E5727">
        <w:rPr>
          <w:color w:val="000000"/>
        </w:rPr>
        <w:t>The success of mass media campaigns highlighting the health effects of smoking</w:t>
      </w:r>
      <w:r w:rsidRPr="002E5727">
        <w:rPr>
          <w:color w:val="000000"/>
          <w:vertAlign w:val="superscript"/>
        </w:rPr>
        <w:footnoteReference w:id="34"/>
      </w:r>
      <w:r w:rsidRPr="002E5727">
        <w:rPr>
          <w:color w:val="000000"/>
        </w:rPr>
        <w:t xml:space="preserve"> suggests that similar campaigns could effectively change drinking norms, especially if combined with more prominent and specific health warnings on alcoholic products to highlight the longer-term health effects of drinking. These measures are potentially effective routes to inform Australians of specific serious harms and contribute to reducing drinking prevalence and minimising the harms of excessive</w:t>
      </w:r>
      <w:r>
        <w:rPr>
          <w:color w:val="000000"/>
        </w:rPr>
        <w:t xml:space="preserve"> alcohol consumption over the lifetime</w:t>
      </w:r>
      <w:r w:rsidRPr="002E5727">
        <w:rPr>
          <w:color w:val="000000"/>
          <w:vertAlign w:val="superscript"/>
        </w:rPr>
        <w:footnoteReference w:id="35"/>
      </w:r>
      <w:r>
        <w:rPr>
          <w:color w:val="000000"/>
        </w:rPr>
        <w:t>.</w:t>
      </w:r>
    </w:p>
    <w:p w14:paraId="31B7CF6F" w14:textId="1DC1A3FD" w:rsidR="00BD401A" w:rsidRDefault="00BD401A" w:rsidP="00D2066F">
      <w:pPr>
        <w:pStyle w:val="ASSAD2017ACCESSBody1"/>
        <w:rPr>
          <w:color w:val="000000"/>
        </w:rPr>
      </w:pPr>
      <w:r>
        <w:rPr>
          <w:color w:val="000000"/>
        </w:rPr>
        <w:t xml:space="preserve">Concerted government action continues to be critical for </w:t>
      </w:r>
      <w:r w:rsidR="005746B8">
        <w:rPr>
          <w:color w:val="000000"/>
        </w:rPr>
        <w:t>maintaining and strengthening the declines in adolescent smoking and drinking, and preventing adolescent uptake and use of other dangerous substances.</w:t>
      </w:r>
    </w:p>
    <w:p w14:paraId="28BCE120" w14:textId="711555A6" w:rsidR="00EA42D0" w:rsidRDefault="00EA42D0">
      <w:pPr>
        <w:suppressAutoHyphens w:val="0"/>
        <w:rPr>
          <w:rFonts w:ascii="Arial" w:hAnsi="Arial" w:cs="Arial"/>
          <w:bCs/>
          <w:color w:val="000000"/>
          <w:sz w:val="20"/>
          <w:szCs w:val="20"/>
          <w:lang w:val="en-US" w:eastAsia="en-US"/>
        </w:rPr>
      </w:pPr>
      <w:r>
        <w:rPr>
          <w:color w:val="000000"/>
        </w:rPr>
        <w:br w:type="page"/>
      </w:r>
    </w:p>
    <w:p w14:paraId="0A10FC15" w14:textId="77777777" w:rsidR="00EA42D0" w:rsidRPr="00EA42D0" w:rsidRDefault="00EA42D0" w:rsidP="00EA42D0">
      <w:pPr>
        <w:pStyle w:val="Trends2017Heading2"/>
        <w:numPr>
          <w:ilvl w:val="1"/>
          <w:numId w:val="1"/>
        </w:numPr>
        <w:tabs>
          <w:tab w:val="clear" w:pos="576"/>
          <w:tab w:val="num" w:pos="0"/>
        </w:tabs>
        <w:ind w:left="0" w:firstLine="0"/>
        <w:rPr>
          <w:color w:val="auto"/>
        </w:rPr>
      </w:pPr>
      <w:r w:rsidRPr="00EA42D0">
        <w:rPr>
          <w:color w:val="auto"/>
        </w:rPr>
        <w:lastRenderedPageBreak/>
        <w:t>Key concepts for interpreting population trends in substance use prevalence</w:t>
      </w:r>
    </w:p>
    <w:p w14:paraId="48A36D1F" w14:textId="7E264D05" w:rsidR="00EA42D0" w:rsidRPr="00EA42D0" w:rsidRDefault="00EA42D0" w:rsidP="00EA42D0">
      <w:pPr>
        <w:pStyle w:val="ASSAD2017CWBody1"/>
        <w:rPr>
          <w:color w:val="auto"/>
        </w:rPr>
      </w:pPr>
      <w:r w:rsidRPr="002E5727">
        <w:rPr>
          <w:color w:val="000000"/>
        </w:rPr>
        <w:t>We report long-term trends in lifetime, past year, past month, and past week prevalence of use for tobacco, alcohol, and licit and illicit substances for three age groups: 12-15, 16-17, and 12-17.</w:t>
      </w:r>
      <w:r w:rsidRPr="00EA42D0">
        <w:rPr>
          <w:color w:val="auto"/>
        </w:rPr>
        <w:t xml:space="preserve"> </w:t>
      </w:r>
    </w:p>
    <w:p w14:paraId="409E20A5" w14:textId="50A3CAB9" w:rsidR="00EA42D0" w:rsidRPr="00EA42D0" w:rsidRDefault="00EA42D0" w:rsidP="00EA42D0">
      <w:pPr>
        <w:pStyle w:val="ASSAD2017CWBody1"/>
        <w:rPr>
          <w:color w:val="auto"/>
        </w:rPr>
      </w:pPr>
      <w:r w:rsidRPr="002E5727">
        <w:rPr>
          <w:color w:val="000000"/>
        </w:rPr>
        <w:t>Three main kinds of effect are evident in trends of substance use among Australian secondary students between 1996 and 2017:</w:t>
      </w:r>
    </w:p>
    <w:p w14:paraId="0D572061" w14:textId="77777777" w:rsidR="00EA42D0" w:rsidRPr="00EA42D0" w:rsidRDefault="00EA42D0" w:rsidP="00EA42D0">
      <w:pPr>
        <w:pStyle w:val="Trends2017Heading2"/>
        <w:numPr>
          <w:ilvl w:val="1"/>
          <w:numId w:val="1"/>
        </w:numPr>
        <w:tabs>
          <w:tab w:val="clear" w:pos="576"/>
          <w:tab w:val="num" w:pos="0"/>
        </w:tabs>
        <w:ind w:left="0" w:firstLine="0"/>
        <w:rPr>
          <w:i/>
          <w:color w:val="auto"/>
        </w:rPr>
      </w:pPr>
      <w:r w:rsidRPr="00EA42D0">
        <w:rPr>
          <w:i/>
          <w:color w:val="auto"/>
        </w:rPr>
        <w:t>Age effects</w:t>
      </w:r>
    </w:p>
    <w:p w14:paraId="6281D2D2" w14:textId="0E2425A3" w:rsidR="00EA42D0" w:rsidRPr="00EA42D0" w:rsidRDefault="00EA42D0" w:rsidP="00EA42D0">
      <w:pPr>
        <w:pStyle w:val="ASSAD2017CWBody1"/>
        <w:ind w:left="2"/>
        <w:rPr>
          <w:color w:val="auto"/>
        </w:rPr>
      </w:pPr>
      <w:r w:rsidRPr="002E5727">
        <w:rPr>
          <w:color w:val="000000"/>
        </w:rPr>
        <w:t>Age effects describe trends that can be seen over time for students at a specific age or in a specific age range, regardless of their cohort.</w:t>
      </w:r>
    </w:p>
    <w:p w14:paraId="2981BB3A" w14:textId="2388FDFE" w:rsidR="00EA42D0" w:rsidRPr="00EA42D0" w:rsidRDefault="00EA42D0" w:rsidP="00EA42D0">
      <w:pPr>
        <w:pStyle w:val="ASSAD2017CWBody1"/>
        <w:ind w:left="2"/>
        <w:rPr>
          <w:color w:val="auto"/>
        </w:rPr>
      </w:pPr>
      <w:r w:rsidRPr="002E5727">
        <w:rPr>
          <w:color w:val="000000"/>
        </w:rPr>
        <w:t>For example, substance use is generally lower among younger than older students.</w:t>
      </w:r>
    </w:p>
    <w:p w14:paraId="70F859FD" w14:textId="414813DF" w:rsidR="00EA42D0" w:rsidRPr="00EA42D0" w:rsidRDefault="00EA42D0" w:rsidP="00EA42D0">
      <w:pPr>
        <w:pStyle w:val="ASSAD2017CWBody1"/>
        <w:ind w:left="2"/>
        <w:rPr>
          <w:color w:val="auto"/>
        </w:rPr>
      </w:pPr>
      <w:r w:rsidRPr="002E5727">
        <w:rPr>
          <w:color w:val="000000"/>
        </w:rPr>
        <w:t>Age and age group effects can be tracked over longer periods than cohort effects and indicate trends in substance use at a specific developmental stage.</w:t>
      </w:r>
    </w:p>
    <w:p w14:paraId="02A1286A" w14:textId="77777777" w:rsidR="00EA42D0" w:rsidRPr="00EA42D0" w:rsidRDefault="00EA42D0" w:rsidP="00EA42D0">
      <w:pPr>
        <w:pStyle w:val="Trends2017Heading2"/>
        <w:numPr>
          <w:ilvl w:val="1"/>
          <w:numId w:val="1"/>
        </w:numPr>
        <w:tabs>
          <w:tab w:val="clear" w:pos="576"/>
          <w:tab w:val="num" w:pos="0"/>
        </w:tabs>
        <w:ind w:left="0" w:firstLine="0"/>
        <w:rPr>
          <w:i/>
          <w:color w:val="auto"/>
        </w:rPr>
      </w:pPr>
      <w:r w:rsidRPr="00EA42D0">
        <w:rPr>
          <w:rStyle w:val="Trends2017Heading3Char"/>
          <w:b/>
          <w:color w:val="auto"/>
        </w:rPr>
        <w:t>Cohor</w:t>
      </w:r>
      <w:r w:rsidRPr="00EA42D0">
        <w:rPr>
          <w:i/>
          <w:color w:val="auto"/>
        </w:rPr>
        <w:t>t effects</w:t>
      </w:r>
    </w:p>
    <w:p w14:paraId="7B981464" w14:textId="09A5F62E" w:rsidR="00EA42D0" w:rsidRPr="00EA42D0" w:rsidRDefault="00EA42D0" w:rsidP="00EA42D0">
      <w:pPr>
        <w:pStyle w:val="ASSAD2017CWBody1"/>
        <w:ind w:left="28"/>
        <w:rPr>
          <w:color w:val="auto"/>
        </w:rPr>
      </w:pPr>
      <w:r w:rsidRPr="002E5727">
        <w:rPr>
          <w:color w:val="000000"/>
        </w:rPr>
        <w:t>A cohort is the group of people born at around the same time and sharing common ages and experiences as they age.</w:t>
      </w:r>
    </w:p>
    <w:p w14:paraId="14532EC7" w14:textId="2A2E0A9C" w:rsidR="00EA42D0" w:rsidRPr="00EA42D0" w:rsidRDefault="00EA42D0" w:rsidP="00EA42D0">
      <w:pPr>
        <w:pStyle w:val="ASSAD2017CWBody1"/>
        <w:ind w:left="28"/>
        <w:rPr>
          <w:color w:val="auto"/>
        </w:rPr>
      </w:pPr>
      <w:r w:rsidRPr="002E5727">
        <w:rPr>
          <w:color w:val="000000"/>
        </w:rPr>
        <w:t>A cohort effect is a trend that follows a cohort as it ages. For example, if there was an increase in alcohol use in a cohort when its members were aged 12-14, this same effect is likely to be observed three years later when that cohort of students is aged 15-17.</w:t>
      </w:r>
    </w:p>
    <w:p w14:paraId="563648CE" w14:textId="027288C2" w:rsidR="00EA42D0" w:rsidRPr="00EA42D0" w:rsidRDefault="00EA42D0" w:rsidP="00EA42D0">
      <w:pPr>
        <w:pStyle w:val="ASSAD2017CWBody1"/>
        <w:ind w:left="28"/>
        <w:rPr>
          <w:color w:val="auto"/>
        </w:rPr>
      </w:pPr>
      <w:r w:rsidRPr="002E5727">
        <w:rPr>
          <w:color w:val="000000"/>
        </w:rPr>
        <w:t>Cohort effects have a typical staggered pattern across trend lines.</w:t>
      </w:r>
    </w:p>
    <w:p w14:paraId="7B93EFBB" w14:textId="41CC7910" w:rsidR="00EA42D0" w:rsidRPr="00EA42D0" w:rsidRDefault="00EA42D0" w:rsidP="00EA42D0">
      <w:pPr>
        <w:pStyle w:val="ASSAD2017CWBody1"/>
        <w:ind w:left="28"/>
        <w:rPr>
          <w:color w:val="auto"/>
        </w:rPr>
      </w:pPr>
      <w:r w:rsidRPr="002E5727">
        <w:rPr>
          <w:color w:val="000000"/>
        </w:rPr>
        <w:t>A cohort effect can be caused by cohort-specific attitudes to substance use, changing peer norms, legislative change (e.g., greater restriction in drug availability or conditions of supply), and changes in the substance itself (e.g., addictiveness).</w:t>
      </w:r>
    </w:p>
    <w:p w14:paraId="7560E486" w14:textId="559931D6" w:rsidR="00EA42D0" w:rsidRPr="00EA42D0" w:rsidRDefault="00D3562E" w:rsidP="00EA42D0">
      <w:pPr>
        <w:pStyle w:val="ASSAD2017CWBody1"/>
        <w:ind w:left="28"/>
        <w:rPr>
          <w:color w:val="auto"/>
        </w:rPr>
      </w:pPr>
      <w:r w:rsidRPr="002E5727">
        <w:rPr>
          <w:color w:val="000000"/>
        </w:rPr>
        <w:t>As ASSAD is triennial, cohort effects can be tracked only across the span of two consecutive surveys before a cohort moves out of the surveyed age range.</w:t>
      </w:r>
    </w:p>
    <w:p w14:paraId="212BD1CE" w14:textId="77777777" w:rsidR="00EA42D0" w:rsidRPr="00EA42D0" w:rsidRDefault="00EA42D0" w:rsidP="00EA42D0">
      <w:pPr>
        <w:pStyle w:val="Trends2017Heading2"/>
        <w:numPr>
          <w:ilvl w:val="1"/>
          <w:numId w:val="1"/>
        </w:numPr>
        <w:tabs>
          <w:tab w:val="clear" w:pos="576"/>
          <w:tab w:val="num" w:pos="0"/>
        </w:tabs>
        <w:ind w:left="0" w:firstLine="0"/>
        <w:rPr>
          <w:i/>
          <w:color w:val="auto"/>
        </w:rPr>
      </w:pPr>
      <w:r w:rsidRPr="00EA42D0">
        <w:rPr>
          <w:i/>
          <w:color w:val="auto"/>
        </w:rPr>
        <w:t>History effects</w:t>
      </w:r>
    </w:p>
    <w:p w14:paraId="291C9FAF" w14:textId="2FFD4F62" w:rsidR="00EA42D0" w:rsidRPr="00EA42D0" w:rsidRDefault="00044C10" w:rsidP="00EA42D0">
      <w:pPr>
        <w:pStyle w:val="ASSAD2017CWBody1"/>
        <w:ind w:left="-4"/>
        <w:rPr>
          <w:color w:val="auto"/>
        </w:rPr>
      </w:pPr>
      <w:r w:rsidRPr="002E5727">
        <w:rPr>
          <w:color w:val="000000"/>
        </w:rPr>
        <w:t>History effects are associated with key events experienced in common among all individuals at a population level at a specific time that had broad societal impact.</w:t>
      </w:r>
    </w:p>
    <w:p w14:paraId="4A26B9DE" w14:textId="7EB122BE" w:rsidR="00EA42D0" w:rsidRPr="00EA42D0" w:rsidRDefault="00044C10" w:rsidP="00EA42D0">
      <w:pPr>
        <w:pStyle w:val="ASSAD2017CWBody1"/>
        <w:ind w:left="-4"/>
        <w:rPr>
          <w:color w:val="auto"/>
        </w:rPr>
      </w:pPr>
      <w:r w:rsidRPr="002E5727">
        <w:rPr>
          <w:color w:val="000000"/>
        </w:rPr>
        <w:t>History effects show in patterns that are similar for all age groups in parallel, rather than in the more staggered pattern of a strong cohort effect.</w:t>
      </w:r>
    </w:p>
    <w:p w14:paraId="4AB54374" w14:textId="6C60CA93" w:rsidR="00EA42D0" w:rsidRPr="00EA42D0" w:rsidRDefault="00044C10" w:rsidP="00EA42D0">
      <w:pPr>
        <w:pStyle w:val="ASSAD2017CWBody1"/>
        <w:ind w:left="-4"/>
        <w:rPr>
          <w:color w:val="auto"/>
        </w:rPr>
      </w:pPr>
      <w:r w:rsidRPr="002E5727">
        <w:rPr>
          <w:color w:val="000000"/>
        </w:rPr>
        <w:t>The effect of legislation that affects substance availability might be observed as a history effect in trendlines, evident for all population sub-groups. For example, from 1996 to 2017, tobacco control policy events included point of sale tobacco advertising bans, graphic health warnings on tobacco packaging, tax increases, and the implementation of tobacco plain packaging. These measures affected all age groups similarly.</w:t>
      </w:r>
    </w:p>
    <w:p w14:paraId="26E98FC2" w14:textId="77777777" w:rsidR="00EA42D0" w:rsidRPr="00EA42D0" w:rsidRDefault="00EA42D0" w:rsidP="00EA42D0">
      <w:pPr>
        <w:pStyle w:val="Trends2017Heading2"/>
        <w:numPr>
          <w:ilvl w:val="1"/>
          <w:numId w:val="1"/>
        </w:numPr>
        <w:tabs>
          <w:tab w:val="clear" w:pos="576"/>
          <w:tab w:val="num" w:pos="0"/>
        </w:tabs>
        <w:ind w:left="0" w:firstLine="0"/>
        <w:rPr>
          <w:color w:val="auto"/>
        </w:rPr>
      </w:pPr>
      <w:r w:rsidRPr="00EA42D0">
        <w:rPr>
          <w:color w:val="auto"/>
        </w:rPr>
        <w:t>Types of trends evident in alcohol and illicit drug use 1996-2017</w:t>
      </w:r>
    </w:p>
    <w:p w14:paraId="693CDE6A" w14:textId="2728B73F" w:rsidR="00EA42D0" w:rsidRPr="00EA42D0" w:rsidRDefault="00044C10" w:rsidP="00EA42D0">
      <w:pPr>
        <w:pStyle w:val="ASSAD2017CWBody1"/>
        <w:rPr>
          <w:color w:val="auto"/>
        </w:rPr>
      </w:pPr>
      <w:r w:rsidRPr="002E5727">
        <w:rPr>
          <w:color w:val="000000"/>
        </w:rPr>
        <w:t>Age effects are evident, with use generally increasing with age.</w:t>
      </w:r>
    </w:p>
    <w:p w14:paraId="5F2D79A6" w14:textId="1E7F4D5D" w:rsidR="00EA42D0" w:rsidRPr="00EA42D0" w:rsidRDefault="00044C10" w:rsidP="00EA42D0">
      <w:pPr>
        <w:pStyle w:val="ASSAD2017CWBody1"/>
        <w:rPr>
          <w:color w:val="auto"/>
        </w:rPr>
      </w:pPr>
      <w:r w:rsidRPr="002E5727">
        <w:rPr>
          <w:color w:val="000000"/>
        </w:rPr>
        <w:t>Cohort effects are evident earliest at the lower age in a specific survey year and then also seen when this cohort is at the older age in the following survey year.</w:t>
      </w:r>
    </w:p>
    <w:p w14:paraId="6EA0B9C8" w14:textId="79571851" w:rsidR="00EA42D0" w:rsidRPr="00EA42D0" w:rsidRDefault="00044C10" w:rsidP="00EA42D0">
      <w:pPr>
        <w:pStyle w:val="ASSAD2017CWBody1"/>
        <w:rPr>
          <w:color w:val="auto"/>
        </w:rPr>
      </w:pPr>
      <w:r w:rsidRPr="002E5727">
        <w:rPr>
          <w:color w:val="000000"/>
        </w:rPr>
        <w:t>History effects are evident (i.e., increases or declines for all age groups in the same period), but their causes are not always clearly understood.</w:t>
      </w:r>
    </w:p>
    <w:p w14:paraId="27041DC0" w14:textId="77777777" w:rsidR="00EA42D0" w:rsidRPr="00EA42D0" w:rsidRDefault="00EA42D0" w:rsidP="00EA42D0">
      <w:pPr>
        <w:pStyle w:val="Trends2017Heading2"/>
        <w:numPr>
          <w:ilvl w:val="1"/>
          <w:numId w:val="1"/>
        </w:numPr>
        <w:tabs>
          <w:tab w:val="clear" w:pos="576"/>
          <w:tab w:val="num" w:pos="0"/>
        </w:tabs>
        <w:ind w:left="0" w:firstLine="0"/>
        <w:rPr>
          <w:color w:val="auto"/>
        </w:rPr>
      </w:pPr>
      <w:r w:rsidRPr="00EA42D0">
        <w:rPr>
          <w:color w:val="auto"/>
        </w:rPr>
        <w:t>Types of trends evident in smoking 1996-2017</w:t>
      </w:r>
    </w:p>
    <w:p w14:paraId="63F61E66" w14:textId="437990DB" w:rsidR="00EA42D0" w:rsidRPr="00EA42D0" w:rsidRDefault="00044C10" w:rsidP="00EA42D0">
      <w:pPr>
        <w:pStyle w:val="ASSAD2017CWBody1"/>
        <w:rPr>
          <w:color w:val="auto"/>
        </w:rPr>
      </w:pPr>
      <w:r w:rsidRPr="002E5727">
        <w:rPr>
          <w:color w:val="000000"/>
        </w:rPr>
        <w:t>Age effects are evident, with use increasing with age.</w:t>
      </w:r>
    </w:p>
    <w:p w14:paraId="73F90C1D" w14:textId="135ADF29" w:rsidR="00EA42D0" w:rsidRPr="00EA42D0" w:rsidRDefault="00044C10" w:rsidP="00EA42D0">
      <w:pPr>
        <w:pStyle w:val="ASSAD2017CWBody1"/>
        <w:rPr>
          <w:color w:val="auto"/>
        </w:rPr>
      </w:pPr>
      <w:r w:rsidRPr="002E5727">
        <w:rPr>
          <w:color w:val="000000"/>
        </w:rPr>
        <w:t>Cohort effects can be observed</w:t>
      </w:r>
      <w:r>
        <w:rPr>
          <w:color w:val="000000"/>
        </w:rPr>
        <w:t xml:space="preserve"> but</w:t>
      </w:r>
      <w:r w:rsidRPr="002E5727">
        <w:rPr>
          <w:color w:val="000000"/>
        </w:rPr>
        <w:t xml:space="preserve"> tend to be less marked for smoking than for other substances.</w:t>
      </w:r>
    </w:p>
    <w:p w14:paraId="5A83B704" w14:textId="7A8E665D" w:rsidR="00EA42D0" w:rsidRDefault="00044C10" w:rsidP="00EA42D0">
      <w:pPr>
        <w:pStyle w:val="ASSAD2017ACCESSBody1"/>
        <w:rPr>
          <w:color w:val="000000"/>
        </w:rPr>
      </w:pPr>
      <w:r w:rsidRPr="002E5727">
        <w:rPr>
          <w:color w:val="000000"/>
        </w:rPr>
        <w:t>History effects are evident in parallel trend lines for age groups. Declining trends clearly show the impact of government action to reduce smoking prevalence on students of all ages in Australia.</w:t>
      </w:r>
    </w:p>
    <w:p w14:paraId="43FA0794" w14:textId="77777777" w:rsidR="00044C10" w:rsidRPr="00EA42D0" w:rsidRDefault="00044C10" w:rsidP="00EA42D0">
      <w:pPr>
        <w:pStyle w:val="ASSAD2017ACCESSBody1"/>
        <w:rPr>
          <w:color w:val="auto"/>
        </w:rPr>
      </w:pPr>
    </w:p>
    <w:p w14:paraId="599B9365" w14:textId="77777777" w:rsidR="00044C10" w:rsidRDefault="00044C10">
      <w:pPr>
        <w:suppressAutoHyphens w:val="0"/>
        <w:rPr>
          <w:rFonts w:ascii="Arial" w:hAnsi="Arial" w:cs="Arial"/>
          <w:b/>
          <w:bCs/>
          <w:iCs/>
          <w:szCs w:val="28"/>
        </w:rPr>
      </w:pPr>
      <w:r>
        <w:rPr>
          <w:i/>
          <w:iCs/>
        </w:rPr>
        <w:br w:type="page"/>
      </w:r>
    </w:p>
    <w:p w14:paraId="1B5EB195" w14:textId="443FB121" w:rsidR="00E24542" w:rsidRPr="00DE25AD" w:rsidRDefault="00285AF9" w:rsidP="007B6CF7">
      <w:pPr>
        <w:pStyle w:val="ASSAD2017ACCESSHeading1"/>
        <w:tabs>
          <w:tab w:val="clear" w:pos="432"/>
        </w:tabs>
      </w:pPr>
      <w:bookmarkStart w:id="14" w:name="_Toc419187119"/>
      <w:bookmarkStart w:id="15" w:name="_Toc432412621"/>
      <w:bookmarkStart w:id="16" w:name="_Toc437931451"/>
      <w:bookmarkStart w:id="17" w:name="_Hlk525314568"/>
      <w:bookmarkEnd w:id="11"/>
      <w:bookmarkEnd w:id="12"/>
      <w:bookmarkEnd w:id="13"/>
      <w:r w:rsidRPr="00DE25AD">
        <w:lastRenderedPageBreak/>
        <w:t>T</w:t>
      </w:r>
      <w:r w:rsidR="000950D1">
        <w:t>rends in smoking among Australian secondary students 1996-2017</w:t>
      </w:r>
      <w:bookmarkEnd w:id="14"/>
      <w:bookmarkEnd w:id="15"/>
      <w:bookmarkEnd w:id="16"/>
    </w:p>
    <w:p w14:paraId="1EA2D358" w14:textId="7572B10C" w:rsidR="00613CCB" w:rsidRPr="00DE25AD" w:rsidRDefault="000950D1" w:rsidP="00613CCB">
      <w:pPr>
        <w:pStyle w:val="ASSAD2017ACCESSHeading2"/>
      </w:pPr>
      <w:bookmarkStart w:id="18" w:name="_Toc419186162"/>
      <w:bookmarkStart w:id="19" w:name="_Toc424049413"/>
      <w:bookmarkStart w:id="20" w:name="_Toc424110741"/>
      <w:bookmarkStart w:id="21" w:name="_Toc432412403"/>
      <w:bookmarkStart w:id="22" w:name="_Toc444588629"/>
      <w:r>
        <w:t>Trends in smoking prevalence</w:t>
      </w:r>
    </w:p>
    <w:p w14:paraId="1E67340E" w14:textId="77777777" w:rsidR="000950D1" w:rsidRPr="002E5727" w:rsidRDefault="000950D1" w:rsidP="000950D1">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In 2017, tobacco use across all surveyed ages (12-17) in all recency periods was at historic low levels, following a dramatic decline from the late 1990s. </w:t>
      </w:r>
    </w:p>
    <w:p w14:paraId="7844B0DC" w14:textId="77777777" w:rsidR="000950D1" w:rsidRPr="002E5727" w:rsidRDefault="000950D1" w:rsidP="000950D1">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Lifetime smoking declined from 1996 through to 2017 for both younger and older students. Trends largely show a pattern of history effects that are similar across all ages, but tobacco use was consistently higher among older than younger students. </w:t>
      </w:r>
    </w:p>
    <w:p w14:paraId="7E41D577" w14:textId="77777777" w:rsidR="000950D1" w:rsidRPr="002E5727" w:rsidRDefault="000950D1" w:rsidP="000950D1">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prevalence of past month smoking in 2017 was 4% among students aged 12-15, and 14% among students aged 16-17. The trend for past month smoking was similar for both younger (12-15) and older (16-17) students, but there were weak cohort effects in the timing of key points in the downturn in smoking prevalence. For example, the slowing of the decline in smoking during the late 2000s was seen from 2005 in the younger age group, and from 2008 in the older age group as this cohort aged. Following a plateau in prevalence between 2008 and 2011, further decline was evident</w:t>
      </w:r>
      <w:r>
        <w:rPr>
          <w:rFonts w:ascii="Arial" w:hAnsi="Arial" w:cs="Arial"/>
          <w:bCs/>
          <w:color w:val="000000"/>
          <w:sz w:val="20"/>
          <w:szCs w:val="20"/>
          <w:lang w:val="en-US"/>
        </w:rPr>
        <w:t xml:space="preserve"> across both age groups</w:t>
      </w:r>
      <w:r w:rsidRPr="002E5727">
        <w:rPr>
          <w:rFonts w:ascii="Arial" w:hAnsi="Arial" w:cs="Arial"/>
          <w:bCs/>
          <w:color w:val="000000"/>
          <w:sz w:val="20"/>
          <w:szCs w:val="20"/>
          <w:lang w:val="en-US"/>
        </w:rPr>
        <w:t>. This coincided with the implementation of plain tobacco packaging, larger graphic health warnings on cigarette packs, increasing restriction of tobacco advertising (e.g., at the point of sale), and annual increases in tax on tobacco products.</w:t>
      </w:r>
    </w:p>
    <w:p w14:paraId="3EA725A6" w14:textId="77777777" w:rsidR="000950D1" w:rsidRDefault="000950D1" w:rsidP="000950D1">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Largely parallel trends were also seen in past year, past week, </w:t>
      </w:r>
      <w:r>
        <w:rPr>
          <w:rFonts w:ascii="Arial" w:hAnsi="Arial" w:cs="Arial"/>
          <w:bCs/>
          <w:color w:val="000000"/>
          <w:sz w:val="20"/>
          <w:szCs w:val="20"/>
          <w:lang w:val="en-US"/>
        </w:rPr>
        <w:t xml:space="preserve">and </w:t>
      </w:r>
      <w:r w:rsidRPr="002E5727">
        <w:rPr>
          <w:rFonts w:ascii="Arial" w:hAnsi="Arial" w:cs="Arial"/>
          <w:bCs/>
          <w:color w:val="000000"/>
          <w:sz w:val="20"/>
          <w:szCs w:val="20"/>
          <w:lang w:val="en-US"/>
        </w:rPr>
        <w:t>committed (smoked three or more days in the last week) smoking for all age groups. The prevalence of having smoked more than 100 cigarettes in the lifetime was below 2% from 201</w:t>
      </w:r>
      <w:r>
        <w:rPr>
          <w:rFonts w:ascii="Arial" w:hAnsi="Arial" w:cs="Arial"/>
          <w:bCs/>
          <w:color w:val="000000"/>
          <w:sz w:val="20"/>
          <w:szCs w:val="20"/>
          <w:lang w:val="en-US"/>
        </w:rPr>
        <w:t>4</w:t>
      </w:r>
      <w:r w:rsidRPr="002E5727">
        <w:rPr>
          <w:rFonts w:ascii="Arial" w:hAnsi="Arial" w:cs="Arial"/>
          <w:bCs/>
          <w:color w:val="000000"/>
          <w:sz w:val="20"/>
          <w:szCs w:val="20"/>
          <w:lang w:val="en-US"/>
        </w:rPr>
        <w:t xml:space="preserve"> in the younger age group. However, </w:t>
      </w:r>
      <w:r>
        <w:rPr>
          <w:rFonts w:ascii="Arial" w:hAnsi="Arial" w:cs="Arial"/>
          <w:bCs/>
          <w:color w:val="000000"/>
          <w:sz w:val="20"/>
          <w:szCs w:val="20"/>
          <w:lang w:val="en-US"/>
        </w:rPr>
        <w:t>slower</w:t>
      </w:r>
      <w:r w:rsidRPr="002E5727">
        <w:rPr>
          <w:rFonts w:ascii="Arial" w:hAnsi="Arial" w:cs="Arial"/>
          <w:bCs/>
          <w:color w:val="000000"/>
          <w:sz w:val="20"/>
          <w:szCs w:val="20"/>
          <w:lang w:val="en-US"/>
        </w:rPr>
        <w:t xml:space="preserve"> declines in smoking at this level were evident from 2005 in the younger age group (and 2008 as this cohort aged) as the number of smokers decreased. Similarly, trend lines for the older age group showed slower declines in the proportion of students who had smoked more than 100 cigarettes over the past decade, from a plateau between 2008 and 2011.</w:t>
      </w:r>
    </w:p>
    <w:p w14:paraId="4FDC187A" w14:textId="05BB2A19" w:rsidR="00ED2B8F" w:rsidRPr="00DE25AD" w:rsidRDefault="000950D1" w:rsidP="000950D1">
      <w:pPr>
        <w:pStyle w:val="ASSAD2017CWBody1"/>
      </w:pPr>
      <w:r w:rsidRPr="002E5727">
        <w:rPr>
          <w:color w:val="000000"/>
        </w:rPr>
        <w:t>Daily smoking among older students declined from around 4% in 2008 and 2011 to 2% in 2017.</w:t>
      </w:r>
      <w:r>
        <w:rPr>
          <w:color w:val="000000"/>
        </w:rPr>
        <w:t xml:space="preserve"> This followed a sharp drop in daily smoking prevalence between 2002 and 2005 for this older age group. Among younger students, daily smoking declined steadily from 5% in 1996 to 1% in 2008, where it has remained stable.</w:t>
      </w:r>
      <w:r w:rsidR="00ED2B8F" w:rsidRPr="00DE25AD">
        <w:t xml:space="preserve"> </w:t>
      </w:r>
    </w:p>
    <w:p w14:paraId="4D13E3D6" w14:textId="580FF57F" w:rsidR="00C21C2D" w:rsidRPr="00DE25AD" w:rsidRDefault="00FF7F16" w:rsidP="00966601">
      <w:pPr>
        <w:pStyle w:val="ASSAD2017ACCESSHeading2"/>
      </w:pPr>
      <w:r>
        <w:t>Trends in sources of cigarettes</w:t>
      </w:r>
    </w:p>
    <w:p w14:paraId="661B164B" w14:textId="77777777" w:rsidR="00FF7F16" w:rsidRPr="002E5727" w:rsidRDefault="00FF7F16" w:rsidP="00FF7F16">
      <w:pPr>
        <w:widowControl w:val="0"/>
        <w:spacing w:after="120"/>
        <w:rPr>
          <w:rFonts w:ascii="Arial" w:hAnsi="Arial" w:cs="Arial"/>
          <w:bCs/>
          <w:color w:val="000000"/>
          <w:sz w:val="20"/>
          <w:szCs w:val="20"/>
          <w:lang w:val="en-US"/>
        </w:rPr>
      </w:pPr>
      <w:bookmarkStart w:id="23" w:name="_Toc419187121"/>
      <w:bookmarkStart w:id="24" w:name="_Toc424739659"/>
      <w:bookmarkStart w:id="25" w:name="_Toc432412623"/>
      <w:bookmarkEnd w:id="18"/>
      <w:bookmarkEnd w:id="19"/>
      <w:bookmarkEnd w:id="20"/>
      <w:bookmarkEnd w:id="21"/>
      <w:bookmarkEnd w:id="22"/>
      <w:r w:rsidRPr="002E5727">
        <w:rPr>
          <w:rFonts w:ascii="Arial" w:hAnsi="Arial" w:cs="Arial"/>
          <w:bCs/>
          <w:color w:val="000000"/>
          <w:sz w:val="20"/>
          <w:szCs w:val="20"/>
          <w:lang w:val="en-US"/>
        </w:rPr>
        <w:t>Overall, the proportion of current smokers who bought cigarettes themselves has declined. Trends show cohort effects, with key declines evident earlier in students aged 12 to 15 than those aged 16 and 17.</w:t>
      </w:r>
    </w:p>
    <w:p w14:paraId="38332F29" w14:textId="77777777"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Among younger students, fewer current smokers bought cigarettes from 1996 to 2002, following an earlier decade of decline. After a small increase was observed in 2005, this proportion again declined to 2017. The proportion of 12 to 15 year old current smokers (</w:t>
      </w:r>
      <w:r>
        <w:rPr>
          <w:rFonts w:ascii="Arial" w:hAnsi="Arial" w:cs="Arial"/>
          <w:bCs/>
          <w:color w:val="000000"/>
          <w:sz w:val="20"/>
          <w:szCs w:val="20"/>
          <w:lang w:val="en-US"/>
        </w:rPr>
        <w:t>8</w:t>
      </w:r>
      <w:r w:rsidRPr="002E5727">
        <w:rPr>
          <w:rFonts w:ascii="Arial" w:hAnsi="Arial" w:cs="Arial"/>
          <w:bCs/>
          <w:color w:val="000000"/>
          <w:sz w:val="20"/>
          <w:szCs w:val="20"/>
          <w:lang w:val="en-US"/>
        </w:rPr>
        <w:t xml:space="preserve">%) who bought their last cigarette in 2017 was similar to </w:t>
      </w:r>
      <w:r>
        <w:rPr>
          <w:rFonts w:ascii="Arial" w:hAnsi="Arial" w:cs="Arial"/>
          <w:bCs/>
          <w:color w:val="000000"/>
          <w:sz w:val="20"/>
          <w:szCs w:val="20"/>
          <w:lang w:val="en-US"/>
        </w:rPr>
        <w:t xml:space="preserve">2008, </w:t>
      </w:r>
      <w:r w:rsidRPr="002E5727">
        <w:rPr>
          <w:rFonts w:ascii="Arial" w:hAnsi="Arial" w:cs="Arial"/>
          <w:bCs/>
          <w:color w:val="000000"/>
          <w:sz w:val="20"/>
          <w:szCs w:val="20"/>
          <w:lang w:val="en-US"/>
        </w:rPr>
        <w:t xml:space="preserve">2011 </w:t>
      </w:r>
      <w:r>
        <w:rPr>
          <w:rFonts w:ascii="Arial" w:hAnsi="Arial" w:cs="Arial"/>
          <w:bCs/>
          <w:color w:val="000000"/>
          <w:sz w:val="20"/>
          <w:szCs w:val="20"/>
          <w:lang w:val="en-US"/>
        </w:rPr>
        <w:t>and</w:t>
      </w:r>
      <w:r w:rsidRPr="002E5727">
        <w:rPr>
          <w:rFonts w:ascii="Arial" w:hAnsi="Arial" w:cs="Arial"/>
          <w:bCs/>
          <w:color w:val="000000"/>
          <w:sz w:val="20"/>
          <w:szCs w:val="20"/>
          <w:lang w:val="en-US"/>
        </w:rPr>
        <w:t xml:space="preserve"> 2014.</w:t>
      </w:r>
    </w:p>
    <w:p w14:paraId="1EA511A9" w14:textId="77777777"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In line with a cohort effect, a similar plateau was observed in the shrinking proportion of older current smokers who bought their own cigarettes. However, following further declines from 2008, the</w:t>
      </w:r>
      <w:r>
        <w:rPr>
          <w:rFonts w:ascii="Arial" w:hAnsi="Arial" w:cs="Arial"/>
          <w:bCs/>
          <w:color w:val="000000"/>
          <w:sz w:val="20"/>
          <w:szCs w:val="20"/>
          <w:lang w:val="en-US"/>
        </w:rPr>
        <w:t>re</w:t>
      </w:r>
      <w:r w:rsidRPr="002E5727">
        <w:rPr>
          <w:rFonts w:ascii="Arial" w:hAnsi="Arial" w:cs="Arial"/>
          <w:bCs/>
          <w:color w:val="000000"/>
          <w:sz w:val="20"/>
          <w:szCs w:val="20"/>
          <w:lang w:val="en-US"/>
        </w:rPr>
        <w:t xml:space="preserve"> </w:t>
      </w:r>
      <w:r>
        <w:rPr>
          <w:rFonts w:ascii="Arial" w:hAnsi="Arial" w:cs="Arial"/>
          <w:bCs/>
          <w:color w:val="000000"/>
          <w:sz w:val="20"/>
          <w:szCs w:val="20"/>
          <w:lang w:val="en-US"/>
        </w:rPr>
        <w:t>was a non-significant</w:t>
      </w:r>
      <w:r w:rsidRPr="002E5727">
        <w:rPr>
          <w:rFonts w:ascii="Arial" w:hAnsi="Arial" w:cs="Arial"/>
          <w:bCs/>
          <w:color w:val="000000"/>
          <w:sz w:val="20"/>
          <w:szCs w:val="20"/>
          <w:lang w:val="en-US"/>
        </w:rPr>
        <w:t xml:space="preserve"> increase in the proportion of older students who had bought their own cigarettes</w:t>
      </w:r>
      <w:r>
        <w:rPr>
          <w:rFonts w:ascii="Arial" w:hAnsi="Arial" w:cs="Arial"/>
          <w:bCs/>
          <w:color w:val="000000"/>
          <w:sz w:val="20"/>
          <w:szCs w:val="20"/>
          <w:lang w:val="en-US"/>
        </w:rPr>
        <w:t xml:space="preserve"> from 2014 (18%) to 2017</w:t>
      </w:r>
      <w:r w:rsidRPr="002E5727">
        <w:rPr>
          <w:rFonts w:ascii="Arial" w:hAnsi="Arial" w:cs="Arial"/>
          <w:bCs/>
          <w:color w:val="000000"/>
          <w:sz w:val="20"/>
          <w:szCs w:val="20"/>
          <w:lang w:val="en-US"/>
        </w:rPr>
        <w:t xml:space="preserve"> (2</w:t>
      </w:r>
      <w:r>
        <w:rPr>
          <w:rFonts w:ascii="Arial" w:hAnsi="Arial" w:cs="Arial"/>
          <w:bCs/>
          <w:color w:val="000000"/>
          <w:sz w:val="20"/>
          <w:szCs w:val="20"/>
          <w:lang w:val="en-US"/>
        </w:rPr>
        <w:t>1</w:t>
      </w:r>
      <w:r w:rsidRPr="002E5727">
        <w:rPr>
          <w:rFonts w:ascii="Arial" w:hAnsi="Arial" w:cs="Arial"/>
          <w:bCs/>
          <w:color w:val="000000"/>
          <w:sz w:val="20"/>
          <w:szCs w:val="20"/>
          <w:lang w:val="en-US"/>
        </w:rPr>
        <w:t>%). The reasons for this recent upturn in self-bought cigarettes only among older students are not clear.</w:t>
      </w:r>
    </w:p>
    <w:p w14:paraId="06679D9D" w14:textId="41799669" w:rsidR="00574D5D" w:rsidRPr="00DE25AD" w:rsidRDefault="00FF7F16" w:rsidP="00FF7F16">
      <w:pPr>
        <w:pStyle w:val="ASSAD2017ACCESSBody1"/>
      </w:pPr>
      <w:r w:rsidRPr="002E5727">
        <w:rPr>
          <w:color w:val="000000"/>
        </w:rPr>
        <w:t>We also examined trends in the proportion of current smokers who asked someone else to buy cigarettes for them and found no cohort effects in earlier survey years, but a marked history effect that was similar for all ages. Among younger students, the proportion</w:t>
      </w:r>
      <w:r>
        <w:rPr>
          <w:color w:val="000000"/>
        </w:rPr>
        <w:t xml:space="preserve"> </w:t>
      </w:r>
      <w:r w:rsidRPr="002E5727">
        <w:rPr>
          <w:color w:val="000000"/>
        </w:rPr>
        <w:t xml:space="preserve">increased between 1996 and 2002 from </w:t>
      </w:r>
      <w:r>
        <w:rPr>
          <w:color w:val="000000"/>
        </w:rPr>
        <w:t>14</w:t>
      </w:r>
      <w:r w:rsidRPr="002E5727">
        <w:rPr>
          <w:color w:val="000000"/>
        </w:rPr>
        <w:t xml:space="preserve">% to 21%, and among older students from </w:t>
      </w:r>
      <w:r>
        <w:rPr>
          <w:color w:val="000000"/>
        </w:rPr>
        <w:t>7</w:t>
      </w:r>
      <w:r w:rsidRPr="002E5727">
        <w:rPr>
          <w:color w:val="000000"/>
        </w:rPr>
        <w:t>% to 18%, reflecting greater restrictions on cigarette sales to minors. After 200</w:t>
      </w:r>
      <w:r w:rsidR="008A5B4C">
        <w:rPr>
          <w:color w:val="000000"/>
        </w:rPr>
        <w:t>2</w:t>
      </w:r>
      <w:r w:rsidRPr="002E5727">
        <w:rPr>
          <w:color w:val="000000"/>
        </w:rPr>
        <w:t>,</w:t>
      </w:r>
      <w:r w:rsidR="008A5B4C">
        <w:rPr>
          <w:color w:val="000000"/>
        </w:rPr>
        <w:t xml:space="preserve"> rates stayed between 15-19% for younger students</w:t>
      </w:r>
      <w:r w:rsidRPr="002E5727">
        <w:rPr>
          <w:color w:val="000000"/>
        </w:rPr>
        <w:t xml:space="preserve">. The proportion of older students getting someone else to buy cigarettes for them rose from 15% in 2005 to 23% in 2014. In 2017, however, the rate dropped to 13%. Corresponding to this drop, </w:t>
      </w:r>
      <w:r>
        <w:rPr>
          <w:color w:val="000000"/>
        </w:rPr>
        <w:t>there have been small non-significant increases in the</w:t>
      </w:r>
      <w:r w:rsidRPr="002E5727">
        <w:rPr>
          <w:color w:val="000000"/>
        </w:rPr>
        <w:t xml:space="preserve"> proportion of </w:t>
      </w:r>
      <w:r>
        <w:rPr>
          <w:color w:val="000000"/>
        </w:rPr>
        <w:t xml:space="preserve">older </w:t>
      </w:r>
      <w:r w:rsidRPr="002E5727">
        <w:rPr>
          <w:color w:val="000000"/>
        </w:rPr>
        <w:t>students who were current smokers report</w:t>
      </w:r>
      <w:r>
        <w:rPr>
          <w:color w:val="000000"/>
        </w:rPr>
        <w:t>ing</w:t>
      </w:r>
      <w:r w:rsidRPr="002E5727">
        <w:rPr>
          <w:color w:val="000000"/>
        </w:rPr>
        <w:t xml:space="preserve"> getting cigarettes from friends (2014: 47%; 2017: 5</w:t>
      </w:r>
      <w:r>
        <w:rPr>
          <w:color w:val="000000"/>
        </w:rPr>
        <w:t>1</w:t>
      </w:r>
      <w:r w:rsidRPr="002E5727">
        <w:rPr>
          <w:color w:val="000000"/>
        </w:rPr>
        <w:t>%), as well as buying cigarettes themselves.</w:t>
      </w:r>
    </w:p>
    <w:p w14:paraId="1397D262" w14:textId="77777777" w:rsidR="00DA64E8" w:rsidRDefault="00DA64E8">
      <w:pPr>
        <w:suppressAutoHyphens w:val="0"/>
        <w:rPr>
          <w:rFonts w:ascii="Arial" w:hAnsi="Arial" w:cs="Arial"/>
          <w:b/>
          <w:bCs/>
          <w:szCs w:val="28"/>
        </w:rPr>
      </w:pPr>
      <w:r>
        <w:br w:type="page"/>
      </w:r>
    </w:p>
    <w:p w14:paraId="4CE449AF" w14:textId="5A2D36B0" w:rsidR="00FF7F16" w:rsidRPr="00DE25AD" w:rsidRDefault="00FF7F16" w:rsidP="00FF7F16">
      <w:pPr>
        <w:pStyle w:val="ASSAD2017ACCESSHeading2"/>
      </w:pPr>
      <w:r>
        <w:lastRenderedPageBreak/>
        <w:t>Summary of trends in smoking prevalence 1996-2017</w:t>
      </w:r>
    </w:p>
    <w:p w14:paraId="6CEB8B73" w14:textId="646DD6DA"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Overall, trends in adolescent smoking from 1996 to 2017 follow a similar and largely parallel pattern across age groups, with key effects only weakly staggered by cohort. The prevalence of smoking increased through the 1990s for all age groups before rapidly declining from the late 1990s to the late 2000s. Since then, a continuing decline is apparent after a brief plateau. The generally parallel pattern </w:t>
      </w:r>
      <w:r>
        <w:rPr>
          <w:rFonts w:ascii="Arial" w:hAnsi="Arial" w:cs="Arial"/>
          <w:bCs/>
          <w:color w:val="000000"/>
          <w:sz w:val="20"/>
          <w:szCs w:val="20"/>
          <w:lang w:val="en-US"/>
        </w:rPr>
        <w:t xml:space="preserve">for most outcomes </w:t>
      </w:r>
      <w:r w:rsidRPr="002E5727">
        <w:rPr>
          <w:rFonts w:ascii="Arial" w:hAnsi="Arial" w:cs="Arial"/>
          <w:bCs/>
          <w:color w:val="000000"/>
          <w:sz w:val="20"/>
          <w:szCs w:val="20"/>
          <w:lang w:val="en-US"/>
        </w:rPr>
        <w:t>is characteristic of history effects associated with events experienced similarly by people of all ages at that point of time. Here, trends in the prevalence of adolescent smoking reflect trends in adult smoking observed during the same period</w:t>
      </w:r>
      <w:r w:rsidRPr="002E5727">
        <w:rPr>
          <w:rFonts w:ascii="Arial" w:hAnsi="Arial" w:cs="Arial"/>
          <w:bCs/>
          <w:color w:val="000000"/>
          <w:sz w:val="20"/>
          <w:szCs w:val="20"/>
          <w:vertAlign w:val="superscript"/>
          <w:lang w:val="en-US"/>
        </w:rPr>
        <w:footnoteReference w:id="36"/>
      </w:r>
      <w:r w:rsidRPr="002E5727">
        <w:rPr>
          <w:rFonts w:ascii="Arial" w:hAnsi="Arial" w:cs="Arial"/>
          <w:bCs/>
          <w:color w:val="000000"/>
          <w:sz w:val="20"/>
          <w:szCs w:val="20"/>
          <w:lang w:val="en-US"/>
        </w:rPr>
        <w:t>. Smoking at all ages was greatly reduced in response to public health policy initiatives and legislation during this period</w:t>
      </w:r>
      <w:r w:rsidRPr="002E5727">
        <w:rPr>
          <w:rFonts w:ascii="Arial" w:hAnsi="Arial" w:cs="Arial"/>
          <w:bCs/>
          <w:color w:val="000000"/>
          <w:sz w:val="20"/>
          <w:szCs w:val="20"/>
          <w:vertAlign w:val="superscript"/>
          <w:lang w:val="en-US"/>
        </w:rPr>
        <w:footnoteReference w:id="37"/>
      </w:r>
      <w:r w:rsidRPr="002E5727">
        <w:rPr>
          <w:rFonts w:ascii="Arial" w:hAnsi="Arial" w:cs="Arial"/>
          <w:bCs/>
          <w:color w:val="000000"/>
          <w:sz w:val="20"/>
          <w:szCs w:val="20"/>
          <w:lang w:val="en-US"/>
        </w:rPr>
        <w:t>.</w:t>
      </w:r>
    </w:p>
    <w:p w14:paraId="62A8B276" w14:textId="0BF208D8" w:rsidR="00FF7F16" w:rsidRPr="00DE25AD" w:rsidRDefault="00FF7F16" w:rsidP="00FF7F16">
      <w:pPr>
        <w:pStyle w:val="ASSAD2017ACCESSHeading2"/>
      </w:pPr>
      <w:r>
        <w:t>Reasons for changes in prevalence over time</w:t>
      </w:r>
    </w:p>
    <w:p w14:paraId="1535D47A" w14:textId="77777777"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observed increase in smoking during the 1990s coincided with decreased funding to tobacco control programs, along with reduced policy initiatives, and a drop in mass media anti-smoking campaign advertising</w:t>
      </w:r>
      <w:r w:rsidRPr="002E5727">
        <w:rPr>
          <w:rFonts w:ascii="Arial" w:hAnsi="Arial" w:cs="Arial"/>
          <w:bCs/>
          <w:color w:val="000000"/>
          <w:sz w:val="20"/>
          <w:szCs w:val="20"/>
          <w:vertAlign w:val="superscript"/>
          <w:lang w:val="en-US"/>
        </w:rPr>
        <w:footnoteReference w:id="38"/>
      </w:r>
      <w:r w:rsidRPr="002E5727">
        <w:rPr>
          <w:rFonts w:ascii="Arial" w:hAnsi="Arial" w:cs="Arial"/>
          <w:bCs/>
          <w:color w:val="000000"/>
          <w:sz w:val="20"/>
          <w:szCs w:val="20"/>
          <w:lang w:val="en-US"/>
        </w:rPr>
        <w:t xml:space="preserve">. The period also saw lower cigarette pricing, and sustained levels of incidental exposure of adolescents to smoking in mass media entertainment. These social, political, and economic events affected all ages similarly. </w:t>
      </w:r>
    </w:p>
    <w:p w14:paraId="4D250BC9" w14:textId="77777777"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Reduced smoking prevalence from the late 1990s in all age groups coincided with multi-pronged anti-smoking action during th</w:t>
      </w:r>
      <w:r>
        <w:rPr>
          <w:rFonts w:ascii="Arial" w:hAnsi="Arial" w:cs="Arial"/>
          <w:bCs/>
          <w:color w:val="000000"/>
          <w:sz w:val="20"/>
          <w:szCs w:val="20"/>
          <w:lang w:val="en-US"/>
        </w:rPr>
        <w:t>is</w:t>
      </w:r>
      <w:r w:rsidRPr="002E5727">
        <w:rPr>
          <w:rFonts w:ascii="Arial" w:hAnsi="Arial" w:cs="Arial"/>
          <w:bCs/>
          <w:color w:val="000000"/>
          <w:sz w:val="20"/>
          <w:szCs w:val="20"/>
          <w:lang w:val="en-US"/>
        </w:rPr>
        <w:t xml:space="preserve"> period</w:t>
      </w:r>
      <w:r w:rsidRPr="002E5727">
        <w:rPr>
          <w:rFonts w:ascii="Arial" w:hAnsi="Arial" w:cs="Arial"/>
          <w:bCs/>
          <w:color w:val="000000"/>
          <w:sz w:val="20"/>
          <w:szCs w:val="20"/>
          <w:vertAlign w:val="superscript"/>
          <w:lang w:val="en-US"/>
        </w:rPr>
        <w:footnoteReference w:id="39"/>
      </w:r>
      <w:r w:rsidRPr="002E5727">
        <w:rPr>
          <w:rFonts w:ascii="Arial" w:hAnsi="Arial" w:cs="Arial"/>
          <w:bCs/>
          <w:color w:val="000000"/>
          <w:sz w:val="20"/>
          <w:szCs w:val="20"/>
          <w:lang w:val="en-US"/>
        </w:rPr>
        <w:t>. The marked downturn in smoking among secondary students from this time is likely to have resulted from concerted public health advocacy and subsequent legislative and policy change in response to concerns about the general upsurge in smoking during the 1990s</w:t>
      </w:r>
      <w:r w:rsidRPr="002E5727">
        <w:rPr>
          <w:rFonts w:ascii="Arial" w:hAnsi="Arial" w:cs="Arial"/>
          <w:bCs/>
          <w:color w:val="000000"/>
          <w:sz w:val="20"/>
          <w:szCs w:val="20"/>
          <w:vertAlign w:val="superscript"/>
          <w:lang w:val="en-US"/>
        </w:rPr>
        <w:footnoteReference w:id="40"/>
      </w:r>
      <w:r>
        <w:rPr>
          <w:rFonts w:ascii="Arial" w:hAnsi="Arial" w:cs="Arial"/>
          <w:bCs/>
          <w:color w:val="000000"/>
          <w:sz w:val="20"/>
          <w:szCs w:val="20"/>
          <w:vertAlign w:val="superscript"/>
          <w:lang w:val="en-US"/>
        </w:rPr>
        <w:t>,</w:t>
      </w:r>
      <w:r w:rsidRPr="002E5727">
        <w:rPr>
          <w:rFonts w:ascii="Arial" w:hAnsi="Arial" w:cs="Arial"/>
          <w:bCs/>
          <w:color w:val="000000"/>
          <w:sz w:val="20"/>
          <w:szCs w:val="20"/>
          <w:vertAlign w:val="superscript"/>
          <w:lang w:val="en-US"/>
        </w:rPr>
        <w:footnoteReference w:id="41"/>
      </w:r>
      <w:r w:rsidRPr="002E5727">
        <w:rPr>
          <w:rFonts w:ascii="Arial" w:hAnsi="Arial" w:cs="Arial"/>
          <w:bCs/>
          <w:color w:val="000000"/>
          <w:sz w:val="20"/>
          <w:szCs w:val="20"/>
          <w:lang w:val="en-US"/>
        </w:rPr>
        <w:t>. Similar trends were observed internationally in comparable settings such as the US</w:t>
      </w:r>
      <w:r w:rsidRPr="002E5727">
        <w:rPr>
          <w:rFonts w:ascii="Arial" w:hAnsi="Arial" w:cs="Arial"/>
          <w:bCs/>
          <w:color w:val="000000"/>
          <w:sz w:val="20"/>
          <w:szCs w:val="20"/>
          <w:vertAlign w:val="superscript"/>
          <w:lang w:val="en-US"/>
        </w:rPr>
        <w:footnoteReference w:id="42"/>
      </w:r>
      <w:r w:rsidRPr="002E5727">
        <w:rPr>
          <w:rFonts w:ascii="Arial" w:hAnsi="Arial" w:cs="Arial"/>
          <w:bCs/>
          <w:color w:val="000000"/>
          <w:sz w:val="20"/>
          <w:szCs w:val="20"/>
          <w:lang w:val="en-US"/>
        </w:rPr>
        <w:t xml:space="preserve"> and UK</w:t>
      </w:r>
      <w:r w:rsidRPr="002E5727">
        <w:rPr>
          <w:rFonts w:ascii="Arial" w:hAnsi="Arial" w:cs="Arial"/>
          <w:bCs/>
          <w:color w:val="000000"/>
          <w:sz w:val="20"/>
          <w:szCs w:val="20"/>
          <w:vertAlign w:val="superscript"/>
          <w:lang w:val="en-US"/>
        </w:rPr>
        <w:footnoteReference w:id="43"/>
      </w:r>
      <w:r w:rsidRPr="002E5727">
        <w:rPr>
          <w:rFonts w:ascii="Arial" w:hAnsi="Arial" w:cs="Arial"/>
          <w:bCs/>
          <w:color w:val="000000"/>
          <w:sz w:val="20"/>
          <w:szCs w:val="20"/>
          <w:lang w:val="en-US"/>
        </w:rPr>
        <w:t>, where tobacco control policy and funding were also strengthened.</w:t>
      </w:r>
    </w:p>
    <w:p w14:paraId="35F14372" w14:textId="21FDEEA8"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Specific developments that contributed to the decline in smoking among adolescents include increases in cigarette pricing (partly caused by increases in tobacco tax)</w:t>
      </w:r>
      <w:r w:rsidRPr="002E5727">
        <w:rPr>
          <w:rFonts w:ascii="Arial" w:hAnsi="Arial" w:cs="Arial"/>
          <w:bCs/>
          <w:color w:val="000000"/>
          <w:sz w:val="20"/>
          <w:szCs w:val="20"/>
          <w:vertAlign w:val="superscript"/>
          <w:lang w:val="en-US"/>
        </w:rPr>
        <w:footnoteReference w:id="44"/>
      </w:r>
      <w:r w:rsidRPr="002E5727">
        <w:rPr>
          <w:rFonts w:ascii="Arial" w:hAnsi="Arial" w:cs="Arial"/>
          <w:bCs/>
          <w:color w:val="000000"/>
          <w:sz w:val="20"/>
          <w:szCs w:val="20"/>
          <w:lang w:val="en-US"/>
        </w:rPr>
        <w:t>, national and state-based anti</w:t>
      </w:r>
      <w:r w:rsidR="009129B4">
        <w:rPr>
          <w:rFonts w:ascii="Arial" w:hAnsi="Arial" w:cs="Arial"/>
          <w:bCs/>
          <w:color w:val="000000"/>
          <w:sz w:val="20"/>
          <w:szCs w:val="20"/>
          <w:lang w:val="en-US"/>
        </w:rPr>
        <w:t>-</w:t>
      </w:r>
      <w:r w:rsidRPr="002E5727">
        <w:rPr>
          <w:rFonts w:ascii="Arial" w:hAnsi="Arial" w:cs="Arial"/>
          <w:bCs/>
          <w:color w:val="000000"/>
          <w:sz w:val="20"/>
          <w:szCs w:val="20"/>
          <w:lang w:val="en-US"/>
        </w:rPr>
        <w:t>smoking advertising campaigns run by government and non-government organisations (e.g., Quit)</w:t>
      </w:r>
      <w:r w:rsidRPr="002E5727">
        <w:rPr>
          <w:rFonts w:ascii="Arial" w:hAnsi="Arial" w:cs="Arial"/>
          <w:bCs/>
          <w:color w:val="000000"/>
          <w:sz w:val="20"/>
          <w:szCs w:val="20"/>
          <w:vertAlign w:val="superscript"/>
          <w:lang w:val="en-US"/>
        </w:rPr>
        <w:footnoteReference w:id="45"/>
      </w:r>
      <w:r>
        <w:rPr>
          <w:rFonts w:ascii="Arial" w:hAnsi="Arial" w:cs="Arial"/>
          <w:bCs/>
          <w:color w:val="000000"/>
          <w:sz w:val="20"/>
          <w:szCs w:val="20"/>
          <w:vertAlign w:val="superscript"/>
          <w:lang w:val="en-US"/>
        </w:rPr>
        <w:t>,</w:t>
      </w:r>
      <w:r w:rsidRPr="002E5727">
        <w:rPr>
          <w:rFonts w:ascii="Arial" w:hAnsi="Arial" w:cs="Arial"/>
          <w:bCs/>
          <w:color w:val="000000"/>
          <w:sz w:val="20"/>
          <w:szCs w:val="20"/>
          <w:vertAlign w:val="superscript"/>
          <w:lang w:val="en-US"/>
        </w:rPr>
        <w:footnoteReference w:id="46"/>
      </w:r>
      <w:r w:rsidRPr="002E5727">
        <w:rPr>
          <w:rFonts w:ascii="Arial" w:hAnsi="Arial" w:cs="Arial"/>
          <w:bCs/>
          <w:color w:val="000000"/>
          <w:sz w:val="20"/>
          <w:szCs w:val="20"/>
          <w:lang w:val="en-US"/>
        </w:rPr>
        <w:t>, the implementation of graphic health warnings on tobacco packaging</w:t>
      </w:r>
      <w:r w:rsidRPr="002E5727">
        <w:rPr>
          <w:rFonts w:ascii="Arial" w:hAnsi="Arial" w:cs="Arial"/>
          <w:bCs/>
          <w:color w:val="000000"/>
          <w:sz w:val="20"/>
          <w:szCs w:val="20"/>
          <w:vertAlign w:val="superscript"/>
          <w:lang w:val="en-US"/>
        </w:rPr>
        <w:footnoteReference w:id="47"/>
      </w:r>
      <w:r w:rsidRPr="002E5727">
        <w:rPr>
          <w:rFonts w:ascii="Arial" w:hAnsi="Arial" w:cs="Arial"/>
          <w:bCs/>
          <w:color w:val="000000"/>
          <w:sz w:val="20"/>
          <w:szCs w:val="20"/>
          <w:lang w:val="en-US"/>
        </w:rPr>
        <w:t>, strong restrictions on advertising in the mass media and at point of sale</w:t>
      </w:r>
      <w:r w:rsidRPr="002E5727">
        <w:rPr>
          <w:rFonts w:ascii="Arial" w:hAnsi="Arial" w:cs="Arial"/>
          <w:bCs/>
          <w:color w:val="000000"/>
          <w:sz w:val="20"/>
          <w:szCs w:val="20"/>
          <w:vertAlign w:val="superscript"/>
          <w:lang w:val="en-US"/>
        </w:rPr>
        <w:footnoteReference w:id="48"/>
      </w:r>
      <w:r w:rsidRPr="002E5727">
        <w:rPr>
          <w:rFonts w:ascii="Arial" w:hAnsi="Arial" w:cs="Arial"/>
          <w:bCs/>
          <w:color w:val="000000"/>
          <w:sz w:val="20"/>
          <w:szCs w:val="20"/>
          <w:lang w:val="en-US"/>
        </w:rPr>
        <w:t>, increased focus on preventing the sale of tobacco to people under the age of 18, the introduction and extension of smoke-free</w:t>
      </w:r>
      <w:r>
        <w:rPr>
          <w:rFonts w:ascii="Arial" w:hAnsi="Arial" w:cs="Arial"/>
          <w:bCs/>
          <w:color w:val="000000"/>
          <w:sz w:val="20"/>
          <w:szCs w:val="20"/>
          <w:lang w:val="en-US"/>
        </w:rPr>
        <w:t xml:space="preserve"> </w:t>
      </w:r>
      <w:r w:rsidRPr="002E5727">
        <w:rPr>
          <w:rFonts w:ascii="Arial" w:hAnsi="Arial" w:cs="Arial"/>
          <w:bCs/>
          <w:color w:val="000000"/>
          <w:sz w:val="20"/>
          <w:szCs w:val="20"/>
          <w:lang w:val="en-US"/>
        </w:rPr>
        <w:t>legislation</w:t>
      </w:r>
      <w:r w:rsidRPr="002E5727">
        <w:rPr>
          <w:rFonts w:ascii="Arial" w:hAnsi="Arial" w:cs="Arial"/>
          <w:bCs/>
          <w:color w:val="000000"/>
          <w:sz w:val="20"/>
          <w:szCs w:val="20"/>
          <w:vertAlign w:val="superscript"/>
          <w:lang w:val="en-US"/>
        </w:rPr>
        <w:footnoteReference w:id="49"/>
      </w:r>
      <w:r w:rsidRPr="002E5727">
        <w:rPr>
          <w:rFonts w:ascii="Arial" w:hAnsi="Arial" w:cs="Arial"/>
          <w:bCs/>
          <w:color w:val="000000"/>
          <w:sz w:val="20"/>
          <w:szCs w:val="20"/>
          <w:lang w:val="en-US"/>
        </w:rPr>
        <w:t>, and implementation of plain packaging laws and larger graphic health warnings on tobacco packs in late 2012</w:t>
      </w:r>
      <w:r w:rsidRPr="002E5727">
        <w:rPr>
          <w:rFonts w:ascii="Arial" w:hAnsi="Arial" w:cs="Arial"/>
          <w:bCs/>
          <w:color w:val="000000"/>
          <w:sz w:val="20"/>
          <w:szCs w:val="20"/>
          <w:vertAlign w:val="superscript"/>
          <w:lang w:val="en-US"/>
        </w:rPr>
        <w:footnoteReference w:id="50"/>
      </w:r>
      <w:r>
        <w:rPr>
          <w:rFonts w:ascii="Arial" w:hAnsi="Arial" w:cs="Arial"/>
          <w:bCs/>
          <w:color w:val="000000"/>
          <w:sz w:val="20"/>
          <w:szCs w:val="20"/>
          <w:vertAlign w:val="superscript"/>
          <w:lang w:val="en-US"/>
        </w:rPr>
        <w:t>-</w:t>
      </w:r>
      <w:r w:rsidRPr="00F74770">
        <w:rPr>
          <w:rFonts w:ascii="Arial" w:hAnsi="Arial" w:cs="Arial"/>
          <w:bCs/>
          <w:vanish/>
          <w:color w:val="000000"/>
          <w:sz w:val="20"/>
          <w:szCs w:val="20"/>
          <w:vertAlign w:val="superscript"/>
          <w:lang w:val="en-US"/>
        </w:rPr>
        <w:footnoteReference w:id="51"/>
      </w:r>
      <w:r w:rsidRPr="002E5727">
        <w:rPr>
          <w:rFonts w:ascii="Arial" w:hAnsi="Arial" w:cs="Arial"/>
          <w:bCs/>
          <w:color w:val="000000"/>
          <w:sz w:val="20"/>
          <w:szCs w:val="20"/>
          <w:vertAlign w:val="superscript"/>
          <w:lang w:val="en-US"/>
        </w:rPr>
        <w:footnoteReference w:id="52"/>
      </w:r>
      <w:r w:rsidRPr="002E5727">
        <w:rPr>
          <w:rFonts w:ascii="Arial" w:hAnsi="Arial" w:cs="Arial"/>
          <w:bCs/>
          <w:color w:val="000000"/>
          <w:sz w:val="20"/>
          <w:szCs w:val="20"/>
          <w:lang w:val="en-US"/>
        </w:rPr>
        <w:t>.</w:t>
      </w:r>
    </w:p>
    <w:p w14:paraId="03B54DC0" w14:textId="77777777"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The trends observed in ASSAD survey data suggest multi-faceted policy responses to increases in smoking among adolescents were effective. Societal changes associated with this policy climate such as changed social norms around parenting and socialising might also have contributed to declining trends. The impact of </w:t>
      </w:r>
      <w:r w:rsidRPr="002E5727">
        <w:rPr>
          <w:rFonts w:ascii="Arial" w:hAnsi="Arial" w:cs="Arial"/>
          <w:bCs/>
          <w:color w:val="000000"/>
          <w:sz w:val="20"/>
          <w:szCs w:val="20"/>
          <w:lang w:val="en-US"/>
        </w:rPr>
        <w:lastRenderedPageBreak/>
        <w:t xml:space="preserve">rapid technological change (e.g., smart phone use) on how adolescents socialised and used recreation time has also been suggested as a potential contributor to reduced smoking prevalence in this age group. However, strong evidence has been found for the effects of policies such as bans on smoking in public places, anti-smoking advertising, tighter regulation of sales to minors, and tax increases. </w:t>
      </w:r>
    </w:p>
    <w:p w14:paraId="7CD3424A" w14:textId="5D74705A"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 xml:space="preserve">Smoking prevalence plateaued between 2008 and 2011, from which time the implementation of plain tobacco packaging in December 2012 is likely to have played an important role in the further reductions observed in smoking between 2011 and 2017. While the absolute decline in smoking prevalence overall has been smaller over the last decade, this is substantially due to the shrinking proportion of students who have smoked. However, the most recent data indicate a slightly smaller decline from 2014 to 2017, </w:t>
      </w:r>
      <w:r>
        <w:rPr>
          <w:rFonts w:ascii="Arial" w:hAnsi="Arial" w:cs="Arial"/>
          <w:bCs/>
          <w:color w:val="000000"/>
          <w:sz w:val="20"/>
          <w:szCs w:val="20"/>
          <w:lang w:val="en-US"/>
        </w:rPr>
        <w:t>so it remains important to continue to monitor</w:t>
      </w:r>
      <w:r w:rsidRPr="002E5727">
        <w:rPr>
          <w:rFonts w:ascii="Arial" w:hAnsi="Arial" w:cs="Arial"/>
          <w:bCs/>
          <w:color w:val="000000"/>
          <w:sz w:val="20"/>
          <w:szCs w:val="20"/>
          <w:lang w:val="en-US"/>
        </w:rPr>
        <w:t xml:space="preserve"> prevalence.</w:t>
      </w:r>
    </w:p>
    <w:p w14:paraId="3B208B0D" w14:textId="21F5B66C" w:rsidR="00FF7F16" w:rsidRPr="00DE25AD" w:rsidRDefault="00FF7F16" w:rsidP="00FF7F16">
      <w:pPr>
        <w:pStyle w:val="ASSAD2017ACCESSHeading2"/>
      </w:pPr>
      <w:r>
        <w:t>Recent trends</w:t>
      </w:r>
    </w:p>
    <w:p w14:paraId="6A8357FF" w14:textId="3B455E79" w:rsidR="00FF7F16"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smaller decline in adolescent smoking from 2014 to the latest survey round in 2017 may be concerning. While the period from 2011 included the implementation of plain packaging and other policy measures, since 2014 there has been a reduction in government-funded national and state-based mass-media anti-smoking campaigns, and a greater identified need for support for quitters</w:t>
      </w:r>
      <w:r w:rsidRPr="002E5727">
        <w:rPr>
          <w:rFonts w:ascii="Arial" w:hAnsi="Arial" w:cs="Arial"/>
          <w:bCs/>
          <w:color w:val="000000"/>
          <w:sz w:val="20"/>
          <w:szCs w:val="20"/>
          <w:vertAlign w:val="superscript"/>
          <w:lang w:val="en-US"/>
        </w:rPr>
        <w:footnoteReference w:id="53"/>
      </w:r>
      <w:r w:rsidRPr="002E5727">
        <w:rPr>
          <w:rFonts w:ascii="Arial" w:hAnsi="Arial" w:cs="Arial"/>
          <w:bCs/>
          <w:color w:val="000000"/>
          <w:sz w:val="20"/>
          <w:szCs w:val="20"/>
          <w:lang w:val="en-US"/>
        </w:rPr>
        <w:t>. There has also been a proliferation of novel tobacco products and smaller pack sizes which are attractive and affordable for adolescents</w:t>
      </w:r>
      <w:r w:rsidRPr="002E5727">
        <w:rPr>
          <w:rFonts w:ascii="Arial" w:hAnsi="Arial" w:cs="Arial"/>
          <w:bCs/>
          <w:color w:val="000000"/>
          <w:sz w:val="20"/>
          <w:szCs w:val="20"/>
          <w:vertAlign w:val="superscript"/>
          <w:lang w:val="en-US"/>
        </w:rPr>
        <w:footnoteReference w:id="54"/>
      </w:r>
      <w:r>
        <w:rPr>
          <w:rFonts w:ascii="Arial" w:hAnsi="Arial" w:cs="Arial"/>
          <w:bCs/>
          <w:color w:val="000000"/>
          <w:sz w:val="20"/>
          <w:szCs w:val="20"/>
          <w:vertAlign w:val="superscript"/>
          <w:lang w:val="en-US"/>
        </w:rPr>
        <w:t>,</w:t>
      </w:r>
      <w:r w:rsidRPr="002E5727">
        <w:rPr>
          <w:rFonts w:ascii="Arial" w:hAnsi="Arial" w:cs="Arial"/>
          <w:bCs/>
          <w:color w:val="000000"/>
          <w:sz w:val="20"/>
          <w:szCs w:val="20"/>
          <w:vertAlign w:val="superscript"/>
          <w:lang w:val="en-US"/>
        </w:rPr>
        <w:footnoteReference w:id="55"/>
      </w:r>
      <w:r w:rsidRPr="002E5727">
        <w:rPr>
          <w:rFonts w:ascii="Arial" w:hAnsi="Arial" w:cs="Arial"/>
          <w:bCs/>
          <w:color w:val="000000"/>
          <w:sz w:val="20"/>
          <w:szCs w:val="20"/>
          <w:lang w:val="en-US"/>
        </w:rPr>
        <w:t xml:space="preserve">. These products designed to attract new smokers and retain existing smokers have gained substantial traction among adolescent smokers since their introduction following large tax increases </w:t>
      </w:r>
      <w:r>
        <w:rPr>
          <w:rFonts w:ascii="Arial" w:hAnsi="Arial" w:cs="Arial"/>
          <w:bCs/>
          <w:color w:val="000000"/>
          <w:sz w:val="20"/>
          <w:szCs w:val="20"/>
          <w:lang w:val="en-US"/>
        </w:rPr>
        <w:t>from</w:t>
      </w:r>
      <w:r w:rsidRPr="002E5727">
        <w:rPr>
          <w:rFonts w:ascii="Arial" w:hAnsi="Arial" w:cs="Arial"/>
          <w:bCs/>
          <w:color w:val="000000"/>
          <w:sz w:val="20"/>
          <w:szCs w:val="20"/>
          <w:lang w:val="en-US"/>
        </w:rPr>
        <w:t xml:space="preserve"> 2010, and </w:t>
      </w:r>
      <w:r>
        <w:rPr>
          <w:rFonts w:ascii="Arial" w:hAnsi="Arial" w:cs="Arial"/>
          <w:bCs/>
          <w:color w:val="000000"/>
          <w:sz w:val="20"/>
          <w:szCs w:val="20"/>
          <w:lang w:val="en-US"/>
        </w:rPr>
        <w:t>since</w:t>
      </w:r>
      <w:r w:rsidRPr="002E5727">
        <w:rPr>
          <w:rFonts w:ascii="Arial" w:hAnsi="Arial" w:cs="Arial"/>
          <w:bCs/>
          <w:color w:val="000000"/>
          <w:sz w:val="20"/>
          <w:szCs w:val="20"/>
          <w:lang w:val="en-US"/>
        </w:rPr>
        <w:t xml:space="preserve"> the advent of plain packaging</w:t>
      </w:r>
      <w:r w:rsidRPr="002E5727">
        <w:rPr>
          <w:rFonts w:ascii="Arial" w:hAnsi="Arial" w:cs="Arial"/>
          <w:bCs/>
          <w:color w:val="000000"/>
          <w:sz w:val="20"/>
          <w:szCs w:val="20"/>
          <w:vertAlign w:val="superscript"/>
          <w:lang w:val="en-US"/>
        </w:rPr>
        <w:footnoteReference w:id="56"/>
      </w:r>
      <w:r>
        <w:rPr>
          <w:rFonts w:ascii="Arial" w:hAnsi="Arial" w:cs="Arial"/>
          <w:bCs/>
          <w:color w:val="000000"/>
          <w:sz w:val="20"/>
          <w:szCs w:val="20"/>
          <w:vertAlign w:val="superscript"/>
          <w:lang w:val="en-US"/>
        </w:rPr>
        <w:t>,</w:t>
      </w:r>
      <w:r w:rsidRPr="002E5727">
        <w:rPr>
          <w:rFonts w:ascii="Arial" w:hAnsi="Arial" w:cs="Arial"/>
          <w:bCs/>
          <w:color w:val="000000"/>
          <w:sz w:val="20"/>
          <w:szCs w:val="20"/>
          <w:vertAlign w:val="superscript"/>
          <w:lang w:val="en-US"/>
        </w:rPr>
        <w:footnoteReference w:id="57"/>
      </w:r>
      <w:r w:rsidRPr="002E5727">
        <w:rPr>
          <w:rFonts w:ascii="Arial" w:hAnsi="Arial" w:cs="Arial"/>
          <w:bCs/>
          <w:color w:val="000000"/>
          <w:sz w:val="20"/>
          <w:szCs w:val="20"/>
          <w:lang w:val="en-US"/>
        </w:rPr>
        <w:t>.</w:t>
      </w:r>
    </w:p>
    <w:p w14:paraId="38713A6C" w14:textId="1A205E12" w:rsidR="00FF7F16" w:rsidRPr="00DE25AD" w:rsidRDefault="00FF7F16" w:rsidP="00FF7F16">
      <w:pPr>
        <w:pStyle w:val="ASSAD2017ACCESSHeading2"/>
      </w:pPr>
      <w:r>
        <w:t>Implications</w:t>
      </w:r>
    </w:p>
    <w:p w14:paraId="6ADB2616" w14:textId="1CE6FDE2" w:rsidR="00FF7F16" w:rsidRPr="002E5727" w:rsidRDefault="00FF7F16" w:rsidP="00FF7F1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The implementation of plain packaging legislation, tax increases, and other public health efforts have effectively reduced smoking initiation and regular smoking among both adults and adolescents</w:t>
      </w:r>
      <w:r w:rsidRPr="002E5727">
        <w:rPr>
          <w:rFonts w:ascii="Arial" w:hAnsi="Arial" w:cs="Arial"/>
          <w:bCs/>
          <w:color w:val="000000"/>
          <w:sz w:val="20"/>
          <w:szCs w:val="20"/>
          <w:vertAlign w:val="superscript"/>
          <w:lang w:val="en-US"/>
        </w:rPr>
        <w:footnoteReference w:id="58"/>
      </w:r>
      <w:r w:rsidRPr="002E5727">
        <w:rPr>
          <w:rFonts w:ascii="Arial" w:hAnsi="Arial" w:cs="Arial"/>
          <w:bCs/>
          <w:color w:val="000000"/>
          <w:sz w:val="20"/>
          <w:szCs w:val="20"/>
          <w:lang w:val="en-US"/>
        </w:rPr>
        <w:t xml:space="preserve"> since 2011. If the negative impact of smoking on individual and public health is to be further limited, more </w:t>
      </w:r>
      <w:r>
        <w:rPr>
          <w:rFonts w:ascii="Arial" w:hAnsi="Arial" w:cs="Arial"/>
          <w:bCs/>
          <w:color w:val="000000"/>
          <w:sz w:val="20"/>
          <w:szCs w:val="20"/>
          <w:lang w:val="en-US"/>
        </w:rPr>
        <w:t>action</w:t>
      </w:r>
      <w:r w:rsidRPr="002E5727">
        <w:rPr>
          <w:rFonts w:ascii="Arial" w:hAnsi="Arial" w:cs="Arial"/>
          <w:bCs/>
          <w:color w:val="000000"/>
          <w:sz w:val="20"/>
          <w:szCs w:val="20"/>
          <w:lang w:val="en-US"/>
        </w:rPr>
        <w:t xml:space="preserve"> is needed to consolidate public awareness of the specific dangers of smoking, reinforce the personal relevance of these dangers, and counter the marketing strategies of the tobacco</w:t>
      </w:r>
      <w:r>
        <w:rPr>
          <w:rFonts w:ascii="Arial" w:hAnsi="Arial" w:cs="Arial"/>
          <w:bCs/>
          <w:color w:val="000000"/>
          <w:sz w:val="20"/>
          <w:szCs w:val="20"/>
          <w:lang w:val="en-US"/>
        </w:rPr>
        <w:t xml:space="preserve"> industry.</w:t>
      </w:r>
    </w:p>
    <w:p w14:paraId="2456FE94" w14:textId="07CF8905" w:rsidR="00D468CB" w:rsidRDefault="00D468CB">
      <w:pPr>
        <w:suppressAutoHyphens w:val="0"/>
        <w:rPr>
          <w:rFonts w:ascii="Arial" w:hAnsi="Arial" w:cs="Arial"/>
          <w:bCs/>
          <w:color w:val="000000"/>
          <w:sz w:val="20"/>
          <w:szCs w:val="20"/>
          <w:lang w:val="en-US"/>
        </w:rPr>
      </w:pPr>
      <w:r>
        <w:rPr>
          <w:rFonts w:ascii="Arial" w:hAnsi="Arial" w:cs="Arial"/>
          <w:bCs/>
          <w:color w:val="000000"/>
          <w:sz w:val="20"/>
          <w:szCs w:val="20"/>
          <w:lang w:val="en-US"/>
        </w:rPr>
        <w:br w:type="page"/>
      </w:r>
    </w:p>
    <w:p w14:paraId="4BA7C76C" w14:textId="4FA30086" w:rsidR="00FF7F16" w:rsidRPr="00DE25AD" w:rsidRDefault="00FF7F16" w:rsidP="00822EDD">
      <w:pPr>
        <w:pStyle w:val="ASSAD2017ACCESSBody1"/>
        <w:sectPr w:rsidR="00FF7F16" w:rsidRPr="00DE25AD" w:rsidSect="00D10624">
          <w:footerReference w:type="even" r:id="rId12"/>
          <w:footerReference w:type="default" r:id="rId13"/>
          <w:type w:val="continuous"/>
          <w:pgSz w:w="11906" w:h="16838"/>
          <w:pgMar w:top="1134" w:right="1134" w:bottom="1134" w:left="1134" w:header="567" w:footer="403" w:gutter="0"/>
          <w:cols w:space="720"/>
          <w:docGrid w:linePitch="360"/>
        </w:sectPr>
      </w:pPr>
    </w:p>
    <w:p w14:paraId="47CBB8E6" w14:textId="58D2AF58" w:rsidR="007B7B5D" w:rsidRPr="00DE25AD" w:rsidRDefault="00D468CB" w:rsidP="007B7B5D">
      <w:pPr>
        <w:pStyle w:val="ASSAD2017ACCESSHeading2"/>
        <w:rPr>
          <w:color w:val="17365D" w:themeColor="text2" w:themeShade="BF"/>
          <w:sz w:val="20"/>
          <w:lang w:val="en-AU" w:eastAsia="en-AU"/>
        </w:rPr>
      </w:pPr>
      <w:r>
        <w:lastRenderedPageBreak/>
        <w:t>Timeline of tobacco control in Australia</w:t>
      </w:r>
      <w:r w:rsidRPr="00D468CB">
        <w:rPr>
          <w:b w:val="0"/>
          <w:bCs w:val="0"/>
          <w:sz w:val="20"/>
          <w:szCs w:val="20"/>
          <w:vertAlign w:val="superscript"/>
          <w:lang w:eastAsia="en-AU"/>
        </w:rPr>
        <w:footnoteReference w:id="59"/>
      </w:r>
      <w:r w:rsidRPr="00D468CB">
        <w:rPr>
          <w:b w:val="0"/>
          <w:bCs w:val="0"/>
          <w:color w:val="000000"/>
          <w:sz w:val="20"/>
          <w:szCs w:val="20"/>
          <w:vertAlign w:val="superscript"/>
          <w:lang w:val="en-US"/>
        </w:rPr>
        <w:t>,</w:t>
      </w:r>
      <w:r w:rsidRPr="00D468CB">
        <w:rPr>
          <w:rStyle w:val="FootnoteReference"/>
          <w:b w:val="0"/>
          <w:bCs w:val="0"/>
          <w:sz w:val="20"/>
          <w:szCs w:val="20"/>
          <w:lang w:eastAsia="en-AU"/>
        </w:rPr>
        <w:footnoteReference w:id="60"/>
      </w:r>
    </w:p>
    <w:p w14:paraId="4BE9E4A8" w14:textId="7CF1AA57" w:rsidR="00D468CB" w:rsidRDefault="00D468CB" w:rsidP="00041548">
      <w:pPr>
        <w:pStyle w:val="ASSAD2017ACCESSBody1"/>
        <w:rPr>
          <w:color w:val="000000"/>
        </w:rPr>
      </w:pPr>
      <w:r>
        <w:t>1973</w:t>
      </w:r>
      <w:r>
        <w:tab/>
      </w:r>
      <w:r w:rsidRPr="002E5727">
        <w:rPr>
          <w:color w:val="000000"/>
        </w:rPr>
        <w:t>Text health warning “Smoking is a health hazard” first mandated on all cigarette packs in Australia.</w:t>
      </w:r>
    </w:p>
    <w:p w14:paraId="5E20C643" w14:textId="71DD6CF9" w:rsidR="00D468CB" w:rsidRDefault="00D468CB" w:rsidP="00041548">
      <w:pPr>
        <w:pStyle w:val="ASSAD2017ACCESSBody1"/>
        <w:rPr>
          <w:color w:val="000000"/>
        </w:rPr>
      </w:pPr>
      <w:r>
        <w:rPr>
          <w:color w:val="000000"/>
        </w:rPr>
        <w:t>1976</w:t>
      </w:r>
      <w:r>
        <w:rPr>
          <w:color w:val="000000"/>
        </w:rPr>
        <w:tab/>
      </w:r>
      <w:r w:rsidRPr="002E5727">
        <w:rPr>
          <w:color w:val="000000"/>
        </w:rPr>
        <w:t>Bans on all cigarette advertising on radio and television in Australia.</w:t>
      </w:r>
    </w:p>
    <w:p w14:paraId="56AA8C5C" w14:textId="0AD21FA4" w:rsidR="00D468CB" w:rsidRDefault="00D468CB" w:rsidP="00041548">
      <w:pPr>
        <w:pStyle w:val="ASSAD2017ACCESSBody1"/>
        <w:rPr>
          <w:color w:val="000000"/>
        </w:rPr>
      </w:pPr>
      <w:r>
        <w:rPr>
          <w:color w:val="000000"/>
        </w:rPr>
        <w:t>1983-1987</w:t>
      </w:r>
      <w:r>
        <w:rPr>
          <w:color w:val="000000"/>
        </w:rPr>
        <w:tab/>
      </w:r>
      <w:r w:rsidRPr="002E5727">
        <w:rPr>
          <w:color w:val="000000"/>
        </w:rPr>
        <w:t>Introduction of TV-led Quit campaigns, starting in Western Australia.</w:t>
      </w:r>
    </w:p>
    <w:p w14:paraId="3A148D6D" w14:textId="06BF7CA8" w:rsidR="00D468CB" w:rsidRDefault="00D468CB" w:rsidP="00041548">
      <w:pPr>
        <w:pStyle w:val="ASSAD2017ACCESSBody1"/>
        <w:rPr>
          <w:color w:val="000000"/>
        </w:rPr>
      </w:pPr>
      <w:r>
        <w:rPr>
          <w:color w:val="000000"/>
        </w:rPr>
        <w:t>1988</w:t>
      </w:r>
      <w:r>
        <w:rPr>
          <w:color w:val="000000"/>
        </w:rPr>
        <w:tab/>
      </w:r>
      <w:r w:rsidRPr="002E5727">
        <w:rPr>
          <w:color w:val="000000"/>
        </w:rPr>
        <w:t>Introduction in all states of a rotating set of four of health warnings on the base of tobacco packaging.</w:t>
      </w:r>
    </w:p>
    <w:p w14:paraId="7B1DE131" w14:textId="26BF1372" w:rsidR="00D468CB" w:rsidRDefault="00D468CB" w:rsidP="00041548">
      <w:pPr>
        <w:pStyle w:val="ASSAD2017ACCESSBody1"/>
        <w:rPr>
          <w:color w:val="000000"/>
        </w:rPr>
      </w:pPr>
      <w:r>
        <w:rPr>
          <w:color w:val="000000"/>
        </w:rPr>
        <w:t>1986-2006</w:t>
      </w:r>
      <w:r>
        <w:rPr>
          <w:color w:val="000000"/>
        </w:rPr>
        <w:tab/>
      </w:r>
      <w:r w:rsidRPr="002E5727">
        <w:rPr>
          <w:color w:val="000000"/>
        </w:rPr>
        <w:t>Phased in bans on smoking in workplaces and public places.</w:t>
      </w:r>
    </w:p>
    <w:p w14:paraId="0B59C852" w14:textId="03D772FC" w:rsidR="00D468CB" w:rsidRDefault="00D468CB" w:rsidP="00041548">
      <w:pPr>
        <w:pStyle w:val="ASSAD2017ACCESSBody1"/>
        <w:rPr>
          <w:color w:val="000000"/>
        </w:rPr>
      </w:pPr>
      <w:r>
        <w:rPr>
          <w:color w:val="000000"/>
        </w:rPr>
        <w:t>1990</w:t>
      </w:r>
      <w:r>
        <w:rPr>
          <w:color w:val="000000"/>
        </w:rPr>
        <w:tab/>
      </w:r>
      <w:r w:rsidRPr="002E5727">
        <w:rPr>
          <w:color w:val="000000"/>
        </w:rPr>
        <w:t>Bans on advertising of tobacco products in newspapers and magazines published in Australia.</w:t>
      </w:r>
    </w:p>
    <w:p w14:paraId="7B62E7FD" w14:textId="24957C73" w:rsidR="00D468CB" w:rsidRDefault="00D468CB" w:rsidP="00041548">
      <w:pPr>
        <w:pStyle w:val="ASSAD2017ACCESSBody1"/>
        <w:rPr>
          <w:color w:val="000000"/>
        </w:rPr>
      </w:pPr>
      <w:r>
        <w:rPr>
          <w:color w:val="000000"/>
        </w:rPr>
        <w:t>1992</w:t>
      </w:r>
      <w:r>
        <w:rPr>
          <w:color w:val="000000"/>
        </w:rPr>
        <w:tab/>
      </w:r>
      <w:r w:rsidRPr="002E5727">
        <w:rPr>
          <w:color w:val="000000"/>
        </w:rPr>
        <w:t>Increase in the tobacco excise.</w:t>
      </w:r>
    </w:p>
    <w:p w14:paraId="15D40D04" w14:textId="001A75DA" w:rsidR="00D468CB" w:rsidRDefault="00D468CB" w:rsidP="00041548">
      <w:pPr>
        <w:pStyle w:val="ASSAD2017ACCESSBody1"/>
        <w:rPr>
          <w:color w:val="000000"/>
        </w:rPr>
      </w:pPr>
      <w:r>
        <w:rPr>
          <w:color w:val="000000"/>
        </w:rPr>
        <w:t>1993</w:t>
      </w:r>
      <w:r>
        <w:rPr>
          <w:color w:val="000000"/>
        </w:rPr>
        <w:tab/>
      </w:r>
      <w:r w:rsidRPr="002E5727">
        <w:rPr>
          <w:i/>
          <w:iCs/>
          <w:color w:val="000000"/>
        </w:rPr>
        <w:t>Tobacco Advertising Prohibition Act 1992</w:t>
      </w:r>
      <w:r w:rsidRPr="002E5727">
        <w:rPr>
          <w:color w:val="000000"/>
        </w:rPr>
        <w:t> prohibited broadcasting and publication of tobacco advertisements.</w:t>
      </w:r>
    </w:p>
    <w:p w14:paraId="1227CB38" w14:textId="584D1005" w:rsidR="00D468CB" w:rsidRDefault="00D468CB" w:rsidP="00041548">
      <w:pPr>
        <w:pStyle w:val="ASSAD2017ACCESSBody1"/>
        <w:rPr>
          <w:color w:val="000000"/>
        </w:rPr>
      </w:pPr>
      <w:r>
        <w:rPr>
          <w:color w:val="000000"/>
        </w:rPr>
        <w:t>1994-2003</w:t>
      </w:r>
      <w:r>
        <w:rPr>
          <w:color w:val="000000"/>
        </w:rPr>
        <w:tab/>
      </w:r>
      <w:r w:rsidRPr="002E5727">
        <w:rPr>
          <w:color w:val="000000"/>
        </w:rPr>
        <w:t>Bans on smoking in restaurants.</w:t>
      </w:r>
    </w:p>
    <w:p w14:paraId="1F6C878E" w14:textId="76D4DE7F" w:rsidR="00D468CB" w:rsidRDefault="00D468CB" w:rsidP="00041548">
      <w:pPr>
        <w:pStyle w:val="ASSAD2017ACCESSBody1"/>
        <w:rPr>
          <w:color w:val="000000"/>
        </w:rPr>
      </w:pPr>
      <w:r>
        <w:rPr>
          <w:color w:val="000000"/>
        </w:rPr>
        <w:t>1995</w:t>
      </w:r>
      <w:r>
        <w:rPr>
          <w:color w:val="000000"/>
        </w:rPr>
        <w:tab/>
      </w:r>
      <w:r w:rsidRPr="002E5727">
        <w:rPr>
          <w:color w:val="000000"/>
        </w:rPr>
        <w:t>Nationally consistent and enlarged text only health warnings required at the top of tobacco packaging.</w:t>
      </w:r>
    </w:p>
    <w:p w14:paraId="5F68AB6A" w14:textId="0D09EDAC" w:rsidR="00D468CB" w:rsidRDefault="00D468CB" w:rsidP="00041548">
      <w:pPr>
        <w:pStyle w:val="ASSAD2017ACCESSBody1"/>
        <w:rPr>
          <w:color w:val="000000"/>
        </w:rPr>
      </w:pPr>
      <w:r>
        <w:rPr>
          <w:color w:val="000000"/>
        </w:rPr>
        <w:t>1998-2006</w:t>
      </w:r>
      <w:r>
        <w:rPr>
          <w:color w:val="000000"/>
        </w:rPr>
        <w:tab/>
      </w:r>
      <w:r w:rsidRPr="002E5727">
        <w:rPr>
          <w:color w:val="000000"/>
        </w:rPr>
        <w:t>Bans on point-of-sale tobacco advertising across Australia.</w:t>
      </w:r>
    </w:p>
    <w:p w14:paraId="50EF8972" w14:textId="49DAB8D3" w:rsidR="00D468CB" w:rsidRDefault="00D468CB" w:rsidP="00041548">
      <w:pPr>
        <w:pStyle w:val="ASSAD2017ACCESSBody1"/>
        <w:rPr>
          <w:color w:val="000000"/>
        </w:rPr>
      </w:pPr>
      <w:r>
        <w:rPr>
          <w:color w:val="000000"/>
        </w:rPr>
        <w:t>1997-2001</w:t>
      </w:r>
      <w:r>
        <w:rPr>
          <w:color w:val="000000"/>
        </w:rPr>
        <w:tab/>
        <w:t>National tobacco mass media campaign.</w:t>
      </w:r>
    </w:p>
    <w:p w14:paraId="66F148B2" w14:textId="1D4E064D" w:rsidR="00D468CB" w:rsidRDefault="00D468CB" w:rsidP="00041548">
      <w:pPr>
        <w:pStyle w:val="ASSAD2017ACCESSBody1"/>
        <w:rPr>
          <w:color w:val="000000"/>
        </w:rPr>
      </w:pPr>
      <w:r>
        <w:rPr>
          <w:color w:val="000000"/>
        </w:rPr>
        <w:t>1999-2000</w:t>
      </w:r>
      <w:r>
        <w:rPr>
          <w:color w:val="000000"/>
        </w:rPr>
        <w:tab/>
        <w:t>Tobacco price increases due to new ‘per stick’ tobacco excise system (1999) and introduction of GST (2000).</w:t>
      </w:r>
    </w:p>
    <w:p w14:paraId="55546E4B" w14:textId="0C7B2289" w:rsidR="00D468CB" w:rsidRDefault="00D468CB" w:rsidP="00041548">
      <w:pPr>
        <w:pStyle w:val="ASSAD2017ACCESSBody1"/>
        <w:rPr>
          <w:color w:val="000000"/>
        </w:rPr>
      </w:pPr>
      <w:r>
        <w:rPr>
          <w:color w:val="000000"/>
        </w:rPr>
        <w:t>2005-2010</w:t>
      </w:r>
      <w:r>
        <w:rPr>
          <w:color w:val="000000"/>
        </w:rPr>
        <w:tab/>
        <w:t>Bans on smoking in pubs and clubs.</w:t>
      </w:r>
    </w:p>
    <w:p w14:paraId="6AE8886E" w14:textId="404E66A3" w:rsidR="00D468CB" w:rsidRDefault="00D468CB" w:rsidP="00041548">
      <w:pPr>
        <w:pStyle w:val="ASSAD2017ACCESSBody1"/>
        <w:rPr>
          <w:color w:val="000000"/>
        </w:rPr>
      </w:pPr>
      <w:r>
        <w:rPr>
          <w:color w:val="000000"/>
        </w:rPr>
        <w:t>2006</w:t>
      </w:r>
      <w:r>
        <w:rPr>
          <w:color w:val="000000"/>
        </w:rPr>
        <w:tab/>
      </w:r>
      <w:r w:rsidRPr="002E5727">
        <w:rPr>
          <w:color w:val="000000"/>
        </w:rPr>
        <w:t>Graphic health warnings required on packaging of most tobacco products.</w:t>
      </w:r>
    </w:p>
    <w:p w14:paraId="1AC4592D" w14:textId="563360B2" w:rsidR="00CF2871" w:rsidRDefault="00CF2871" w:rsidP="00041548">
      <w:pPr>
        <w:pStyle w:val="ASSAD2017ACCESSBody1"/>
        <w:rPr>
          <w:color w:val="000000"/>
        </w:rPr>
      </w:pPr>
      <w:r>
        <w:rPr>
          <w:color w:val="000000"/>
        </w:rPr>
        <w:t>2010</w:t>
      </w:r>
      <w:r>
        <w:rPr>
          <w:color w:val="000000"/>
        </w:rPr>
        <w:tab/>
      </w:r>
      <w:r w:rsidRPr="002E5727">
        <w:rPr>
          <w:color w:val="000000"/>
        </w:rPr>
        <w:t>25% increase in the tobacco excise.</w:t>
      </w:r>
    </w:p>
    <w:p w14:paraId="0C115F04" w14:textId="61448AD7" w:rsidR="00CF2871" w:rsidRDefault="00CF2871" w:rsidP="00041548">
      <w:pPr>
        <w:pStyle w:val="ASSAD2017ACCESSBody1"/>
        <w:rPr>
          <w:color w:val="000000"/>
        </w:rPr>
      </w:pPr>
      <w:r>
        <w:rPr>
          <w:color w:val="000000"/>
        </w:rPr>
        <w:t>2011</w:t>
      </w:r>
      <w:r>
        <w:rPr>
          <w:color w:val="000000"/>
        </w:rPr>
        <w:tab/>
      </w:r>
      <w:r w:rsidRPr="002E5727">
        <w:rPr>
          <w:color w:val="000000"/>
        </w:rPr>
        <w:t>First complete state or territory ban on point of sale tobacco product displays.</w:t>
      </w:r>
    </w:p>
    <w:p w14:paraId="1D8F36CB" w14:textId="7258C040" w:rsidR="00CF2871" w:rsidRDefault="00CF2871" w:rsidP="00041548">
      <w:pPr>
        <w:pStyle w:val="ASSAD2017ACCESSBody1"/>
        <w:rPr>
          <w:color w:val="000000"/>
        </w:rPr>
      </w:pPr>
      <w:r>
        <w:rPr>
          <w:color w:val="000000"/>
        </w:rPr>
        <w:t>2012</w:t>
      </w:r>
      <w:r>
        <w:rPr>
          <w:color w:val="000000"/>
        </w:rPr>
        <w:tab/>
      </w:r>
      <w:r w:rsidRPr="002E5727">
        <w:rPr>
          <w:color w:val="000000"/>
        </w:rPr>
        <w:t>Offence for any person to publish tobacco advertising on the internet or other electronic media.</w:t>
      </w:r>
    </w:p>
    <w:p w14:paraId="51D45009" w14:textId="7DB89FA5" w:rsidR="00CF2871" w:rsidRDefault="00CF2871" w:rsidP="00041548">
      <w:pPr>
        <w:pStyle w:val="ASSAD2017ACCESSBody1"/>
        <w:rPr>
          <w:color w:val="000000"/>
        </w:rPr>
      </w:pPr>
      <w:r>
        <w:rPr>
          <w:color w:val="000000"/>
        </w:rPr>
        <w:t>2012</w:t>
      </w:r>
      <w:r>
        <w:rPr>
          <w:color w:val="000000"/>
        </w:rPr>
        <w:tab/>
      </w:r>
      <w:r w:rsidRPr="002E5727">
        <w:rPr>
          <w:color w:val="000000"/>
        </w:rPr>
        <w:t>Introduction of tobacco plain packaging and updated and expanded graphic health warnings.</w:t>
      </w:r>
    </w:p>
    <w:p w14:paraId="2ED173DB" w14:textId="5411A670" w:rsidR="00CF2871" w:rsidRDefault="00CF2871" w:rsidP="00041548">
      <w:pPr>
        <w:pStyle w:val="ASSAD2017ACCESSBody1"/>
        <w:rPr>
          <w:color w:val="000000"/>
        </w:rPr>
      </w:pPr>
      <w:r>
        <w:rPr>
          <w:color w:val="000000"/>
        </w:rPr>
        <w:t>2012</w:t>
      </w:r>
      <w:r>
        <w:rPr>
          <w:color w:val="000000"/>
        </w:rPr>
        <w:tab/>
      </w:r>
      <w:r w:rsidRPr="002E5727">
        <w:rPr>
          <w:color w:val="000000"/>
        </w:rPr>
        <w:t>Reduction in the duty free allowance from 250 cigarettes or 250 grams of cigars or tobacco products to 50 cigarettes or 50 grams of cigars or tobacco products.</w:t>
      </w:r>
    </w:p>
    <w:p w14:paraId="442AE7E9" w14:textId="2E233495" w:rsidR="00CF2871" w:rsidRDefault="00CF2871" w:rsidP="00041548">
      <w:pPr>
        <w:pStyle w:val="ASSAD2017ACCESSBody1"/>
        <w:rPr>
          <w:color w:val="000000"/>
        </w:rPr>
      </w:pPr>
      <w:r>
        <w:rPr>
          <w:color w:val="000000"/>
        </w:rPr>
        <w:t>2013</w:t>
      </w:r>
      <w:r>
        <w:rPr>
          <w:color w:val="000000"/>
        </w:rPr>
        <w:tab/>
      </w:r>
      <w:r w:rsidRPr="002E5727">
        <w:rPr>
          <w:color w:val="000000"/>
        </w:rPr>
        <w:t>First 12.5% tobacco excise increase on 1 December.</w:t>
      </w:r>
    </w:p>
    <w:p w14:paraId="17A4F725" w14:textId="3F0226E9" w:rsidR="00CF2871" w:rsidRDefault="00CF2871" w:rsidP="00041548">
      <w:pPr>
        <w:pStyle w:val="ASSAD2017ACCESSBody1"/>
        <w:rPr>
          <w:color w:val="000000"/>
        </w:rPr>
      </w:pPr>
      <w:r>
        <w:rPr>
          <w:color w:val="000000"/>
        </w:rPr>
        <w:t>2014</w:t>
      </w:r>
      <w:r>
        <w:rPr>
          <w:color w:val="000000"/>
        </w:rPr>
        <w:tab/>
      </w:r>
      <w:r w:rsidRPr="002E5727">
        <w:rPr>
          <w:color w:val="000000"/>
        </w:rPr>
        <w:t>Change from bi-annual indexation based on the Consumer Price Index (CPI) to bi-annual indexation based on average weekly ordinary time earnings (AWOTE).</w:t>
      </w:r>
    </w:p>
    <w:p w14:paraId="509B82AC" w14:textId="78D1787F" w:rsidR="00CF2871" w:rsidRDefault="00CF2871" w:rsidP="00041548">
      <w:pPr>
        <w:pStyle w:val="ASSAD2017ACCESSBody1"/>
        <w:rPr>
          <w:color w:val="000000"/>
        </w:rPr>
      </w:pPr>
      <w:r>
        <w:rPr>
          <w:color w:val="000000"/>
        </w:rPr>
        <w:t>2014-2020</w:t>
      </w:r>
      <w:r>
        <w:rPr>
          <w:color w:val="000000"/>
        </w:rPr>
        <w:tab/>
      </w:r>
      <w:r w:rsidRPr="002E5727">
        <w:rPr>
          <w:color w:val="000000"/>
        </w:rPr>
        <w:t>Annual 12.5% tobacco excise increase on 1 September each year.</w:t>
      </w:r>
    </w:p>
    <w:p w14:paraId="1708A85C" w14:textId="331B73E3" w:rsidR="00CF2871" w:rsidRDefault="00CF2871" w:rsidP="00041548">
      <w:pPr>
        <w:pStyle w:val="ASSAD2017ACCESSBody1"/>
        <w:rPr>
          <w:color w:val="000000"/>
        </w:rPr>
      </w:pPr>
      <w:r>
        <w:rPr>
          <w:color w:val="000000"/>
        </w:rPr>
        <w:t>2017</w:t>
      </w:r>
      <w:r>
        <w:rPr>
          <w:color w:val="000000"/>
        </w:rPr>
        <w:tab/>
      </w:r>
      <w:r w:rsidRPr="002E5727">
        <w:rPr>
          <w:color w:val="000000"/>
        </w:rPr>
        <w:t>Reduction in duty free tobacco allowance, 25 grams of duty free tobacco (cigarette, loose leaf etc.), plus one open packet; equivalent to approximately 25 cigarettes.</w:t>
      </w:r>
    </w:p>
    <w:p w14:paraId="3F399365" w14:textId="0A162860" w:rsidR="00CF2871" w:rsidRDefault="00CF2871" w:rsidP="00041548">
      <w:pPr>
        <w:pStyle w:val="ASSAD2017ACCESSBody1"/>
      </w:pPr>
      <w:r>
        <w:rPr>
          <w:color w:val="000000"/>
        </w:rPr>
        <w:t>2017</w:t>
      </w:r>
      <w:r>
        <w:rPr>
          <w:color w:val="000000"/>
        </w:rPr>
        <w:tab/>
      </w:r>
      <w:r w:rsidRPr="002E5727">
        <w:rPr>
          <w:color w:val="000000"/>
        </w:rPr>
        <w:t>Harmonisation of the taxation of roll your own tobacco and other products such as cigars, with manufactured cigarettes.</w:t>
      </w:r>
    </w:p>
    <w:p w14:paraId="03613197" w14:textId="77777777" w:rsidR="00D468CB" w:rsidRDefault="00D468CB" w:rsidP="00041548">
      <w:pPr>
        <w:pStyle w:val="ASSAD2017ACCESSBody1"/>
      </w:pPr>
    </w:p>
    <w:p w14:paraId="0AB6518B" w14:textId="77777777" w:rsidR="00CF2871" w:rsidRDefault="00CF2871">
      <w:pPr>
        <w:suppressAutoHyphens w:val="0"/>
        <w:rPr>
          <w:rFonts w:ascii="Arial" w:hAnsi="Arial" w:cs="Arial"/>
          <w:bCs/>
          <w:color w:val="000000" w:themeColor="text1"/>
          <w:sz w:val="20"/>
          <w:szCs w:val="20"/>
          <w:lang w:val="en-US" w:eastAsia="en-US"/>
        </w:rPr>
      </w:pPr>
      <w:bookmarkStart w:id="26" w:name="_Toc419187126"/>
      <w:bookmarkStart w:id="27" w:name="_Toc424111122"/>
      <w:bookmarkStart w:id="28" w:name="_Toc437931453"/>
      <w:bookmarkEnd w:id="17"/>
      <w:bookmarkEnd w:id="23"/>
      <w:bookmarkEnd w:id="24"/>
      <w:bookmarkEnd w:id="25"/>
      <w:r>
        <w:br w:type="page"/>
      </w:r>
    </w:p>
    <w:p w14:paraId="1C98A4D6" w14:textId="361A70FC" w:rsidR="00CF2871" w:rsidRDefault="00480E14" w:rsidP="0088687E">
      <w:pPr>
        <w:pStyle w:val="ASSAD2017ACCESSBody1"/>
      </w:pPr>
      <w:r>
        <w:rPr>
          <w:noProof/>
        </w:rPr>
        <w:lastRenderedPageBreak/>
        <w:drawing>
          <wp:inline distT="0" distB="0" distL="0" distR="0" wp14:anchorId="78183D61" wp14:editId="29C0B3EC">
            <wp:extent cx="5761355" cy="2590800"/>
            <wp:effectExtent l="0" t="0" r="0" b="0"/>
            <wp:docPr id="27" name="Picture 27" descr="Line graph showing the percentage of Australian secondary school students who had ever smoked,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606B78F7" w14:textId="77777777" w:rsidR="00CF2871" w:rsidRPr="00AA7C3D" w:rsidRDefault="00CF2871" w:rsidP="00AA7C3D">
      <w:pPr>
        <w:pStyle w:val="ASSAD2017ACCESSBody1"/>
        <w:rPr>
          <w:b/>
          <w:bCs w:val="0"/>
          <w:color w:val="auto"/>
        </w:rPr>
      </w:pPr>
      <w:r w:rsidRPr="00AA7C3D">
        <w:rPr>
          <w:rStyle w:val="Trends2017Heading2Char"/>
          <w:color w:val="auto"/>
          <w:sz w:val="20"/>
          <w:szCs w:val="20"/>
        </w:rPr>
        <w:t>Figure 1: Percentage of Australian secondary school students who ever smoked, ASSAD</w:t>
      </w:r>
      <w:r w:rsidRPr="00AA7C3D">
        <w:rPr>
          <w:b/>
          <w:bCs w:val="0"/>
          <w:color w:val="auto"/>
        </w:rPr>
        <w:t xml:space="preserve"> 1996-2017</w:t>
      </w:r>
    </w:p>
    <w:p w14:paraId="320D9D5D" w14:textId="3F5AC312" w:rsidR="00AA7C3D" w:rsidRDefault="00480E14" w:rsidP="00AA7C3D">
      <w:pPr>
        <w:pStyle w:val="ASSAD2017ACCESSBody1"/>
        <w:rPr>
          <w:b/>
          <w:bCs w:val="0"/>
          <w:color w:val="auto"/>
        </w:rPr>
      </w:pPr>
      <w:r>
        <w:rPr>
          <w:b/>
          <w:bCs w:val="0"/>
          <w:noProof/>
          <w:color w:val="auto"/>
        </w:rPr>
        <w:drawing>
          <wp:inline distT="0" distB="0" distL="0" distR="0" wp14:anchorId="0EA220D9" wp14:editId="3C0B0D2C">
            <wp:extent cx="5761355" cy="2590800"/>
            <wp:effectExtent l="0" t="0" r="0" b="0"/>
            <wp:docPr id="28" name="Picture 28" descr="Line graph showing the percentage of Australian secondary school students who had smoked in the past year,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42B05F4D" w14:textId="2E5EDCA1" w:rsidR="00CF2871" w:rsidRDefault="00CF2871" w:rsidP="00AA7C3D">
      <w:pPr>
        <w:pStyle w:val="ASSAD2017ACCESSBody1"/>
        <w:rPr>
          <w:b/>
          <w:bCs w:val="0"/>
          <w:color w:val="auto"/>
        </w:rPr>
      </w:pPr>
      <w:r w:rsidRPr="00AA7C3D">
        <w:rPr>
          <w:b/>
          <w:bCs w:val="0"/>
          <w:color w:val="auto"/>
        </w:rPr>
        <w:t>Figure 2: Percentage of Australian secondary school students who smoked in the past year, ASSAD 1996-2017</w:t>
      </w:r>
    </w:p>
    <w:p w14:paraId="7AB46FE7" w14:textId="0127D8F5" w:rsidR="00AA7C3D" w:rsidRPr="00AA7C3D" w:rsidRDefault="00480E14" w:rsidP="00AA7C3D">
      <w:pPr>
        <w:pStyle w:val="ASSAD2017ACCESSBody1"/>
        <w:rPr>
          <w:b/>
          <w:bCs w:val="0"/>
          <w:color w:val="auto"/>
        </w:rPr>
      </w:pPr>
      <w:r>
        <w:rPr>
          <w:b/>
          <w:bCs w:val="0"/>
          <w:noProof/>
          <w:color w:val="auto"/>
        </w:rPr>
        <w:drawing>
          <wp:inline distT="0" distB="0" distL="0" distR="0" wp14:anchorId="13363361" wp14:editId="528B265E">
            <wp:extent cx="5761355" cy="2590800"/>
            <wp:effectExtent l="0" t="0" r="0" b="0"/>
            <wp:docPr id="29" name="Picture 29" descr="Line graph showing the percentage of Australian secondary school students who had smoked in the past month,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0344DFC6" w14:textId="77777777" w:rsidR="00CF2871" w:rsidRPr="00AA7C3D" w:rsidRDefault="00CF2871" w:rsidP="00AA7C3D">
      <w:pPr>
        <w:suppressAutoHyphens w:val="0"/>
        <w:spacing w:after="120"/>
        <w:rPr>
          <w:rFonts w:ascii="Arial" w:hAnsi="Arial" w:cs="Arial"/>
          <w:b/>
          <w:sz w:val="20"/>
          <w:szCs w:val="20"/>
        </w:rPr>
      </w:pPr>
      <w:r w:rsidRPr="00AA7C3D">
        <w:rPr>
          <w:rFonts w:ascii="Arial" w:hAnsi="Arial" w:cs="Arial"/>
          <w:b/>
          <w:sz w:val="20"/>
          <w:szCs w:val="20"/>
        </w:rPr>
        <w:t>Figure 3: Percentage of Australian secondary school students who smoked in the past month, ASSAD 1996-2017</w:t>
      </w:r>
    </w:p>
    <w:p w14:paraId="6382ED9B" w14:textId="63D3D9DD" w:rsidR="006A6EBE" w:rsidRDefault="00DA38E1" w:rsidP="00AA7C3D">
      <w:pPr>
        <w:pStyle w:val="ASSAD2017ACCESSBody1"/>
        <w:rPr>
          <w:b/>
          <w:bCs w:val="0"/>
          <w:color w:val="auto"/>
        </w:rPr>
      </w:pPr>
      <w:r>
        <w:rPr>
          <w:b/>
          <w:bCs w:val="0"/>
          <w:noProof/>
          <w:color w:val="auto"/>
        </w:rPr>
        <w:lastRenderedPageBreak/>
        <w:drawing>
          <wp:inline distT="0" distB="0" distL="0" distR="0" wp14:anchorId="1E6E6137" wp14:editId="5B705A4B">
            <wp:extent cx="5761355" cy="2597150"/>
            <wp:effectExtent l="0" t="0" r="0" b="0"/>
            <wp:docPr id="30" name="Picture 30" descr="Line graph showing the percentage of Australian secondary school students who were current smokers (past week) and committed smokers (on at least three of the last 7 day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597150"/>
                    </a:xfrm>
                    <a:prstGeom prst="rect">
                      <a:avLst/>
                    </a:prstGeom>
                    <a:noFill/>
                  </pic:spPr>
                </pic:pic>
              </a:graphicData>
            </a:graphic>
          </wp:inline>
        </w:drawing>
      </w:r>
    </w:p>
    <w:p w14:paraId="4C7316DE" w14:textId="3F250CF9" w:rsidR="00CF2871" w:rsidRDefault="00CF2871" w:rsidP="00AA7C3D">
      <w:pPr>
        <w:pStyle w:val="ASSAD2017ACCESSBody1"/>
        <w:rPr>
          <w:b/>
          <w:bCs w:val="0"/>
          <w:color w:val="auto"/>
        </w:rPr>
      </w:pPr>
      <w:r w:rsidRPr="00AA7C3D">
        <w:rPr>
          <w:b/>
          <w:bCs w:val="0"/>
          <w:color w:val="auto"/>
        </w:rPr>
        <w:t>Figure 4: Percentage of Australian secondary school students who were current or committed smokers, ASSAD 1996-2017</w:t>
      </w:r>
    </w:p>
    <w:p w14:paraId="559C71DE" w14:textId="26117B26" w:rsidR="006A6EBE" w:rsidRPr="00AA7C3D" w:rsidRDefault="00DA38E1" w:rsidP="00AA7C3D">
      <w:pPr>
        <w:pStyle w:val="ASSAD2017ACCESSBody1"/>
        <w:rPr>
          <w:b/>
          <w:bCs w:val="0"/>
          <w:color w:val="auto"/>
        </w:rPr>
      </w:pPr>
      <w:r>
        <w:rPr>
          <w:b/>
          <w:bCs w:val="0"/>
          <w:noProof/>
          <w:color w:val="auto"/>
        </w:rPr>
        <w:drawing>
          <wp:inline distT="0" distB="0" distL="0" distR="0" wp14:anchorId="24AE536D" wp14:editId="69170BD8">
            <wp:extent cx="5761355" cy="2590800"/>
            <wp:effectExtent l="0" t="0" r="0" b="0"/>
            <wp:docPr id="31" name="Picture 31" descr="Line graph showing the percentage of Australian secondary school students who smoked daily,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76411DFC" w14:textId="0E0FAF75" w:rsidR="00CF2871" w:rsidRDefault="00CF2871" w:rsidP="00AA7C3D">
      <w:pPr>
        <w:suppressAutoHyphens w:val="0"/>
        <w:spacing w:after="120"/>
        <w:rPr>
          <w:rFonts w:ascii="Arial" w:hAnsi="Arial" w:cs="Arial"/>
          <w:b/>
          <w:sz w:val="20"/>
          <w:szCs w:val="20"/>
        </w:rPr>
      </w:pPr>
      <w:r w:rsidRPr="00AA7C3D">
        <w:rPr>
          <w:rFonts w:ascii="Arial" w:hAnsi="Arial" w:cs="Arial"/>
          <w:b/>
          <w:sz w:val="20"/>
          <w:szCs w:val="20"/>
        </w:rPr>
        <w:t>Figure 5: Percentage of Australian secondary school students who smoked daily, ASSAD 1996-2017</w:t>
      </w:r>
    </w:p>
    <w:p w14:paraId="0D9D7516" w14:textId="2FFFA197" w:rsidR="006A6EBE" w:rsidRPr="00AA7C3D" w:rsidRDefault="00DA38E1" w:rsidP="00AA7C3D">
      <w:pPr>
        <w:suppressAutoHyphens w:val="0"/>
        <w:spacing w:after="120"/>
        <w:rPr>
          <w:rFonts w:ascii="Arial" w:hAnsi="Arial" w:cs="Arial"/>
          <w:b/>
          <w:sz w:val="20"/>
          <w:szCs w:val="20"/>
        </w:rPr>
      </w:pPr>
      <w:r>
        <w:rPr>
          <w:rFonts w:ascii="Arial" w:hAnsi="Arial" w:cs="Arial"/>
          <w:b/>
          <w:noProof/>
          <w:sz w:val="20"/>
          <w:szCs w:val="20"/>
        </w:rPr>
        <w:drawing>
          <wp:inline distT="0" distB="0" distL="0" distR="0" wp14:anchorId="3AD4A735" wp14:editId="6F962904">
            <wp:extent cx="5761355" cy="2590800"/>
            <wp:effectExtent l="0" t="0" r="0" b="0"/>
            <wp:docPr id="32" name="Picture 32" descr="Line graph showing the percentage of Australian secondary school students who had smoked more than 100 cigarettes in their lifetime,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34A3B107" w14:textId="0F7E51A3" w:rsidR="00CF2871" w:rsidRPr="00AA7C3D" w:rsidRDefault="00CF2871" w:rsidP="00AA7C3D">
      <w:pPr>
        <w:pStyle w:val="ASSAD2017ACCESSBody1"/>
        <w:rPr>
          <w:b/>
          <w:bCs w:val="0"/>
          <w:color w:val="auto"/>
        </w:rPr>
      </w:pPr>
      <w:r w:rsidRPr="00AA7C3D">
        <w:rPr>
          <w:b/>
          <w:bCs w:val="0"/>
          <w:color w:val="auto"/>
        </w:rPr>
        <w:t>Figure 6: Percentage of Australian secondary school students who had smoked more than 100 cigarettes in their lifetime, ASSAD 199</w:t>
      </w:r>
      <w:r w:rsidR="00FA491D">
        <w:rPr>
          <w:b/>
          <w:bCs w:val="0"/>
          <w:color w:val="auto"/>
        </w:rPr>
        <w:t>9</w:t>
      </w:r>
      <w:r w:rsidRPr="00AA7C3D">
        <w:rPr>
          <w:b/>
          <w:bCs w:val="0"/>
          <w:color w:val="auto"/>
        </w:rPr>
        <w:t>-2017</w:t>
      </w:r>
    </w:p>
    <w:p w14:paraId="16B81A7B" w14:textId="6B7F6C97" w:rsidR="00FA491D" w:rsidRDefault="0081130E" w:rsidP="00AA7C3D">
      <w:pPr>
        <w:suppressAutoHyphens w:val="0"/>
        <w:spacing w:after="120"/>
        <w:rPr>
          <w:rFonts w:ascii="Arial" w:hAnsi="Arial" w:cs="Arial"/>
          <w:b/>
          <w:sz w:val="20"/>
          <w:szCs w:val="20"/>
        </w:rPr>
      </w:pPr>
      <w:r>
        <w:rPr>
          <w:rFonts w:ascii="Arial" w:hAnsi="Arial" w:cs="Arial"/>
          <w:b/>
          <w:noProof/>
          <w:sz w:val="20"/>
          <w:szCs w:val="20"/>
        </w:rPr>
        <w:lastRenderedPageBreak/>
        <w:drawing>
          <wp:inline distT="0" distB="0" distL="0" distR="0" wp14:anchorId="5071C6DA" wp14:editId="041D2307">
            <wp:extent cx="5761355" cy="2590800"/>
            <wp:effectExtent l="0" t="0" r="0" b="0"/>
            <wp:docPr id="33" name="Picture 33" descr="Line graph showing the percentage of current smokers who had bought cigarettes themselve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06CB3316" w14:textId="33B736A5" w:rsidR="00CF2871" w:rsidRPr="00AA7C3D" w:rsidRDefault="00CF2871" w:rsidP="00AA7C3D">
      <w:pPr>
        <w:suppressAutoHyphens w:val="0"/>
        <w:spacing w:after="120"/>
        <w:rPr>
          <w:rFonts w:ascii="Arial" w:hAnsi="Arial" w:cs="Arial"/>
          <w:b/>
          <w:sz w:val="20"/>
          <w:szCs w:val="20"/>
        </w:rPr>
      </w:pPr>
      <w:r w:rsidRPr="00AA7C3D">
        <w:rPr>
          <w:rFonts w:ascii="Arial" w:hAnsi="Arial" w:cs="Arial"/>
          <w:b/>
          <w:sz w:val="20"/>
          <w:szCs w:val="20"/>
        </w:rPr>
        <w:t xml:space="preserve">Figure 7: Percentage of current smokers </w:t>
      </w:r>
      <w:r w:rsidR="00AA7C3D">
        <w:rPr>
          <w:rFonts w:ascii="Arial" w:hAnsi="Arial" w:cs="Arial"/>
          <w:b/>
          <w:sz w:val="20"/>
          <w:szCs w:val="20"/>
        </w:rPr>
        <w:t>who had</w:t>
      </w:r>
      <w:r w:rsidRPr="00AA7C3D">
        <w:rPr>
          <w:rFonts w:ascii="Arial" w:hAnsi="Arial" w:cs="Arial"/>
          <w:b/>
          <w:sz w:val="20"/>
          <w:szCs w:val="20"/>
        </w:rPr>
        <w:t xml:space="preserve"> bought cigarettes themselves, ASSAD 1996-2017</w:t>
      </w:r>
    </w:p>
    <w:p w14:paraId="63460473" w14:textId="5732CB09" w:rsidR="00FA491D" w:rsidRDefault="0081130E" w:rsidP="00AA7C3D">
      <w:pPr>
        <w:suppressAutoHyphens w:val="0"/>
        <w:spacing w:after="120"/>
        <w:rPr>
          <w:rFonts w:ascii="Arial" w:hAnsi="Arial" w:cs="Arial"/>
          <w:b/>
          <w:sz w:val="20"/>
          <w:szCs w:val="20"/>
        </w:rPr>
      </w:pPr>
      <w:r>
        <w:rPr>
          <w:rFonts w:ascii="Arial" w:hAnsi="Arial" w:cs="Arial"/>
          <w:b/>
          <w:noProof/>
          <w:sz w:val="20"/>
          <w:szCs w:val="20"/>
        </w:rPr>
        <w:drawing>
          <wp:inline distT="0" distB="0" distL="0" distR="0" wp14:anchorId="6B40CAD1" wp14:editId="51EDE763">
            <wp:extent cx="5761355" cy="2590800"/>
            <wp:effectExtent l="0" t="0" r="0" b="0"/>
            <wp:docPr id="34" name="Picture 34" descr="Line graph showing the percentage of current smokers who had someone else buy cigarettes for them,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4D01AC33" w14:textId="0A5B151F" w:rsidR="00CF2871" w:rsidRPr="00AA7C3D" w:rsidRDefault="00CF2871" w:rsidP="00AA7C3D">
      <w:pPr>
        <w:suppressAutoHyphens w:val="0"/>
        <w:spacing w:after="120"/>
        <w:rPr>
          <w:rFonts w:ascii="Arial" w:hAnsi="Arial" w:cs="Arial"/>
          <w:b/>
          <w:sz w:val="20"/>
          <w:szCs w:val="20"/>
        </w:rPr>
      </w:pPr>
      <w:r w:rsidRPr="00AA7C3D">
        <w:rPr>
          <w:rFonts w:ascii="Arial" w:hAnsi="Arial" w:cs="Arial"/>
          <w:b/>
          <w:sz w:val="20"/>
          <w:szCs w:val="20"/>
        </w:rPr>
        <w:t xml:space="preserve">Figure 8: Percentage of current smokers </w:t>
      </w:r>
      <w:r w:rsidR="00AA7C3D">
        <w:rPr>
          <w:rFonts w:ascii="Arial" w:hAnsi="Arial" w:cs="Arial"/>
          <w:b/>
          <w:sz w:val="20"/>
          <w:szCs w:val="20"/>
        </w:rPr>
        <w:t xml:space="preserve">who had </w:t>
      </w:r>
      <w:r w:rsidRPr="00AA7C3D">
        <w:rPr>
          <w:rFonts w:ascii="Arial" w:hAnsi="Arial" w:cs="Arial"/>
          <w:b/>
          <w:sz w:val="20"/>
          <w:szCs w:val="20"/>
        </w:rPr>
        <w:t>someone else buy cigarettes for them, ASSAD 1996-2017</w:t>
      </w:r>
    </w:p>
    <w:p w14:paraId="0E39731C" w14:textId="77777777" w:rsidR="00CF2871" w:rsidRPr="00AA7C3D" w:rsidRDefault="00CF2871" w:rsidP="00CF2871">
      <w:pPr>
        <w:suppressAutoHyphens w:val="0"/>
        <w:rPr>
          <w:rFonts w:ascii="Arial" w:hAnsi="Arial" w:cs="Arial"/>
          <w:b/>
          <w:sz w:val="20"/>
          <w:szCs w:val="20"/>
        </w:rPr>
      </w:pPr>
    </w:p>
    <w:p w14:paraId="1EB0CF7D" w14:textId="528432F5" w:rsidR="008452FE" w:rsidRPr="00DE25AD" w:rsidRDefault="008452FE" w:rsidP="0088687E">
      <w:pPr>
        <w:pStyle w:val="ASSAD2017ACCESSBody1"/>
        <w:rPr>
          <w:rFonts w:ascii="Arial Rounded MT Bold" w:hAnsi="Arial Rounded MT Bold"/>
          <w:bCs w:val="0"/>
          <w:sz w:val="40"/>
          <w:szCs w:val="40"/>
        </w:rPr>
      </w:pPr>
      <w:r w:rsidRPr="00DE25AD">
        <w:br w:type="page"/>
      </w:r>
    </w:p>
    <w:p w14:paraId="57E0D2AE" w14:textId="2A17904C" w:rsidR="00E24542" w:rsidRPr="00DE25AD" w:rsidRDefault="002F3DB4" w:rsidP="007B6CF7">
      <w:pPr>
        <w:pStyle w:val="ASSAD2017ACCESSHeading1"/>
      </w:pPr>
      <w:r>
        <w:lastRenderedPageBreak/>
        <w:t>Trends in drinking among Australian secondary students 1996-2017</w:t>
      </w:r>
      <w:bookmarkEnd w:id="26"/>
      <w:bookmarkEnd w:id="27"/>
      <w:bookmarkEnd w:id="28"/>
      <w:r w:rsidR="00E8760A" w:rsidRPr="00DE25AD">
        <w:t xml:space="preserve"> </w:t>
      </w:r>
    </w:p>
    <w:p w14:paraId="68E9D424" w14:textId="60E9BC4C" w:rsidR="00E24542" w:rsidRPr="00DE25AD" w:rsidRDefault="002F3DB4" w:rsidP="0017354A">
      <w:pPr>
        <w:pStyle w:val="ASSAD2017ACCESSHeading2"/>
      </w:pPr>
      <w:r>
        <w:t>Trends in prevalence of alcohol use</w:t>
      </w:r>
    </w:p>
    <w:p w14:paraId="766610B7" w14:textId="77777777" w:rsidR="002F3DB4" w:rsidRPr="002E5727" w:rsidRDefault="002F3DB4" w:rsidP="002F3DB4">
      <w:pPr>
        <w:widowControl w:val="0"/>
        <w:spacing w:after="120"/>
        <w:rPr>
          <w:rFonts w:ascii="Arial" w:hAnsi="Arial" w:cs="Arial"/>
          <w:bCs/>
          <w:color w:val="000000"/>
          <w:sz w:val="20"/>
          <w:szCs w:val="20"/>
          <w:lang w:val="en-US"/>
        </w:rPr>
      </w:pPr>
      <w:bookmarkStart w:id="29" w:name="_Toc419186175"/>
      <w:bookmarkStart w:id="30" w:name="_Toc424049426"/>
      <w:bookmarkStart w:id="31" w:name="_Toc424110754"/>
      <w:r w:rsidRPr="002E5727">
        <w:rPr>
          <w:rFonts w:ascii="Arial" w:hAnsi="Arial" w:cs="Arial"/>
          <w:bCs/>
          <w:color w:val="000000"/>
          <w:sz w:val="20"/>
          <w:szCs w:val="20"/>
          <w:lang w:val="en-US"/>
        </w:rPr>
        <w:t xml:space="preserve">Trends in the prevalence of adolescent alcohol consumption show age, cohort, and history effects. Similar to tobacco, drinking prevalence had declined in the late 1980s with some evidence of a cohort ‘lag’ effect of higher prevalence among older drinkers in 1987. However, drinking prevalence among secondary students increased from the early 1990s to the early 2000s. </w:t>
      </w:r>
      <w:r>
        <w:rPr>
          <w:rFonts w:ascii="Arial" w:hAnsi="Arial" w:cs="Arial"/>
          <w:bCs/>
          <w:color w:val="000000"/>
          <w:sz w:val="20"/>
          <w:szCs w:val="20"/>
          <w:lang w:val="en-US"/>
        </w:rPr>
        <w:t>This pattern of trends was similar to those seen</w:t>
      </w:r>
      <w:r w:rsidRPr="002E5727">
        <w:rPr>
          <w:rFonts w:ascii="Arial" w:hAnsi="Arial" w:cs="Arial"/>
          <w:bCs/>
          <w:color w:val="000000"/>
          <w:sz w:val="20"/>
          <w:szCs w:val="20"/>
          <w:lang w:val="en-US"/>
        </w:rPr>
        <w:t xml:space="preserve"> in the US</w:t>
      </w:r>
      <w:r w:rsidRPr="002E5727">
        <w:rPr>
          <w:rFonts w:ascii="Arial" w:hAnsi="Arial" w:cs="Arial"/>
          <w:bCs/>
          <w:color w:val="000000"/>
          <w:sz w:val="20"/>
          <w:szCs w:val="20"/>
          <w:vertAlign w:val="superscript"/>
          <w:lang w:val="en-US"/>
        </w:rPr>
        <w:footnoteReference w:id="61"/>
      </w:r>
      <w:r w:rsidRPr="002E5727">
        <w:rPr>
          <w:rFonts w:ascii="Arial" w:hAnsi="Arial" w:cs="Arial"/>
          <w:bCs/>
          <w:color w:val="000000"/>
          <w:sz w:val="20"/>
          <w:szCs w:val="20"/>
          <w:lang w:val="en-US"/>
        </w:rPr>
        <w:t xml:space="preserve"> and UK</w:t>
      </w:r>
      <w:r w:rsidRPr="002E5727">
        <w:rPr>
          <w:rFonts w:ascii="Arial" w:hAnsi="Arial" w:cs="Arial"/>
          <w:bCs/>
          <w:color w:val="000000"/>
          <w:sz w:val="20"/>
          <w:szCs w:val="20"/>
          <w:vertAlign w:val="superscript"/>
          <w:lang w:val="en-US"/>
        </w:rPr>
        <w:footnoteReference w:id="62"/>
      </w:r>
      <w:r w:rsidRPr="002E5727">
        <w:rPr>
          <w:rFonts w:ascii="Arial" w:hAnsi="Arial" w:cs="Arial"/>
          <w:bCs/>
          <w:color w:val="000000"/>
          <w:sz w:val="20"/>
          <w:szCs w:val="20"/>
          <w:lang w:val="en-US"/>
        </w:rPr>
        <w:t>, suggesting a strong history effect of shared social and policy climates and experiences.</w:t>
      </w:r>
    </w:p>
    <w:p w14:paraId="449C33B1" w14:textId="77777777" w:rsidR="002F3DB4" w:rsidRPr="002E5727" w:rsidRDefault="002F3DB4" w:rsidP="002F3DB4">
      <w:pPr>
        <w:widowControl w:val="0"/>
        <w:spacing w:after="120"/>
        <w:rPr>
          <w:rFonts w:ascii="Arial" w:hAnsi="Arial" w:cs="Arial"/>
          <w:b/>
          <w:bCs/>
          <w:color w:val="0070C0"/>
          <w:szCs w:val="28"/>
        </w:rPr>
      </w:pPr>
      <w:r w:rsidRPr="002E5727">
        <w:rPr>
          <w:rFonts w:ascii="Arial" w:hAnsi="Arial" w:cs="Arial"/>
          <w:bCs/>
          <w:color w:val="000000"/>
          <w:sz w:val="20"/>
          <w:szCs w:val="20"/>
          <w:lang w:val="en-US"/>
        </w:rPr>
        <w:t>From the early 2000s drinking prevalence declined among secondary students in Australia, following steadily declining rates of daily and weekly drinking among Australian adults in the same period, including young adults</w:t>
      </w:r>
      <w:r w:rsidRPr="002E5727">
        <w:rPr>
          <w:rFonts w:ascii="Arial" w:hAnsi="Arial" w:cs="Arial"/>
          <w:bCs/>
          <w:color w:val="000000"/>
          <w:sz w:val="20"/>
          <w:szCs w:val="20"/>
          <w:vertAlign w:val="superscript"/>
          <w:lang w:val="en-US"/>
        </w:rPr>
        <w:footnoteReference w:id="63"/>
      </w:r>
      <w:r w:rsidRPr="002E5727">
        <w:rPr>
          <w:rFonts w:ascii="Arial" w:hAnsi="Arial" w:cs="Arial"/>
          <w:bCs/>
          <w:color w:val="000000"/>
          <w:sz w:val="20"/>
          <w:szCs w:val="20"/>
          <w:lang w:val="en-US"/>
        </w:rPr>
        <w:t>. The rate of decline slowed after 2011. It is of some concern that past week drinking prevalence has not declined significantly among younger students since 2011. A significant decline between 2011 and 2017</w:t>
      </w:r>
      <w:r>
        <w:rPr>
          <w:rFonts w:ascii="Arial" w:hAnsi="Arial" w:cs="Arial"/>
          <w:bCs/>
          <w:color w:val="000000"/>
          <w:sz w:val="20"/>
          <w:szCs w:val="20"/>
          <w:lang w:val="en-US"/>
        </w:rPr>
        <w:t xml:space="preserve"> across all ages</w:t>
      </w:r>
      <w:r w:rsidRPr="002E5727">
        <w:rPr>
          <w:rFonts w:ascii="Arial" w:hAnsi="Arial" w:cs="Arial"/>
          <w:bCs/>
          <w:color w:val="000000"/>
          <w:sz w:val="20"/>
          <w:szCs w:val="20"/>
          <w:lang w:val="en-US"/>
        </w:rPr>
        <w:t xml:space="preserve"> was largely due to lower prevalence among older female students.</w:t>
      </w:r>
    </w:p>
    <w:p w14:paraId="41ADA433" w14:textId="3777E6D7" w:rsidR="00E82CCA" w:rsidRPr="00DE25AD" w:rsidRDefault="002F3DB4" w:rsidP="002F3DB4">
      <w:pPr>
        <w:pStyle w:val="ASSAD2017ACCESSBody1"/>
      </w:pPr>
      <w:r w:rsidRPr="002E5727">
        <w:rPr>
          <w:color w:val="000000"/>
        </w:rPr>
        <w:t>Prevalence rates for older students show evidence of a cohort effect, with the decline evident from 2005, rather than from 2002 as observed for younger students.</w:t>
      </w:r>
    </w:p>
    <w:p w14:paraId="14D7D5CD" w14:textId="23B4513C" w:rsidR="00A54D3A" w:rsidRPr="00DE25AD" w:rsidRDefault="002F3DB4" w:rsidP="008452FE">
      <w:pPr>
        <w:pStyle w:val="ASSAD2017ACCESSHeading2"/>
      </w:pPr>
      <w:r>
        <w:t>Trends in risky</w:t>
      </w:r>
      <w:r w:rsidR="00A54D3A" w:rsidRPr="00DE25AD">
        <w:t xml:space="preserve"> drinking</w:t>
      </w:r>
    </w:p>
    <w:p w14:paraId="5A39A0C2" w14:textId="27D2857F" w:rsidR="001B25EB" w:rsidRPr="00DE25AD" w:rsidRDefault="002F3DB4" w:rsidP="008452FE">
      <w:pPr>
        <w:pStyle w:val="ASSAD2017ACCESSBody1"/>
        <w:rPr>
          <w:b/>
          <w:bCs w:val="0"/>
          <w:color w:val="0070C0"/>
          <w:szCs w:val="28"/>
        </w:rPr>
      </w:pPr>
      <w:r w:rsidRPr="002E5727">
        <w:rPr>
          <w:color w:val="000000"/>
        </w:rPr>
        <w:t xml:space="preserve">Trends in </w:t>
      </w:r>
      <w:r>
        <w:rPr>
          <w:color w:val="000000"/>
        </w:rPr>
        <w:t>risky</w:t>
      </w:r>
      <w:r w:rsidRPr="002E5727">
        <w:rPr>
          <w:color w:val="000000"/>
        </w:rPr>
        <w:t xml:space="preserve"> drinking (having five or more drinks on one occasion in the past week) show less variation than trends for lifetime drinking and other recency periods, but prevalence declined between 2002 and 2014 for younger students. </w:t>
      </w:r>
      <w:r>
        <w:rPr>
          <w:color w:val="000000"/>
        </w:rPr>
        <w:t>R</w:t>
      </w:r>
      <w:r w:rsidRPr="002E5727">
        <w:rPr>
          <w:color w:val="000000"/>
        </w:rPr>
        <w:t>isky drinking was lower for older</w:t>
      </w:r>
      <w:r w:rsidR="00875AAE">
        <w:rPr>
          <w:color w:val="000000"/>
        </w:rPr>
        <w:t xml:space="preserve"> students</w:t>
      </w:r>
      <w:r w:rsidRPr="002E5727">
        <w:rPr>
          <w:color w:val="000000"/>
        </w:rPr>
        <w:t xml:space="preserve"> in 2017 than in 2011, suggesting that while past week and past month drinking prevalence declined little from 2011, </w:t>
      </w:r>
      <w:r>
        <w:rPr>
          <w:color w:val="000000"/>
        </w:rPr>
        <w:t xml:space="preserve">older </w:t>
      </w:r>
      <w:r w:rsidRPr="002E5727">
        <w:rPr>
          <w:color w:val="000000"/>
        </w:rPr>
        <w:t>students who did drink alcohol were drinking less.</w:t>
      </w:r>
    </w:p>
    <w:p w14:paraId="4F8EAFD8" w14:textId="12CFD930" w:rsidR="0017354A" w:rsidRPr="00DE25AD" w:rsidDel="00B33B6B" w:rsidRDefault="005A485B" w:rsidP="000F08AF">
      <w:pPr>
        <w:pStyle w:val="ASSAD2017ACCESSHeading2"/>
      </w:pPr>
      <w:r>
        <w:t>Reasons for declines in the prevalence of adolescent drinking</w:t>
      </w:r>
    </w:p>
    <w:p w14:paraId="7FEE158D" w14:textId="3E2CA4B8" w:rsidR="002C2013" w:rsidRDefault="005A485B" w:rsidP="008452FE">
      <w:pPr>
        <w:pStyle w:val="ASSAD2017ACCESSBody1"/>
        <w:rPr>
          <w:color w:val="000000"/>
        </w:rPr>
      </w:pPr>
      <w:bookmarkStart w:id="32" w:name="_Toc419187128"/>
      <w:bookmarkStart w:id="33" w:name="_Toc424111124"/>
      <w:bookmarkEnd w:id="29"/>
      <w:bookmarkEnd w:id="30"/>
      <w:bookmarkEnd w:id="31"/>
      <w:r w:rsidRPr="002E5727">
        <w:rPr>
          <w:color w:val="000000"/>
        </w:rPr>
        <w:t>Declining use of alcohol coincided with a period of diverse policy implementation aiming to reduce a range of adolescent substance use. In this period, harmful alcohol use became less acceptable among the broader Australian community</w:t>
      </w:r>
      <w:r w:rsidRPr="002E5727">
        <w:rPr>
          <w:color w:val="000000"/>
          <w:vertAlign w:val="superscript"/>
        </w:rPr>
        <w:footnoteReference w:id="64"/>
      </w:r>
      <w:r w:rsidRPr="002E5727">
        <w:rPr>
          <w:color w:val="000000"/>
        </w:rPr>
        <w:t>. However, there is continued debate over the factors that have contributed specifically to reduced drinking prevalence in this age group, in both Australia</w:t>
      </w:r>
      <w:r>
        <w:rPr>
          <w:color w:val="000000"/>
        </w:rPr>
        <w:t xml:space="preserve"> </w:t>
      </w:r>
      <w:r w:rsidRPr="002E5727">
        <w:rPr>
          <w:color w:val="000000"/>
        </w:rPr>
        <w:t>and comparable countries</w:t>
      </w:r>
      <w:r w:rsidRPr="002E5727">
        <w:rPr>
          <w:color w:val="000000"/>
          <w:vertAlign w:val="superscript"/>
        </w:rPr>
        <w:footnoteReference w:id="65"/>
      </w:r>
      <w:r>
        <w:rPr>
          <w:color w:val="000000"/>
          <w:vertAlign w:val="superscript"/>
        </w:rPr>
        <w:t>,</w:t>
      </w:r>
      <w:r w:rsidRPr="002E5727">
        <w:rPr>
          <w:color w:val="000000"/>
          <w:vertAlign w:val="superscript"/>
        </w:rPr>
        <w:footnoteReference w:id="66"/>
      </w:r>
      <w:r w:rsidRPr="002E5727">
        <w:rPr>
          <w:color w:val="000000"/>
        </w:rPr>
        <w:t>.</w:t>
      </w:r>
    </w:p>
    <w:p w14:paraId="51B7FCC9" w14:textId="2C08EB38" w:rsidR="005A485B" w:rsidRDefault="005A485B" w:rsidP="008452FE">
      <w:pPr>
        <w:pStyle w:val="ASSAD2017ACCESSBody1"/>
        <w:rPr>
          <w:color w:val="000000"/>
        </w:rPr>
      </w:pPr>
      <w:r w:rsidRPr="002E5727">
        <w:rPr>
          <w:color w:val="000000"/>
        </w:rPr>
        <w:t>In Australia, government-funded mass media campaigns included targeting of adolescent drinking</w:t>
      </w:r>
      <w:r w:rsidRPr="002E5727">
        <w:rPr>
          <w:color w:val="000000"/>
          <w:vertAlign w:val="superscript"/>
        </w:rPr>
        <w:footnoteReference w:id="67"/>
      </w:r>
      <w:r w:rsidRPr="002E5727">
        <w:rPr>
          <w:color w:val="000000"/>
        </w:rPr>
        <w:t>, parental supply of alcohol</w:t>
      </w:r>
      <w:r w:rsidRPr="002E5727">
        <w:rPr>
          <w:color w:val="000000"/>
          <w:vertAlign w:val="superscript"/>
        </w:rPr>
        <w:footnoteReference w:id="68"/>
      </w:r>
      <w:r w:rsidRPr="002E5727">
        <w:rPr>
          <w:color w:val="000000"/>
        </w:rPr>
        <w:t>, and parental modelling of drinking behaviours</w:t>
      </w:r>
      <w:r w:rsidRPr="002E5727">
        <w:rPr>
          <w:color w:val="000000"/>
          <w:vertAlign w:val="superscript"/>
        </w:rPr>
        <w:footnoteReference w:id="69"/>
      </w:r>
      <w:r w:rsidRPr="002E5727">
        <w:rPr>
          <w:color w:val="000000"/>
        </w:rPr>
        <w:t>. Mass media campaigns targeting alcohol-related harm garner high awareness, and effectively reduce the prevalence of specific consequences of harmful alcohol use in target populations</w:t>
      </w:r>
      <w:r w:rsidRPr="002E5727">
        <w:rPr>
          <w:color w:val="000000"/>
          <w:vertAlign w:val="superscript"/>
        </w:rPr>
        <w:footnoteReference w:id="70"/>
      </w:r>
      <w:r>
        <w:rPr>
          <w:color w:val="000000"/>
          <w:vertAlign w:val="superscript"/>
        </w:rPr>
        <w:t>,</w:t>
      </w:r>
      <w:r w:rsidRPr="002E5727">
        <w:rPr>
          <w:color w:val="000000"/>
          <w:vertAlign w:val="superscript"/>
        </w:rPr>
        <w:footnoteReference w:id="71"/>
      </w:r>
      <w:r w:rsidRPr="002E5727">
        <w:rPr>
          <w:color w:val="000000"/>
        </w:rPr>
        <w:t>. More generally, mass media campaigns that focused on the consequences of drink driving were likely to have had a similar effect on adolescents as they were shown to have in changing adult attitudes and behaviour</w:t>
      </w:r>
      <w:r w:rsidRPr="002E5727">
        <w:rPr>
          <w:color w:val="000000"/>
          <w:vertAlign w:val="superscript"/>
        </w:rPr>
        <w:footnoteReference w:id="72"/>
      </w:r>
      <w:r>
        <w:rPr>
          <w:color w:val="000000"/>
          <w:vertAlign w:val="superscript"/>
        </w:rPr>
        <w:t>,</w:t>
      </w:r>
      <w:r w:rsidRPr="002E5727">
        <w:rPr>
          <w:color w:val="000000"/>
          <w:vertAlign w:val="superscript"/>
        </w:rPr>
        <w:footnoteReference w:id="73"/>
      </w:r>
      <w:r w:rsidRPr="002E5727">
        <w:rPr>
          <w:color w:val="000000"/>
        </w:rPr>
        <w:t>.</w:t>
      </w:r>
    </w:p>
    <w:p w14:paraId="6D347CBD" w14:textId="50AC6E0B" w:rsidR="005A485B" w:rsidRDefault="005A485B" w:rsidP="008452FE">
      <w:pPr>
        <w:pStyle w:val="ASSAD2017ACCESSBody1"/>
        <w:rPr>
          <w:color w:val="000000"/>
        </w:rPr>
      </w:pPr>
      <w:r w:rsidRPr="002E5727">
        <w:rPr>
          <w:color w:val="000000"/>
        </w:rPr>
        <w:lastRenderedPageBreak/>
        <w:t>Governments also regulated the secondary supply of alcohol. In this period, there was growing awareness of the short</w:t>
      </w:r>
      <w:r>
        <w:rPr>
          <w:color w:val="000000"/>
        </w:rPr>
        <w:t>-</w:t>
      </w:r>
      <w:r w:rsidRPr="002E5727">
        <w:rPr>
          <w:color w:val="000000"/>
        </w:rPr>
        <w:t xml:space="preserve"> and longer</w:t>
      </w:r>
      <w:r>
        <w:rPr>
          <w:color w:val="000000"/>
        </w:rPr>
        <w:t>-</w:t>
      </w:r>
      <w:r w:rsidRPr="002E5727">
        <w:rPr>
          <w:color w:val="000000"/>
        </w:rPr>
        <w:t>term risks of alcohol use, including risky levels of adolescent and adult drinking according to NHMRC guidelines</w:t>
      </w:r>
      <w:r w:rsidRPr="002E5727">
        <w:rPr>
          <w:color w:val="000000"/>
          <w:vertAlign w:val="superscript"/>
        </w:rPr>
        <w:footnoteReference w:id="74"/>
      </w:r>
      <w:r w:rsidRPr="002E5727">
        <w:rPr>
          <w:color w:val="000000"/>
        </w:rPr>
        <w:t>.</w:t>
      </w:r>
    </w:p>
    <w:p w14:paraId="60959706" w14:textId="537ED6CF" w:rsidR="005A485B" w:rsidRDefault="005A485B" w:rsidP="008452FE">
      <w:pPr>
        <w:pStyle w:val="ASSAD2017ACCESSBody1"/>
        <w:rPr>
          <w:color w:val="000000"/>
        </w:rPr>
      </w:pPr>
      <w:r w:rsidRPr="002E5727">
        <w:rPr>
          <w:color w:val="000000"/>
        </w:rPr>
        <w:t>As with smoking, it has been suggested that reduced alcohol use might be partially due to the impact of digital technologies including smart phone use on socialising and leisure activities.</w:t>
      </w:r>
    </w:p>
    <w:p w14:paraId="4403B371" w14:textId="22A03BE2" w:rsidR="005A485B" w:rsidRPr="00DE25AD" w:rsidRDefault="005A485B" w:rsidP="008452FE">
      <w:pPr>
        <w:pStyle w:val="ASSAD2017ACCESSBody1"/>
        <w:rPr>
          <w:b/>
          <w:bCs w:val="0"/>
          <w:color w:val="0070C0"/>
          <w:szCs w:val="28"/>
        </w:rPr>
      </w:pPr>
      <w:r w:rsidRPr="002E5727">
        <w:rPr>
          <w:color w:val="000000"/>
        </w:rPr>
        <w:t>Some researchers have also identified characteristics such as greater maturity, individuality, and responsibility among recent generations of young people, evident in less peer pressure to drink, and greater variation in the ways that adolescents socialise</w:t>
      </w:r>
      <w:r w:rsidRPr="002E5727">
        <w:rPr>
          <w:color w:val="000000"/>
          <w:vertAlign w:val="superscript"/>
        </w:rPr>
        <w:footnoteReference w:id="75"/>
      </w:r>
      <w:r w:rsidRPr="002E5727">
        <w:rPr>
          <w:color w:val="000000"/>
        </w:rPr>
        <w:t>.</w:t>
      </w:r>
    </w:p>
    <w:bookmarkEnd w:id="32"/>
    <w:bookmarkEnd w:id="33"/>
    <w:p w14:paraId="7937DFCA" w14:textId="51974E9B" w:rsidR="00E24542" w:rsidRPr="00DE25AD" w:rsidRDefault="005A485B" w:rsidP="00F814C3">
      <w:pPr>
        <w:pStyle w:val="ASSAD2017ACCESSHeading2"/>
      </w:pPr>
      <w:r>
        <w:t>Reducing the prevalence of</w:t>
      </w:r>
      <w:r w:rsidR="004E3746">
        <w:t xml:space="preserve"> adolescent drinking</w:t>
      </w:r>
    </w:p>
    <w:p w14:paraId="04ED463A" w14:textId="77777777" w:rsidR="004E3746" w:rsidRPr="002E5727" w:rsidRDefault="004E3746" w:rsidP="004E3746">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Drinking prevalence overall remains substantial, especially among older secondary students. Alcohol uptake in adolescence is related to increased later unhealthy drinking behaviour, attitudes, and health effects</w:t>
      </w:r>
      <w:r w:rsidRPr="002E5727">
        <w:rPr>
          <w:rFonts w:ascii="Arial" w:hAnsi="Arial" w:cs="Arial"/>
          <w:bCs/>
          <w:color w:val="000000"/>
          <w:sz w:val="20"/>
          <w:szCs w:val="20"/>
          <w:vertAlign w:val="superscript"/>
          <w:lang w:val="en-US"/>
        </w:rPr>
        <w:footnoteReference w:id="76"/>
      </w:r>
      <w:r>
        <w:rPr>
          <w:rFonts w:ascii="Arial" w:hAnsi="Arial" w:cs="Arial"/>
          <w:bCs/>
          <w:color w:val="000000"/>
          <w:sz w:val="20"/>
          <w:szCs w:val="20"/>
          <w:vertAlign w:val="superscript"/>
          <w:lang w:val="en-US"/>
        </w:rPr>
        <w:t>-</w:t>
      </w:r>
      <w:r w:rsidRPr="002E6FAE">
        <w:rPr>
          <w:rFonts w:ascii="Arial" w:hAnsi="Arial" w:cs="Arial"/>
          <w:bCs/>
          <w:vanish/>
          <w:color w:val="000000"/>
          <w:sz w:val="20"/>
          <w:szCs w:val="20"/>
          <w:vertAlign w:val="superscript"/>
          <w:lang w:val="en-US"/>
        </w:rPr>
        <w:footnoteReference w:id="77"/>
      </w:r>
      <w:r w:rsidRPr="002E5727">
        <w:rPr>
          <w:rFonts w:ascii="Arial" w:hAnsi="Arial" w:cs="Arial"/>
          <w:bCs/>
          <w:color w:val="000000"/>
          <w:sz w:val="20"/>
          <w:szCs w:val="20"/>
          <w:vertAlign w:val="superscript"/>
          <w:lang w:val="en-US"/>
        </w:rPr>
        <w:footnoteReference w:id="78"/>
      </w:r>
      <w:r>
        <w:rPr>
          <w:rFonts w:ascii="Arial" w:hAnsi="Arial" w:cs="Arial"/>
          <w:bCs/>
          <w:color w:val="000000"/>
          <w:sz w:val="20"/>
          <w:szCs w:val="20"/>
          <w:lang w:val="en-US"/>
        </w:rPr>
        <w:t>.</w:t>
      </w:r>
      <w:r w:rsidRPr="002E5727">
        <w:rPr>
          <w:rFonts w:ascii="Arial" w:hAnsi="Arial" w:cs="Arial"/>
          <w:bCs/>
          <w:color w:val="000000"/>
          <w:sz w:val="20"/>
          <w:szCs w:val="20"/>
          <w:lang w:val="en-US"/>
        </w:rPr>
        <w:t xml:space="preserve"> </w:t>
      </w:r>
      <w:r>
        <w:rPr>
          <w:rFonts w:ascii="Arial" w:hAnsi="Arial" w:cs="Arial"/>
          <w:bCs/>
          <w:color w:val="000000"/>
          <w:sz w:val="20"/>
          <w:szCs w:val="20"/>
          <w:lang w:val="en-US"/>
        </w:rPr>
        <w:t>As current NHMRC guidelines recommend no drinking before the age of 18 years,</w:t>
      </w:r>
      <w:r w:rsidRPr="002E5727">
        <w:rPr>
          <w:rFonts w:ascii="Arial" w:hAnsi="Arial" w:cs="Arial"/>
          <w:bCs/>
          <w:color w:val="000000"/>
          <w:sz w:val="20"/>
          <w:szCs w:val="20"/>
          <w:lang w:val="en-US"/>
        </w:rPr>
        <w:t xml:space="preserve"> further policy action </w:t>
      </w:r>
      <w:r>
        <w:rPr>
          <w:rFonts w:ascii="Arial" w:hAnsi="Arial" w:cs="Arial"/>
          <w:bCs/>
          <w:color w:val="000000"/>
          <w:sz w:val="20"/>
          <w:szCs w:val="20"/>
          <w:lang w:val="en-US"/>
        </w:rPr>
        <w:t xml:space="preserve">may be needed </w:t>
      </w:r>
      <w:r w:rsidRPr="002E5727">
        <w:rPr>
          <w:rFonts w:ascii="Arial" w:hAnsi="Arial" w:cs="Arial"/>
          <w:bCs/>
          <w:color w:val="000000"/>
          <w:sz w:val="20"/>
          <w:szCs w:val="20"/>
          <w:lang w:val="en-US"/>
        </w:rPr>
        <w:t xml:space="preserve">to consolidate and strengthen recently observed declines in use. </w:t>
      </w:r>
    </w:p>
    <w:p w14:paraId="1A270630" w14:textId="050E04F0" w:rsidR="0056437B" w:rsidRDefault="004E3746" w:rsidP="004E3746">
      <w:pPr>
        <w:pStyle w:val="ASSAD2017ACCESSBody1"/>
        <w:rPr>
          <w:color w:val="000000"/>
        </w:rPr>
      </w:pPr>
      <w:r w:rsidRPr="002E5727">
        <w:rPr>
          <w:color w:val="000000"/>
        </w:rPr>
        <w:t>While the implementation of selected policy measures and programs to reduce alcohol consumption among secondary students</w:t>
      </w:r>
      <w:r>
        <w:rPr>
          <w:color w:val="000000"/>
        </w:rPr>
        <w:t xml:space="preserve"> since the late 1990s seems to have had some impact on adolescents’ drinking behaviours</w:t>
      </w:r>
      <w:r>
        <w:rPr>
          <w:rStyle w:val="FootnoteReference"/>
          <w:bCs w:val="0"/>
          <w:color w:val="000000"/>
        </w:rPr>
        <w:footnoteReference w:id="79"/>
      </w:r>
      <w:r w:rsidRPr="002E5727">
        <w:rPr>
          <w:color w:val="000000"/>
        </w:rPr>
        <w:t xml:space="preserve">, </w:t>
      </w:r>
      <w:r>
        <w:rPr>
          <w:color w:val="000000"/>
        </w:rPr>
        <w:t xml:space="preserve">as </w:t>
      </w:r>
      <w:r w:rsidRPr="002E5727">
        <w:rPr>
          <w:color w:val="000000"/>
        </w:rPr>
        <w:t>these measures operate in an environment of</w:t>
      </w:r>
      <w:r>
        <w:rPr>
          <w:color w:val="000000"/>
        </w:rPr>
        <w:t xml:space="preserve"> increasing</w:t>
      </w:r>
      <w:r w:rsidRPr="002E5727">
        <w:rPr>
          <w:color w:val="000000"/>
        </w:rPr>
        <w:t xml:space="preserve"> liberalisation of alcohol regulation</w:t>
      </w:r>
      <w:r>
        <w:rPr>
          <w:color w:val="000000"/>
        </w:rPr>
        <w:t>,</w:t>
      </w:r>
      <w:r w:rsidRPr="002E5727">
        <w:rPr>
          <w:color w:val="000000"/>
        </w:rPr>
        <w:t xml:space="preserve"> </w:t>
      </w:r>
      <w:r>
        <w:rPr>
          <w:color w:val="000000"/>
        </w:rPr>
        <w:t>strengthening policy</w:t>
      </w:r>
      <w:r w:rsidRPr="002E5727">
        <w:rPr>
          <w:color w:val="000000"/>
        </w:rPr>
        <w:t xml:space="preserve"> measures</w:t>
      </w:r>
      <w:r>
        <w:rPr>
          <w:color w:val="000000"/>
        </w:rPr>
        <w:t xml:space="preserve"> and reducing conflicting messages around alcohol may be needed to continue downward trends in adolescent drinking</w:t>
      </w:r>
      <w:r w:rsidRPr="002E5727">
        <w:rPr>
          <w:color w:val="000000"/>
        </w:rPr>
        <w:t>.</w:t>
      </w:r>
    </w:p>
    <w:p w14:paraId="05E02DE1" w14:textId="5CB0A0CA" w:rsidR="004E3746" w:rsidRDefault="004E3746" w:rsidP="004E3746">
      <w:pPr>
        <w:pStyle w:val="ASSAD2017ACCESSBody1"/>
        <w:rPr>
          <w:color w:val="000000"/>
        </w:rPr>
      </w:pPr>
      <w:r w:rsidRPr="002E5727">
        <w:rPr>
          <w:color w:val="000000"/>
        </w:rPr>
        <w:t>Current social environments of alcohol use are facilitated by extended opening hours of licensed premises, and a proliferation of sites where alcohol is available from licensed premises and retailers</w:t>
      </w:r>
      <w:r w:rsidRPr="002E5727">
        <w:rPr>
          <w:color w:val="000000"/>
          <w:vertAlign w:val="superscript"/>
        </w:rPr>
        <w:footnoteReference w:id="80"/>
      </w:r>
      <w:r w:rsidRPr="002E5727">
        <w:rPr>
          <w:color w:val="000000"/>
        </w:rPr>
        <w:t>.</w:t>
      </w:r>
    </w:p>
    <w:p w14:paraId="7F155DB7" w14:textId="4FDEABF3" w:rsidR="004E3746" w:rsidRDefault="004E3746" w:rsidP="004E3746">
      <w:pPr>
        <w:pStyle w:val="ASSAD2017ACCESSBody1"/>
        <w:rPr>
          <w:color w:val="000000"/>
        </w:rPr>
      </w:pPr>
      <w:r w:rsidRPr="002E5727">
        <w:rPr>
          <w:color w:val="000000"/>
        </w:rPr>
        <w:t>Alcohol sponsorship and advertising has a strong association with alcohol brand awareness, recognition, choice, and use</w:t>
      </w:r>
      <w:r w:rsidRPr="002E5727">
        <w:rPr>
          <w:color w:val="000000"/>
          <w:vertAlign w:val="superscript"/>
        </w:rPr>
        <w:footnoteReference w:id="81"/>
      </w:r>
      <w:r>
        <w:rPr>
          <w:color w:val="000000"/>
          <w:vertAlign w:val="superscript"/>
        </w:rPr>
        <w:t>,</w:t>
      </w:r>
      <w:r w:rsidRPr="002E5727">
        <w:rPr>
          <w:color w:val="000000"/>
          <w:vertAlign w:val="superscript"/>
        </w:rPr>
        <w:footnoteReference w:id="82"/>
      </w:r>
      <w:r w:rsidRPr="002E5727">
        <w:rPr>
          <w:color w:val="000000"/>
        </w:rPr>
        <w:t xml:space="preserve">, with advertising </w:t>
      </w:r>
      <w:r>
        <w:rPr>
          <w:color w:val="000000"/>
        </w:rPr>
        <w:t xml:space="preserve">of alcohol outlets </w:t>
      </w:r>
      <w:r w:rsidRPr="002E5727">
        <w:rPr>
          <w:color w:val="000000"/>
        </w:rPr>
        <w:t>playing an increasing role in advertising alcohol</w:t>
      </w:r>
      <w:r w:rsidRPr="002E5727">
        <w:rPr>
          <w:color w:val="000000"/>
          <w:vertAlign w:val="superscript"/>
        </w:rPr>
        <w:footnoteReference w:id="83"/>
      </w:r>
      <w:r w:rsidRPr="002E5727">
        <w:rPr>
          <w:color w:val="000000"/>
        </w:rPr>
        <w:t>. Adolescents are exposed to alcohol advertising in diverse media and locations, including television advertisements by retailers, and sponsorship of digital gaming and sports telecasts</w:t>
      </w:r>
      <w:r w:rsidRPr="002E5727">
        <w:rPr>
          <w:color w:val="000000"/>
          <w:vertAlign w:val="superscript"/>
        </w:rPr>
        <w:footnoteReference w:id="84"/>
      </w:r>
      <w:r w:rsidRPr="002E5727">
        <w:rPr>
          <w:color w:val="000000"/>
        </w:rPr>
        <w:t>. Exposure to alcohol advertising is likely to have a strong and ongoing effect on the initiation of alcohol use in adolescence, and continued alcohol consumption.</w:t>
      </w:r>
    </w:p>
    <w:p w14:paraId="2C777088" w14:textId="4EB659A0" w:rsidR="004E3746" w:rsidRDefault="004E3746" w:rsidP="004E3746">
      <w:pPr>
        <w:pStyle w:val="ASSAD2017ACCESSBody1"/>
        <w:rPr>
          <w:color w:val="000000"/>
        </w:rPr>
      </w:pPr>
      <w:r w:rsidRPr="002E5727">
        <w:rPr>
          <w:color w:val="000000"/>
        </w:rPr>
        <w:t>Restrictions on alcohol advertising during children’s television viewing time do not apply in major sports broadcasts, resulting in widescale alcohol sponsorship of major sporting teams and events that directly and substantially increases adolescents’ exposure</w:t>
      </w:r>
      <w:r w:rsidRPr="002E5727">
        <w:rPr>
          <w:color w:val="000000"/>
          <w:vertAlign w:val="superscript"/>
        </w:rPr>
        <w:footnoteReference w:id="85"/>
      </w:r>
      <w:r w:rsidRPr="002E5727">
        <w:rPr>
          <w:color w:val="000000"/>
        </w:rPr>
        <w:t>.</w:t>
      </w:r>
    </w:p>
    <w:p w14:paraId="44993B3F" w14:textId="3C2ADE0E" w:rsidR="004E3746" w:rsidRDefault="004E3746" w:rsidP="004E3746">
      <w:pPr>
        <w:pStyle w:val="ASSAD2017ACCESSBody1"/>
        <w:rPr>
          <w:color w:val="000000"/>
        </w:rPr>
      </w:pPr>
      <w:r w:rsidRPr="002E5727">
        <w:rPr>
          <w:color w:val="000000"/>
        </w:rPr>
        <w:t>Alcohol advertising is permitted in a range of other media and locations.</w:t>
      </w:r>
    </w:p>
    <w:p w14:paraId="539593E7" w14:textId="18FA976D" w:rsidR="004E3746" w:rsidRDefault="004E3746" w:rsidP="004E3746">
      <w:pPr>
        <w:pStyle w:val="ASSAD2017ACCESSBody1"/>
        <w:rPr>
          <w:color w:val="000000"/>
        </w:rPr>
      </w:pPr>
      <w:r w:rsidRPr="002E5727">
        <w:rPr>
          <w:color w:val="000000"/>
        </w:rPr>
        <w:t>Excise taxes on alcohol have not been broadly increased for prevention and minimisation of alcohol-related harms in Australia</w:t>
      </w:r>
      <w:r w:rsidRPr="002E5727">
        <w:rPr>
          <w:color w:val="000000"/>
          <w:vertAlign w:val="superscript"/>
        </w:rPr>
        <w:footnoteReference w:id="86"/>
      </w:r>
      <w:r w:rsidRPr="002E5727">
        <w:rPr>
          <w:color w:val="000000"/>
        </w:rPr>
        <w:t>.</w:t>
      </w:r>
    </w:p>
    <w:p w14:paraId="608FE4AC" w14:textId="1D370999" w:rsidR="004E3746" w:rsidRDefault="004E3746" w:rsidP="004E3746">
      <w:pPr>
        <w:pStyle w:val="ASSAD2017ACCESSBody1"/>
        <w:rPr>
          <w:color w:val="000000"/>
        </w:rPr>
      </w:pPr>
      <w:r w:rsidRPr="002E5727">
        <w:rPr>
          <w:color w:val="000000"/>
        </w:rPr>
        <w:t>In combination, these activities normalise alcohol use.</w:t>
      </w:r>
    </w:p>
    <w:p w14:paraId="16ECDA51" w14:textId="77777777" w:rsidR="009B2EF8" w:rsidRDefault="009B2EF8">
      <w:pPr>
        <w:suppressAutoHyphens w:val="0"/>
        <w:rPr>
          <w:rFonts w:ascii="Arial" w:hAnsi="Arial" w:cs="Arial"/>
          <w:b/>
          <w:bCs/>
          <w:szCs w:val="28"/>
        </w:rPr>
      </w:pPr>
      <w:r>
        <w:br w:type="page"/>
      </w:r>
    </w:p>
    <w:p w14:paraId="678A3B68" w14:textId="4F840627" w:rsidR="00D6365B" w:rsidRPr="00DE25AD" w:rsidDel="00B33B6B" w:rsidRDefault="007A78BA" w:rsidP="00275D87">
      <w:pPr>
        <w:pStyle w:val="ASSAD2017ACCESSHeading2"/>
        <w:numPr>
          <w:ilvl w:val="0"/>
          <w:numId w:val="0"/>
        </w:numPr>
      </w:pPr>
      <w:r>
        <w:lastRenderedPageBreak/>
        <w:t>Implications</w:t>
      </w:r>
    </w:p>
    <w:p w14:paraId="47718815" w14:textId="31D2E7E8" w:rsidR="00D6365B" w:rsidRDefault="007A78BA" w:rsidP="008452FE">
      <w:pPr>
        <w:pStyle w:val="reporttext"/>
        <w:rPr>
          <w:bCs/>
          <w:color w:val="000000"/>
          <w:lang w:val="en-US"/>
        </w:rPr>
      </w:pPr>
      <w:r w:rsidRPr="002E5727">
        <w:rPr>
          <w:bCs/>
          <w:color w:val="000000"/>
          <w:lang w:val="en-US"/>
        </w:rPr>
        <w:t>Alcohol price has been identified as a relatively immediate influence on substance use prevalence and a prime target for policy that might reduce adolescent alcohol consumption through higher and increasing excise</w:t>
      </w:r>
      <w:r w:rsidRPr="002E5727">
        <w:rPr>
          <w:bCs/>
          <w:color w:val="000000"/>
          <w:vertAlign w:val="superscript"/>
          <w:lang w:val="en-US"/>
        </w:rPr>
        <w:footnoteReference w:id="87"/>
      </w:r>
      <w:r w:rsidRPr="002E5727">
        <w:rPr>
          <w:bCs/>
          <w:color w:val="000000"/>
          <w:lang w:val="en-US"/>
        </w:rPr>
        <w:t xml:space="preserve"> and product regulation.</w:t>
      </w:r>
    </w:p>
    <w:p w14:paraId="0317817B" w14:textId="5AD5EB62" w:rsidR="007A78BA" w:rsidRDefault="007A78BA" w:rsidP="008452FE">
      <w:pPr>
        <w:pStyle w:val="reporttext"/>
        <w:rPr>
          <w:bCs/>
          <w:color w:val="000000"/>
          <w:lang w:val="en-US"/>
        </w:rPr>
      </w:pPr>
      <w:r w:rsidRPr="002E5727">
        <w:rPr>
          <w:bCs/>
          <w:color w:val="000000"/>
          <w:lang w:val="en-US"/>
        </w:rPr>
        <w:t>Tightening regulation of alcohol advertising would reduce adolescent exposure to alcohol and its use by others and remove a contributing factor to the normalisation of alcohol use in adolescents’ social environments</w:t>
      </w:r>
      <w:r w:rsidRPr="002E5727">
        <w:rPr>
          <w:bCs/>
          <w:color w:val="000000"/>
          <w:vertAlign w:val="superscript"/>
          <w:lang w:val="en-US"/>
        </w:rPr>
        <w:footnoteReference w:id="88"/>
      </w:r>
      <w:r>
        <w:rPr>
          <w:bCs/>
          <w:color w:val="000000"/>
          <w:vertAlign w:val="superscript"/>
          <w:lang w:val="en-US"/>
        </w:rPr>
        <w:t>,</w:t>
      </w:r>
      <w:r w:rsidRPr="002E5727">
        <w:rPr>
          <w:bCs/>
          <w:color w:val="000000"/>
          <w:vertAlign w:val="superscript"/>
          <w:lang w:val="en-US"/>
        </w:rPr>
        <w:footnoteReference w:id="89"/>
      </w:r>
      <w:r w:rsidRPr="002E5727">
        <w:rPr>
          <w:bCs/>
          <w:color w:val="000000"/>
          <w:lang w:val="en-US"/>
        </w:rPr>
        <w:t>.</w:t>
      </w:r>
    </w:p>
    <w:p w14:paraId="5BB3E298" w14:textId="2A61E0BD" w:rsidR="007A78BA" w:rsidRDefault="007A78BA" w:rsidP="008452FE">
      <w:pPr>
        <w:pStyle w:val="reporttext"/>
        <w:rPr>
          <w:bCs/>
          <w:color w:val="000000"/>
          <w:lang w:val="en-US"/>
        </w:rPr>
      </w:pPr>
      <w:r w:rsidRPr="002E5727">
        <w:rPr>
          <w:bCs/>
          <w:color w:val="000000"/>
          <w:lang w:val="en-US"/>
        </w:rPr>
        <w:t xml:space="preserve">Mass media campaigns </w:t>
      </w:r>
      <w:r>
        <w:rPr>
          <w:bCs/>
          <w:color w:val="000000"/>
          <w:lang w:val="en-US"/>
        </w:rPr>
        <w:t>provided at adequate scale and duration may help to counter the persuasive effects of alcohol advertising on alcohol consumption</w:t>
      </w:r>
      <w:r>
        <w:rPr>
          <w:rStyle w:val="FootnoteReference"/>
          <w:color w:val="000000"/>
        </w:rPr>
        <w:footnoteReference w:id="90"/>
      </w:r>
      <w:r>
        <w:rPr>
          <w:bCs/>
          <w:color w:val="000000"/>
          <w:lang w:val="en-US"/>
        </w:rPr>
        <w:t>.</w:t>
      </w:r>
    </w:p>
    <w:p w14:paraId="07F78E3A" w14:textId="14ED78C8" w:rsidR="007A78BA" w:rsidRDefault="007A78BA" w:rsidP="008452FE">
      <w:pPr>
        <w:pStyle w:val="reporttext"/>
        <w:rPr>
          <w:bCs/>
          <w:color w:val="000000"/>
          <w:lang w:val="en-US"/>
        </w:rPr>
      </w:pPr>
      <w:r>
        <w:rPr>
          <w:bCs/>
          <w:color w:val="000000"/>
          <w:lang w:val="en-US"/>
        </w:rPr>
        <w:t>I</w:t>
      </w:r>
      <w:r w:rsidRPr="002E5727">
        <w:rPr>
          <w:bCs/>
          <w:color w:val="000000"/>
          <w:lang w:val="en-US"/>
        </w:rPr>
        <w:t>ndustry-led alcohol harm minimisation advertising (e.g., DrinkWise</w:t>
      </w:r>
      <w:r w:rsidRPr="002E5727">
        <w:rPr>
          <w:bCs/>
          <w:color w:val="000000"/>
          <w:vertAlign w:val="superscript"/>
          <w:lang w:val="en-US"/>
        </w:rPr>
        <w:footnoteReference w:id="91"/>
      </w:r>
      <w:r w:rsidRPr="002E5727">
        <w:rPr>
          <w:bCs/>
          <w:color w:val="000000"/>
          <w:lang w:val="en-US"/>
        </w:rPr>
        <w:t>) may include less effective messaging than government-led campaigns</w:t>
      </w:r>
      <w:r w:rsidRPr="002E5727">
        <w:rPr>
          <w:bCs/>
          <w:color w:val="000000"/>
          <w:vertAlign w:val="superscript"/>
          <w:lang w:val="en-US"/>
        </w:rPr>
        <w:footnoteReference w:id="92"/>
      </w:r>
      <w:r w:rsidRPr="002E5727">
        <w:rPr>
          <w:bCs/>
          <w:color w:val="000000"/>
          <w:lang w:val="en-US"/>
        </w:rPr>
        <w:t>.</w:t>
      </w:r>
    </w:p>
    <w:p w14:paraId="753F501E" w14:textId="77777777" w:rsidR="007A78BA" w:rsidRPr="00DE25AD" w:rsidRDefault="007A78BA" w:rsidP="008452FE">
      <w:pPr>
        <w:pStyle w:val="reporttext"/>
        <w:rPr>
          <w:rStyle w:val="ASSAD2017CWBody1Char"/>
        </w:rPr>
      </w:pPr>
    </w:p>
    <w:p w14:paraId="3B1FF040" w14:textId="5869F48B" w:rsidR="00EF08A8" w:rsidRDefault="00EF08A8">
      <w:pPr>
        <w:suppressAutoHyphens w:val="0"/>
        <w:rPr>
          <w:rFonts w:ascii="Arial" w:hAnsi="Arial" w:cs="Arial"/>
          <w:bCs/>
          <w:color w:val="000000" w:themeColor="text1"/>
          <w:sz w:val="20"/>
          <w:szCs w:val="20"/>
          <w:lang w:val="en-US" w:eastAsia="en-US"/>
        </w:rPr>
      </w:pPr>
      <w:r>
        <w:br w:type="page"/>
      </w:r>
    </w:p>
    <w:p w14:paraId="75D76E7C" w14:textId="6E0025A3" w:rsidR="00EF08A8" w:rsidRDefault="00D712E2" w:rsidP="003560C7">
      <w:pPr>
        <w:pStyle w:val="ASSAD2017ACCESSBody1"/>
        <w:rPr>
          <w:rStyle w:val="Trends2017Heading2Char"/>
          <w:color w:val="auto"/>
          <w:sz w:val="20"/>
          <w:szCs w:val="20"/>
        </w:rPr>
      </w:pPr>
      <w:r>
        <w:rPr>
          <w:rStyle w:val="Trends2017Heading2Char"/>
          <w:noProof/>
          <w:color w:val="auto"/>
          <w:sz w:val="20"/>
          <w:szCs w:val="20"/>
        </w:rPr>
        <w:lastRenderedPageBreak/>
        <w:drawing>
          <wp:inline distT="0" distB="0" distL="0" distR="0" wp14:anchorId="0C64ADDB" wp14:editId="62780C43">
            <wp:extent cx="5761355" cy="2590800"/>
            <wp:effectExtent l="0" t="0" r="0" b="0"/>
            <wp:docPr id="35" name="Picture 35" descr="Line graph showing the percentage of Australian secondary school students who had ever drank alcohol,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73D769DC" w14:textId="2CDAA134" w:rsidR="003560C7" w:rsidRDefault="00EF08A8" w:rsidP="003560C7">
      <w:pPr>
        <w:pStyle w:val="ASSAD2017ACCESSBody1"/>
        <w:rPr>
          <w:b/>
          <w:bCs w:val="0"/>
          <w:color w:val="auto"/>
        </w:rPr>
      </w:pPr>
      <w:r w:rsidRPr="00EF08A8">
        <w:rPr>
          <w:rStyle w:val="Trends2017Heading2Char"/>
          <w:color w:val="auto"/>
          <w:sz w:val="20"/>
          <w:szCs w:val="20"/>
        </w:rPr>
        <w:t>Figure 9: Percentage of Australian secondary school students who ever drank alcohol, ASSAD</w:t>
      </w:r>
      <w:r w:rsidRPr="00EF08A8">
        <w:rPr>
          <w:color w:val="auto"/>
        </w:rPr>
        <w:t xml:space="preserve"> </w:t>
      </w:r>
      <w:r w:rsidRPr="00EF08A8">
        <w:rPr>
          <w:b/>
          <w:bCs w:val="0"/>
          <w:color w:val="auto"/>
        </w:rPr>
        <w:t>1996-2017</w:t>
      </w:r>
    </w:p>
    <w:p w14:paraId="39281577" w14:textId="154F22F8" w:rsidR="007E6F2D" w:rsidRPr="00EF08A8" w:rsidRDefault="00D712E2" w:rsidP="003560C7">
      <w:pPr>
        <w:pStyle w:val="ASSAD2017ACCESSBody1"/>
        <w:rPr>
          <w:b/>
          <w:bCs w:val="0"/>
          <w:color w:val="auto"/>
        </w:rPr>
      </w:pPr>
      <w:r>
        <w:rPr>
          <w:b/>
          <w:bCs w:val="0"/>
          <w:noProof/>
          <w:color w:val="auto"/>
        </w:rPr>
        <w:drawing>
          <wp:inline distT="0" distB="0" distL="0" distR="0" wp14:anchorId="6716FCBD" wp14:editId="404B1480">
            <wp:extent cx="5761355" cy="2590800"/>
            <wp:effectExtent l="0" t="0" r="0" b="0"/>
            <wp:docPr id="36" name="Picture 36" descr="Line graph showing the percentage of Australian secondary school students who had drank alcohol in the past year,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4F3C9250" w14:textId="34FB0B03" w:rsidR="00EF08A8" w:rsidRDefault="00EF08A8" w:rsidP="003560C7">
      <w:pPr>
        <w:pStyle w:val="ASSAD2017ACCESSBody1"/>
        <w:rPr>
          <w:b/>
          <w:bCs w:val="0"/>
          <w:color w:val="auto"/>
        </w:rPr>
      </w:pPr>
      <w:r w:rsidRPr="00EF08A8">
        <w:rPr>
          <w:rStyle w:val="Trends2017Heading2Char"/>
          <w:color w:val="auto"/>
          <w:sz w:val="20"/>
          <w:szCs w:val="20"/>
        </w:rPr>
        <w:t>Figure 10: Percentage of Australian secondary school students who drank alcohol in the past year, ASSAD</w:t>
      </w:r>
      <w:r w:rsidRPr="00EF08A8">
        <w:rPr>
          <w:color w:val="auto"/>
        </w:rPr>
        <w:t xml:space="preserve"> </w:t>
      </w:r>
      <w:r w:rsidRPr="00EF08A8">
        <w:rPr>
          <w:b/>
          <w:bCs w:val="0"/>
          <w:color w:val="auto"/>
        </w:rPr>
        <w:t>1996-2017</w:t>
      </w:r>
    </w:p>
    <w:p w14:paraId="17634977" w14:textId="717D3EDA" w:rsidR="007E6F2D" w:rsidRPr="00EF08A8" w:rsidRDefault="00D712E2" w:rsidP="003560C7">
      <w:pPr>
        <w:pStyle w:val="ASSAD2017ACCESSBody1"/>
        <w:rPr>
          <w:b/>
          <w:bCs w:val="0"/>
          <w:color w:val="auto"/>
        </w:rPr>
      </w:pPr>
      <w:r>
        <w:rPr>
          <w:b/>
          <w:bCs w:val="0"/>
          <w:noProof/>
          <w:color w:val="auto"/>
        </w:rPr>
        <w:drawing>
          <wp:inline distT="0" distB="0" distL="0" distR="0" wp14:anchorId="483FE839" wp14:editId="0ABD81A1">
            <wp:extent cx="5761355" cy="2590800"/>
            <wp:effectExtent l="0" t="0" r="0" b="0"/>
            <wp:docPr id="37" name="Picture 37" descr="Line graph showing the percentage of Australian secondary school students who had drank alcohol in the past month,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2590800"/>
                    </a:xfrm>
                    <a:prstGeom prst="rect">
                      <a:avLst/>
                    </a:prstGeom>
                    <a:noFill/>
                  </pic:spPr>
                </pic:pic>
              </a:graphicData>
            </a:graphic>
          </wp:inline>
        </w:drawing>
      </w:r>
    </w:p>
    <w:p w14:paraId="796F5CF8" w14:textId="6603AE1F" w:rsidR="00EF08A8" w:rsidRDefault="00EF08A8" w:rsidP="003560C7">
      <w:pPr>
        <w:pStyle w:val="ASSAD2017ACCESSBody1"/>
        <w:rPr>
          <w:b/>
          <w:bCs w:val="0"/>
          <w:color w:val="auto"/>
        </w:rPr>
      </w:pPr>
      <w:r w:rsidRPr="00EF08A8">
        <w:rPr>
          <w:rStyle w:val="Trends2017Heading2Char"/>
          <w:color w:val="auto"/>
          <w:sz w:val="20"/>
          <w:szCs w:val="20"/>
        </w:rPr>
        <w:t>Figure 11: Percentage of Australian secondary school students who drank alcohol in the past month, ASSAD</w:t>
      </w:r>
      <w:r w:rsidRPr="00EF08A8">
        <w:rPr>
          <w:color w:val="auto"/>
        </w:rPr>
        <w:t xml:space="preserve"> </w:t>
      </w:r>
      <w:r w:rsidRPr="00EF08A8">
        <w:rPr>
          <w:b/>
          <w:bCs w:val="0"/>
          <w:color w:val="auto"/>
        </w:rPr>
        <w:t>1996-2017</w:t>
      </w:r>
    </w:p>
    <w:p w14:paraId="0DB902DC" w14:textId="485B2FCA" w:rsidR="007E6F2D" w:rsidRDefault="00EE38BB" w:rsidP="003560C7">
      <w:pPr>
        <w:pStyle w:val="ASSAD2017ACCESSBody1"/>
        <w:rPr>
          <w:rStyle w:val="Trends2017Heading2Char"/>
          <w:color w:val="auto"/>
          <w:sz w:val="20"/>
          <w:szCs w:val="20"/>
        </w:rPr>
      </w:pPr>
      <w:r>
        <w:rPr>
          <w:rStyle w:val="Trends2017Heading2Char"/>
          <w:noProof/>
          <w:color w:val="auto"/>
          <w:sz w:val="20"/>
          <w:szCs w:val="20"/>
        </w:rPr>
        <w:lastRenderedPageBreak/>
        <w:drawing>
          <wp:inline distT="0" distB="0" distL="0" distR="0" wp14:anchorId="3F0D8449" wp14:editId="0284A115">
            <wp:extent cx="5761355" cy="3602990"/>
            <wp:effectExtent l="0" t="0" r="0" b="0"/>
            <wp:docPr id="38" name="Picture 38" descr="Line graph showing the percentage of Australian secondary school students who were current drinkers (consumed alcohol in past week) and risky drinkers (drank five or more drinks on one day in past seven day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3602990"/>
                    </a:xfrm>
                    <a:prstGeom prst="rect">
                      <a:avLst/>
                    </a:prstGeom>
                    <a:noFill/>
                  </pic:spPr>
                </pic:pic>
              </a:graphicData>
            </a:graphic>
          </wp:inline>
        </w:drawing>
      </w:r>
    </w:p>
    <w:p w14:paraId="14413DD4" w14:textId="0B22BD43" w:rsidR="00EF08A8" w:rsidRPr="00EF08A8" w:rsidRDefault="00EF08A8" w:rsidP="003560C7">
      <w:pPr>
        <w:pStyle w:val="ASSAD2017ACCESSBody1"/>
        <w:rPr>
          <w:b/>
          <w:bCs w:val="0"/>
          <w:color w:val="auto"/>
        </w:rPr>
      </w:pPr>
      <w:r w:rsidRPr="00EF08A8">
        <w:rPr>
          <w:rStyle w:val="Trends2017Heading2Char"/>
          <w:color w:val="auto"/>
          <w:sz w:val="20"/>
          <w:szCs w:val="20"/>
        </w:rPr>
        <w:t>Figure 12: Percentage of Australian secondary school students who were current or risky drinkers, ASSAD</w:t>
      </w:r>
      <w:r w:rsidRPr="00EF08A8">
        <w:rPr>
          <w:color w:val="auto"/>
        </w:rPr>
        <w:t xml:space="preserve"> </w:t>
      </w:r>
      <w:r w:rsidRPr="00EF08A8">
        <w:rPr>
          <w:b/>
          <w:bCs w:val="0"/>
          <w:color w:val="auto"/>
        </w:rPr>
        <w:t>1996-2017</w:t>
      </w:r>
      <w:r w:rsidR="000F7E29">
        <w:rPr>
          <w:rStyle w:val="FootnoteReference"/>
          <w:b/>
          <w:bCs w:val="0"/>
          <w:color w:val="auto"/>
        </w:rPr>
        <w:footnoteReference w:id="93"/>
      </w:r>
    </w:p>
    <w:p w14:paraId="003EF658" w14:textId="77777777" w:rsidR="008445E1" w:rsidRPr="00DE25AD" w:rsidRDefault="008445E1">
      <w:pPr>
        <w:suppressAutoHyphens w:val="0"/>
        <w:rPr>
          <w:rFonts w:ascii="Arial" w:hAnsi="Arial" w:cs="Arial"/>
          <w:b/>
          <w:bCs/>
          <w:szCs w:val="28"/>
        </w:rPr>
      </w:pPr>
      <w:r w:rsidRPr="00DE25AD">
        <w:br w:type="page"/>
      </w:r>
    </w:p>
    <w:p w14:paraId="6B9BB2D5" w14:textId="74716FB9" w:rsidR="00E24542" w:rsidRPr="00DE25AD" w:rsidRDefault="00CE7D87" w:rsidP="008452FE">
      <w:pPr>
        <w:pStyle w:val="ASSAD2017ACCESSHeading1"/>
      </w:pPr>
      <w:bookmarkStart w:id="34" w:name="_Toc419187137"/>
      <w:bookmarkStart w:id="35" w:name="_Toc424111134"/>
      <w:bookmarkStart w:id="36" w:name="_Toc437931454"/>
      <w:r>
        <w:lastRenderedPageBreak/>
        <w:t>Trends in over-the-counter drug use among Australian secondary students 1996-2017</w:t>
      </w:r>
      <w:bookmarkEnd w:id="34"/>
      <w:bookmarkEnd w:id="35"/>
      <w:bookmarkEnd w:id="36"/>
      <w:r w:rsidR="009E7F04" w:rsidRPr="00DE25AD">
        <w:t xml:space="preserve"> </w:t>
      </w:r>
    </w:p>
    <w:p w14:paraId="78923DD0" w14:textId="797D4148" w:rsidR="00DA21F3" w:rsidRPr="00DE25AD" w:rsidRDefault="00CE7D87" w:rsidP="008452FE">
      <w:pPr>
        <w:pStyle w:val="ASSAD2017ACCESSHeading2"/>
      </w:pPr>
      <w:r>
        <w:t>Trends in the prevalence of analgesic use</w:t>
      </w:r>
    </w:p>
    <w:p w14:paraId="28620F59" w14:textId="77777777" w:rsidR="00CE7D87" w:rsidRPr="002E5727" w:rsidRDefault="00CE7D87" w:rsidP="00CE7D87">
      <w:pPr>
        <w:widowControl w:val="0"/>
        <w:spacing w:after="120"/>
        <w:rPr>
          <w:rFonts w:ascii="Arial" w:hAnsi="Arial" w:cs="Arial"/>
          <w:b/>
          <w:bCs/>
          <w:color w:val="0070C0"/>
          <w:sz w:val="20"/>
          <w:szCs w:val="28"/>
          <w:lang w:val="en-US"/>
        </w:rPr>
      </w:pPr>
      <w:bookmarkStart w:id="37" w:name="_Toc419186190"/>
      <w:bookmarkStart w:id="38" w:name="_Toc424049441"/>
      <w:bookmarkStart w:id="39" w:name="_Toc424110769"/>
      <w:bookmarkStart w:id="40" w:name="_Toc444588664"/>
      <w:r w:rsidRPr="002E5727">
        <w:rPr>
          <w:rFonts w:ascii="Arial" w:hAnsi="Arial" w:cs="Arial"/>
          <w:bCs/>
          <w:color w:val="000000"/>
          <w:sz w:val="20"/>
          <w:szCs w:val="20"/>
          <w:lang w:val="en-US"/>
        </w:rPr>
        <w:t xml:space="preserve">Use of painkillers or analgesics (e.g., Disprin, Panadol, or Nurofen) has been consistently common among secondary students over the past </w:t>
      </w:r>
      <w:r>
        <w:rPr>
          <w:rFonts w:ascii="Arial" w:hAnsi="Arial" w:cs="Arial"/>
          <w:bCs/>
          <w:color w:val="000000"/>
          <w:sz w:val="20"/>
          <w:szCs w:val="20"/>
          <w:lang w:val="en-US"/>
        </w:rPr>
        <w:t>twen</w:t>
      </w:r>
      <w:r w:rsidRPr="002E5727">
        <w:rPr>
          <w:rFonts w:ascii="Arial" w:hAnsi="Arial" w:cs="Arial"/>
          <w:bCs/>
          <w:color w:val="000000"/>
          <w:sz w:val="20"/>
          <w:szCs w:val="20"/>
          <w:lang w:val="en-US"/>
        </w:rPr>
        <w:t xml:space="preserve">ty years. In 2017, 95% of students had ever used an analgesic, and around two-thirds of students had used them in the past month. </w:t>
      </w:r>
    </w:p>
    <w:p w14:paraId="2D335605" w14:textId="54F393A9" w:rsidR="00391C8E" w:rsidRPr="00DE25AD" w:rsidRDefault="00CE7D87" w:rsidP="00CE7D87">
      <w:pPr>
        <w:pStyle w:val="ASSAD2017CWBody1"/>
        <w:rPr>
          <w:b/>
          <w:i/>
        </w:rPr>
      </w:pPr>
      <w:r w:rsidRPr="002E5727">
        <w:rPr>
          <w:color w:val="000000"/>
        </w:rPr>
        <w:t xml:space="preserve">Use increases with age and is higher among female than male students for lifetime, past year, past month, and past week. Prevalence of lifetime analgesic use was </w:t>
      </w:r>
      <w:r>
        <w:rPr>
          <w:color w:val="000000"/>
        </w:rPr>
        <w:t xml:space="preserve">relatively </w:t>
      </w:r>
      <w:r w:rsidRPr="002E5727">
        <w:rPr>
          <w:color w:val="000000"/>
        </w:rPr>
        <w:t xml:space="preserve">similar across </w:t>
      </w:r>
      <w:r>
        <w:rPr>
          <w:color w:val="000000"/>
        </w:rPr>
        <w:t>survey years</w:t>
      </w:r>
      <w:r w:rsidRPr="002E5727">
        <w:rPr>
          <w:color w:val="000000"/>
        </w:rPr>
        <w:t xml:space="preserve">, while past month use was slightly lower in </w:t>
      </w:r>
      <w:r>
        <w:rPr>
          <w:color w:val="000000"/>
        </w:rPr>
        <w:t>2017</w:t>
      </w:r>
      <w:r w:rsidRPr="002E5727">
        <w:rPr>
          <w:color w:val="000000"/>
        </w:rPr>
        <w:t>. This might correspond with increased use of other substances for pain relief.</w:t>
      </w:r>
    </w:p>
    <w:p w14:paraId="060A649C" w14:textId="4838DDEE" w:rsidR="00131AF6" w:rsidRPr="00CE7D87" w:rsidRDefault="00CE7D87" w:rsidP="00F50CA8">
      <w:pPr>
        <w:pStyle w:val="ASSAD2017ACCESSHeading3"/>
        <w:numPr>
          <w:ilvl w:val="0"/>
          <w:numId w:val="0"/>
        </w:numPr>
        <w:rPr>
          <w:i w:val="0"/>
          <w:iCs/>
        </w:rPr>
      </w:pPr>
      <w:r>
        <w:rPr>
          <w:i w:val="0"/>
          <w:iCs/>
        </w:rPr>
        <w:t>Trends in r</w:t>
      </w:r>
      <w:r w:rsidR="00633E94" w:rsidRPr="00CE7D87">
        <w:rPr>
          <w:i w:val="0"/>
          <w:iCs/>
        </w:rPr>
        <w:t xml:space="preserve">easons for </w:t>
      </w:r>
      <w:r>
        <w:rPr>
          <w:i w:val="0"/>
          <w:iCs/>
        </w:rPr>
        <w:t xml:space="preserve">analgesic </w:t>
      </w:r>
      <w:r w:rsidR="00633E94" w:rsidRPr="00CE7D87">
        <w:rPr>
          <w:i w:val="0"/>
          <w:iCs/>
        </w:rPr>
        <w:t>use</w:t>
      </w:r>
      <w:r>
        <w:rPr>
          <w:i w:val="0"/>
          <w:iCs/>
        </w:rPr>
        <w:t xml:space="preserve"> 2008-2017</w:t>
      </w:r>
    </w:p>
    <w:p w14:paraId="58E1B011" w14:textId="78EC6AE7" w:rsidR="00E34580" w:rsidRDefault="00CE7D87" w:rsidP="00B90C9B">
      <w:pPr>
        <w:pStyle w:val="ASSAD2017ACCESSBody1"/>
        <w:shd w:val="clear" w:color="auto" w:fill="FFFFFF" w:themeFill="background1"/>
        <w:rPr>
          <w:color w:val="000000"/>
        </w:rPr>
      </w:pPr>
      <w:r w:rsidRPr="002E5727">
        <w:rPr>
          <w:color w:val="000000"/>
        </w:rPr>
        <w:t xml:space="preserve">Students’ reasons for use have been relatively stable over time, with analgesics most commonly used to ease headache. Other common reasons for use included easing cold or ‘flu symptoms, menstrual pain (females), or </w:t>
      </w:r>
      <w:r>
        <w:rPr>
          <w:color w:val="000000"/>
        </w:rPr>
        <w:t>sports injury</w:t>
      </w:r>
      <w:r w:rsidRPr="002E5727">
        <w:rPr>
          <w:color w:val="000000"/>
        </w:rPr>
        <w:t xml:space="preserve"> pain.</w:t>
      </w:r>
    </w:p>
    <w:p w14:paraId="20CE07C5" w14:textId="4DEF6BC6" w:rsidR="00352FC8" w:rsidRDefault="00352FC8" w:rsidP="00B90C9B">
      <w:pPr>
        <w:pStyle w:val="ASSAD2017ACCESSBody1"/>
        <w:shd w:val="clear" w:color="auto" w:fill="FFFFFF" w:themeFill="background1"/>
        <w:rPr>
          <w:color w:val="000000"/>
        </w:rPr>
      </w:pPr>
    </w:p>
    <w:p w14:paraId="7506727A" w14:textId="7EAA7ACC" w:rsidR="00352FC8" w:rsidRDefault="00C527E2" w:rsidP="00B90C9B">
      <w:pPr>
        <w:pStyle w:val="ASSAD2017ACCESSBody1"/>
        <w:shd w:val="clear" w:color="auto" w:fill="FFFFFF" w:themeFill="background1"/>
        <w:rPr>
          <w:color w:val="000000"/>
        </w:rPr>
      </w:pPr>
      <w:r>
        <w:rPr>
          <w:noProof/>
          <w:color w:val="000000"/>
        </w:rPr>
        <w:drawing>
          <wp:inline distT="0" distB="0" distL="0" distR="0" wp14:anchorId="7625E8E6" wp14:editId="4DE59D09">
            <wp:extent cx="5755005" cy="2590800"/>
            <wp:effectExtent l="0" t="0" r="0" b="0"/>
            <wp:docPr id="39" name="Picture 39" descr="Line graph showing the percentage of Australian secondary school students who used analgesic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734733D9" w14:textId="0402C120" w:rsidR="00352FC8" w:rsidRPr="00352FC8" w:rsidRDefault="00352FC8" w:rsidP="00B90C9B">
      <w:pPr>
        <w:pStyle w:val="ASSAD2017ACCESSBody1"/>
        <w:shd w:val="clear" w:color="auto" w:fill="FFFFFF" w:themeFill="background1"/>
        <w:rPr>
          <w:b/>
          <w:bCs w:val="0"/>
          <w:i/>
          <w:color w:val="auto"/>
          <w:lang w:val="en-GB" w:eastAsia="ar-SA"/>
        </w:rPr>
      </w:pPr>
      <w:r w:rsidRPr="00352FC8">
        <w:rPr>
          <w:rStyle w:val="Trends2017Heading2Char"/>
          <w:color w:val="auto"/>
          <w:sz w:val="20"/>
          <w:szCs w:val="20"/>
        </w:rPr>
        <w:t>Figure 13: Percentage of Australian secondary school students who used analgesics, 1996-2017</w:t>
      </w:r>
    </w:p>
    <w:bookmarkEnd w:id="37"/>
    <w:bookmarkEnd w:id="38"/>
    <w:bookmarkEnd w:id="39"/>
    <w:bookmarkEnd w:id="40"/>
    <w:p w14:paraId="3750BF94" w14:textId="77777777" w:rsidR="00352FC8" w:rsidRDefault="00352FC8" w:rsidP="00DA21F3">
      <w:pPr>
        <w:pStyle w:val="ASSAD2017ACCESSHeading2"/>
        <w:numPr>
          <w:ilvl w:val="0"/>
          <w:numId w:val="0"/>
        </w:numPr>
      </w:pPr>
    </w:p>
    <w:p w14:paraId="35287B4D" w14:textId="77777777" w:rsidR="00352FC8" w:rsidRDefault="00352FC8">
      <w:pPr>
        <w:suppressAutoHyphens w:val="0"/>
        <w:rPr>
          <w:rFonts w:ascii="Arial" w:hAnsi="Arial" w:cs="Arial"/>
          <w:b/>
          <w:bCs/>
          <w:szCs w:val="28"/>
        </w:rPr>
      </w:pPr>
      <w:r>
        <w:br w:type="page"/>
      </w:r>
    </w:p>
    <w:p w14:paraId="7891779F" w14:textId="2FD262E3" w:rsidR="00E24542" w:rsidRPr="00DE25AD" w:rsidRDefault="00AB0154" w:rsidP="00DA21F3">
      <w:pPr>
        <w:pStyle w:val="ASSAD2017ACCESSHeading2"/>
        <w:numPr>
          <w:ilvl w:val="0"/>
          <w:numId w:val="0"/>
        </w:numPr>
      </w:pPr>
      <w:r>
        <w:lastRenderedPageBreak/>
        <w:t>Trends in prevalence of tranquiliser use</w:t>
      </w:r>
    </w:p>
    <w:p w14:paraId="487608F0" w14:textId="31AE6904" w:rsidR="00391C8E" w:rsidRPr="00DE25AD" w:rsidRDefault="00AB0154" w:rsidP="00B3160F">
      <w:pPr>
        <w:pStyle w:val="ASSAD2017ACCESSBody1"/>
        <w:rPr>
          <w:color w:val="0070C0"/>
        </w:rPr>
      </w:pPr>
      <w:r w:rsidRPr="002E5727">
        <w:rPr>
          <w:color w:val="000000"/>
        </w:rPr>
        <w:t xml:space="preserve">Overall, lifetime </w:t>
      </w:r>
      <w:r w:rsidR="00766C27">
        <w:rPr>
          <w:color w:val="000000"/>
        </w:rPr>
        <w:t xml:space="preserve">and past year </w:t>
      </w:r>
      <w:r w:rsidRPr="002E5727">
        <w:rPr>
          <w:color w:val="000000"/>
        </w:rPr>
        <w:t>tranquiliser use has increased slightly since 2005, while past month and past week use has been relatively stable. Past month and past week use increased slightly from 2011.</w:t>
      </w:r>
      <w:r w:rsidR="00391C8E" w:rsidRPr="00DE25AD">
        <w:t xml:space="preserve"> </w:t>
      </w:r>
    </w:p>
    <w:p w14:paraId="11631046" w14:textId="25FDDEFE" w:rsidR="00633E94" w:rsidRPr="00AB0154" w:rsidRDefault="00AB0154" w:rsidP="008452FE">
      <w:pPr>
        <w:pStyle w:val="ASSAD2017ACCESSHeading3"/>
        <w:rPr>
          <w:rStyle w:val="ASSAD2017ACCESSBody1Char"/>
          <w:bCs/>
          <w:i w:val="0"/>
          <w:iCs/>
          <w:color w:val="auto"/>
          <w:sz w:val="24"/>
          <w:szCs w:val="28"/>
          <w:lang w:val="en-GB"/>
        </w:rPr>
      </w:pPr>
      <w:r>
        <w:rPr>
          <w:rStyle w:val="ASSAD2017ACCESSBody1Char"/>
          <w:bCs/>
          <w:i w:val="0"/>
          <w:iCs/>
          <w:color w:val="auto"/>
          <w:sz w:val="24"/>
          <w:szCs w:val="28"/>
          <w:lang w:val="en-GB"/>
        </w:rPr>
        <w:t>Trends in sources</w:t>
      </w:r>
      <w:r w:rsidR="006208D8" w:rsidRPr="00AB0154">
        <w:rPr>
          <w:rStyle w:val="ASSAD2017ACCESSBody1Char"/>
          <w:bCs/>
          <w:i w:val="0"/>
          <w:iCs/>
          <w:color w:val="auto"/>
          <w:sz w:val="24"/>
          <w:szCs w:val="28"/>
          <w:lang w:val="en-GB"/>
        </w:rPr>
        <w:t xml:space="preserve"> of tranquilisers</w:t>
      </w:r>
      <w:r>
        <w:rPr>
          <w:rStyle w:val="ASSAD2017ACCESSBody1Char"/>
          <w:bCs/>
          <w:i w:val="0"/>
          <w:iCs/>
          <w:color w:val="auto"/>
          <w:sz w:val="24"/>
          <w:szCs w:val="28"/>
          <w:lang w:val="en-GB"/>
        </w:rPr>
        <w:t xml:space="preserve"> 2011-2017</w:t>
      </w:r>
    </w:p>
    <w:p w14:paraId="4BC86B6F" w14:textId="57B4A405" w:rsidR="00391C8E" w:rsidRPr="00DE25AD" w:rsidRDefault="00AB0154" w:rsidP="0073224D">
      <w:pPr>
        <w:pStyle w:val="reporttext"/>
        <w:rPr>
          <w:rStyle w:val="ASSAD2017ACCESSBody1Char"/>
          <w:sz w:val="20"/>
        </w:rPr>
      </w:pPr>
      <w:bookmarkStart w:id="41" w:name="_Toc419186194"/>
      <w:bookmarkStart w:id="42" w:name="_Toc424049444"/>
      <w:bookmarkStart w:id="43" w:name="_Toc424110773"/>
      <w:bookmarkStart w:id="44" w:name="_Toc444588669"/>
      <w:r w:rsidRPr="002E5727">
        <w:rPr>
          <w:bCs/>
          <w:color w:val="000000"/>
          <w:szCs w:val="40"/>
          <w:lang w:val="en-US" w:eastAsia="ar-SA"/>
        </w:rPr>
        <w:t>Parents were the most common source of tranquilisers for students who had used them for non-medicinal reasons in the past year. Reported use of prescribed tranquilisers for non-medicinal reasons might include incorrectly reported use for medical reasons.</w:t>
      </w:r>
    </w:p>
    <w:p w14:paraId="522B0D4F" w14:textId="64A93FAA" w:rsidR="00352FC8" w:rsidRDefault="00352FC8" w:rsidP="00E162CF">
      <w:pPr>
        <w:pStyle w:val="ASSAD2017ACCESSBody1"/>
      </w:pPr>
      <w:bookmarkStart w:id="45" w:name="_Toc419187151"/>
      <w:bookmarkStart w:id="46" w:name="_Toc424111158"/>
      <w:bookmarkStart w:id="47" w:name="_Toc437931455"/>
      <w:bookmarkEnd w:id="41"/>
      <w:bookmarkEnd w:id="42"/>
      <w:bookmarkEnd w:id="43"/>
      <w:bookmarkEnd w:id="44"/>
    </w:p>
    <w:p w14:paraId="4BFC58D7" w14:textId="0C17B88D" w:rsidR="00352FC8" w:rsidRDefault="00C527E2" w:rsidP="00E162CF">
      <w:pPr>
        <w:pStyle w:val="ASSAD2017ACCESSBody1"/>
      </w:pPr>
      <w:r>
        <w:rPr>
          <w:noProof/>
        </w:rPr>
        <w:drawing>
          <wp:inline distT="0" distB="0" distL="0" distR="0" wp14:anchorId="6E4065A4" wp14:editId="5B47B7FD">
            <wp:extent cx="5755005" cy="2590800"/>
            <wp:effectExtent l="0" t="0" r="0" b="0"/>
            <wp:docPr id="40" name="Picture 40" descr="Line graph showing the percentage of Australian secondary school students who used tranquiliser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52A5073F" w14:textId="78B7A5C3" w:rsidR="008452FE" w:rsidRPr="00352FC8" w:rsidRDefault="00352FC8" w:rsidP="00E162CF">
      <w:pPr>
        <w:pStyle w:val="ASSAD2017ACCESSBody1"/>
        <w:rPr>
          <w:rFonts w:ascii="Arial Rounded MT Bold" w:hAnsi="Arial Rounded MT Bold"/>
          <w:bCs w:val="0"/>
        </w:rPr>
      </w:pPr>
      <w:r w:rsidRPr="00352FC8">
        <w:rPr>
          <w:rStyle w:val="Trends2017Heading2Char"/>
          <w:color w:val="auto"/>
          <w:sz w:val="20"/>
          <w:szCs w:val="20"/>
        </w:rPr>
        <w:t>Figure 14: Percentage of Australian secondary school students who used tranquilisers, ASSAD</w:t>
      </w:r>
      <w:r w:rsidRPr="00352FC8">
        <w:rPr>
          <w:b/>
          <w:color w:val="auto"/>
        </w:rPr>
        <w:t xml:space="preserve"> 1996-2017</w:t>
      </w:r>
      <w:r w:rsidR="008452FE" w:rsidRPr="00352FC8">
        <w:br w:type="page"/>
      </w:r>
    </w:p>
    <w:p w14:paraId="560D7604" w14:textId="53F57D65" w:rsidR="001A3A26" w:rsidRPr="00DE25AD" w:rsidRDefault="009923E0" w:rsidP="00802C0F">
      <w:pPr>
        <w:pStyle w:val="ASSAD2017ACCESSHeading1"/>
        <w:numPr>
          <w:ilvl w:val="0"/>
          <w:numId w:val="0"/>
        </w:numPr>
      </w:pPr>
      <w:r>
        <w:lastRenderedPageBreak/>
        <w:t>Trends in illicit substance use among Australian secondary students 1996-2017</w:t>
      </w:r>
      <w:r w:rsidR="001A3A26" w:rsidRPr="00DE25AD">
        <w:t xml:space="preserve"> </w:t>
      </w:r>
    </w:p>
    <w:p w14:paraId="6148B409" w14:textId="391D5540" w:rsidR="00585970" w:rsidRPr="00DE25AD" w:rsidRDefault="009923E0" w:rsidP="00585970">
      <w:pPr>
        <w:pStyle w:val="ASSAD2017ACCESSHeading2"/>
      </w:pPr>
      <w:r>
        <w:t>Trends in any illicit drug use</w:t>
      </w:r>
    </w:p>
    <w:p w14:paraId="0BCDAA71" w14:textId="77777777" w:rsidR="009923E0" w:rsidRPr="002E5727" w:rsidRDefault="009923E0" w:rsidP="009923E0">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Any illicit drug use is a measure of the percentage of secondary students who used at least one type of illicit drug</w:t>
      </w:r>
      <w:r>
        <w:rPr>
          <w:rFonts w:ascii="Arial" w:hAnsi="Arial" w:cs="Arial"/>
          <w:bCs/>
          <w:color w:val="000000"/>
          <w:sz w:val="20"/>
          <w:szCs w:val="20"/>
          <w:lang w:val="en-US"/>
        </w:rPr>
        <w:t xml:space="preserve"> (cannabis, hallucinogens, amphetamines, cocaine, opiates or ecstasy)</w:t>
      </w:r>
      <w:r w:rsidRPr="002E5727">
        <w:rPr>
          <w:rFonts w:ascii="Arial" w:hAnsi="Arial" w:cs="Arial"/>
          <w:bCs/>
          <w:color w:val="000000"/>
          <w:sz w:val="20"/>
          <w:szCs w:val="20"/>
          <w:lang w:val="en-US"/>
        </w:rPr>
        <w:t xml:space="preserve"> in their lifetime. Because cannabis is the illicit substance most commonly used by secondary students, with much higher prevalence than use of other illicit substances, we examine any illicit drug use both with and without any illicit cannabis use.</w:t>
      </w:r>
    </w:p>
    <w:p w14:paraId="29143CBB" w14:textId="77777777" w:rsidR="009923E0" w:rsidRDefault="009923E0" w:rsidP="009923E0">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In 2017, students were asked different questions than in previous surveys about their use of amphetamines and opiates, with the use of dexamphetamine and methamphetamines measured separately, and the use of heroin and other opiates measured separately (whereas in previous survey years, a single question had measured amphetamine use overall, and a single question had</w:t>
      </w:r>
      <w:r>
        <w:rPr>
          <w:color w:val="000000"/>
        </w:rPr>
        <w:t xml:space="preserve"> </w:t>
      </w:r>
      <w:r w:rsidRPr="002E5727">
        <w:rPr>
          <w:rFonts w:ascii="Arial" w:hAnsi="Arial" w:cs="Arial"/>
          <w:bCs/>
          <w:color w:val="000000"/>
          <w:sz w:val="20"/>
          <w:szCs w:val="20"/>
          <w:lang w:val="en-US"/>
        </w:rPr>
        <w:t xml:space="preserve">measured opiate use overall). This difference might have affected the measure of use </w:t>
      </w:r>
      <w:r>
        <w:rPr>
          <w:rFonts w:ascii="Arial" w:hAnsi="Arial" w:cs="Arial"/>
          <w:bCs/>
          <w:color w:val="000000"/>
          <w:sz w:val="20"/>
          <w:szCs w:val="20"/>
          <w:lang w:val="en-US"/>
        </w:rPr>
        <w:t xml:space="preserve">of </w:t>
      </w:r>
      <w:r w:rsidRPr="002E5727">
        <w:rPr>
          <w:rFonts w:ascii="Arial" w:hAnsi="Arial" w:cs="Arial"/>
          <w:bCs/>
          <w:color w:val="000000"/>
          <w:sz w:val="20"/>
          <w:szCs w:val="20"/>
          <w:lang w:val="en-US"/>
        </w:rPr>
        <w:t>any illicit drug. Specifically, students may have</w:t>
      </w:r>
      <w:r>
        <w:rPr>
          <w:rFonts w:ascii="Arial" w:hAnsi="Arial" w:cs="Arial"/>
          <w:bCs/>
          <w:color w:val="000000"/>
          <w:sz w:val="20"/>
          <w:szCs w:val="20"/>
          <w:lang w:val="en-US"/>
        </w:rPr>
        <w:t xml:space="preserve"> </w:t>
      </w:r>
      <w:r w:rsidRPr="002E5727">
        <w:rPr>
          <w:rFonts w:ascii="Arial" w:hAnsi="Arial" w:cs="Arial"/>
          <w:bCs/>
          <w:color w:val="000000"/>
          <w:sz w:val="20"/>
          <w:szCs w:val="20"/>
          <w:lang w:val="en-US"/>
        </w:rPr>
        <w:t>recorded use in both categories of a substance when only a single substance had been used, falsely elevating prevalence estimates.</w:t>
      </w:r>
      <w:r>
        <w:rPr>
          <w:rFonts w:ascii="Arial" w:hAnsi="Arial" w:cs="Arial"/>
          <w:bCs/>
          <w:color w:val="000000"/>
          <w:sz w:val="20"/>
          <w:szCs w:val="20"/>
          <w:lang w:val="en-US"/>
        </w:rPr>
        <w:t xml:space="preserve"> Thus, we only included methamphetamine use and heroin use in our measure of any illicit drug use when considering trends to 2017.</w:t>
      </w:r>
      <w:r w:rsidRPr="002E5727">
        <w:rPr>
          <w:rFonts w:ascii="Arial" w:hAnsi="Arial" w:cs="Arial"/>
          <w:bCs/>
          <w:color w:val="000000"/>
          <w:sz w:val="20"/>
          <w:szCs w:val="20"/>
          <w:lang w:val="en-US"/>
        </w:rPr>
        <w:t xml:space="preserve"> </w:t>
      </w:r>
    </w:p>
    <w:p w14:paraId="3D2FAD23" w14:textId="60CBB759" w:rsidR="00585970" w:rsidRDefault="009923E0" w:rsidP="009923E0">
      <w:pPr>
        <w:pStyle w:val="ASSAD2017ACCESSBody1"/>
        <w:rPr>
          <w:color w:val="000000"/>
        </w:rPr>
      </w:pPr>
      <w:r w:rsidRPr="002E5727">
        <w:rPr>
          <w:color w:val="000000"/>
        </w:rPr>
        <w:t xml:space="preserve">Trends from 1996 to 2017 generally indicate that use of any illicit drug is currently substantially lower than in past decades. When considered with the exclusion of cannabis use, the use of any illicit drug continues a trend of very low prevalence overall. </w:t>
      </w:r>
      <w:r>
        <w:rPr>
          <w:color w:val="000000"/>
        </w:rPr>
        <w:t>While u</w:t>
      </w:r>
      <w:r w:rsidRPr="002E5727">
        <w:rPr>
          <w:color w:val="000000"/>
        </w:rPr>
        <w:t xml:space="preserve">se generally declined from the late 1990s, past month use </w:t>
      </w:r>
      <w:r>
        <w:rPr>
          <w:color w:val="000000"/>
        </w:rPr>
        <w:t xml:space="preserve">(including cannabis) </w:t>
      </w:r>
      <w:r w:rsidRPr="002E5727">
        <w:rPr>
          <w:color w:val="000000"/>
        </w:rPr>
        <w:t>increased slightly in the most recent survey period</w:t>
      </w:r>
      <w:r>
        <w:rPr>
          <w:color w:val="000000"/>
        </w:rPr>
        <w:t xml:space="preserve"> among older female students</w:t>
      </w:r>
      <w:r w:rsidRPr="002E5727">
        <w:rPr>
          <w:color w:val="000000"/>
        </w:rPr>
        <w:t>. For younger students, prevalence was similar to that</w:t>
      </w:r>
      <w:r>
        <w:rPr>
          <w:color w:val="000000"/>
        </w:rPr>
        <w:t xml:space="preserve"> </w:t>
      </w:r>
      <w:r w:rsidRPr="002E5727">
        <w:rPr>
          <w:color w:val="000000"/>
        </w:rPr>
        <w:t xml:space="preserve">reported in 2011 and 2014. </w:t>
      </w:r>
      <w:r>
        <w:rPr>
          <w:color w:val="000000"/>
        </w:rPr>
        <w:t>Continued monitoring of trends will remain important as although use of many illicit substances is very low, recent increases in the prevalence of reported use of specific substances such as cannabis and ecstasy are of potential concern.</w:t>
      </w:r>
    </w:p>
    <w:p w14:paraId="79B1B835" w14:textId="31F4C1E4" w:rsidR="009923E0" w:rsidRDefault="009923E0" w:rsidP="009923E0">
      <w:pPr>
        <w:pStyle w:val="ASSAD2017ACCESSBody1"/>
        <w:rPr>
          <w:color w:val="000000"/>
        </w:rPr>
      </w:pPr>
    </w:p>
    <w:p w14:paraId="15BF0C64" w14:textId="666ECF70" w:rsidR="009923E0" w:rsidRDefault="00D01EA7" w:rsidP="009923E0">
      <w:pPr>
        <w:pStyle w:val="ASSAD2017ACCESSBody1"/>
        <w:rPr>
          <w:color w:val="000000"/>
        </w:rPr>
      </w:pPr>
      <w:r>
        <w:rPr>
          <w:noProof/>
          <w:color w:val="000000"/>
        </w:rPr>
        <w:drawing>
          <wp:inline distT="0" distB="0" distL="0" distR="0" wp14:anchorId="6ED05D16" wp14:editId="30516B3F">
            <wp:extent cx="5755005" cy="2590800"/>
            <wp:effectExtent l="0" t="0" r="0" b="0"/>
            <wp:docPr id="41" name="Picture 41" descr="Line graph showing the percentage of Australian secondary school students who used any illicit substance (including cannabi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2438C230" w14:textId="60EB8385" w:rsidR="009923E0" w:rsidRDefault="009923E0" w:rsidP="009923E0">
      <w:pPr>
        <w:pStyle w:val="ASSAD2017ACCESSBody1"/>
        <w:rPr>
          <w:b/>
          <w:color w:val="auto"/>
        </w:rPr>
      </w:pPr>
      <w:r w:rsidRPr="00352FC8">
        <w:rPr>
          <w:rStyle w:val="Trends2017Heading2Char"/>
          <w:color w:val="auto"/>
          <w:sz w:val="20"/>
          <w:szCs w:val="20"/>
        </w:rPr>
        <w:t>Figure 1</w:t>
      </w:r>
      <w:r>
        <w:rPr>
          <w:rStyle w:val="Trends2017Heading2Char"/>
          <w:color w:val="auto"/>
          <w:sz w:val="20"/>
          <w:szCs w:val="20"/>
        </w:rPr>
        <w:t>5</w:t>
      </w:r>
      <w:r w:rsidRPr="00352FC8">
        <w:rPr>
          <w:rStyle w:val="Trends2017Heading2Char"/>
          <w:color w:val="auto"/>
          <w:sz w:val="20"/>
          <w:szCs w:val="20"/>
        </w:rPr>
        <w:t>: Percentage of Australian secondary school students who used</w:t>
      </w:r>
      <w:r w:rsidR="00CB10CD">
        <w:rPr>
          <w:rStyle w:val="Trends2017Heading2Char"/>
          <w:color w:val="auto"/>
          <w:sz w:val="20"/>
          <w:szCs w:val="20"/>
        </w:rPr>
        <w:t xml:space="preserve"> any</w:t>
      </w:r>
      <w:r w:rsidRPr="00352FC8">
        <w:rPr>
          <w:rStyle w:val="Trends2017Heading2Char"/>
          <w:color w:val="auto"/>
          <w:sz w:val="20"/>
          <w:szCs w:val="20"/>
        </w:rPr>
        <w:t xml:space="preserve"> </w:t>
      </w:r>
      <w:r>
        <w:rPr>
          <w:rStyle w:val="Trends2017Heading2Char"/>
          <w:color w:val="auto"/>
          <w:sz w:val="20"/>
          <w:szCs w:val="20"/>
        </w:rPr>
        <w:t>illicit substance (including cannabis)</w:t>
      </w:r>
      <w:r w:rsidRPr="00352FC8">
        <w:rPr>
          <w:rStyle w:val="Trends2017Heading2Char"/>
          <w:color w:val="auto"/>
          <w:sz w:val="20"/>
          <w:szCs w:val="20"/>
        </w:rPr>
        <w:t>, ASSAD</w:t>
      </w:r>
      <w:r w:rsidRPr="00352FC8">
        <w:rPr>
          <w:b/>
          <w:color w:val="auto"/>
        </w:rPr>
        <w:t xml:space="preserve"> 1996-2017</w:t>
      </w:r>
    </w:p>
    <w:p w14:paraId="7A5F3B67" w14:textId="3276E464" w:rsidR="009923E0" w:rsidRDefault="009923E0" w:rsidP="009923E0">
      <w:pPr>
        <w:pStyle w:val="ASSAD2017ACCESSBody1"/>
        <w:rPr>
          <w:b/>
          <w:color w:val="auto"/>
        </w:rPr>
      </w:pPr>
    </w:p>
    <w:p w14:paraId="1624A17A" w14:textId="0C8E8A19" w:rsidR="009923E0" w:rsidRDefault="00D01EA7" w:rsidP="009923E0">
      <w:pPr>
        <w:pStyle w:val="ASSAD2017ACCESSBody1"/>
        <w:rPr>
          <w:b/>
          <w:color w:val="auto"/>
        </w:rPr>
      </w:pPr>
      <w:r>
        <w:rPr>
          <w:b/>
          <w:noProof/>
          <w:color w:val="auto"/>
        </w:rPr>
        <w:lastRenderedPageBreak/>
        <w:drawing>
          <wp:inline distT="0" distB="0" distL="0" distR="0" wp14:anchorId="420BEDE0" wp14:editId="1E300407">
            <wp:extent cx="5755005" cy="2590800"/>
            <wp:effectExtent l="0" t="0" r="0" b="0"/>
            <wp:docPr id="42" name="Picture 42" descr="Line graph showing the percentage of Australian secondary school students who used any illicit substance (excluding cannabi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30B2CEEC" w14:textId="3CB719D1" w:rsidR="009923E0" w:rsidRDefault="009923E0" w:rsidP="009923E0">
      <w:pPr>
        <w:pStyle w:val="ASSAD2017ACCESSBody1"/>
        <w:rPr>
          <w:color w:val="000000"/>
        </w:rPr>
      </w:pPr>
      <w:r w:rsidRPr="00352FC8">
        <w:rPr>
          <w:rStyle w:val="Trends2017Heading2Char"/>
          <w:color w:val="auto"/>
          <w:sz w:val="20"/>
          <w:szCs w:val="20"/>
        </w:rPr>
        <w:t>Figure 1</w:t>
      </w:r>
      <w:r>
        <w:rPr>
          <w:rStyle w:val="Trends2017Heading2Char"/>
          <w:color w:val="auto"/>
          <w:sz w:val="20"/>
          <w:szCs w:val="20"/>
        </w:rPr>
        <w:t>6</w:t>
      </w:r>
      <w:r w:rsidRPr="00352FC8">
        <w:rPr>
          <w:rStyle w:val="Trends2017Heading2Char"/>
          <w:color w:val="auto"/>
          <w:sz w:val="20"/>
          <w:szCs w:val="20"/>
        </w:rPr>
        <w:t>: Percentage of Australian secondary school students who used</w:t>
      </w:r>
      <w:r w:rsidR="00CB10CD">
        <w:rPr>
          <w:rStyle w:val="Trends2017Heading2Char"/>
          <w:color w:val="auto"/>
          <w:sz w:val="20"/>
          <w:szCs w:val="20"/>
        </w:rPr>
        <w:t xml:space="preserve"> any</w:t>
      </w:r>
      <w:r w:rsidRPr="00352FC8">
        <w:rPr>
          <w:rStyle w:val="Trends2017Heading2Char"/>
          <w:color w:val="auto"/>
          <w:sz w:val="20"/>
          <w:szCs w:val="20"/>
        </w:rPr>
        <w:t xml:space="preserve"> </w:t>
      </w:r>
      <w:r>
        <w:rPr>
          <w:rStyle w:val="Trends2017Heading2Char"/>
          <w:color w:val="auto"/>
          <w:sz w:val="20"/>
          <w:szCs w:val="20"/>
        </w:rPr>
        <w:t>illicit substance (excluding cannabis)</w:t>
      </w:r>
      <w:r w:rsidRPr="00352FC8">
        <w:rPr>
          <w:rStyle w:val="Trends2017Heading2Char"/>
          <w:color w:val="auto"/>
          <w:sz w:val="20"/>
          <w:szCs w:val="20"/>
        </w:rPr>
        <w:t>, ASSAD</w:t>
      </w:r>
      <w:r w:rsidRPr="00352FC8">
        <w:rPr>
          <w:b/>
          <w:color w:val="auto"/>
        </w:rPr>
        <w:t xml:space="preserve"> 1996-2017</w:t>
      </w:r>
    </w:p>
    <w:p w14:paraId="1F6CEC52" w14:textId="77777777" w:rsidR="009923E0" w:rsidRDefault="009923E0" w:rsidP="009923E0">
      <w:pPr>
        <w:pStyle w:val="ASSAD2017ACCESSBody1"/>
        <w:rPr>
          <w:color w:val="000000"/>
        </w:rPr>
      </w:pPr>
    </w:p>
    <w:p w14:paraId="43EEB6D3" w14:textId="5311A817" w:rsidR="005D7018" w:rsidRPr="00CB10CD" w:rsidRDefault="00CB10CD" w:rsidP="00413308">
      <w:pPr>
        <w:pStyle w:val="ASSAD2017ACCESSHeading3"/>
        <w:numPr>
          <w:ilvl w:val="0"/>
          <w:numId w:val="0"/>
        </w:numPr>
        <w:rPr>
          <w:i w:val="0"/>
          <w:iCs/>
        </w:rPr>
      </w:pPr>
      <w:r>
        <w:rPr>
          <w:i w:val="0"/>
          <w:iCs/>
        </w:rPr>
        <w:t>Illicit substance use</w:t>
      </w:r>
    </w:p>
    <w:p w14:paraId="728FE0D2" w14:textId="795FDCA0" w:rsidR="008452FE" w:rsidRPr="00DE25AD" w:rsidRDefault="00CB10CD" w:rsidP="008452FE">
      <w:pPr>
        <w:pStyle w:val="ASSAD2017ACCESSBody1"/>
      </w:pPr>
      <w:r>
        <w:rPr>
          <w:color w:val="000000"/>
        </w:rPr>
        <w:t>Inhalants and c</w:t>
      </w:r>
      <w:r w:rsidRPr="002E5727">
        <w:rPr>
          <w:color w:val="000000"/>
        </w:rPr>
        <w:t>annabis w</w:t>
      </w:r>
      <w:r>
        <w:rPr>
          <w:color w:val="000000"/>
        </w:rPr>
        <w:t>ere</w:t>
      </w:r>
      <w:r w:rsidRPr="002E5727">
        <w:rPr>
          <w:color w:val="000000"/>
        </w:rPr>
        <w:t xml:space="preserve"> the most common illicit substance</w:t>
      </w:r>
      <w:r>
        <w:rPr>
          <w:color w:val="000000"/>
        </w:rPr>
        <w:t>s</w:t>
      </w:r>
      <w:r w:rsidRPr="002E5727">
        <w:rPr>
          <w:color w:val="000000"/>
        </w:rPr>
        <w:t xml:space="preserve"> used between 1996 and 2017. </w:t>
      </w:r>
      <w:r>
        <w:rPr>
          <w:color w:val="000000"/>
        </w:rPr>
        <w:t>However, while cannabis use increases with age, inhalant use follows a unique pattern of lower reported use with older age. Hallucinogens and</w:t>
      </w:r>
      <w:r w:rsidRPr="002E5727">
        <w:rPr>
          <w:color w:val="000000"/>
        </w:rPr>
        <w:t xml:space="preserve"> ecstasy were the next most commonly used illicit substances</w:t>
      </w:r>
      <w:r>
        <w:rPr>
          <w:color w:val="000000"/>
        </w:rPr>
        <w:t>, with their use also greater at older ages</w:t>
      </w:r>
      <w:r w:rsidRPr="002E5727">
        <w:rPr>
          <w:color w:val="000000"/>
        </w:rPr>
        <w:t>. Experiences with cocaine were rare at all ages</w:t>
      </w:r>
      <w:r>
        <w:rPr>
          <w:color w:val="000000"/>
        </w:rPr>
        <w:t xml:space="preserve"> between 1996 and 2017</w:t>
      </w:r>
      <w:r w:rsidRPr="002E5727">
        <w:rPr>
          <w:color w:val="000000"/>
        </w:rPr>
        <w:t>. Use of illicit substances in the past month was low at all ages.</w:t>
      </w:r>
    </w:p>
    <w:p w14:paraId="6911F8D2" w14:textId="6E269E72" w:rsidR="00585970" w:rsidRPr="00CB10CD" w:rsidRDefault="00CB10CD" w:rsidP="008452FE">
      <w:pPr>
        <w:pStyle w:val="ASSAD2017ACCESSHeading3"/>
        <w:rPr>
          <w:i w:val="0"/>
          <w:iCs/>
        </w:rPr>
      </w:pPr>
      <w:r>
        <w:rPr>
          <w:i w:val="0"/>
          <w:iCs/>
        </w:rPr>
        <w:t>Reasons for overall decline in the prevalence of illicit substance use 1996-2017</w:t>
      </w:r>
    </w:p>
    <w:p w14:paraId="6BE20029" w14:textId="211D7228" w:rsidR="00585970" w:rsidRPr="00DE25AD" w:rsidRDefault="00CB10CD" w:rsidP="00585970">
      <w:pPr>
        <w:pStyle w:val="ASSAD2017ACCESSBody1"/>
        <w:rPr>
          <w:vertAlign w:val="superscript"/>
        </w:rPr>
      </w:pPr>
      <w:bookmarkStart w:id="48" w:name="_Toc419186197"/>
      <w:bookmarkStart w:id="49" w:name="_Toc424049447"/>
      <w:bookmarkStart w:id="50" w:name="_Toc424110776"/>
      <w:bookmarkStart w:id="51" w:name="_Toc444588672"/>
      <w:r>
        <w:rPr>
          <w:color w:val="000000"/>
        </w:rPr>
        <w:t>In general, s</w:t>
      </w:r>
      <w:r w:rsidRPr="002E5727">
        <w:rPr>
          <w:color w:val="000000"/>
        </w:rPr>
        <w:t>imilar patterns of declining use are evident for illicit drugs as for smoking and alcohol. These patterns suggest multi-faceted</w:t>
      </w:r>
      <w:r>
        <w:rPr>
          <w:color w:val="000000"/>
        </w:rPr>
        <w:t xml:space="preserve"> </w:t>
      </w:r>
      <w:r w:rsidRPr="002E5727">
        <w:rPr>
          <w:color w:val="000000"/>
        </w:rPr>
        <w:t>policy responses to increasing substance use among adolescents in the 1990s, and related changes in social norms, parenting and socialising, had a substantial effect.</w:t>
      </w:r>
    </w:p>
    <w:bookmarkEnd w:id="48"/>
    <w:bookmarkEnd w:id="49"/>
    <w:bookmarkEnd w:id="50"/>
    <w:bookmarkEnd w:id="51"/>
    <w:p w14:paraId="6612A43B" w14:textId="301522EF" w:rsidR="00A17A86" w:rsidRPr="00DE25AD" w:rsidRDefault="00CB10CD" w:rsidP="00A17A86">
      <w:pPr>
        <w:pStyle w:val="ASSAD2017ACCESSHeading2"/>
      </w:pPr>
      <w:r>
        <w:t>Cannabis</w:t>
      </w:r>
    </w:p>
    <w:p w14:paraId="5CB875ED" w14:textId="3726D502" w:rsidR="00481B24" w:rsidRDefault="00CB10CD" w:rsidP="00481B24">
      <w:pPr>
        <w:pStyle w:val="ASSAD2017ACCESSBody1"/>
        <w:rPr>
          <w:color w:val="000000"/>
        </w:rPr>
      </w:pPr>
      <w:r w:rsidRPr="002E5727">
        <w:rPr>
          <w:color w:val="000000"/>
        </w:rPr>
        <w:t>Cannabis has long been the most commonly used illicit substance among secondary students. Use is more prevalent and more frequent in the older age group than among younger students, and typically higher among male than female students. Overall, the prevalence of cannabis use has declined since 1996 but there has been a slight resurgence in use among older students since 2008. Potential reasons for slightly increasing prevalence include more liberal social norms of cannabis use and acceptance, including the introduction of laws in other countries allowing the medical use of marijuana and deregulation of substances containing cannabinoids</w:t>
      </w:r>
      <w:r w:rsidRPr="002E5727">
        <w:rPr>
          <w:color w:val="000000"/>
          <w:vertAlign w:val="superscript"/>
        </w:rPr>
        <w:footnoteReference w:id="94"/>
      </w:r>
      <w:r w:rsidRPr="002E5727">
        <w:rPr>
          <w:color w:val="000000"/>
        </w:rPr>
        <w:t>.</w:t>
      </w:r>
    </w:p>
    <w:p w14:paraId="67C66EC3" w14:textId="7510472B" w:rsidR="00CB10CD" w:rsidRDefault="00CB10CD" w:rsidP="00481B24">
      <w:pPr>
        <w:pStyle w:val="ASSAD2017ACCESSBody1"/>
        <w:rPr>
          <w:color w:val="000000"/>
        </w:rPr>
      </w:pPr>
    </w:p>
    <w:p w14:paraId="0C872DEB" w14:textId="1F79494A" w:rsidR="00CB10CD" w:rsidRDefault="00843818" w:rsidP="00481B24">
      <w:pPr>
        <w:pStyle w:val="ASSAD2017ACCESSBody1"/>
        <w:rPr>
          <w:color w:val="000000"/>
        </w:rPr>
      </w:pPr>
      <w:r>
        <w:rPr>
          <w:noProof/>
          <w:color w:val="000000"/>
        </w:rPr>
        <w:lastRenderedPageBreak/>
        <w:drawing>
          <wp:inline distT="0" distB="0" distL="0" distR="0" wp14:anchorId="69AEFC44" wp14:editId="1C4A7475">
            <wp:extent cx="5755005" cy="2590800"/>
            <wp:effectExtent l="0" t="0" r="0" b="0"/>
            <wp:docPr id="43" name="Picture 43" descr="Line graph showing the percentage of Australian secondary school students who used cannabi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154D55A0" w14:textId="64A04F54" w:rsidR="00CB10CD" w:rsidRDefault="00CB10CD" w:rsidP="00CB10CD">
      <w:pPr>
        <w:pStyle w:val="ASSAD2017ACCESSBody1"/>
        <w:rPr>
          <w:color w:val="000000"/>
        </w:rPr>
      </w:pPr>
      <w:r w:rsidRPr="00352FC8">
        <w:rPr>
          <w:rStyle w:val="Trends2017Heading2Char"/>
          <w:color w:val="auto"/>
          <w:sz w:val="20"/>
          <w:szCs w:val="20"/>
        </w:rPr>
        <w:t>Figure 1</w:t>
      </w:r>
      <w:r>
        <w:rPr>
          <w:rStyle w:val="Trends2017Heading2Char"/>
          <w:color w:val="auto"/>
          <w:sz w:val="20"/>
          <w:szCs w:val="20"/>
        </w:rPr>
        <w:t>7</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cannabis</w:t>
      </w:r>
      <w:r w:rsidRPr="00352FC8">
        <w:rPr>
          <w:rStyle w:val="Trends2017Heading2Char"/>
          <w:color w:val="auto"/>
          <w:sz w:val="20"/>
          <w:szCs w:val="20"/>
        </w:rPr>
        <w:t>, ASSAD</w:t>
      </w:r>
      <w:r w:rsidRPr="00352FC8">
        <w:rPr>
          <w:b/>
          <w:color w:val="auto"/>
        </w:rPr>
        <w:t xml:space="preserve"> 1996-2017</w:t>
      </w:r>
    </w:p>
    <w:p w14:paraId="7A9DDBF0" w14:textId="77777777" w:rsidR="00CB10CD" w:rsidRPr="00DE25AD" w:rsidRDefault="00CB10CD" w:rsidP="00481B24">
      <w:pPr>
        <w:pStyle w:val="ASSAD2017ACCESSBody1"/>
      </w:pPr>
    </w:p>
    <w:p w14:paraId="743A1B9A" w14:textId="443CFF3A" w:rsidR="00035BAA" w:rsidRPr="00DE25AD" w:rsidRDefault="00CB10CD" w:rsidP="008452FE">
      <w:pPr>
        <w:pStyle w:val="ASSAD2017ACCESSHeading2"/>
      </w:pPr>
      <w:r>
        <w:t>Inhalants</w:t>
      </w:r>
    </w:p>
    <w:p w14:paraId="636ADCC5" w14:textId="28F2B55E" w:rsidR="00685729" w:rsidRDefault="00CB10CD" w:rsidP="002C5C50">
      <w:pPr>
        <w:pStyle w:val="ASSAD2017ACCESSBody1"/>
        <w:rPr>
          <w:color w:val="000000"/>
        </w:rPr>
      </w:pPr>
      <w:bookmarkStart w:id="52" w:name="_Toc424111150"/>
      <w:r w:rsidRPr="002E5727">
        <w:rPr>
          <w:color w:val="000000"/>
        </w:rPr>
        <w:t xml:space="preserve">Unlike other illicit substances used by students, inhalant use tends to be reported at a higher rate among younger than older students. Prevalence among older students has not differed markedly between survey years since 1996. Among younger students, prevalence generally declined over this period, with lifetime experience declining to 2005, before plateauing to 2017. </w:t>
      </w:r>
      <w:r>
        <w:rPr>
          <w:color w:val="000000"/>
        </w:rPr>
        <w:t>Over all ages, p</w:t>
      </w:r>
      <w:r w:rsidRPr="002E5727">
        <w:rPr>
          <w:color w:val="000000"/>
        </w:rPr>
        <w:t>ast month experience was lower in 2017 than in 1996.</w:t>
      </w:r>
    </w:p>
    <w:p w14:paraId="02248CF3" w14:textId="37E5401A" w:rsidR="00CB10CD" w:rsidRDefault="00CB10CD" w:rsidP="002C5C50">
      <w:pPr>
        <w:pStyle w:val="ASSAD2017ACCESSBody1"/>
        <w:rPr>
          <w:color w:val="000000"/>
        </w:rPr>
      </w:pPr>
    </w:p>
    <w:p w14:paraId="70D90700" w14:textId="3D36FE72" w:rsidR="00B97688" w:rsidRDefault="00843818" w:rsidP="002C5C50">
      <w:pPr>
        <w:pStyle w:val="ASSAD2017ACCESSBody1"/>
        <w:rPr>
          <w:color w:val="000000"/>
        </w:rPr>
      </w:pPr>
      <w:r>
        <w:rPr>
          <w:noProof/>
          <w:color w:val="000000"/>
        </w:rPr>
        <w:drawing>
          <wp:inline distT="0" distB="0" distL="0" distR="0" wp14:anchorId="6BE1DBD9" wp14:editId="2CC6A952">
            <wp:extent cx="5755005" cy="2590800"/>
            <wp:effectExtent l="0" t="0" r="0" b="0"/>
            <wp:docPr id="44" name="Picture 44" descr="Line graph showing the percentage of Australian secondary school students who used inhalant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5C7D4964" w14:textId="24003B07" w:rsidR="00CB10CD" w:rsidRDefault="00CB10CD" w:rsidP="00CB10CD">
      <w:pPr>
        <w:pStyle w:val="ASSAD2017ACCESSBody1"/>
        <w:rPr>
          <w:color w:val="000000"/>
        </w:rPr>
      </w:pPr>
      <w:r w:rsidRPr="00352FC8">
        <w:rPr>
          <w:rStyle w:val="Trends2017Heading2Char"/>
          <w:color w:val="auto"/>
          <w:sz w:val="20"/>
          <w:szCs w:val="20"/>
        </w:rPr>
        <w:t>Figure 1</w:t>
      </w:r>
      <w:r>
        <w:rPr>
          <w:rStyle w:val="Trends2017Heading2Char"/>
          <w:color w:val="auto"/>
          <w:sz w:val="20"/>
          <w:szCs w:val="20"/>
        </w:rPr>
        <w:t>8</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w:t>
      </w:r>
      <w:r w:rsidR="00B97688">
        <w:rPr>
          <w:rStyle w:val="Trends2017Heading2Char"/>
          <w:color w:val="auto"/>
          <w:sz w:val="20"/>
          <w:szCs w:val="20"/>
        </w:rPr>
        <w:t>inhalants</w:t>
      </w:r>
      <w:r w:rsidRPr="00352FC8">
        <w:rPr>
          <w:rStyle w:val="Trends2017Heading2Char"/>
          <w:color w:val="auto"/>
          <w:sz w:val="20"/>
          <w:szCs w:val="20"/>
        </w:rPr>
        <w:t>, ASSAD</w:t>
      </w:r>
      <w:r w:rsidRPr="00352FC8">
        <w:rPr>
          <w:b/>
          <w:color w:val="auto"/>
        </w:rPr>
        <w:t xml:space="preserve"> 1996-2017</w:t>
      </w:r>
    </w:p>
    <w:p w14:paraId="732E04E8" w14:textId="77777777" w:rsidR="00CB10CD" w:rsidRPr="00DE25AD" w:rsidRDefault="00CB10CD" w:rsidP="002C5C50">
      <w:pPr>
        <w:pStyle w:val="ASSAD2017ACCESSBody1"/>
      </w:pPr>
    </w:p>
    <w:p w14:paraId="698A137A" w14:textId="77777777" w:rsidR="00B97688" w:rsidRDefault="00B97688">
      <w:pPr>
        <w:suppressAutoHyphens w:val="0"/>
        <w:rPr>
          <w:rFonts w:ascii="Arial" w:hAnsi="Arial" w:cs="Arial"/>
          <w:b/>
          <w:bCs/>
          <w:szCs w:val="28"/>
        </w:rPr>
      </w:pPr>
      <w:bookmarkStart w:id="53" w:name="_Toc419187146"/>
      <w:bookmarkStart w:id="54" w:name="_Toc424111151"/>
      <w:bookmarkEnd w:id="52"/>
      <w:r>
        <w:br w:type="page"/>
      </w:r>
    </w:p>
    <w:p w14:paraId="1EA21E80" w14:textId="25F956F7" w:rsidR="008D4C22" w:rsidRPr="00DE25AD" w:rsidRDefault="008D4C22" w:rsidP="00261505">
      <w:pPr>
        <w:pStyle w:val="ASSAD2017ACCESSHeading2"/>
      </w:pPr>
      <w:r w:rsidRPr="00DE25AD">
        <w:lastRenderedPageBreak/>
        <w:t>Cocaine</w:t>
      </w:r>
    </w:p>
    <w:p w14:paraId="018D23C6" w14:textId="08670608" w:rsidR="008D4C22" w:rsidRDefault="00B97688" w:rsidP="00CE548C">
      <w:pPr>
        <w:pStyle w:val="ASSAD2017ACCESSBody1"/>
        <w:rPr>
          <w:color w:val="000000"/>
        </w:rPr>
      </w:pPr>
      <w:r w:rsidRPr="002E5727">
        <w:rPr>
          <w:color w:val="000000"/>
        </w:rPr>
        <w:t xml:space="preserve">Most secondary school students had never tried cocaine in any survey year. Only 1% of </w:t>
      </w:r>
      <w:r>
        <w:rPr>
          <w:color w:val="000000"/>
        </w:rPr>
        <w:t xml:space="preserve">all </w:t>
      </w:r>
      <w:r w:rsidRPr="002E5727">
        <w:rPr>
          <w:color w:val="000000"/>
        </w:rPr>
        <w:t>students had used cocaine in the past month in any survey year. Lifetime cocaine use in 2017 among older students was slightly higher than in 2011. Among younger students, prevalence did not differ meaningfully from</w:t>
      </w:r>
      <w:r>
        <w:rPr>
          <w:color w:val="000000"/>
        </w:rPr>
        <w:t xml:space="preserve"> 2011 to 2017</w:t>
      </w:r>
      <w:r w:rsidRPr="002E5727">
        <w:rPr>
          <w:color w:val="000000"/>
        </w:rPr>
        <w:t>.</w:t>
      </w:r>
    </w:p>
    <w:p w14:paraId="735F07B7" w14:textId="6A2AC068" w:rsidR="00B97688" w:rsidRDefault="00B97688" w:rsidP="00CE548C">
      <w:pPr>
        <w:pStyle w:val="ASSAD2017ACCESSBody1"/>
        <w:rPr>
          <w:color w:val="000000"/>
        </w:rPr>
      </w:pPr>
    </w:p>
    <w:p w14:paraId="05244B33" w14:textId="676DA422" w:rsidR="00B97688" w:rsidRDefault="00843818" w:rsidP="00CE548C">
      <w:pPr>
        <w:pStyle w:val="ASSAD2017ACCESSBody1"/>
        <w:rPr>
          <w:color w:val="000000"/>
        </w:rPr>
      </w:pPr>
      <w:r>
        <w:rPr>
          <w:noProof/>
          <w:color w:val="000000"/>
        </w:rPr>
        <w:drawing>
          <wp:inline distT="0" distB="0" distL="0" distR="0" wp14:anchorId="752DA909" wp14:editId="17A2E0E3">
            <wp:extent cx="5755005" cy="2590800"/>
            <wp:effectExtent l="0" t="0" r="0" b="0"/>
            <wp:docPr id="45" name="Picture 45" descr="Line graph showing the percentage of Australian secondary school students who used cocaine,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702A005F" w14:textId="67BD1DD6" w:rsidR="00B97688" w:rsidRPr="00DE25AD" w:rsidRDefault="00B97688" w:rsidP="00CE548C">
      <w:pPr>
        <w:pStyle w:val="ASSAD2017ACCESSBody1"/>
      </w:pPr>
      <w:r w:rsidRPr="00352FC8">
        <w:rPr>
          <w:rStyle w:val="Trends2017Heading2Char"/>
          <w:color w:val="auto"/>
          <w:sz w:val="20"/>
          <w:szCs w:val="20"/>
        </w:rPr>
        <w:t>Figure 1</w:t>
      </w:r>
      <w:r>
        <w:rPr>
          <w:rStyle w:val="Trends2017Heading2Char"/>
          <w:color w:val="auto"/>
          <w:sz w:val="20"/>
          <w:szCs w:val="20"/>
        </w:rPr>
        <w:t>9</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cocaine</w:t>
      </w:r>
      <w:r w:rsidRPr="00352FC8">
        <w:rPr>
          <w:rStyle w:val="Trends2017Heading2Char"/>
          <w:color w:val="auto"/>
          <w:sz w:val="20"/>
          <w:szCs w:val="20"/>
        </w:rPr>
        <w:t>, ASSAD</w:t>
      </w:r>
      <w:r w:rsidRPr="00352FC8">
        <w:rPr>
          <w:b/>
          <w:color w:val="auto"/>
        </w:rPr>
        <w:t xml:space="preserve"> 1996-2017</w:t>
      </w:r>
    </w:p>
    <w:p w14:paraId="5B71BBD5" w14:textId="77777777" w:rsidR="00B97688" w:rsidRDefault="00B97688" w:rsidP="008D4C22">
      <w:pPr>
        <w:pStyle w:val="ASSAD2017ACCESSHeading2"/>
      </w:pPr>
    </w:p>
    <w:p w14:paraId="68326662" w14:textId="3D523589" w:rsidR="008D4C22" w:rsidRPr="00DE25AD" w:rsidRDefault="00B97688" w:rsidP="008D4C22">
      <w:pPr>
        <w:pStyle w:val="ASSAD2017ACCESSHeading2"/>
      </w:pPr>
      <w:r>
        <w:t>Hallucinogens</w:t>
      </w:r>
    </w:p>
    <w:p w14:paraId="05EB3EC3" w14:textId="725BCE59" w:rsidR="008D4C22" w:rsidRDefault="00B97688" w:rsidP="004B1609">
      <w:pPr>
        <w:pStyle w:val="ASSAD2017ACCESSBody1"/>
      </w:pPr>
      <w:r w:rsidRPr="002E5727">
        <w:rPr>
          <w:color w:val="000000"/>
        </w:rPr>
        <w:t>Student use of hallucinogens such as LSD was extremely low in all survey years, with a substantial drop in lifetime experience evident between 1996 and 2002</w:t>
      </w:r>
      <w:r>
        <w:rPr>
          <w:color w:val="000000"/>
        </w:rPr>
        <w:t xml:space="preserve">. </w:t>
      </w:r>
      <w:r w:rsidRPr="002E5727">
        <w:rPr>
          <w:color w:val="000000"/>
        </w:rPr>
        <w:t xml:space="preserve">Use was generally higher at older ages, but only 1% of all students reported use in the past month </w:t>
      </w:r>
      <w:r>
        <w:rPr>
          <w:color w:val="000000"/>
        </w:rPr>
        <w:t>between 2005 and 2017</w:t>
      </w:r>
      <w:r w:rsidRPr="002E5727">
        <w:rPr>
          <w:color w:val="000000"/>
        </w:rPr>
        <w:t xml:space="preserve">. </w:t>
      </w:r>
      <w:r>
        <w:rPr>
          <w:color w:val="000000"/>
        </w:rPr>
        <w:t>M</w:t>
      </w:r>
      <w:r w:rsidRPr="00BB4106">
        <w:rPr>
          <w:color w:val="000000"/>
        </w:rPr>
        <w:t>ale students were more likely to have tried hallucinogens than female students</w:t>
      </w:r>
      <w:r w:rsidRPr="002E5727">
        <w:rPr>
          <w:color w:val="000000"/>
        </w:rPr>
        <w:t>.</w:t>
      </w:r>
      <w:r w:rsidR="001E2BA8" w:rsidRPr="00DE25AD">
        <w:t xml:space="preserve"> </w:t>
      </w:r>
    </w:p>
    <w:p w14:paraId="470826FD" w14:textId="149A8D0D" w:rsidR="00B97688" w:rsidRDefault="00B97688" w:rsidP="004B1609">
      <w:pPr>
        <w:pStyle w:val="ASSAD2017ACCESSBody1"/>
      </w:pPr>
    </w:p>
    <w:p w14:paraId="0821E63F" w14:textId="4204B284" w:rsidR="00B97688" w:rsidRDefault="00843818" w:rsidP="004B1609">
      <w:pPr>
        <w:pStyle w:val="ASSAD2017ACCESSBody1"/>
      </w:pPr>
      <w:r>
        <w:rPr>
          <w:noProof/>
        </w:rPr>
        <w:drawing>
          <wp:inline distT="0" distB="0" distL="0" distR="0" wp14:anchorId="372D03C4" wp14:editId="5BE26433">
            <wp:extent cx="5755005" cy="2590800"/>
            <wp:effectExtent l="0" t="0" r="0" b="0"/>
            <wp:docPr id="46" name="Picture 46" descr="Line graph showing the percentage of Australian secondary school students who used hallucinogens,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37435D2A" w14:textId="3B28503A" w:rsidR="00B97688" w:rsidRPr="00DE25AD" w:rsidRDefault="00B97688" w:rsidP="00B97688">
      <w:pPr>
        <w:pStyle w:val="ASSAD2017ACCESSBody1"/>
      </w:pPr>
      <w:r w:rsidRPr="00352FC8">
        <w:rPr>
          <w:rStyle w:val="Trends2017Heading2Char"/>
          <w:color w:val="auto"/>
          <w:sz w:val="20"/>
          <w:szCs w:val="20"/>
        </w:rPr>
        <w:t xml:space="preserve">Figure </w:t>
      </w:r>
      <w:r>
        <w:rPr>
          <w:rStyle w:val="Trends2017Heading2Char"/>
          <w:color w:val="auto"/>
          <w:sz w:val="20"/>
          <w:szCs w:val="20"/>
        </w:rPr>
        <w:t>20</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hallucinogens</w:t>
      </w:r>
      <w:r w:rsidRPr="00352FC8">
        <w:rPr>
          <w:rStyle w:val="Trends2017Heading2Char"/>
          <w:color w:val="auto"/>
          <w:sz w:val="20"/>
          <w:szCs w:val="20"/>
        </w:rPr>
        <w:t>, ASSAD</w:t>
      </w:r>
      <w:r w:rsidRPr="00352FC8">
        <w:rPr>
          <w:b/>
          <w:color w:val="auto"/>
        </w:rPr>
        <w:t xml:space="preserve"> 1996-2017</w:t>
      </w:r>
    </w:p>
    <w:p w14:paraId="2AFFED67" w14:textId="77777777" w:rsidR="00B97688" w:rsidRPr="00DE25AD" w:rsidRDefault="00B97688" w:rsidP="004B1609">
      <w:pPr>
        <w:pStyle w:val="ASSAD2017ACCESSBody1"/>
        <w:rPr>
          <w:b/>
          <w:color w:val="0070C0"/>
          <w:szCs w:val="28"/>
        </w:rPr>
      </w:pPr>
    </w:p>
    <w:p w14:paraId="6A0830C7" w14:textId="77777777" w:rsidR="00843818" w:rsidRDefault="00843818">
      <w:pPr>
        <w:suppressAutoHyphens w:val="0"/>
        <w:rPr>
          <w:rFonts w:ascii="Arial" w:hAnsi="Arial" w:cs="Arial"/>
          <w:b/>
          <w:bCs/>
          <w:szCs w:val="28"/>
        </w:rPr>
      </w:pPr>
      <w:bookmarkStart w:id="55" w:name="_Toc419187147"/>
      <w:bookmarkStart w:id="56" w:name="_Toc424111153"/>
      <w:r>
        <w:br w:type="page"/>
      </w:r>
    </w:p>
    <w:p w14:paraId="34EB49E0" w14:textId="49415289" w:rsidR="001177D4" w:rsidRPr="00DE25AD" w:rsidRDefault="001177D4" w:rsidP="001177D4">
      <w:pPr>
        <w:pStyle w:val="ASSAD2017ACCESSHeading2"/>
      </w:pPr>
      <w:r w:rsidRPr="00DE25AD">
        <w:lastRenderedPageBreak/>
        <w:t>Ecstasy</w:t>
      </w:r>
      <w:bookmarkEnd w:id="55"/>
      <w:bookmarkEnd w:id="56"/>
    </w:p>
    <w:p w14:paraId="0F5FE729" w14:textId="6913A71C" w:rsidR="008D4C22" w:rsidRDefault="0049258D" w:rsidP="009E42F3">
      <w:pPr>
        <w:pStyle w:val="ASSAD2017ACCESSBody1"/>
        <w:spacing w:after="0"/>
        <w:rPr>
          <w:color w:val="000000"/>
        </w:rPr>
      </w:pPr>
      <w:bookmarkStart w:id="57" w:name="_Toc419187143"/>
      <w:bookmarkStart w:id="58" w:name="_Toc424111145"/>
      <w:r w:rsidRPr="002E5727">
        <w:rPr>
          <w:color w:val="000000"/>
        </w:rPr>
        <w:t xml:space="preserve">Most secondary school students in every survey year had never used ecstasy. Lifetime use increased with age. Male students were more likely than female students to have used ecstasy in each recency period across the survey series. The prevalence of lifetime ecstasy use has fluctuated within a narrow range since 1996, and in 2017 was slightly higher than in 2014. </w:t>
      </w:r>
      <w:r>
        <w:rPr>
          <w:color w:val="000000"/>
        </w:rPr>
        <w:t>P</w:t>
      </w:r>
      <w:r w:rsidRPr="002E5727">
        <w:rPr>
          <w:color w:val="000000"/>
        </w:rPr>
        <w:t xml:space="preserve">ast month prevalence was </w:t>
      </w:r>
      <w:r>
        <w:rPr>
          <w:color w:val="000000"/>
        </w:rPr>
        <w:t xml:space="preserve">also slightly </w:t>
      </w:r>
      <w:r w:rsidRPr="002E5727">
        <w:rPr>
          <w:color w:val="000000"/>
        </w:rPr>
        <w:t>higher in 2017 than 2014. This increased use may reflect the onset of a change in the drug of choice among young people.</w:t>
      </w:r>
    </w:p>
    <w:p w14:paraId="31FECD57" w14:textId="19CB7F55" w:rsidR="0049258D" w:rsidRPr="00654A8D" w:rsidRDefault="0049258D" w:rsidP="00654A8D">
      <w:pPr>
        <w:pStyle w:val="ASSAD2017ACCESSBody1"/>
        <w:spacing w:after="0"/>
        <w:rPr>
          <w:color w:val="000000"/>
          <w:sz w:val="16"/>
          <w:szCs w:val="16"/>
        </w:rPr>
      </w:pPr>
    </w:p>
    <w:p w14:paraId="2EE0A2DE" w14:textId="1D2C5029" w:rsidR="009E42F3" w:rsidRDefault="00654A8D" w:rsidP="000F0851">
      <w:pPr>
        <w:pStyle w:val="ASSAD2017ACCESSBody1"/>
        <w:rPr>
          <w:color w:val="000000"/>
        </w:rPr>
      </w:pPr>
      <w:r>
        <w:rPr>
          <w:noProof/>
          <w:color w:val="000000"/>
        </w:rPr>
        <w:drawing>
          <wp:inline distT="0" distB="0" distL="0" distR="0" wp14:anchorId="2A2CE928" wp14:editId="632B16EB">
            <wp:extent cx="5755005" cy="2590800"/>
            <wp:effectExtent l="0" t="0" r="0" b="0"/>
            <wp:docPr id="47" name="Picture 47" descr="Line graph showing the percentage of Australian secondary school students who used ecstasy, 1996-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4E04A11B" w14:textId="4044130A" w:rsidR="0049258D" w:rsidRPr="00DE25AD" w:rsidRDefault="0049258D" w:rsidP="000F0851">
      <w:pPr>
        <w:pStyle w:val="ASSAD2017ACCESSBody1"/>
      </w:pPr>
      <w:r w:rsidRPr="00352FC8">
        <w:rPr>
          <w:rStyle w:val="Trends2017Heading2Char"/>
          <w:color w:val="auto"/>
          <w:sz w:val="20"/>
          <w:szCs w:val="20"/>
        </w:rPr>
        <w:t xml:space="preserve">Figure </w:t>
      </w:r>
      <w:r>
        <w:rPr>
          <w:rStyle w:val="Trends2017Heading2Char"/>
          <w:color w:val="auto"/>
          <w:sz w:val="20"/>
          <w:szCs w:val="20"/>
        </w:rPr>
        <w:t>21</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ecstasy</w:t>
      </w:r>
      <w:r w:rsidRPr="00352FC8">
        <w:rPr>
          <w:rStyle w:val="Trends2017Heading2Char"/>
          <w:color w:val="auto"/>
          <w:sz w:val="20"/>
          <w:szCs w:val="20"/>
        </w:rPr>
        <w:t>, ASSAD</w:t>
      </w:r>
      <w:r w:rsidRPr="00352FC8">
        <w:rPr>
          <w:b/>
          <w:color w:val="auto"/>
        </w:rPr>
        <w:t xml:space="preserve"> 1996-2017</w:t>
      </w:r>
    </w:p>
    <w:p w14:paraId="1CB0FE57" w14:textId="77777777" w:rsidR="009E42F3" w:rsidRDefault="009E42F3" w:rsidP="008D4C22">
      <w:pPr>
        <w:pStyle w:val="ASSAD2017ACCESSHeading2"/>
      </w:pPr>
    </w:p>
    <w:p w14:paraId="2878A648" w14:textId="5E2445CF" w:rsidR="001177D4" w:rsidRPr="00DE25AD" w:rsidRDefault="009E42F3" w:rsidP="008D4C22">
      <w:pPr>
        <w:pStyle w:val="ASSAD2017ACCESSHeading2"/>
      </w:pPr>
      <w:r>
        <w:t>Amphetamines 1996-2014</w:t>
      </w:r>
    </w:p>
    <w:p w14:paraId="179422FD" w14:textId="77777777" w:rsidR="009E42F3" w:rsidRPr="002E5727" w:rsidRDefault="009E42F3" w:rsidP="009E42F3">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Amphetamine use among adolescents other than for medical reasons has been low in all ASSAD survey years to 2014. Use decreased in the Australian adult population from the 2000s</w:t>
      </w:r>
      <w:r>
        <w:rPr>
          <w:rStyle w:val="FootnoteReference"/>
          <w:rFonts w:ascii="Arial" w:hAnsi="Arial"/>
          <w:color w:val="000000"/>
          <w:sz w:val="20"/>
          <w:szCs w:val="20"/>
        </w:rPr>
        <w:footnoteReference w:id="95"/>
      </w:r>
      <w:r w:rsidRPr="002E5727">
        <w:rPr>
          <w:rFonts w:ascii="Arial" w:hAnsi="Arial" w:cs="Arial"/>
          <w:bCs/>
          <w:color w:val="000000"/>
          <w:sz w:val="20"/>
          <w:szCs w:val="20"/>
          <w:lang w:val="en-US"/>
        </w:rPr>
        <w:t>, and generally declining prevalence was observed in ASSAD data for adolescent use over this period.</w:t>
      </w:r>
    </w:p>
    <w:p w14:paraId="54C2E2EF" w14:textId="77777777" w:rsidR="009E42F3" w:rsidRDefault="009E42F3" w:rsidP="009E42F3">
      <w:pPr>
        <w:pStyle w:val="ASSAD2017ACCESSBody1"/>
        <w:spacing w:after="0"/>
        <w:rPr>
          <w:color w:val="000000"/>
        </w:rPr>
      </w:pPr>
      <w:r w:rsidRPr="002E5727">
        <w:rPr>
          <w:color w:val="000000"/>
        </w:rPr>
        <w:t>Trends between 2002 and 201</w:t>
      </w:r>
      <w:r>
        <w:rPr>
          <w:color w:val="000000"/>
        </w:rPr>
        <w:t>4</w:t>
      </w:r>
      <w:r w:rsidRPr="002E5727">
        <w:rPr>
          <w:color w:val="000000"/>
        </w:rPr>
        <w:t xml:space="preserve"> showed declining use across all ages, with lifetime prevalence around 2% and past month use around 1% in 2014.</w:t>
      </w:r>
    </w:p>
    <w:p w14:paraId="3F9A4EB1" w14:textId="38CB986E" w:rsidR="009E42F3" w:rsidRPr="00654A8D" w:rsidRDefault="009E42F3" w:rsidP="00654A8D">
      <w:pPr>
        <w:pStyle w:val="ASSAD2017ACCESSBody1"/>
        <w:spacing w:after="0"/>
        <w:rPr>
          <w:color w:val="000000"/>
          <w:sz w:val="16"/>
          <w:szCs w:val="16"/>
        </w:rPr>
      </w:pPr>
    </w:p>
    <w:p w14:paraId="75A381E2" w14:textId="5E2A62CA" w:rsidR="009E42F3" w:rsidRDefault="00654A8D" w:rsidP="009E42F3">
      <w:pPr>
        <w:pStyle w:val="ASSAD2017ACCESSBody1"/>
        <w:rPr>
          <w:color w:val="000000"/>
        </w:rPr>
      </w:pPr>
      <w:r>
        <w:rPr>
          <w:noProof/>
          <w:color w:val="000000"/>
        </w:rPr>
        <w:drawing>
          <wp:inline distT="0" distB="0" distL="0" distR="0" wp14:anchorId="6EEE7629" wp14:editId="37D7F19D">
            <wp:extent cx="5755005" cy="2590800"/>
            <wp:effectExtent l="0" t="0" r="0" b="0"/>
            <wp:docPr id="48" name="Picture 48" descr="Line graph showing the percentage of Australian secondary school students who used amphetamines, 199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19D0076E" w14:textId="32492845" w:rsidR="009E42F3" w:rsidRDefault="009E42F3" w:rsidP="009E42F3">
      <w:pPr>
        <w:pStyle w:val="ASSAD2017ACCESSBody1"/>
        <w:rPr>
          <w:color w:val="000000"/>
        </w:rPr>
      </w:pPr>
      <w:r w:rsidRPr="00352FC8">
        <w:rPr>
          <w:rStyle w:val="Trends2017Heading2Char"/>
          <w:color w:val="auto"/>
          <w:sz w:val="20"/>
          <w:szCs w:val="20"/>
        </w:rPr>
        <w:t xml:space="preserve">Figure </w:t>
      </w:r>
      <w:r>
        <w:rPr>
          <w:rStyle w:val="Trends2017Heading2Char"/>
          <w:color w:val="auto"/>
          <w:sz w:val="20"/>
          <w:szCs w:val="20"/>
        </w:rPr>
        <w:t>22</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amphetamines</w:t>
      </w:r>
      <w:r w:rsidRPr="00352FC8">
        <w:rPr>
          <w:rStyle w:val="Trends2017Heading2Char"/>
          <w:color w:val="auto"/>
          <w:sz w:val="20"/>
          <w:szCs w:val="20"/>
        </w:rPr>
        <w:t>, ASSAD</w:t>
      </w:r>
      <w:r w:rsidRPr="00352FC8">
        <w:rPr>
          <w:b/>
          <w:color w:val="auto"/>
        </w:rPr>
        <w:t xml:space="preserve"> 1996-201</w:t>
      </w:r>
      <w:r>
        <w:rPr>
          <w:b/>
          <w:color w:val="auto"/>
        </w:rPr>
        <w:t>4</w:t>
      </w:r>
    </w:p>
    <w:p w14:paraId="213E1451" w14:textId="77777777" w:rsidR="003040F0" w:rsidRDefault="003040F0">
      <w:pPr>
        <w:suppressAutoHyphens w:val="0"/>
        <w:rPr>
          <w:rFonts w:ascii="Arial" w:hAnsi="Arial" w:cs="Arial"/>
          <w:b/>
          <w:bCs/>
          <w:szCs w:val="28"/>
        </w:rPr>
      </w:pPr>
      <w:bookmarkStart w:id="59" w:name="_Toc444588681"/>
      <w:r>
        <w:br w:type="page"/>
      </w:r>
    </w:p>
    <w:p w14:paraId="32D93595" w14:textId="753F877F" w:rsidR="001177D4" w:rsidRPr="00DE25AD" w:rsidRDefault="00A149C8" w:rsidP="001177D4">
      <w:pPr>
        <w:pStyle w:val="ASSAD2017ACCESSHeading2"/>
      </w:pPr>
      <w:r>
        <w:lastRenderedPageBreak/>
        <w:t>Opiates 1996-2014</w:t>
      </w:r>
    </w:p>
    <w:p w14:paraId="51E95ABD" w14:textId="682EC3AA" w:rsidR="001177D4" w:rsidRDefault="00A149C8" w:rsidP="001177D4">
      <w:pPr>
        <w:pStyle w:val="ASSAD2017ACCESSBody1"/>
        <w:rPr>
          <w:color w:val="000000"/>
        </w:rPr>
      </w:pPr>
      <w:r w:rsidRPr="002E5727">
        <w:rPr>
          <w:color w:val="000000"/>
        </w:rPr>
        <w:t>Student use of heroin or other opiates (e.g., morphine, oxycodone, codeine) other than for medical reasons has been extremely low in all ASSAD survey years</w:t>
      </w:r>
      <w:r>
        <w:rPr>
          <w:color w:val="000000"/>
        </w:rPr>
        <w:t xml:space="preserve"> from</w:t>
      </w:r>
      <w:r w:rsidRPr="002E5727">
        <w:rPr>
          <w:color w:val="000000"/>
        </w:rPr>
        <w:t xml:space="preserve"> 1996</w:t>
      </w:r>
      <w:r>
        <w:rPr>
          <w:color w:val="000000"/>
        </w:rPr>
        <w:t xml:space="preserve"> to </w:t>
      </w:r>
      <w:r w:rsidRPr="002E5727">
        <w:rPr>
          <w:color w:val="000000"/>
        </w:rPr>
        <w:t xml:space="preserve">2014. Past </w:t>
      </w:r>
      <w:r>
        <w:rPr>
          <w:color w:val="000000"/>
        </w:rPr>
        <w:t>month</w:t>
      </w:r>
      <w:r w:rsidRPr="002E5727">
        <w:rPr>
          <w:color w:val="000000"/>
        </w:rPr>
        <w:t xml:space="preserve"> prevalence was generally around 1%</w:t>
      </w:r>
      <w:r>
        <w:rPr>
          <w:color w:val="000000"/>
        </w:rPr>
        <w:t xml:space="preserve"> for both younger and older students</w:t>
      </w:r>
      <w:r w:rsidRPr="002E5727">
        <w:rPr>
          <w:color w:val="000000"/>
        </w:rPr>
        <w:t>.</w:t>
      </w:r>
    </w:p>
    <w:p w14:paraId="65153D7A" w14:textId="3E5F6F58" w:rsidR="00A149C8" w:rsidRDefault="00A149C8" w:rsidP="001177D4">
      <w:pPr>
        <w:pStyle w:val="ASSAD2017ACCESSBody1"/>
        <w:rPr>
          <w:color w:val="000000"/>
        </w:rPr>
      </w:pPr>
    </w:p>
    <w:p w14:paraId="6E3F5397" w14:textId="6F8387D4" w:rsidR="00A149C8" w:rsidRDefault="002F50CA" w:rsidP="001177D4">
      <w:pPr>
        <w:pStyle w:val="ASSAD2017ACCESSBody1"/>
        <w:rPr>
          <w:color w:val="000000"/>
        </w:rPr>
      </w:pPr>
      <w:r>
        <w:rPr>
          <w:noProof/>
          <w:color w:val="000000"/>
        </w:rPr>
        <w:drawing>
          <wp:inline distT="0" distB="0" distL="0" distR="0" wp14:anchorId="156C4579" wp14:editId="6F781A91">
            <wp:extent cx="5755005" cy="2590800"/>
            <wp:effectExtent l="0" t="0" r="0" b="0"/>
            <wp:docPr id="49" name="Picture 49" descr="Line graph showing the percentage of Australian secondary school students who used opiates, 1996-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5005" cy="2590800"/>
                    </a:xfrm>
                    <a:prstGeom prst="rect">
                      <a:avLst/>
                    </a:prstGeom>
                    <a:noFill/>
                  </pic:spPr>
                </pic:pic>
              </a:graphicData>
            </a:graphic>
          </wp:inline>
        </w:drawing>
      </w:r>
    </w:p>
    <w:p w14:paraId="28B68578" w14:textId="470D597F" w:rsidR="00A149C8" w:rsidRDefault="00A149C8" w:rsidP="001177D4">
      <w:pPr>
        <w:pStyle w:val="ASSAD2017ACCESSBody1"/>
        <w:rPr>
          <w:color w:val="000000"/>
        </w:rPr>
      </w:pPr>
      <w:r w:rsidRPr="00352FC8">
        <w:rPr>
          <w:rStyle w:val="Trends2017Heading2Char"/>
          <w:color w:val="auto"/>
          <w:sz w:val="20"/>
          <w:szCs w:val="20"/>
        </w:rPr>
        <w:t xml:space="preserve">Figure </w:t>
      </w:r>
      <w:r>
        <w:rPr>
          <w:rStyle w:val="Trends2017Heading2Char"/>
          <w:color w:val="auto"/>
          <w:sz w:val="20"/>
          <w:szCs w:val="20"/>
        </w:rPr>
        <w:t>23</w:t>
      </w:r>
      <w:r w:rsidRPr="00352FC8">
        <w:rPr>
          <w:rStyle w:val="Trends2017Heading2Char"/>
          <w:color w:val="auto"/>
          <w:sz w:val="20"/>
          <w:szCs w:val="20"/>
        </w:rPr>
        <w:t>: Percentage of Australian secondary school students who used</w:t>
      </w:r>
      <w:r>
        <w:rPr>
          <w:rStyle w:val="Trends2017Heading2Char"/>
          <w:color w:val="auto"/>
          <w:sz w:val="20"/>
          <w:szCs w:val="20"/>
        </w:rPr>
        <w:t xml:space="preserve"> opiates</w:t>
      </w:r>
      <w:r w:rsidRPr="00352FC8">
        <w:rPr>
          <w:rStyle w:val="Trends2017Heading2Char"/>
          <w:color w:val="auto"/>
          <w:sz w:val="20"/>
          <w:szCs w:val="20"/>
        </w:rPr>
        <w:t>, ASSAD</w:t>
      </w:r>
      <w:r w:rsidRPr="00352FC8">
        <w:rPr>
          <w:b/>
          <w:color w:val="auto"/>
        </w:rPr>
        <w:t xml:space="preserve"> 1996-201</w:t>
      </w:r>
      <w:r>
        <w:rPr>
          <w:b/>
          <w:color w:val="auto"/>
        </w:rPr>
        <w:t>4</w:t>
      </w:r>
    </w:p>
    <w:p w14:paraId="76B6F84F" w14:textId="77777777" w:rsidR="00A149C8" w:rsidRDefault="00A149C8" w:rsidP="001177D4">
      <w:pPr>
        <w:pStyle w:val="ASSAD2017ACCESSBody1"/>
        <w:rPr>
          <w:color w:val="000000"/>
        </w:rPr>
      </w:pPr>
    </w:p>
    <w:p w14:paraId="5D3F8CF7" w14:textId="6A0FC016" w:rsidR="00A149C8" w:rsidRDefault="00A149C8" w:rsidP="001177D4">
      <w:pPr>
        <w:pStyle w:val="ASSAD2017ACCESSBody1"/>
        <w:rPr>
          <w:color w:val="000000"/>
        </w:rPr>
      </w:pPr>
    </w:p>
    <w:p w14:paraId="7948FC75" w14:textId="77777777" w:rsidR="00A149C8" w:rsidRPr="00DE25AD" w:rsidRDefault="00A149C8" w:rsidP="001177D4">
      <w:pPr>
        <w:pStyle w:val="ASSAD2017ACCESSBody1"/>
      </w:pPr>
    </w:p>
    <w:bookmarkEnd w:id="53"/>
    <w:bookmarkEnd w:id="54"/>
    <w:bookmarkEnd w:id="57"/>
    <w:bookmarkEnd w:id="58"/>
    <w:bookmarkEnd w:id="59"/>
    <w:p w14:paraId="7DE4701A" w14:textId="000A0700" w:rsidR="00787FD9" w:rsidRPr="00DE25AD" w:rsidRDefault="00787FD9" w:rsidP="0088687E">
      <w:pPr>
        <w:pStyle w:val="ASSAD2017ACCESSBody1"/>
        <w:rPr>
          <w:rFonts w:ascii="Arial Rounded MT Bold" w:hAnsi="Arial Rounded MT Bold"/>
          <w:bCs w:val="0"/>
          <w:caps/>
          <w:sz w:val="40"/>
          <w:szCs w:val="40"/>
        </w:rPr>
      </w:pPr>
    </w:p>
    <w:p w14:paraId="228D3057" w14:textId="77777777" w:rsidR="0005749C" w:rsidRPr="00DE25AD" w:rsidRDefault="0005749C">
      <w:pPr>
        <w:suppressAutoHyphens w:val="0"/>
        <w:rPr>
          <w:rFonts w:ascii="Arial Rounded MT Bold" w:hAnsi="Arial Rounded MT Bold" w:cs="Arial"/>
          <w:bCs/>
          <w:sz w:val="40"/>
          <w:szCs w:val="40"/>
          <w:lang w:val="en-US" w:eastAsia="en-US"/>
        </w:rPr>
      </w:pPr>
      <w:r w:rsidRPr="00DE25AD">
        <w:br w:type="page"/>
      </w:r>
    </w:p>
    <w:p w14:paraId="464E7BDE" w14:textId="2C3410C8" w:rsidR="00E162CF" w:rsidRPr="00DE25AD" w:rsidRDefault="00E1182D" w:rsidP="001D3E75">
      <w:pPr>
        <w:pStyle w:val="ASSAD2017ACCESSHeading1"/>
      </w:pPr>
      <w:r>
        <w:lastRenderedPageBreak/>
        <w:t>Tables</w:t>
      </w:r>
    </w:p>
    <w:p w14:paraId="79072D3E" w14:textId="1B4DABF6" w:rsidR="005B1355" w:rsidRPr="00DE25AD" w:rsidRDefault="00E1182D" w:rsidP="001D3E75">
      <w:pPr>
        <w:pStyle w:val="ASSAD2017ACCESSHeading2"/>
      </w:pPr>
      <w:r>
        <w:t>List of Tables</w:t>
      </w:r>
    </w:p>
    <w:bookmarkStart w:id="60" w:name="_Toc444588694"/>
    <w:bookmarkEnd w:id="45"/>
    <w:bookmarkEnd w:id="46"/>
    <w:bookmarkEnd w:id="47"/>
    <w:p w14:paraId="48C959F6" w14:textId="3CBFD26F" w:rsidR="002169C2" w:rsidRDefault="002169C2"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r>
        <w:fldChar w:fldCharType="begin"/>
      </w:r>
      <w:r>
        <w:instrText xml:space="preserve"> TOC \h \z \t "ASSAD 2017 Table Heading,1" </w:instrText>
      </w:r>
      <w:r>
        <w:fldChar w:fldCharType="separate"/>
      </w:r>
      <w:hyperlink w:anchor="_Toc44060488" w:history="1">
        <w:r w:rsidRPr="00D946E9">
          <w:rPr>
            <w:rStyle w:val="Hyperlink"/>
            <w:noProof/>
          </w:rPr>
          <w:t>Table 1 Prevalence of tobacco use among secondary students aged 12-15 in Australia, ASSAD 1996-2017</w:t>
        </w:r>
        <w:r>
          <w:rPr>
            <w:noProof/>
            <w:webHidden/>
          </w:rPr>
          <w:tab/>
        </w:r>
        <w:r>
          <w:rPr>
            <w:noProof/>
            <w:webHidden/>
          </w:rPr>
          <w:fldChar w:fldCharType="begin"/>
        </w:r>
        <w:r>
          <w:rPr>
            <w:noProof/>
            <w:webHidden/>
          </w:rPr>
          <w:instrText xml:space="preserve"> PAGEREF _Toc44060488 \h </w:instrText>
        </w:r>
        <w:r>
          <w:rPr>
            <w:noProof/>
            <w:webHidden/>
          </w:rPr>
        </w:r>
        <w:r>
          <w:rPr>
            <w:noProof/>
            <w:webHidden/>
          </w:rPr>
          <w:fldChar w:fldCharType="separate"/>
        </w:r>
        <w:r>
          <w:rPr>
            <w:noProof/>
            <w:webHidden/>
          </w:rPr>
          <w:t>31</w:t>
        </w:r>
        <w:r>
          <w:rPr>
            <w:noProof/>
            <w:webHidden/>
          </w:rPr>
          <w:fldChar w:fldCharType="end"/>
        </w:r>
      </w:hyperlink>
    </w:p>
    <w:p w14:paraId="6F8D0250" w14:textId="024507F9"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89" w:history="1">
        <w:r w:rsidR="002169C2" w:rsidRPr="00D946E9">
          <w:rPr>
            <w:rStyle w:val="Hyperlink"/>
            <w:noProof/>
          </w:rPr>
          <w:t>Table 2 Prevalence of tobacco use among secondary students aged 16-17 in Australia, ASSAD 1996-2017</w:t>
        </w:r>
        <w:r w:rsidR="002169C2">
          <w:rPr>
            <w:noProof/>
            <w:webHidden/>
          </w:rPr>
          <w:tab/>
        </w:r>
        <w:r w:rsidR="002169C2">
          <w:rPr>
            <w:noProof/>
            <w:webHidden/>
          </w:rPr>
          <w:fldChar w:fldCharType="begin"/>
        </w:r>
        <w:r w:rsidR="002169C2">
          <w:rPr>
            <w:noProof/>
            <w:webHidden/>
          </w:rPr>
          <w:instrText xml:space="preserve"> PAGEREF _Toc44060489 \h </w:instrText>
        </w:r>
        <w:r w:rsidR="002169C2">
          <w:rPr>
            <w:noProof/>
            <w:webHidden/>
          </w:rPr>
        </w:r>
        <w:r w:rsidR="002169C2">
          <w:rPr>
            <w:noProof/>
            <w:webHidden/>
          </w:rPr>
          <w:fldChar w:fldCharType="separate"/>
        </w:r>
        <w:r w:rsidR="002169C2">
          <w:rPr>
            <w:noProof/>
            <w:webHidden/>
          </w:rPr>
          <w:t>32</w:t>
        </w:r>
        <w:r w:rsidR="002169C2">
          <w:rPr>
            <w:noProof/>
            <w:webHidden/>
          </w:rPr>
          <w:fldChar w:fldCharType="end"/>
        </w:r>
      </w:hyperlink>
    </w:p>
    <w:p w14:paraId="0F9EB000" w14:textId="61B134CA"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0" w:history="1">
        <w:r w:rsidR="002169C2" w:rsidRPr="00D946E9">
          <w:rPr>
            <w:rStyle w:val="Hyperlink"/>
            <w:noProof/>
          </w:rPr>
          <w:t>Table 3 Prevalence of tobacco use among secondary students aged 12-17 in Australia, ASSAD 1996-2017</w:t>
        </w:r>
        <w:r w:rsidR="002169C2">
          <w:rPr>
            <w:noProof/>
            <w:webHidden/>
          </w:rPr>
          <w:tab/>
        </w:r>
        <w:r w:rsidR="002169C2">
          <w:rPr>
            <w:noProof/>
            <w:webHidden/>
          </w:rPr>
          <w:fldChar w:fldCharType="begin"/>
        </w:r>
        <w:r w:rsidR="002169C2">
          <w:rPr>
            <w:noProof/>
            <w:webHidden/>
          </w:rPr>
          <w:instrText xml:space="preserve"> PAGEREF _Toc44060490 \h </w:instrText>
        </w:r>
        <w:r w:rsidR="002169C2">
          <w:rPr>
            <w:noProof/>
            <w:webHidden/>
          </w:rPr>
        </w:r>
        <w:r w:rsidR="002169C2">
          <w:rPr>
            <w:noProof/>
            <w:webHidden/>
          </w:rPr>
          <w:fldChar w:fldCharType="separate"/>
        </w:r>
        <w:r w:rsidR="002169C2">
          <w:rPr>
            <w:noProof/>
            <w:webHidden/>
          </w:rPr>
          <w:t>33</w:t>
        </w:r>
        <w:r w:rsidR="002169C2">
          <w:rPr>
            <w:noProof/>
            <w:webHidden/>
          </w:rPr>
          <w:fldChar w:fldCharType="end"/>
        </w:r>
      </w:hyperlink>
    </w:p>
    <w:p w14:paraId="55D2AA12" w14:textId="1A1D51B8"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1" w:history="1">
        <w:r w:rsidR="002169C2" w:rsidRPr="00D946E9">
          <w:rPr>
            <w:rStyle w:val="Hyperlink"/>
            <w:noProof/>
          </w:rPr>
          <w:t>Table 4 Prevalence of alcohol use among secondary students aged 12-15 &amp; 16-17 in Australia, ASSAD 1996-2017</w:t>
        </w:r>
        <w:r w:rsidR="002169C2">
          <w:rPr>
            <w:noProof/>
            <w:webHidden/>
          </w:rPr>
          <w:tab/>
        </w:r>
        <w:r w:rsidR="002169C2">
          <w:rPr>
            <w:noProof/>
            <w:webHidden/>
          </w:rPr>
          <w:fldChar w:fldCharType="begin"/>
        </w:r>
        <w:r w:rsidR="002169C2">
          <w:rPr>
            <w:noProof/>
            <w:webHidden/>
          </w:rPr>
          <w:instrText xml:space="preserve"> PAGEREF _Toc44060491 \h </w:instrText>
        </w:r>
        <w:r w:rsidR="002169C2">
          <w:rPr>
            <w:noProof/>
            <w:webHidden/>
          </w:rPr>
        </w:r>
        <w:r w:rsidR="002169C2">
          <w:rPr>
            <w:noProof/>
            <w:webHidden/>
          </w:rPr>
          <w:fldChar w:fldCharType="separate"/>
        </w:r>
        <w:r w:rsidR="002169C2">
          <w:rPr>
            <w:noProof/>
            <w:webHidden/>
          </w:rPr>
          <w:t>34</w:t>
        </w:r>
        <w:r w:rsidR="002169C2">
          <w:rPr>
            <w:noProof/>
            <w:webHidden/>
          </w:rPr>
          <w:fldChar w:fldCharType="end"/>
        </w:r>
      </w:hyperlink>
    </w:p>
    <w:p w14:paraId="0DD3459D" w14:textId="69DC04D8"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2" w:history="1">
        <w:r w:rsidR="002169C2" w:rsidRPr="00D946E9">
          <w:rPr>
            <w:rStyle w:val="Hyperlink"/>
            <w:noProof/>
          </w:rPr>
          <w:t>Table 5 Prevalence of alcohol use among secondary students aged 12-17 in Australia, ASSAD 1996-2017</w:t>
        </w:r>
        <w:r w:rsidR="002169C2">
          <w:rPr>
            <w:noProof/>
            <w:webHidden/>
          </w:rPr>
          <w:tab/>
        </w:r>
        <w:r w:rsidR="002169C2">
          <w:rPr>
            <w:noProof/>
            <w:webHidden/>
          </w:rPr>
          <w:fldChar w:fldCharType="begin"/>
        </w:r>
        <w:r w:rsidR="002169C2">
          <w:rPr>
            <w:noProof/>
            <w:webHidden/>
          </w:rPr>
          <w:instrText xml:space="preserve"> PAGEREF _Toc44060492 \h </w:instrText>
        </w:r>
        <w:r w:rsidR="002169C2">
          <w:rPr>
            <w:noProof/>
            <w:webHidden/>
          </w:rPr>
        </w:r>
        <w:r w:rsidR="002169C2">
          <w:rPr>
            <w:noProof/>
            <w:webHidden/>
          </w:rPr>
          <w:fldChar w:fldCharType="separate"/>
        </w:r>
        <w:r w:rsidR="002169C2">
          <w:rPr>
            <w:noProof/>
            <w:webHidden/>
          </w:rPr>
          <w:t>35</w:t>
        </w:r>
        <w:r w:rsidR="002169C2">
          <w:rPr>
            <w:noProof/>
            <w:webHidden/>
          </w:rPr>
          <w:fldChar w:fldCharType="end"/>
        </w:r>
      </w:hyperlink>
    </w:p>
    <w:p w14:paraId="7D22600A" w14:textId="1780A0CA"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3" w:history="1">
        <w:r w:rsidR="002169C2" w:rsidRPr="00D946E9">
          <w:rPr>
            <w:rStyle w:val="Hyperlink"/>
            <w:noProof/>
          </w:rPr>
          <w:t>Table 6 Prevalence of analgesic use among secondary students aged 12-15 &amp; 16-17 in Australia, ASSAD 1996-2017</w:t>
        </w:r>
        <w:r w:rsidR="002169C2">
          <w:rPr>
            <w:noProof/>
            <w:webHidden/>
          </w:rPr>
          <w:tab/>
        </w:r>
        <w:r w:rsidR="002169C2">
          <w:rPr>
            <w:noProof/>
            <w:webHidden/>
          </w:rPr>
          <w:fldChar w:fldCharType="begin"/>
        </w:r>
        <w:r w:rsidR="002169C2">
          <w:rPr>
            <w:noProof/>
            <w:webHidden/>
          </w:rPr>
          <w:instrText xml:space="preserve"> PAGEREF _Toc44060493 \h </w:instrText>
        </w:r>
        <w:r w:rsidR="002169C2">
          <w:rPr>
            <w:noProof/>
            <w:webHidden/>
          </w:rPr>
        </w:r>
        <w:r w:rsidR="002169C2">
          <w:rPr>
            <w:noProof/>
            <w:webHidden/>
          </w:rPr>
          <w:fldChar w:fldCharType="separate"/>
        </w:r>
        <w:r w:rsidR="002169C2">
          <w:rPr>
            <w:noProof/>
            <w:webHidden/>
          </w:rPr>
          <w:t>36</w:t>
        </w:r>
        <w:r w:rsidR="002169C2">
          <w:rPr>
            <w:noProof/>
            <w:webHidden/>
          </w:rPr>
          <w:fldChar w:fldCharType="end"/>
        </w:r>
      </w:hyperlink>
    </w:p>
    <w:p w14:paraId="2ACB4ED4" w14:textId="47509872"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4" w:history="1">
        <w:r w:rsidR="002169C2" w:rsidRPr="00D946E9">
          <w:rPr>
            <w:rStyle w:val="Hyperlink"/>
            <w:noProof/>
          </w:rPr>
          <w:t>Table 7 Prevalence of analgesic use among secondary students aged 12-17 in Australia, ASSAD 1996-2017</w:t>
        </w:r>
        <w:r w:rsidR="002169C2">
          <w:rPr>
            <w:noProof/>
            <w:webHidden/>
          </w:rPr>
          <w:tab/>
        </w:r>
        <w:r w:rsidR="002169C2">
          <w:rPr>
            <w:noProof/>
            <w:webHidden/>
          </w:rPr>
          <w:fldChar w:fldCharType="begin"/>
        </w:r>
        <w:r w:rsidR="002169C2">
          <w:rPr>
            <w:noProof/>
            <w:webHidden/>
          </w:rPr>
          <w:instrText xml:space="preserve"> PAGEREF _Toc44060494 \h </w:instrText>
        </w:r>
        <w:r w:rsidR="002169C2">
          <w:rPr>
            <w:noProof/>
            <w:webHidden/>
          </w:rPr>
        </w:r>
        <w:r w:rsidR="002169C2">
          <w:rPr>
            <w:noProof/>
            <w:webHidden/>
          </w:rPr>
          <w:fldChar w:fldCharType="separate"/>
        </w:r>
        <w:r w:rsidR="002169C2">
          <w:rPr>
            <w:noProof/>
            <w:webHidden/>
          </w:rPr>
          <w:t>37</w:t>
        </w:r>
        <w:r w:rsidR="002169C2">
          <w:rPr>
            <w:noProof/>
            <w:webHidden/>
          </w:rPr>
          <w:fldChar w:fldCharType="end"/>
        </w:r>
      </w:hyperlink>
    </w:p>
    <w:p w14:paraId="549BE3C5" w14:textId="59BC6E83"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5" w:history="1">
        <w:r w:rsidR="002169C2" w:rsidRPr="00D946E9">
          <w:rPr>
            <w:rStyle w:val="Hyperlink"/>
            <w:noProof/>
          </w:rPr>
          <w:t>Table 8 Prevalence of tranquiliser use among secondary students aged 12-15 &amp; 16-17 in Australia, ASSAD 1996-2017</w:t>
        </w:r>
        <w:r w:rsidR="002169C2">
          <w:rPr>
            <w:noProof/>
            <w:webHidden/>
          </w:rPr>
          <w:tab/>
        </w:r>
        <w:r w:rsidR="002169C2">
          <w:rPr>
            <w:noProof/>
            <w:webHidden/>
          </w:rPr>
          <w:fldChar w:fldCharType="begin"/>
        </w:r>
        <w:r w:rsidR="002169C2">
          <w:rPr>
            <w:noProof/>
            <w:webHidden/>
          </w:rPr>
          <w:instrText xml:space="preserve"> PAGEREF _Toc44060495 \h </w:instrText>
        </w:r>
        <w:r w:rsidR="002169C2">
          <w:rPr>
            <w:noProof/>
            <w:webHidden/>
          </w:rPr>
        </w:r>
        <w:r w:rsidR="002169C2">
          <w:rPr>
            <w:noProof/>
            <w:webHidden/>
          </w:rPr>
          <w:fldChar w:fldCharType="separate"/>
        </w:r>
        <w:r w:rsidR="002169C2">
          <w:rPr>
            <w:noProof/>
            <w:webHidden/>
          </w:rPr>
          <w:t>38</w:t>
        </w:r>
        <w:r w:rsidR="002169C2">
          <w:rPr>
            <w:noProof/>
            <w:webHidden/>
          </w:rPr>
          <w:fldChar w:fldCharType="end"/>
        </w:r>
      </w:hyperlink>
    </w:p>
    <w:p w14:paraId="7B7DE4B7" w14:textId="3CE54CA6"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6" w:history="1">
        <w:r w:rsidR="002169C2" w:rsidRPr="00D946E9">
          <w:rPr>
            <w:rStyle w:val="Hyperlink"/>
            <w:noProof/>
          </w:rPr>
          <w:t>Table 9 Prevalence of tranquiliser use among secondary students aged 12-17 in Australia, ASSAD 1996-2017</w:t>
        </w:r>
        <w:r w:rsidR="002169C2">
          <w:rPr>
            <w:noProof/>
            <w:webHidden/>
          </w:rPr>
          <w:tab/>
        </w:r>
        <w:r w:rsidR="002169C2">
          <w:rPr>
            <w:noProof/>
            <w:webHidden/>
          </w:rPr>
          <w:fldChar w:fldCharType="begin"/>
        </w:r>
        <w:r w:rsidR="002169C2">
          <w:rPr>
            <w:noProof/>
            <w:webHidden/>
          </w:rPr>
          <w:instrText xml:space="preserve"> PAGEREF _Toc44060496 \h </w:instrText>
        </w:r>
        <w:r w:rsidR="002169C2">
          <w:rPr>
            <w:noProof/>
            <w:webHidden/>
          </w:rPr>
        </w:r>
        <w:r w:rsidR="002169C2">
          <w:rPr>
            <w:noProof/>
            <w:webHidden/>
          </w:rPr>
          <w:fldChar w:fldCharType="separate"/>
        </w:r>
        <w:r w:rsidR="002169C2">
          <w:rPr>
            <w:noProof/>
            <w:webHidden/>
          </w:rPr>
          <w:t>39</w:t>
        </w:r>
        <w:r w:rsidR="002169C2">
          <w:rPr>
            <w:noProof/>
            <w:webHidden/>
          </w:rPr>
          <w:fldChar w:fldCharType="end"/>
        </w:r>
      </w:hyperlink>
    </w:p>
    <w:p w14:paraId="27BC2CC1" w14:textId="642438E0"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7" w:history="1">
        <w:r w:rsidR="002169C2" w:rsidRPr="00D946E9">
          <w:rPr>
            <w:rStyle w:val="Hyperlink"/>
            <w:noProof/>
          </w:rPr>
          <w:t>Table 10 Prevalence of any illicit substance use</w:t>
        </w:r>
        <w:r w:rsidR="002169C2" w:rsidRPr="00D946E9">
          <w:rPr>
            <w:rStyle w:val="Hyperlink"/>
            <w:noProof/>
            <w:vertAlign w:val="superscript"/>
          </w:rPr>
          <w:t>#</w:t>
        </w:r>
        <w:r w:rsidR="002169C2" w:rsidRPr="00D946E9">
          <w:rPr>
            <w:rStyle w:val="Hyperlink"/>
            <w:noProof/>
          </w:rPr>
          <w:t xml:space="preserve"> (including cannabis) among secondary students aged 12-15, 16-17, &amp; 12-17 in Australia, ASSAD 1996-2017</w:t>
        </w:r>
        <w:r w:rsidR="002169C2">
          <w:rPr>
            <w:noProof/>
            <w:webHidden/>
          </w:rPr>
          <w:tab/>
        </w:r>
        <w:r w:rsidR="002169C2">
          <w:rPr>
            <w:noProof/>
            <w:webHidden/>
          </w:rPr>
          <w:fldChar w:fldCharType="begin"/>
        </w:r>
        <w:r w:rsidR="002169C2">
          <w:rPr>
            <w:noProof/>
            <w:webHidden/>
          </w:rPr>
          <w:instrText xml:space="preserve"> PAGEREF _Toc44060497 \h </w:instrText>
        </w:r>
        <w:r w:rsidR="002169C2">
          <w:rPr>
            <w:noProof/>
            <w:webHidden/>
          </w:rPr>
        </w:r>
        <w:r w:rsidR="002169C2">
          <w:rPr>
            <w:noProof/>
            <w:webHidden/>
          </w:rPr>
          <w:fldChar w:fldCharType="separate"/>
        </w:r>
        <w:r w:rsidR="002169C2">
          <w:rPr>
            <w:noProof/>
            <w:webHidden/>
          </w:rPr>
          <w:t>40</w:t>
        </w:r>
        <w:r w:rsidR="002169C2">
          <w:rPr>
            <w:noProof/>
            <w:webHidden/>
          </w:rPr>
          <w:fldChar w:fldCharType="end"/>
        </w:r>
      </w:hyperlink>
    </w:p>
    <w:p w14:paraId="790DADB8" w14:textId="61161A9C"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8" w:history="1">
        <w:r w:rsidR="002169C2" w:rsidRPr="00D946E9">
          <w:rPr>
            <w:rStyle w:val="Hyperlink"/>
            <w:noProof/>
          </w:rPr>
          <w:t>Table 11 Prevalence of any illicit substance use</w:t>
        </w:r>
        <w:r w:rsidR="002169C2" w:rsidRPr="00D946E9">
          <w:rPr>
            <w:rStyle w:val="Hyperlink"/>
            <w:noProof/>
            <w:vertAlign w:val="superscript"/>
          </w:rPr>
          <w:t>#</w:t>
        </w:r>
        <w:r w:rsidR="002169C2" w:rsidRPr="00D946E9">
          <w:rPr>
            <w:rStyle w:val="Hyperlink"/>
            <w:noProof/>
          </w:rPr>
          <w:t xml:space="preserve"> (excluding cannabis) among secondary students aged 12-15, 16-17, &amp; 12-17 in Australia, ASSAD 1996-2017</w:t>
        </w:r>
        <w:r w:rsidR="002169C2">
          <w:rPr>
            <w:noProof/>
            <w:webHidden/>
          </w:rPr>
          <w:tab/>
        </w:r>
        <w:r w:rsidR="002169C2">
          <w:rPr>
            <w:noProof/>
            <w:webHidden/>
          </w:rPr>
          <w:fldChar w:fldCharType="begin"/>
        </w:r>
        <w:r w:rsidR="002169C2">
          <w:rPr>
            <w:noProof/>
            <w:webHidden/>
          </w:rPr>
          <w:instrText xml:space="preserve"> PAGEREF _Toc44060498 \h </w:instrText>
        </w:r>
        <w:r w:rsidR="002169C2">
          <w:rPr>
            <w:noProof/>
            <w:webHidden/>
          </w:rPr>
        </w:r>
        <w:r w:rsidR="002169C2">
          <w:rPr>
            <w:noProof/>
            <w:webHidden/>
          </w:rPr>
          <w:fldChar w:fldCharType="separate"/>
        </w:r>
        <w:r w:rsidR="002169C2">
          <w:rPr>
            <w:noProof/>
            <w:webHidden/>
          </w:rPr>
          <w:t>41</w:t>
        </w:r>
        <w:r w:rsidR="002169C2">
          <w:rPr>
            <w:noProof/>
            <w:webHidden/>
          </w:rPr>
          <w:fldChar w:fldCharType="end"/>
        </w:r>
      </w:hyperlink>
    </w:p>
    <w:p w14:paraId="1CCE623C" w14:textId="4B9D4D4D"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499" w:history="1">
        <w:r w:rsidR="002169C2" w:rsidRPr="00D946E9">
          <w:rPr>
            <w:rStyle w:val="Hyperlink"/>
            <w:noProof/>
          </w:rPr>
          <w:t>Table 12 Prevalence of cannabis use among secondary students aged 12-15 &amp; 16-17 in Australia, ASSAD 1996-2017</w:t>
        </w:r>
        <w:r w:rsidR="002169C2">
          <w:rPr>
            <w:noProof/>
            <w:webHidden/>
          </w:rPr>
          <w:tab/>
        </w:r>
        <w:r w:rsidR="002169C2">
          <w:rPr>
            <w:noProof/>
            <w:webHidden/>
          </w:rPr>
          <w:fldChar w:fldCharType="begin"/>
        </w:r>
        <w:r w:rsidR="002169C2">
          <w:rPr>
            <w:noProof/>
            <w:webHidden/>
          </w:rPr>
          <w:instrText xml:space="preserve"> PAGEREF _Toc44060499 \h </w:instrText>
        </w:r>
        <w:r w:rsidR="002169C2">
          <w:rPr>
            <w:noProof/>
            <w:webHidden/>
          </w:rPr>
        </w:r>
        <w:r w:rsidR="002169C2">
          <w:rPr>
            <w:noProof/>
            <w:webHidden/>
          </w:rPr>
          <w:fldChar w:fldCharType="separate"/>
        </w:r>
        <w:r w:rsidR="002169C2">
          <w:rPr>
            <w:noProof/>
            <w:webHidden/>
          </w:rPr>
          <w:t>42</w:t>
        </w:r>
        <w:r w:rsidR="002169C2">
          <w:rPr>
            <w:noProof/>
            <w:webHidden/>
          </w:rPr>
          <w:fldChar w:fldCharType="end"/>
        </w:r>
      </w:hyperlink>
    </w:p>
    <w:p w14:paraId="349B4AF9" w14:textId="0DC5AD07"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0" w:history="1">
        <w:r w:rsidR="002169C2" w:rsidRPr="00D946E9">
          <w:rPr>
            <w:rStyle w:val="Hyperlink"/>
            <w:noProof/>
          </w:rPr>
          <w:t>Table 13 Prevalence of cannabis use among secondary students aged 12-17 in Australia, ASSAD 1996-2017</w:t>
        </w:r>
        <w:r w:rsidR="002169C2">
          <w:rPr>
            <w:noProof/>
            <w:webHidden/>
          </w:rPr>
          <w:tab/>
        </w:r>
        <w:r w:rsidR="002169C2">
          <w:rPr>
            <w:noProof/>
            <w:webHidden/>
          </w:rPr>
          <w:fldChar w:fldCharType="begin"/>
        </w:r>
        <w:r w:rsidR="002169C2">
          <w:rPr>
            <w:noProof/>
            <w:webHidden/>
          </w:rPr>
          <w:instrText xml:space="preserve"> PAGEREF _Toc44060500 \h </w:instrText>
        </w:r>
        <w:r w:rsidR="002169C2">
          <w:rPr>
            <w:noProof/>
            <w:webHidden/>
          </w:rPr>
        </w:r>
        <w:r w:rsidR="002169C2">
          <w:rPr>
            <w:noProof/>
            <w:webHidden/>
          </w:rPr>
          <w:fldChar w:fldCharType="separate"/>
        </w:r>
        <w:r w:rsidR="002169C2">
          <w:rPr>
            <w:noProof/>
            <w:webHidden/>
          </w:rPr>
          <w:t>43</w:t>
        </w:r>
        <w:r w:rsidR="002169C2">
          <w:rPr>
            <w:noProof/>
            <w:webHidden/>
          </w:rPr>
          <w:fldChar w:fldCharType="end"/>
        </w:r>
      </w:hyperlink>
    </w:p>
    <w:p w14:paraId="44980E9E" w14:textId="038EA073"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1" w:history="1">
        <w:r w:rsidR="002169C2" w:rsidRPr="00D946E9">
          <w:rPr>
            <w:rStyle w:val="Hyperlink"/>
            <w:noProof/>
          </w:rPr>
          <w:t>Table 14 Prevalence of cocaine use among secondary students aged 12-15, 16-17, &amp; 12-17 in Australia, ASSAD 1996-2017</w:t>
        </w:r>
        <w:r w:rsidR="002169C2">
          <w:rPr>
            <w:noProof/>
            <w:webHidden/>
          </w:rPr>
          <w:tab/>
        </w:r>
        <w:r w:rsidR="002169C2">
          <w:rPr>
            <w:noProof/>
            <w:webHidden/>
          </w:rPr>
          <w:fldChar w:fldCharType="begin"/>
        </w:r>
        <w:r w:rsidR="002169C2">
          <w:rPr>
            <w:noProof/>
            <w:webHidden/>
          </w:rPr>
          <w:instrText xml:space="preserve"> PAGEREF _Toc44060501 \h </w:instrText>
        </w:r>
        <w:r w:rsidR="002169C2">
          <w:rPr>
            <w:noProof/>
            <w:webHidden/>
          </w:rPr>
        </w:r>
        <w:r w:rsidR="002169C2">
          <w:rPr>
            <w:noProof/>
            <w:webHidden/>
          </w:rPr>
          <w:fldChar w:fldCharType="separate"/>
        </w:r>
        <w:r w:rsidR="002169C2">
          <w:rPr>
            <w:noProof/>
            <w:webHidden/>
          </w:rPr>
          <w:t>44</w:t>
        </w:r>
        <w:r w:rsidR="002169C2">
          <w:rPr>
            <w:noProof/>
            <w:webHidden/>
          </w:rPr>
          <w:fldChar w:fldCharType="end"/>
        </w:r>
      </w:hyperlink>
    </w:p>
    <w:p w14:paraId="1875AD46" w14:textId="3AB2B928"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2" w:history="1">
        <w:r w:rsidR="002169C2" w:rsidRPr="00D946E9">
          <w:rPr>
            <w:rStyle w:val="Hyperlink"/>
            <w:noProof/>
          </w:rPr>
          <w:t>Table 15 Prevalence of inhalant use among secondary students aged 12-15, 16-17, &amp; 12-17 in Australia, ASSAD 1996-2017</w:t>
        </w:r>
        <w:r w:rsidR="002169C2">
          <w:rPr>
            <w:noProof/>
            <w:webHidden/>
          </w:rPr>
          <w:tab/>
        </w:r>
        <w:r w:rsidR="002169C2">
          <w:rPr>
            <w:noProof/>
            <w:webHidden/>
          </w:rPr>
          <w:fldChar w:fldCharType="begin"/>
        </w:r>
        <w:r w:rsidR="002169C2">
          <w:rPr>
            <w:noProof/>
            <w:webHidden/>
          </w:rPr>
          <w:instrText xml:space="preserve"> PAGEREF _Toc44060502 \h </w:instrText>
        </w:r>
        <w:r w:rsidR="002169C2">
          <w:rPr>
            <w:noProof/>
            <w:webHidden/>
          </w:rPr>
        </w:r>
        <w:r w:rsidR="002169C2">
          <w:rPr>
            <w:noProof/>
            <w:webHidden/>
          </w:rPr>
          <w:fldChar w:fldCharType="separate"/>
        </w:r>
        <w:r w:rsidR="002169C2">
          <w:rPr>
            <w:noProof/>
            <w:webHidden/>
          </w:rPr>
          <w:t>45</w:t>
        </w:r>
        <w:r w:rsidR="002169C2">
          <w:rPr>
            <w:noProof/>
            <w:webHidden/>
          </w:rPr>
          <w:fldChar w:fldCharType="end"/>
        </w:r>
      </w:hyperlink>
    </w:p>
    <w:p w14:paraId="75852327" w14:textId="3131861B"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3" w:history="1">
        <w:r w:rsidR="002169C2" w:rsidRPr="00D946E9">
          <w:rPr>
            <w:rStyle w:val="Hyperlink"/>
            <w:noProof/>
          </w:rPr>
          <w:t>Table 16 Prevalence of hallucinogen use among secondary students aged 12-15, 16-17, &amp; 12-17 in Australia, ASSAD 1996-2017</w:t>
        </w:r>
        <w:r w:rsidR="002169C2">
          <w:rPr>
            <w:noProof/>
            <w:webHidden/>
          </w:rPr>
          <w:tab/>
        </w:r>
        <w:r w:rsidR="002169C2">
          <w:rPr>
            <w:noProof/>
            <w:webHidden/>
          </w:rPr>
          <w:fldChar w:fldCharType="begin"/>
        </w:r>
        <w:r w:rsidR="002169C2">
          <w:rPr>
            <w:noProof/>
            <w:webHidden/>
          </w:rPr>
          <w:instrText xml:space="preserve"> PAGEREF _Toc44060503 \h </w:instrText>
        </w:r>
        <w:r w:rsidR="002169C2">
          <w:rPr>
            <w:noProof/>
            <w:webHidden/>
          </w:rPr>
        </w:r>
        <w:r w:rsidR="002169C2">
          <w:rPr>
            <w:noProof/>
            <w:webHidden/>
          </w:rPr>
          <w:fldChar w:fldCharType="separate"/>
        </w:r>
        <w:r w:rsidR="002169C2">
          <w:rPr>
            <w:noProof/>
            <w:webHidden/>
          </w:rPr>
          <w:t>46</w:t>
        </w:r>
        <w:r w:rsidR="002169C2">
          <w:rPr>
            <w:noProof/>
            <w:webHidden/>
          </w:rPr>
          <w:fldChar w:fldCharType="end"/>
        </w:r>
      </w:hyperlink>
    </w:p>
    <w:p w14:paraId="0FA28F60" w14:textId="512C96C3"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4" w:history="1">
        <w:r w:rsidR="002169C2" w:rsidRPr="00D946E9">
          <w:rPr>
            <w:rStyle w:val="Hyperlink"/>
            <w:noProof/>
          </w:rPr>
          <w:t>Table 17 Prevalence of ecstasy use among secondary students aged 12-15, 16-17, &amp; 12-17 in Australia, ASSAD 1996-2017</w:t>
        </w:r>
        <w:r w:rsidR="002169C2">
          <w:rPr>
            <w:noProof/>
            <w:webHidden/>
          </w:rPr>
          <w:tab/>
        </w:r>
        <w:r w:rsidR="002169C2">
          <w:rPr>
            <w:noProof/>
            <w:webHidden/>
          </w:rPr>
          <w:fldChar w:fldCharType="begin"/>
        </w:r>
        <w:r w:rsidR="002169C2">
          <w:rPr>
            <w:noProof/>
            <w:webHidden/>
          </w:rPr>
          <w:instrText xml:space="preserve"> PAGEREF _Toc44060504 \h </w:instrText>
        </w:r>
        <w:r w:rsidR="002169C2">
          <w:rPr>
            <w:noProof/>
            <w:webHidden/>
          </w:rPr>
        </w:r>
        <w:r w:rsidR="002169C2">
          <w:rPr>
            <w:noProof/>
            <w:webHidden/>
          </w:rPr>
          <w:fldChar w:fldCharType="separate"/>
        </w:r>
        <w:r w:rsidR="002169C2">
          <w:rPr>
            <w:noProof/>
            <w:webHidden/>
          </w:rPr>
          <w:t>47</w:t>
        </w:r>
        <w:r w:rsidR="002169C2">
          <w:rPr>
            <w:noProof/>
            <w:webHidden/>
          </w:rPr>
          <w:fldChar w:fldCharType="end"/>
        </w:r>
      </w:hyperlink>
    </w:p>
    <w:p w14:paraId="6A630142" w14:textId="139EDFEE"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5" w:history="1">
        <w:r w:rsidR="002169C2" w:rsidRPr="00D946E9">
          <w:rPr>
            <w:rStyle w:val="Hyperlink"/>
            <w:noProof/>
          </w:rPr>
          <w:t>Table 18 Prevalence of amphetamine use among secondary students aged 12-15, 16-17, &amp; 12-17 in Australia, ASSAD 1996-2014</w:t>
        </w:r>
        <w:r w:rsidR="002169C2">
          <w:rPr>
            <w:noProof/>
            <w:webHidden/>
          </w:rPr>
          <w:tab/>
        </w:r>
        <w:r w:rsidR="002169C2">
          <w:rPr>
            <w:noProof/>
            <w:webHidden/>
          </w:rPr>
          <w:fldChar w:fldCharType="begin"/>
        </w:r>
        <w:r w:rsidR="002169C2">
          <w:rPr>
            <w:noProof/>
            <w:webHidden/>
          </w:rPr>
          <w:instrText xml:space="preserve"> PAGEREF _Toc44060505 \h </w:instrText>
        </w:r>
        <w:r w:rsidR="002169C2">
          <w:rPr>
            <w:noProof/>
            <w:webHidden/>
          </w:rPr>
        </w:r>
        <w:r w:rsidR="002169C2">
          <w:rPr>
            <w:noProof/>
            <w:webHidden/>
          </w:rPr>
          <w:fldChar w:fldCharType="separate"/>
        </w:r>
        <w:r w:rsidR="002169C2">
          <w:rPr>
            <w:noProof/>
            <w:webHidden/>
          </w:rPr>
          <w:t>48</w:t>
        </w:r>
        <w:r w:rsidR="002169C2">
          <w:rPr>
            <w:noProof/>
            <w:webHidden/>
          </w:rPr>
          <w:fldChar w:fldCharType="end"/>
        </w:r>
      </w:hyperlink>
    </w:p>
    <w:p w14:paraId="73342155" w14:textId="162D4880"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6" w:history="1">
        <w:r w:rsidR="002169C2" w:rsidRPr="00D946E9">
          <w:rPr>
            <w:rStyle w:val="Hyperlink"/>
            <w:noProof/>
          </w:rPr>
          <w:t>Table 19 Prevalence of opiate use among secondary students aged 12-15, 16-17, &amp; 12-17 in Australia, ASSAD 1996-2014</w:t>
        </w:r>
        <w:r w:rsidR="002169C2">
          <w:rPr>
            <w:noProof/>
            <w:webHidden/>
          </w:rPr>
          <w:tab/>
        </w:r>
        <w:r w:rsidR="002169C2">
          <w:rPr>
            <w:noProof/>
            <w:webHidden/>
          </w:rPr>
          <w:fldChar w:fldCharType="begin"/>
        </w:r>
        <w:r w:rsidR="002169C2">
          <w:rPr>
            <w:noProof/>
            <w:webHidden/>
          </w:rPr>
          <w:instrText xml:space="preserve"> PAGEREF _Toc44060506 \h </w:instrText>
        </w:r>
        <w:r w:rsidR="002169C2">
          <w:rPr>
            <w:noProof/>
            <w:webHidden/>
          </w:rPr>
        </w:r>
        <w:r w:rsidR="002169C2">
          <w:rPr>
            <w:noProof/>
            <w:webHidden/>
          </w:rPr>
          <w:fldChar w:fldCharType="separate"/>
        </w:r>
        <w:r w:rsidR="002169C2">
          <w:rPr>
            <w:noProof/>
            <w:webHidden/>
          </w:rPr>
          <w:t>49</w:t>
        </w:r>
        <w:r w:rsidR="002169C2">
          <w:rPr>
            <w:noProof/>
            <w:webHidden/>
          </w:rPr>
          <w:fldChar w:fldCharType="end"/>
        </w:r>
      </w:hyperlink>
    </w:p>
    <w:p w14:paraId="31EFAA59" w14:textId="0517D631"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7" w:history="1">
        <w:r w:rsidR="002169C2" w:rsidRPr="00D946E9">
          <w:rPr>
            <w:rStyle w:val="Hyperlink"/>
            <w:noProof/>
          </w:rPr>
          <w:t>Table 20 Number of secondary school students aged 12 to 17 surveyed by sex and age, 1996-2017</w:t>
        </w:r>
        <w:r w:rsidR="002169C2">
          <w:rPr>
            <w:noProof/>
            <w:webHidden/>
          </w:rPr>
          <w:tab/>
        </w:r>
        <w:r w:rsidR="002169C2">
          <w:rPr>
            <w:noProof/>
            <w:webHidden/>
          </w:rPr>
          <w:fldChar w:fldCharType="begin"/>
        </w:r>
        <w:r w:rsidR="002169C2">
          <w:rPr>
            <w:noProof/>
            <w:webHidden/>
          </w:rPr>
          <w:instrText xml:space="preserve"> PAGEREF _Toc44060507 \h </w:instrText>
        </w:r>
        <w:r w:rsidR="002169C2">
          <w:rPr>
            <w:noProof/>
            <w:webHidden/>
          </w:rPr>
        </w:r>
        <w:r w:rsidR="002169C2">
          <w:rPr>
            <w:noProof/>
            <w:webHidden/>
          </w:rPr>
          <w:fldChar w:fldCharType="separate"/>
        </w:r>
        <w:r w:rsidR="002169C2">
          <w:rPr>
            <w:noProof/>
            <w:webHidden/>
          </w:rPr>
          <w:t>53</w:t>
        </w:r>
        <w:r w:rsidR="002169C2">
          <w:rPr>
            <w:noProof/>
            <w:webHidden/>
          </w:rPr>
          <w:fldChar w:fldCharType="end"/>
        </w:r>
      </w:hyperlink>
    </w:p>
    <w:p w14:paraId="5266E489" w14:textId="6474A903" w:rsidR="002169C2" w:rsidRDefault="0010455F" w:rsidP="002169C2">
      <w:pPr>
        <w:pStyle w:val="TOC1"/>
        <w:tabs>
          <w:tab w:val="right" w:leader="dot" w:pos="9628"/>
        </w:tabs>
        <w:ind w:left="567" w:hanging="567"/>
        <w:rPr>
          <w:rFonts w:asciiTheme="minorHAnsi" w:eastAsiaTheme="minorEastAsia" w:hAnsiTheme="minorHAnsi" w:cstheme="minorBidi"/>
          <w:bCs w:val="0"/>
          <w:iCs w:val="0"/>
          <w:noProof/>
          <w:sz w:val="22"/>
          <w:szCs w:val="22"/>
          <w:lang w:val="en-AU" w:eastAsia="en-AU"/>
        </w:rPr>
      </w:pPr>
      <w:hyperlink w:anchor="_Toc44060508" w:history="1">
        <w:r w:rsidR="002169C2" w:rsidRPr="00D946E9">
          <w:rPr>
            <w:rStyle w:val="Hyperlink"/>
            <w:noProof/>
          </w:rPr>
          <w:t>Table 21 95% confidence intervals</w:t>
        </w:r>
        <w:r w:rsidR="002169C2" w:rsidRPr="00D946E9">
          <w:rPr>
            <w:rStyle w:val="Hyperlink"/>
            <w:noProof/>
            <w:vertAlign w:val="superscript"/>
          </w:rPr>
          <w:t>*</w:t>
        </w:r>
        <w:r w:rsidR="002169C2" w:rsidRPr="00D946E9">
          <w:rPr>
            <w:rStyle w:val="Hyperlink"/>
            <w:noProof/>
          </w:rPr>
          <w:t xml:space="preserve"> for prevalence estimates for ASSAD 2017 sample sizes sex and age</w:t>
        </w:r>
        <w:r w:rsidR="002169C2">
          <w:rPr>
            <w:noProof/>
            <w:webHidden/>
          </w:rPr>
          <w:tab/>
        </w:r>
        <w:r w:rsidR="002169C2">
          <w:rPr>
            <w:noProof/>
            <w:webHidden/>
          </w:rPr>
          <w:fldChar w:fldCharType="begin"/>
        </w:r>
        <w:r w:rsidR="002169C2">
          <w:rPr>
            <w:noProof/>
            <w:webHidden/>
          </w:rPr>
          <w:instrText xml:space="preserve"> PAGEREF _Toc44060508 \h </w:instrText>
        </w:r>
        <w:r w:rsidR="002169C2">
          <w:rPr>
            <w:noProof/>
            <w:webHidden/>
          </w:rPr>
        </w:r>
        <w:r w:rsidR="002169C2">
          <w:rPr>
            <w:noProof/>
            <w:webHidden/>
          </w:rPr>
          <w:fldChar w:fldCharType="separate"/>
        </w:r>
        <w:r w:rsidR="002169C2">
          <w:rPr>
            <w:noProof/>
            <w:webHidden/>
          </w:rPr>
          <w:t>54</w:t>
        </w:r>
        <w:r w:rsidR="002169C2">
          <w:rPr>
            <w:noProof/>
            <w:webHidden/>
          </w:rPr>
          <w:fldChar w:fldCharType="end"/>
        </w:r>
      </w:hyperlink>
    </w:p>
    <w:p w14:paraId="7ABA9E6E" w14:textId="505A2B31" w:rsidR="00E1182D" w:rsidRPr="00DE25AD" w:rsidRDefault="002169C2" w:rsidP="002169C2">
      <w:pPr>
        <w:pStyle w:val="ASSAD2017ACCESSBody1"/>
        <w:ind w:left="567" w:hanging="567"/>
      </w:pPr>
      <w:r>
        <w:fldChar w:fldCharType="end"/>
      </w:r>
    </w:p>
    <w:p w14:paraId="216BA19F" w14:textId="0BBCD4B1" w:rsidR="000D3287" w:rsidRPr="00DE25AD" w:rsidRDefault="000D3287" w:rsidP="0098042B">
      <w:pPr>
        <w:pStyle w:val="ASSAD2017ACCESSBody1"/>
      </w:pPr>
      <w:r w:rsidRPr="00DE25AD">
        <w:br w:type="page"/>
      </w:r>
    </w:p>
    <w:p w14:paraId="41C1D523" w14:textId="0DE81DE7" w:rsidR="00DA5FB6" w:rsidRPr="0046446A" w:rsidRDefault="00DA5FB6" w:rsidP="0046446A">
      <w:pPr>
        <w:pStyle w:val="ASSAD2017TableHeading"/>
      </w:pPr>
      <w:bookmarkStart w:id="61" w:name="_Toc44060488"/>
      <w:bookmarkStart w:id="62" w:name="_Toc437931463"/>
      <w:bookmarkStart w:id="63" w:name="_Toc432412640"/>
      <w:bookmarkEnd w:id="60"/>
      <w:r w:rsidRPr="0046446A">
        <w:lastRenderedPageBreak/>
        <w:t xml:space="preserve">Table 1 </w:t>
      </w:r>
      <w:r w:rsidR="0046446A">
        <w:t>Prevalence</w:t>
      </w:r>
      <w:r w:rsidRPr="0046446A">
        <w:t xml:space="preserve"> of </w:t>
      </w:r>
      <w:r w:rsidR="00114C21" w:rsidRPr="0046446A">
        <w:t>tobacco use among secondary students aged 12-15 in Australia, ASSAD 1996-2017</w:t>
      </w:r>
      <w:bookmarkEnd w:id="61"/>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114C21" w:rsidRPr="00DE25AD" w14:paraId="3963ABB9" w14:textId="77777777" w:rsidTr="00114C21">
        <w:trPr>
          <w:tblHeader/>
        </w:trPr>
        <w:tc>
          <w:tcPr>
            <w:tcW w:w="1517" w:type="dxa"/>
            <w:tcMar>
              <w:left w:w="57" w:type="dxa"/>
            </w:tcMar>
          </w:tcPr>
          <w:p w14:paraId="78BFDBC9" w14:textId="3B6F4528" w:rsidR="00114C21" w:rsidRPr="00DE25AD" w:rsidRDefault="00114C21" w:rsidP="00E6541F">
            <w:pPr>
              <w:pStyle w:val="ACCESSTableHeaderRow"/>
              <w:rPr>
                <w:rStyle w:val="ASSAD2017CWTableHeading1Char"/>
                <w:rFonts w:ascii="Arial" w:hAnsi="Arial"/>
                <w:bCs/>
                <w:color w:val="000000" w:themeColor="text1"/>
                <w:sz w:val="20"/>
                <w:szCs w:val="20"/>
                <w:lang w:eastAsia="en-US"/>
              </w:rPr>
            </w:pPr>
            <w:bookmarkStart w:id="64" w:name="_Hlk233961906"/>
            <w:bookmarkStart w:id="65" w:name="OLE_LINK5"/>
            <w:bookmarkStart w:id="66" w:name="OLE_LINK4"/>
            <w:bookmarkEnd w:id="64"/>
            <w:bookmarkEnd w:id="65"/>
            <w:bookmarkEnd w:id="66"/>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18A1BEAD" w14:textId="24802FB8" w:rsidR="00114C21" w:rsidRPr="00DE25AD" w:rsidRDefault="00114C21" w:rsidP="002D6903">
            <w:pPr>
              <w:pStyle w:val="ACCESSTableHeaderRow"/>
            </w:pPr>
          </w:p>
        </w:tc>
        <w:tc>
          <w:tcPr>
            <w:tcW w:w="878" w:type="dxa"/>
            <w:shd w:val="clear" w:color="auto" w:fill="auto"/>
            <w:vAlign w:val="bottom"/>
          </w:tcPr>
          <w:p w14:paraId="101CAAD3" w14:textId="415E0F7D" w:rsidR="00114C21" w:rsidRPr="00DE25AD" w:rsidRDefault="00114C21" w:rsidP="002F03FE">
            <w:pPr>
              <w:pStyle w:val="ACCESSTableHeaderRow"/>
              <w:jc w:val="center"/>
            </w:pPr>
            <w:r>
              <w:t>1996</w:t>
            </w:r>
          </w:p>
          <w:p w14:paraId="36D20811" w14:textId="77777777" w:rsidR="00114C21" w:rsidRPr="00DE25AD" w:rsidRDefault="00114C21" w:rsidP="002F03FE">
            <w:pPr>
              <w:pStyle w:val="ACCESSTableHeaderRow"/>
              <w:jc w:val="center"/>
            </w:pPr>
            <w:r w:rsidRPr="00DE25AD">
              <w:t>(%)</w:t>
            </w:r>
          </w:p>
        </w:tc>
        <w:tc>
          <w:tcPr>
            <w:tcW w:w="879" w:type="dxa"/>
            <w:shd w:val="clear" w:color="auto" w:fill="auto"/>
            <w:vAlign w:val="bottom"/>
          </w:tcPr>
          <w:p w14:paraId="328C3C7C" w14:textId="0F631311" w:rsidR="00114C21" w:rsidRPr="00DE25AD" w:rsidRDefault="00114C21" w:rsidP="002F03FE">
            <w:pPr>
              <w:pStyle w:val="ACCESSTableHeaderRow"/>
              <w:jc w:val="center"/>
            </w:pPr>
            <w:r w:rsidRPr="00DE25AD">
              <w:t>1</w:t>
            </w:r>
            <w:r>
              <w:t>999</w:t>
            </w:r>
          </w:p>
          <w:p w14:paraId="48F91F63" w14:textId="77777777" w:rsidR="00114C21" w:rsidRPr="00DE25AD" w:rsidRDefault="00114C21" w:rsidP="002F03FE">
            <w:pPr>
              <w:pStyle w:val="ACCESSTableHeaderRow"/>
              <w:jc w:val="center"/>
            </w:pPr>
            <w:r w:rsidRPr="00DE25AD">
              <w:t>(%)</w:t>
            </w:r>
          </w:p>
        </w:tc>
        <w:tc>
          <w:tcPr>
            <w:tcW w:w="879" w:type="dxa"/>
            <w:shd w:val="clear" w:color="auto" w:fill="auto"/>
            <w:vAlign w:val="bottom"/>
          </w:tcPr>
          <w:p w14:paraId="1835F79A" w14:textId="25A75EC4" w:rsidR="00114C21" w:rsidRPr="00DE25AD" w:rsidRDefault="00114C21" w:rsidP="002F03FE">
            <w:pPr>
              <w:pStyle w:val="ACCESSTableHeaderRow"/>
              <w:jc w:val="center"/>
            </w:pPr>
            <w:r>
              <w:t>2002</w:t>
            </w:r>
          </w:p>
          <w:p w14:paraId="6968923B" w14:textId="77777777" w:rsidR="00114C21" w:rsidRPr="00DE25AD" w:rsidRDefault="00114C21" w:rsidP="002F03FE">
            <w:pPr>
              <w:pStyle w:val="ACCESSTableHeaderRow"/>
              <w:jc w:val="center"/>
            </w:pPr>
            <w:r w:rsidRPr="00DE25AD">
              <w:t>(%)</w:t>
            </w:r>
          </w:p>
        </w:tc>
        <w:tc>
          <w:tcPr>
            <w:tcW w:w="879" w:type="dxa"/>
            <w:shd w:val="clear" w:color="auto" w:fill="auto"/>
            <w:vAlign w:val="bottom"/>
          </w:tcPr>
          <w:p w14:paraId="6BBEBF9E" w14:textId="0D655032" w:rsidR="00114C21" w:rsidRPr="00DE25AD" w:rsidRDefault="00114C21" w:rsidP="002F03FE">
            <w:pPr>
              <w:pStyle w:val="ACCESSTableHeaderRow"/>
              <w:jc w:val="center"/>
            </w:pPr>
            <w:r>
              <w:t>200</w:t>
            </w:r>
            <w:r w:rsidRPr="00DE25AD">
              <w:t>5</w:t>
            </w:r>
          </w:p>
          <w:p w14:paraId="0FC9F69B" w14:textId="77777777" w:rsidR="00114C21" w:rsidRPr="00DE25AD" w:rsidRDefault="00114C21" w:rsidP="002F03FE">
            <w:pPr>
              <w:pStyle w:val="ACCESSTableHeaderRow"/>
              <w:jc w:val="center"/>
            </w:pPr>
            <w:r w:rsidRPr="00DE25AD">
              <w:t>(%)</w:t>
            </w:r>
          </w:p>
        </w:tc>
        <w:tc>
          <w:tcPr>
            <w:tcW w:w="879" w:type="dxa"/>
            <w:shd w:val="clear" w:color="auto" w:fill="auto"/>
            <w:vAlign w:val="bottom"/>
          </w:tcPr>
          <w:p w14:paraId="5206427E" w14:textId="2BAC0DA9" w:rsidR="00114C21" w:rsidRPr="00DE25AD" w:rsidRDefault="00114C21" w:rsidP="002F03FE">
            <w:pPr>
              <w:pStyle w:val="ACCESSTableHeaderRow"/>
              <w:jc w:val="center"/>
            </w:pPr>
            <w:r>
              <w:t>2008</w:t>
            </w:r>
          </w:p>
          <w:p w14:paraId="5531BFBA" w14:textId="77777777" w:rsidR="00114C21" w:rsidRPr="00DE25AD" w:rsidRDefault="00114C21" w:rsidP="002F03FE">
            <w:pPr>
              <w:pStyle w:val="ACCESSTableHeaderRow"/>
              <w:jc w:val="center"/>
            </w:pPr>
            <w:r w:rsidRPr="00DE25AD">
              <w:t>(%)</w:t>
            </w:r>
          </w:p>
        </w:tc>
        <w:tc>
          <w:tcPr>
            <w:tcW w:w="879" w:type="dxa"/>
            <w:shd w:val="clear" w:color="auto" w:fill="auto"/>
            <w:vAlign w:val="bottom"/>
          </w:tcPr>
          <w:p w14:paraId="7095283F" w14:textId="6454295F" w:rsidR="00114C21" w:rsidRPr="00DE25AD" w:rsidRDefault="00114C21" w:rsidP="002F03FE">
            <w:pPr>
              <w:pStyle w:val="ACCESSTableHeaderRow"/>
              <w:jc w:val="center"/>
            </w:pPr>
            <w:r>
              <w:t>2011</w:t>
            </w:r>
          </w:p>
          <w:p w14:paraId="2535E563" w14:textId="77777777" w:rsidR="00114C21" w:rsidRPr="00DE25AD" w:rsidRDefault="00114C21" w:rsidP="002F03FE">
            <w:pPr>
              <w:pStyle w:val="ACCESSTableHeaderRow"/>
              <w:jc w:val="center"/>
            </w:pPr>
            <w:r w:rsidRPr="00DE25AD">
              <w:t>(%)</w:t>
            </w:r>
          </w:p>
        </w:tc>
        <w:tc>
          <w:tcPr>
            <w:tcW w:w="879" w:type="dxa"/>
            <w:shd w:val="clear" w:color="auto" w:fill="auto"/>
            <w:vAlign w:val="bottom"/>
          </w:tcPr>
          <w:p w14:paraId="563B6BC8" w14:textId="77777777" w:rsidR="00114C21" w:rsidRDefault="00114C21" w:rsidP="002F03FE">
            <w:pPr>
              <w:pStyle w:val="ACCESSTableHeaderRow"/>
              <w:jc w:val="center"/>
            </w:pPr>
            <w:r>
              <w:t>2014</w:t>
            </w:r>
          </w:p>
          <w:p w14:paraId="7E217C94" w14:textId="68560889" w:rsidR="00114C21" w:rsidRPr="00DE25AD" w:rsidRDefault="00114C21" w:rsidP="002F03FE">
            <w:pPr>
              <w:pStyle w:val="ACCESSTableHeaderRow"/>
              <w:jc w:val="center"/>
            </w:pPr>
            <w:r>
              <w:t>(%)</w:t>
            </w:r>
          </w:p>
        </w:tc>
        <w:tc>
          <w:tcPr>
            <w:tcW w:w="879" w:type="dxa"/>
            <w:shd w:val="clear" w:color="auto" w:fill="auto"/>
            <w:vAlign w:val="bottom"/>
          </w:tcPr>
          <w:p w14:paraId="4740DDB1" w14:textId="77777777" w:rsidR="00114C21" w:rsidRDefault="00114C21" w:rsidP="002F03FE">
            <w:pPr>
              <w:pStyle w:val="ACCESSTableHeaderRow"/>
              <w:jc w:val="center"/>
            </w:pPr>
            <w:r>
              <w:t>2017</w:t>
            </w:r>
          </w:p>
          <w:p w14:paraId="66ED51B0" w14:textId="43FC75D2" w:rsidR="00114C21" w:rsidRPr="00DE25AD" w:rsidRDefault="00114C21" w:rsidP="002F03FE">
            <w:pPr>
              <w:pStyle w:val="ACCESSTableHeaderRow"/>
              <w:jc w:val="center"/>
            </w:pPr>
            <w:r w:rsidRPr="00DE25AD">
              <w:t>(%)</w:t>
            </w:r>
          </w:p>
        </w:tc>
      </w:tr>
      <w:tr w:rsidR="00114C21" w:rsidRPr="00DE25AD" w14:paraId="0978F6D4" w14:textId="77777777" w:rsidTr="00114C21">
        <w:trPr>
          <w:tblHeader/>
        </w:trPr>
        <w:tc>
          <w:tcPr>
            <w:tcW w:w="1517" w:type="dxa"/>
            <w:tcMar>
              <w:left w:w="57" w:type="dxa"/>
            </w:tcMar>
          </w:tcPr>
          <w:p w14:paraId="3A270162" w14:textId="4134E911" w:rsidR="00114C21" w:rsidRPr="00DE25AD" w:rsidRDefault="00114C21" w:rsidP="00E6541F">
            <w:pPr>
              <w:pStyle w:val="ACCESSTableHeaderRow"/>
            </w:pPr>
            <w:r w:rsidRPr="00DE25AD">
              <w:t>Recency</w:t>
            </w:r>
          </w:p>
        </w:tc>
        <w:tc>
          <w:tcPr>
            <w:tcW w:w="1068" w:type="dxa"/>
            <w:shd w:val="clear" w:color="auto" w:fill="auto"/>
            <w:tcMar>
              <w:left w:w="57" w:type="dxa"/>
            </w:tcMar>
            <w:vAlign w:val="center"/>
          </w:tcPr>
          <w:p w14:paraId="1DAB8BE9" w14:textId="735FB81C" w:rsidR="00114C21" w:rsidRPr="00DE25AD" w:rsidRDefault="00114C21" w:rsidP="002D6903">
            <w:pPr>
              <w:pStyle w:val="ACCESSTableHeaderRow"/>
            </w:pPr>
            <w:r w:rsidRPr="00DE25AD">
              <w:t>Sex</w:t>
            </w:r>
          </w:p>
        </w:tc>
        <w:tc>
          <w:tcPr>
            <w:tcW w:w="878" w:type="dxa"/>
            <w:shd w:val="clear" w:color="auto" w:fill="auto"/>
            <w:vAlign w:val="bottom"/>
          </w:tcPr>
          <w:p w14:paraId="3490EF62" w14:textId="77777777" w:rsidR="00114C21" w:rsidRPr="00DE25AD" w:rsidRDefault="00114C21" w:rsidP="002D6903">
            <w:pPr>
              <w:pStyle w:val="ACCESSTableHeaderRow"/>
            </w:pPr>
          </w:p>
        </w:tc>
        <w:tc>
          <w:tcPr>
            <w:tcW w:w="879" w:type="dxa"/>
            <w:shd w:val="clear" w:color="auto" w:fill="auto"/>
            <w:vAlign w:val="bottom"/>
          </w:tcPr>
          <w:p w14:paraId="373C3F38" w14:textId="77777777" w:rsidR="00114C21" w:rsidRPr="00DE25AD" w:rsidRDefault="00114C21" w:rsidP="002D6903">
            <w:pPr>
              <w:pStyle w:val="ACCESSTableHeaderRow"/>
            </w:pPr>
          </w:p>
        </w:tc>
        <w:tc>
          <w:tcPr>
            <w:tcW w:w="879" w:type="dxa"/>
            <w:shd w:val="clear" w:color="auto" w:fill="auto"/>
            <w:vAlign w:val="bottom"/>
          </w:tcPr>
          <w:p w14:paraId="1D521F2A" w14:textId="77777777" w:rsidR="00114C21" w:rsidRPr="00DE25AD" w:rsidRDefault="00114C21" w:rsidP="002D6903">
            <w:pPr>
              <w:pStyle w:val="ACCESSTableHeaderRow"/>
            </w:pPr>
          </w:p>
        </w:tc>
        <w:tc>
          <w:tcPr>
            <w:tcW w:w="879" w:type="dxa"/>
            <w:shd w:val="clear" w:color="auto" w:fill="auto"/>
            <w:vAlign w:val="bottom"/>
          </w:tcPr>
          <w:p w14:paraId="72823D3C" w14:textId="77777777" w:rsidR="00114C21" w:rsidRPr="00DE25AD" w:rsidRDefault="00114C21" w:rsidP="002D6903">
            <w:pPr>
              <w:pStyle w:val="ACCESSTableHeaderRow"/>
            </w:pPr>
          </w:p>
        </w:tc>
        <w:tc>
          <w:tcPr>
            <w:tcW w:w="879" w:type="dxa"/>
            <w:shd w:val="clear" w:color="auto" w:fill="auto"/>
            <w:vAlign w:val="bottom"/>
          </w:tcPr>
          <w:p w14:paraId="097422BB" w14:textId="77777777" w:rsidR="00114C21" w:rsidRPr="00DE25AD" w:rsidRDefault="00114C21" w:rsidP="002D6903">
            <w:pPr>
              <w:pStyle w:val="ACCESSTableHeaderRow"/>
            </w:pPr>
          </w:p>
        </w:tc>
        <w:tc>
          <w:tcPr>
            <w:tcW w:w="879" w:type="dxa"/>
            <w:shd w:val="clear" w:color="auto" w:fill="auto"/>
            <w:vAlign w:val="bottom"/>
          </w:tcPr>
          <w:p w14:paraId="47652431" w14:textId="77777777" w:rsidR="00114C21" w:rsidRPr="00DE25AD" w:rsidRDefault="00114C21" w:rsidP="002D6903">
            <w:pPr>
              <w:pStyle w:val="ACCESSTableHeaderRow"/>
            </w:pPr>
          </w:p>
        </w:tc>
        <w:tc>
          <w:tcPr>
            <w:tcW w:w="879" w:type="dxa"/>
            <w:shd w:val="clear" w:color="auto" w:fill="auto"/>
            <w:vAlign w:val="bottom"/>
          </w:tcPr>
          <w:p w14:paraId="182F84AD" w14:textId="77777777" w:rsidR="00114C21" w:rsidRPr="00DE25AD" w:rsidRDefault="00114C21" w:rsidP="002D6903">
            <w:pPr>
              <w:pStyle w:val="ACCESSTableHeaderRow"/>
            </w:pPr>
          </w:p>
        </w:tc>
        <w:tc>
          <w:tcPr>
            <w:tcW w:w="879" w:type="dxa"/>
            <w:shd w:val="clear" w:color="auto" w:fill="auto"/>
            <w:vAlign w:val="bottom"/>
          </w:tcPr>
          <w:p w14:paraId="0E2A57DA" w14:textId="22F47B6B" w:rsidR="00114C21" w:rsidRPr="00DE25AD" w:rsidRDefault="00114C21" w:rsidP="002D6903">
            <w:pPr>
              <w:pStyle w:val="ACCESSTableHeaderRow"/>
            </w:pPr>
          </w:p>
        </w:tc>
      </w:tr>
      <w:tr w:rsidR="009A7EC3" w:rsidRPr="00DE25AD" w14:paraId="226B5A14" w14:textId="77777777" w:rsidTr="00114C21">
        <w:tc>
          <w:tcPr>
            <w:tcW w:w="1517" w:type="dxa"/>
            <w:tcMar>
              <w:left w:w="57" w:type="dxa"/>
            </w:tcMar>
          </w:tcPr>
          <w:p w14:paraId="3DC5CF3E" w14:textId="3C2F3291" w:rsidR="009A7EC3" w:rsidRPr="00DE25AD" w:rsidRDefault="009A7EC3" w:rsidP="009A7EC3">
            <w:pPr>
              <w:pStyle w:val="ACCESSTableHeaderRow"/>
            </w:pPr>
            <w:r>
              <w:t>Lifetime</w:t>
            </w:r>
          </w:p>
        </w:tc>
        <w:tc>
          <w:tcPr>
            <w:tcW w:w="1068" w:type="dxa"/>
            <w:shd w:val="clear" w:color="auto" w:fill="auto"/>
            <w:tcMar>
              <w:left w:w="57" w:type="dxa"/>
            </w:tcMar>
            <w:vAlign w:val="bottom"/>
          </w:tcPr>
          <w:p w14:paraId="731CA2DE" w14:textId="056CE625" w:rsidR="009A7EC3" w:rsidRPr="00DE25AD" w:rsidRDefault="009A7EC3" w:rsidP="009A7EC3">
            <w:pPr>
              <w:pStyle w:val="ASSAD2017ACCESSBody1"/>
            </w:pPr>
            <w:r w:rsidRPr="00DE25AD">
              <w:t>Male</w:t>
            </w:r>
          </w:p>
        </w:tc>
        <w:tc>
          <w:tcPr>
            <w:tcW w:w="878" w:type="dxa"/>
            <w:shd w:val="clear" w:color="auto" w:fill="auto"/>
          </w:tcPr>
          <w:p w14:paraId="2CA10E85" w14:textId="7B2B7F60" w:rsidR="009A7EC3" w:rsidRPr="00DE25AD" w:rsidRDefault="009A7EC3" w:rsidP="009A7EC3">
            <w:pPr>
              <w:pStyle w:val="ASSADACCESStablecentre"/>
            </w:pPr>
            <w:r w:rsidRPr="002E5727">
              <w:rPr>
                <w:bCs w:val="0"/>
                <w:color w:val="000000"/>
              </w:rPr>
              <w:t>54*</w:t>
            </w:r>
          </w:p>
        </w:tc>
        <w:tc>
          <w:tcPr>
            <w:tcW w:w="879" w:type="dxa"/>
            <w:shd w:val="clear" w:color="auto" w:fill="auto"/>
          </w:tcPr>
          <w:p w14:paraId="39B6BF23" w14:textId="4EC27AC3" w:rsidR="009A7EC3" w:rsidRPr="00DE25AD" w:rsidRDefault="009A7EC3" w:rsidP="009A7EC3">
            <w:pPr>
              <w:pStyle w:val="ASSADACCESStablecentre"/>
            </w:pPr>
            <w:r w:rsidRPr="002E5727">
              <w:rPr>
                <w:bCs w:val="0"/>
                <w:color w:val="000000"/>
              </w:rPr>
              <w:t>47*^</w:t>
            </w:r>
          </w:p>
        </w:tc>
        <w:tc>
          <w:tcPr>
            <w:tcW w:w="879" w:type="dxa"/>
            <w:shd w:val="clear" w:color="auto" w:fill="auto"/>
          </w:tcPr>
          <w:p w14:paraId="32CF6BBF" w14:textId="15EC7278" w:rsidR="009A7EC3" w:rsidRPr="00DE25AD" w:rsidRDefault="009A7EC3" w:rsidP="009A7EC3">
            <w:pPr>
              <w:pStyle w:val="ASSADACCESStablecentre"/>
            </w:pPr>
            <w:r w:rsidRPr="002E5727">
              <w:rPr>
                <w:bCs w:val="0"/>
                <w:color w:val="000000"/>
              </w:rPr>
              <w:t>41*^</w:t>
            </w:r>
          </w:p>
        </w:tc>
        <w:tc>
          <w:tcPr>
            <w:tcW w:w="879" w:type="dxa"/>
            <w:shd w:val="clear" w:color="auto" w:fill="auto"/>
          </w:tcPr>
          <w:p w14:paraId="5A65438B" w14:textId="2AF02117" w:rsidR="009A7EC3" w:rsidRPr="00DE25AD" w:rsidRDefault="009A7EC3" w:rsidP="009A7EC3">
            <w:pPr>
              <w:pStyle w:val="ASSADACCESStablecentre"/>
            </w:pPr>
            <w:r w:rsidRPr="002E5727">
              <w:rPr>
                <w:bCs w:val="0"/>
                <w:color w:val="000000"/>
              </w:rPr>
              <w:t>29*^</w:t>
            </w:r>
          </w:p>
        </w:tc>
        <w:tc>
          <w:tcPr>
            <w:tcW w:w="879" w:type="dxa"/>
            <w:shd w:val="clear" w:color="auto" w:fill="auto"/>
          </w:tcPr>
          <w:p w14:paraId="79DD1E6F" w14:textId="59322B5F" w:rsidR="009A7EC3" w:rsidRPr="00DE25AD" w:rsidRDefault="009A7EC3" w:rsidP="009A7EC3">
            <w:pPr>
              <w:pStyle w:val="ASSADACCESStablecentre"/>
            </w:pPr>
            <w:r w:rsidRPr="002E5727">
              <w:rPr>
                <w:bCs w:val="0"/>
                <w:color w:val="000000"/>
              </w:rPr>
              <w:t>22*^</w:t>
            </w:r>
          </w:p>
        </w:tc>
        <w:tc>
          <w:tcPr>
            <w:tcW w:w="879" w:type="dxa"/>
            <w:shd w:val="clear" w:color="auto" w:fill="auto"/>
          </w:tcPr>
          <w:p w14:paraId="32E57A97" w14:textId="74B6C84E" w:rsidR="009A7EC3" w:rsidRPr="00DE25AD" w:rsidRDefault="009A7EC3" w:rsidP="009A7EC3">
            <w:pPr>
              <w:pStyle w:val="ASSADACCESStablecentre"/>
            </w:pPr>
            <w:r w:rsidRPr="002E5727">
              <w:rPr>
                <w:bCs w:val="0"/>
                <w:color w:val="000000"/>
              </w:rPr>
              <w:t>18*^</w:t>
            </w:r>
          </w:p>
        </w:tc>
        <w:tc>
          <w:tcPr>
            <w:tcW w:w="879" w:type="dxa"/>
            <w:shd w:val="clear" w:color="auto" w:fill="auto"/>
          </w:tcPr>
          <w:p w14:paraId="459BD859" w14:textId="232F4EA6" w:rsidR="009A7EC3" w:rsidRPr="00DE25AD" w:rsidRDefault="009A7EC3" w:rsidP="009A7EC3">
            <w:pPr>
              <w:pStyle w:val="ASSADACCESStablecentre"/>
            </w:pPr>
            <w:r w:rsidRPr="002E5727">
              <w:rPr>
                <w:bCs w:val="0"/>
                <w:color w:val="000000"/>
              </w:rPr>
              <w:t>12^</w:t>
            </w:r>
          </w:p>
        </w:tc>
        <w:tc>
          <w:tcPr>
            <w:tcW w:w="879" w:type="dxa"/>
            <w:shd w:val="clear" w:color="auto" w:fill="auto"/>
          </w:tcPr>
          <w:p w14:paraId="289CCCD9" w14:textId="68E908F3" w:rsidR="009A7EC3" w:rsidRPr="00DE25AD" w:rsidRDefault="009A7EC3" w:rsidP="009A7EC3">
            <w:pPr>
              <w:pStyle w:val="ASSADACCESStablecentre"/>
            </w:pPr>
            <w:r w:rsidRPr="002E5727">
              <w:rPr>
                <w:bCs w:val="0"/>
                <w:color w:val="000000"/>
              </w:rPr>
              <w:t>12^</w:t>
            </w:r>
          </w:p>
        </w:tc>
      </w:tr>
      <w:tr w:rsidR="009A7EC3" w:rsidRPr="00DE25AD" w14:paraId="108F7D14" w14:textId="77777777" w:rsidTr="00114C21">
        <w:tc>
          <w:tcPr>
            <w:tcW w:w="1517" w:type="dxa"/>
            <w:tcMar>
              <w:left w:w="57" w:type="dxa"/>
            </w:tcMar>
          </w:tcPr>
          <w:p w14:paraId="3347C2FF" w14:textId="77777777" w:rsidR="009A7EC3" w:rsidRPr="00DE25AD" w:rsidRDefault="009A7EC3" w:rsidP="009A7EC3">
            <w:pPr>
              <w:pStyle w:val="ACCESSTableHeaderRow"/>
            </w:pPr>
          </w:p>
        </w:tc>
        <w:tc>
          <w:tcPr>
            <w:tcW w:w="1068" w:type="dxa"/>
            <w:shd w:val="clear" w:color="auto" w:fill="auto"/>
            <w:tcMar>
              <w:left w:w="57" w:type="dxa"/>
            </w:tcMar>
            <w:vAlign w:val="bottom"/>
          </w:tcPr>
          <w:p w14:paraId="0B6B826B" w14:textId="68AC4108" w:rsidR="009A7EC3" w:rsidRPr="00DE25AD" w:rsidRDefault="009A7EC3" w:rsidP="009A7EC3">
            <w:pPr>
              <w:pStyle w:val="ASSAD2017ACCESSBody1"/>
            </w:pPr>
            <w:r w:rsidRPr="00DE25AD">
              <w:t>Female</w:t>
            </w:r>
          </w:p>
        </w:tc>
        <w:tc>
          <w:tcPr>
            <w:tcW w:w="878" w:type="dxa"/>
            <w:shd w:val="clear" w:color="auto" w:fill="auto"/>
          </w:tcPr>
          <w:p w14:paraId="3676EB7C" w14:textId="4F093987" w:rsidR="009A7EC3" w:rsidRPr="00DE25AD" w:rsidRDefault="009A7EC3" w:rsidP="009A7EC3">
            <w:pPr>
              <w:pStyle w:val="ASSADACCESStablecentre"/>
            </w:pPr>
            <w:r w:rsidRPr="002E5727">
              <w:rPr>
                <w:bCs w:val="0"/>
                <w:color w:val="000000"/>
              </w:rPr>
              <w:t>51*</w:t>
            </w:r>
          </w:p>
        </w:tc>
        <w:tc>
          <w:tcPr>
            <w:tcW w:w="879" w:type="dxa"/>
            <w:shd w:val="clear" w:color="auto" w:fill="auto"/>
          </w:tcPr>
          <w:p w14:paraId="0B34B8C2" w14:textId="2FF0D56C" w:rsidR="009A7EC3" w:rsidRPr="00DE25AD" w:rsidRDefault="009A7EC3" w:rsidP="009A7EC3">
            <w:pPr>
              <w:pStyle w:val="ASSADACCESStablecentre"/>
            </w:pPr>
            <w:r w:rsidRPr="002E5727">
              <w:rPr>
                <w:bCs w:val="0"/>
                <w:color w:val="000000"/>
              </w:rPr>
              <w:t>47*^</w:t>
            </w:r>
          </w:p>
        </w:tc>
        <w:tc>
          <w:tcPr>
            <w:tcW w:w="879" w:type="dxa"/>
            <w:shd w:val="clear" w:color="auto" w:fill="auto"/>
          </w:tcPr>
          <w:p w14:paraId="00A0B39C" w14:textId="453860DB" w:rsidR="009A7EC3" w:rsidRPr="00DE25AD" w:rsidRDefault="009A7EC3" w:rsidP="009A7EC3">
            <w:pPr>
              <w:pStyle w:val="ASSADACCESStablecentre"/>
            </w:pPr>
            <w:r w:rsidRPr="002E5727">
              <w:rPr>
                <w:bCs w:val="0"/>
                <w:color w:val="000000"/>
              </w:rPr>
              <w:t>40*^</w:t>
            </w:r>
          </w:p>
        </w:tc>
        <w:tc>
          <w:tcPr>
            <w:tcW w:w="879" w:type="dxa"/>
            <w:shd w:val="clear" w:color="auto" w:fill="auto"/>
          </w:tcPr>
          <w:p w14:paraId="301725F0" w14:textId="1EE89C7C" w:rsidR="009A7EC3" w:rsidRPr="00DE25AD" w:rsidRDefault="009A7EC3" w:rsidP="009A7EC3">
            <w:pPr>
              <w:pStyle w:val="ASSADACCESStablecentre"/>
            </w:pPr>
            <w:r w:rsidRPr="002E5727">
              <w:rPr>
                <w:bCs w:val="0"/>
                <w:color w:val="000000"/>
              </w:rPr>
              <w:t>28*^</w:t>
            </w:r>
          </w:p>
        </w:tc>
        <w:tc>
          <w:tcPr>
            <w:tcW w:w="879" w:type="dxa"/>
            <w:shd w:val="clear" w:color="auto" w:fill="auto"/>
          </w:tcPr>
          <w:p w14:paraId="03173FDC" w14:textId="5CC7FC3D" w:rsidR="009A7EC3" w:rsidRPr="00DE25AD" w:rsidRDefault="009A7EC3" w:rsidP="009A7EC3">
            <w:pPr>
              <w:pStyle w:val="ASSADACCESStablecentre"/>
            </w:pPr>
            <w:r w:rsidRPr="002E5727">
              <w:rPr>
                <w:bCs w:val="0"/>
                <w:color w:val="000000"/>
              </w:rPr>
              <w:t>20*^</w:t>
            </w:r>
          </w:p>
        </w:tc>
        <w:tc>
          <w:tcPr>
            <w:tcW w:w="879" w:type="dxa"/>
            <w:shd w:val="clear" w:color="auto" w:fill="auto"/>
          </w:tcPr>
          <w:p w14:paraId="2DF98778" w14:textId="7F249D07" w:rsidR="009A7EC3" w:rsidRPr="00DE25AD" w:rsidRDefault="009A7EC3" w:rsidP="009A7EC3">
            <w:pPr>
              <w:pStyle w:val="ASSADACCESStablecentre"/>
            </w:pPr>
            <w:r w:rsidRPr="002E5727">
              <w:rPr>
                <w:bCs w:val="0"/>
                <w:color w:val="000000"/>
              </w:rPr>
              <w:t>16*^</w:t>
            </w:r>
          </w:p>
        </w:tc>
        <w:tc>
          <w:tcPr>
            <w:tcW w:w="879" w:type="dxa"/>
            <w:shd w:val="clear" w:color="auto" w:fill="auto"/>
          </w:tcPr>
          <w:p w14:paraId="1281D355" w14:textId="3AA912D3" w:rsidR="009A7EC3" w:rsidRPr="00DE25AD" w:rsidRDefault="009A7EC3" w:rsidP="009A7EC3">
            <w:pPr>
              <w:pStyle w:val="ASSADACCESStablecentre"/>
            </w:pPr>
            <w:r w:rsidRPr="002E5727">
              <w:rPr>
                <w:bCs w:val="0"/>
                <w:color w:val="000000"/>
              </w:rPr>
              <w:t>13^</w:t>
            </w:r>
          </w:p>
        </w:tc>
        <w:tc>
          <w:tcPr>
            <w:tcW w:w="879" w:type="dxa"/>
            <w:shd w:val="clear" w:color="auto" w:fill="auto"/>
          </w:tcPr>
          <w:p w14:paraId="58CECCB1" w14:textId="0343F71B" w:rsidR="009A7EC3" w:rsidRPr="00DE25AD" w:rsidRDefault="009A7EC3" w:rsidP="009A7EC3">
            <w:pPr>
              <w:pStyle w:val="ASSADACCESStablecentre"/>
            </w:pPr>
            <w:r w:rsidRPr="002E5727">
              <w:rPr>
                <w:bCs w:val="0"/>
                <w:color w:val="000000"/>
              </w:rPr>
              <w:t>11^</w:t>
            </w:r>
          </w:p>
        </w:tc>
      </w:tr>
      <w:tr w:rsidR="009A7EC3" w:rsidRPr="00DE25AD" w14:paraId="289835BB" w14:textId="77777777" w:rsidTr="00114C21">
        <w:tc>
          <w:tcPr>
            <w:tcW w:w="1517" w:type="dxa"/>
            <w:tcMar>
              <w:left w:w="57" w:type="dxa"/>
            </w:tcMar>
          </w:tcPr>
          <w:p w14:paraId="0C9D3BFF" w14:textId="77777777" w:rsidR="009A7EC3" w:rsidRPr="00DE25AD" w:rsidRDefault="009A7EC3" w:rsidP="009A7EC3">
            <w:pPr>
              <w:pStyle w:val="ACCESSTableHeaderRow"/>
            </w:pPr>
          </w:p>
        </w:tc>
        <w:tc>
          <w:tcPr>
            <w:tcW w:w="1068" w:type="dxa"/>
            <w:shd w:val="clear" w:color="auto" w:fill="auto"/>
            <w:tcMar>
              <w:left w:w="57" w:type="dxa"/>
            </w:tcMar>
            <w:vAlign w:val="bottom"/>
          </w:tcPr>
          <w:p w14:paraId="6BBE3118" w14:textId="63108A79" w:rsidR="009A7EC3" w:rsidRPr="00DE25AD" w:rsidRDefault="009A7EC3" w:rsidP="009A7EC3">
            <w:pPr>
              <w:pStyle w:val="ASSAD2017ACCESSBody1"/>
            </w:pPr>
            <w:r w:rsidRPr="00DE25AD">
              <w:t>Total</w:t>
            </w:r>
          </w:p>
        </w:tc>
        <w:tc>
          <w:tcPr>
            <w:tcW w:w="878" w:type="dxa"/>
            <w:shd w:val="clear" w:color="auto" w:fill="auto"/>
          </w:tcPr>
          <w:p w14:paraId="7A6E54D6" w14:textId="616B811A" w:rsidR="009A7EC3" w:rsidRPr="00DE25AD" w:rsidRDefault="009A7EC3" w:rsidP="009A7EC3">
            <w:pPr>
              <w:pStyle w:val="ASSADACCESStablecentre"/>
            </w:pPr>
            <w:r w:rsidRPr="002E5727">
              <w:rPr>
                <w:bCs w:val="0"/>
                <w:color w:val="000000"/>
              </w:rPr>
              <w:t>53*</w:t>
            </w:r>
          </w:p>
        </w:tc>
        <w:tc>
          <w:tcPr>
            <w:tcW w:w="879" w:type="dxa"/>
            <w:shd w:val="clear" w:color="auto" w:fill="auto"/>
          </w:tcPr>
          <w:p w14:paraId="75B97DF7" w14:textId="7444A86C" w:rsidR="009A7EC3" w:rsidRPr="00DE25AD" w:rsidRDefault="009A7EC3" w:rsidP="009A7EC3">
            <w:pPr>
              <w:pStyle w:val="ASSADACCESStablecentre"/>
            </w:pPr>
            <w:r w:rsidRPr="002E5727">
              <w:rPr>
                <w:bCs w:val="0"/>
                <w:color w:val="000000"/>
              </w:rPr>
              <w:t>47*^</w:t>
            </w:r>
          </w:p>
        </w:tc>
        <w:tc>
          <w:tcPr>
            <w:tcW w:w="879" w:type="dxa"/>
            <w:shd w:val="clear" w:color="auto" w:fill="auto"/>
          </w:tcPr>
          <w:p w14:paraId="6822600B" w14:textId="08FE303F" w:rsidR="009A7EC3" w:rsidRPr="00DE25AD" w:rsidRDefault="009A7EC3" w:rsidP="009A7EC3">
            <w:pPr>
              <w:pStyle w:val="ASSADACCESStablecentre"/>
            </w:pPr>
            <w:r w:rsidRPr="002E5727">
              <w:rPr>
                <w:bCs w:val="0"/>
                <w:color w:val="000000"/>
              </w:rPr>
              <w:t>40*^</w:t>
            </w:r>
          </w:p>
        </w:tc>
        <w:tc>
          <w:tcPr>
            <w:tcW w:w="879" w:type="dxa"/>
            <w:shd w:val="clear" w:color="auto" w:fill="auto"/>
          </w:tcPr>
          <w:p w14:paraId="09CB74D2" w14:textId="1A8DA1DA" w:rsidR="009A7EC3" w:rsidRPr="00DE25AD" w:rsidRDefault="009A7EC3" w:rsidP="009A7EC3">
            <w:pPr>
              <w:pStyle w:val="ASSADACCESStablecentre"/>
            </w:pPr>
            <w:r w:rsidRPr="002E5727">
              <w:rPr>
                <w:bCs w:val="0"/>
                <w:color w:val="000000"/>
              </w:rPr>
              <w:t>29*^</w:t>
            </w:r>
          </w:p>
        </w:tc>
        <w:tc>
          <w:tcPr>
            <w:tcW w:w="879" w:type="dxa"/>
            <w:shd w:val="clear" w:color="auto" w:fill="auto"/>
          </w:tcPr>
          <w:p w14:paraId="5D4D4234" w14:textId="4686EE2E" w:rsidR="009A7EC3" w:rsidRPr="00DE25AD" w:rsidRDefault="009A7EC3" w:rsidP="009A7EC3">
            <w:pPr>
              <w:pStyle w:val="ASSADACCESStablecentre"/>
            </w:pPr>
            <w:r w:rsidRPr="002E5727">
              <w:rPr>
                <w:bCs w:val="0"/>
                <w:color w:val="000000"/>
              </w:rPr>
              <w:t>21*^</w:t>
            </w:r>
          </w:p>
        </w:tc>
        <w:tc>
          <w:tcPr>
            <w:tcW w:w="879" w:type="dxa"/>
            <w:shd w:val="clear" w:color="auto" w:fill="auto"/>
          </w:tcPr>
          <w:p w14:paraId="77F19B48" w14:textId="416C2737" w:rsidR="009A7EC3" w:rsidRPr="00DE25AD" w:rsidRDefault="009A7EC3" w:rsidP="009A7EC3">
            <w:pPr>
              <w:pStyle w:val="ASSADACCESStablecentre"/>
            </w:pPr>
            <w:r w:rsidRPr="002E5727">
              <w:rPr>
                <w:bCs w:val="0"/>
                <w:color w:val="000000"/>
              </w:rPr>
              <w:t>17*^</w:t>
            </w:r>
          </w:p>
        </w:tc>
        <w:tc>
          <w:tcPr>
            <w:tcW w:w="879" w:type="dxa"/>
            <w:shd w:val="clear" w:color="auto" w:fill="auto"/>
          </w:tcPr>
          <w:p w14:paraId="152FEE11" w14:textId="6D292DE9" w:rsidR="009A7EC3" w:rsidRPr="00DE25AD" w:rsidRDefault="009A7EC3" w:rsidP="009A7EC3">
            <w:pPr>
              <w:pStyle w:val="ASSADACCESStablecentre"/>
            </w:pPr>
            <w:r w:rsidRPr="002E5727">
              <w:rPr>
                <w:bCs w:val="0"/>
                <w:color w:val="000000"/>
              </w:rPr>
              <w:t>13^</w:t>
            </w:r>
          </w:p>
        </w:tc>
        <w:tc>
          <w:tcPr>
            <w:tcW w:w="879" w:type="dxa"/>
            <w:shd w:val="clear" w:color="auto" w:fill="auto"/>
          </w:tcPr>
          <w:p w14:paraId="0ADF038F" w14:textId="5FD3480B" w:rsidR="009A7EC3" w:rsidRPr="00DE25AD" w:rsidRDefault="009A7EC3" w:rsidP="009A7EC3">
            <w:pPr>
              <w:pStyle w:val="ASSADACCESStablecentre"/>
            </w:pPr>
            <w:r w:rsidRPr="002E5727">
              <w:rPr>
                <w:bCs w:val="0"/>
                <w:color w:val="000000"/>
              </w:rPr>
              <w:t>12^</w:t>
            </w:r>
          </w:p>
        </w:tc>
      </w:tr>
      <w:tr w:rsidR="009A7EC3" w:rsidRPr="00DE25AD" w14:paraId="4DA6E6BB" w14:textId="77777777" w:rsidTr="00545FF4">
        <w:tc>
          <w:tcPr>
            <w:tcW w:w="1517" w:type="dxa"/>
            <w:tcMar>
              <w:left w:w="57" w:type="dxa"/>
            </w:tcMar>
          </w:tcPr>
          <w:p w14:paraId="0C3D3FFD" w14:textId="624AB77B" w:rsidR="009A7EC3" w:rsidRPr="00DE25AD" w:rsidRDefault="009A7EC3" w:rsidP="009A7EC3">
            <w:pPr>
              <w:pStyle w:val="ACCESSTableHeaderRow"/>
            </w:pPr>
            <w:r>
              <w:t>Past year</w:t>
            </w:r>
          </w:p>
        </w:tc>
        <w:tc>
          <w:tcPr>
            <w:tcW w:w="1068" w:type="dxa"/>
            <w:shd w:val="clear" w:color="auto" w:fill="auto"/>
            <w:tcMar>
              <w:left w:w="57" w:type="dxa"/>
            </w:tcMar>
            <w:vAlign w:val="bottom"/>
          </w:tcPr>
          <w:p w14:paraId="34573681" w14:textId="071358AB" w:rsidR="009A7EC3" w:rsidRPr="00DE25AD" w:rsidRDefault="009A7EC3" w:rsidP="009A7EC3">
            <w:pPr>
              <w:pStyle w:val="ASSAD2017ACCESSBody1"/>
            </w:pPr>
            <w:r w:rsidRPr="00DE25AD">
              <w:t>Male</w:t>
            </w:r>
          </w:p>
        </w:tc>
        <w:tc>
          <w:tcPr>
            <w:tcW w:w="878" w:type="dxa"/>
            <w:shd w:val="clear" w:color="auto" w:fill="auto"/>
          </w:tcPr>
          <w:p w14:paraId="10D2D147" w14:textId="477FA656" w:rsidR="009A7EC3" w:rsidRPr="00DE25AD" w:rsidRDefault="009A7EC3" w:rsidP="009A7EC3">
            <w:pPr>
              <w:pStyle w:val="ASSADACCESStablecentre"/>
            </w:pPr>
            <w:r w:rsidRPr="002E5727">
              <w:rPr>
                <w:bCs w:val="0"/>
                <w:color w:val="000000"/>
              </w:rPr>
              <w:t>36*</w:t>
            </w:r>
          </w:p>
        </w:tc>
        <w:tc>
          <w:tcPr>
            <w:tcW w:w="879" w:type="dxa"/>
            <w:shd w:val="clear" w:color="auto" w:fill="auto"/>
          </w:tcPr>
          <w:p w14:paraId="02B33F2D" w14:textId="071D1101" w:rsidR="009A7EC3" w:rsidRPr="00DE25AD" w:rsidRDefault="009A7EC3" w:rsidP="009A7EC3">
            <w:pPr>
              <w:pStyle w:val="ASSADACCESStablecentre"/>
            </w:pPr>
            <w:r w:rsidRPr="002E5727">
              <w:rPr>
                <w:bCs w:val="0"/>
                <w:color w:val="000000"/>
              </w:rPr>
              <w:t>31*^</w:t>
            </w:r>
          </w:p>
        </w:tc>
        <w:tc>
          <w:tcPr>
            <w:tcW w:w="879" w:type="dxa"/>
            <w:shd w:val="clear" w:color="auto" w:fill="auto"/>
          </w:tcPr>
          <w:p w14:paraId="318B6589" w14:textId="01220C17" w:rsidR="009A7EC3" w:rsidRPr="00DE25AD" w:rsidRDefault="009A7EC3" w:rsidP="009A7EC3">
            <w:pPr>
              <w:pStyle w:val="ASSADACCESStablecentre"/>
            </w:pPr>
            <w:r w:rsidRPr="002E5727">
              <w:rPr>
                <w:bCs w:val="0"/>
                <w:color w:val="000000"/>
              </w:rPr>
              <w:t>24*^</w:t>
            </w:r>
          </w:p>
        </w:tc>
        <w:tc>
          <w:tcPr>
            <w:tcW w:w="879" w:type="dxa"/>
            <w:shd w:val="clear" w:color="auto" w:fill="auto"/>
          </w:tcPr>
          <w:p w14:paraId="4BC2F77D" w14:textId="12366EBA" w:rsidR="009A7EC3" w:rsidRPr="00DE25AD" w:rsidRDefault="009A7EC3" w:rsidP="009A7EC3">
            <w:pPr>
              <w:pStyle w:val="ASSADACCESStablecentre"/>
            </w:pPr>
            <w:r w:rsidRPr="002E5727">
              <w:rPr>
                <w:bCs w:val="0"/>
                <w:color w:val="000000"/>
              </w:rPr>
              <w:t>17*^</w:t>
            </w:r>
          </w:p>
        </w:tc>
        <w:tc>
          <w:tcPr>
            <w:tcW w:w="879" w:type="dxa"/>
            <w:shd w:val="clear" w:color="auto" w:fill="auto"/>
          </w:tcPr>
          <w:p w14:paraId="119D422A" w14:textId="4D429B08" w:rsidR="009A7EC3" w:rsidRPr="00DE25AD" w:rsidRDefault="009A7EC3" w:rsidP="009A7EC3">
            <w:pPr>
              <w:pStyle w:val="ASSADACCESStablecentre"/>
            </w:pPr>
            <w:r w:rsidRPr="002E5727">
              <w:rPr>
                <w:bCs w:val="0"/>
                <w:color w:val="000000"/>
              </w:rPr>
              <w:t>12</w:t>
            </w:r>
            <w:r>
              <w:rPr>
                <w:bCs w:val="0"/>
                <w:color w:val="000000"/>
              </w:rPr>
              <w:t>*</w:t>
            </w:r>
            <w:r w:rsidRPr="002E5727">
              <w:rPr>
                <w:bCs w:val="0"/>
                <w:color w:val="000000"/>
              </w:rPr>
              <w:t>^</w:t>
            </w:r>
          </w:p>
        </w:tc>
        <w:tc>
          <w:tcPr>
            <w:tcW w:w="879" w:type="dxa"/>
            <w:shd w:val="clear" w:color="auto" w:fill="auto"/>
          </w:tcPr>
          <w:p w14:paraId="5900113C" w14:textId="0F424F7F" w:rsidR="009A7EC3" w:rsidRPr="00DE25AD" w:rsidRDefault="009A7EC3" w:rsidP="009A7EC3">
            <w:pPr>
              <w:pStyle w:val="ASSADACCESStablecentre"/>
            </w:pPr>
            <w:r w:rsidRPr="002E5727">
              <w:rPr>
                <w:bCs w:val="0"/>
                <w:color w:val="000000"/>
              </w:rPr>
              <w:t>11^</w:t>
            </w:r>
          </w:p>
        </w:tc>
        <w:tc>
          <w:tcPr>
            <w:tcW w:w="879" w:type="dxa"/>
            <w:shd w:val="clear" w:color="auto" w:fill="auto"/>
          </w:tcPr>
          <w:p w14:paraId="30E7078B" w14:textId="7DF0852A" w:rsidR="009A7EC3" w:rsidRPr="00DE25AD" w:rsidRDefault="009A7EC3" w:rsidP="009A7EC3">
            <w:pPr>
              <w:pStyle w:val="ASSADACCESStablecentre"/>
            </w:pPr>
            <w:r w:rsidRPr="002E5727">
              <w:rPr>
                <w:bCs w:val="0"/>
                <w:color w:val="000000"/>
              </w:rPr>
              <w:t>8^</w:t>
            </w:r>
          </w:p>
        </w:tc>
        <w:tc>
          <w:tcPr>
            <w:tcW w:w="879" w:type="dxa"/>
            <w:shd w:val="clear" w:color="auto" w:fill="auto"/>
          </w:tcPr>
          <w:p w14:paraId="72A20BAD" w14:textId="0F3187C9" w:rsidR="009A7EC3" w:rsidRPr="00DE25AD" w:rsidRDefault="009A7EC3" w:rsidP="009A7EC3">
            <w:pPr>
              <w:pStyle w:val="ASSADACCESStablecentre"/>
            </w:pPr>
            <w:r w:rsidRPr="002E5727">
              <w:rPr>
                <w:bCs w:val="0"/>
                <w:color w:val="000000"/>
              </w:rPr>
              <w:t>8^</w:t>
            </w:r>
          </w:p>
        </w:tc>
      </w:tr>
      <w:tr w:rsidR="009A7EC3" w:rsidRPr="00DE25AD" w14:paraId="32AD6D0D" w14:textId="77777777" w:rsidTr="00114C21">
        <w:tc>
          <w:tcPr>
            <w:tcW w:w="1517" w:type="dxa"/>
            <w:tcMar>
              <w:left w:w="57" w:type="dxa"/>
            </w:tcMar>
          </w:tcPr>
          <w:p w14:paraId="5249BFF3" w14:textId="77777777" w:rsidR="009A7EC3" w:rsidRPr="00DE25AD" w:rsidRDefault="009A7EC3" w:rsidP="009A7EC3">
            <w:pPr>
              <w:pStyle w:val="ACCESSTableHeaderRow"/>
            </w:pPr>
          </w:p>
        </w:tc>
        <w:tc>
          <w:tcPr>
            <w:tcW w:w="1068" w:type="dxa"/>
            <w:shd w:val="clear" w:color="auto" w:fill="auto"/>
            <w:tcMar>
              <w:left w:w="57" w:type="dxa"/>
            </w:tcMar>
            <w:vAlign w:val="bottom"/>
          </w:tcPr>
          <w:p w14:paraId="16EE6994" w14:textId="24CC724D" w:rsidR="009A7EC3" w:rsidRPr="00DE25AD" w:rsidRDefault="009A7EC3" w:rsidP="009A7EC3">
            <w:pPr>
              <w:pStyle w:val="ASSAD2017ACCESSBody1"/>
            </w:pPr>
            <w:r w:rsidRPr="00DE25AD">
              <w:t>Female</w:t>
            </w:r>
          </w:p>
        </w:tc>
        <w:tc>
          <w:tcPr>
            <w:tcW w:w="878" w:type="dxa"/>
            <w:shd w:val="clear" w:color="auto" w:fill="auto"/>
          </w:tcPr>
          <w:p w14:paraId="53551DD8" w14:textId="7A32D04E" w:rsidR="009A7EC3" w:rsidRPr="00DE25AD" w:rsidRDefault="009A7EC3" w:rsidP="009A7EC3">
            <w:pPr>
              <w:pStyle w:val="ASSADACCESStablecentre"/>
            </w:pPr>
            <w:r w:rsidRPr="002E5727">
              <w:rPr>
                <w:bCs w:val="0"/>
                <w:color w:val="000000"/>
              </w:rPr>
              <w:t>36*</w:t>
            </w:r>
          </w:p>
        </w:tc>
        <w:tc>
          <w:tcPr>
            <w:tcW w:w="879" w:type="dxa"/>
            <w:shd w:val="clear" w:color="auto" w:fill="auto"/>
          </w:tcPr>
          <w:p w14:paraId="0366C176" w14:textId="0A6E3993" w:rsidR="009A7EC3" w:rsidRPr="00DE25AD" w:rsidRDefault="009A7EC3" w:rsidP="009A7EC3">
            <w:pPr>
              <w:pStyle w:val="ASSADACCESStablecentre"/>
            </w:pPr>
            <w:r w:rsidRPr="002E5727">
              <w:rPr>
                <w:bCs w:val="0"/>
                <w:color w:val="000000"/>
              </w:rPr>
              <w:t>35*</w:t>
            </w:r>
          </w:p>
        </w:tc>
        <w:tc>
          <w:tcPr>
            <w:tcW w:w="879" w:type="dxa"/>
            <w:shd w:val="clear" w:color="auto" w:fill="auto"/>
          </w:tcPr>
          <w:p w14:paraId="1818851D" w14:textId="41A36BFB" w:rsidR="009A7EC3" w:rsidRPr="00DE25AD" w:rsidRDefault="009A7EC3" w:rsidP="009A7EC3">
            <w:pPr>
              <w:pStyle w:val="ASSADACCESStablecentre"/>
            </w:pPr>
            <w:r w:rsidRPr="002E5727">
              <w:rPr>
                <w:bCs w:val="0"/>
                <w:color w:val="000000"/>
              </w:rPr>
              <w:t>27*^</w:t>
            </w:r>
          </w:p>
        </w:tc>
        <w:tc>
          <w:tcPr>
            <w:tcW w:w="879" w:type="dxa"/>
            <w:shd w:val="clear" w:color="auto" w:fill="auto"/>
          </w:tcPr>
          <w:p w14:paraId="7FB77AAE" w14:textId="35726323" w:rsidR="009A7EC3" w:rsidRPr="00DE25AD" w:rsidRDefault="009A7EC3" w:rsidP="009A7EC3">
            <w:pPr>
              <w:pStyle w:val="ASSADACCESStablecentre"/>
            </w:pPr>
            <w:r w:rsidRPr="002E5727">
              <w:rPr>
                <w:bCs w:val="0"/>
                <w:color w:val="000000"/>
              </w:rPr>
              <w:t>1</w:t>
            </w:r>
            <w:r>
              <w:rPr>
                <w:bCs w:val="0"/>
                <w:color w:val="000000"/>
              </w:rPr>
              <w:t>9</w:t>
            </w:r>
            <w:r w:rsidRPr="002E5727">
              <w:rPr>
                <w:bCs w:val="0"/>
                <w:color w:val="000000"/>
              </w:rPr>
              <w:t>*^</w:t>
            </w:r>
          </w:p>
        </w:tc>
        <w:tc>
          <w:tcPr>
            <w:tcW w:w="879" w:type="dxa"/>
            <w:shd w:val="clear" w:color="auto" w:fill="auto"/>
          </w:tcPr>
          <w:p w14:paraId="3CEA5A8D" w14:textId="0051FF39" w:rsidR="009A7EC3" w:rsidRPr="00DE25AD" w:rsidRDefault="009A7EC3" w:rsidP="009A7EC3">
            <w:pPr>
              <w:pStyle w:val="ASSADACCESStablecentre"/>
            </w:pPr>
            <w:r w:rsidRPr="002E5727">
              <w:rPr>
                <w:bCs w:val="0"/>
                <w:color w:val="000000"/>
              </w:rPr>
              <w:t>14*^</w:t>
            </w:r>
          </w:p>
        </w:tc>
        <w:tc>
          <w:tcPr>
            <w:tcW w:w="879" w:type="dxa"/>
            <w:shd w:val="clear" w:color="auto" w:fill="auto"/>
          </w:tcPr>
          <w:p w14:paraId="05A09816" w14:textId="64B8E873" w:rsidR="009A7EC3" w:rsidRPr="00DE25AD" w:rsidRDefault="009A7EC3" w:rsidP="009A7EC3">
            <w:pPr>
              <w:pStyle w:val="ASSADACCESStablecentre"/>
            </w:pPr>
            <w:r w:rsidRPr="002E5727">
              <w:rPr>
                <w:bCs w:val="0"/>
                <w:color w:val="000000"/>
              </w:rPr>
              <w:t>11*^</w:t>
            </w:r>
          </w:p>
        </w:tc>
        <w:tc>
          <w:tcPr>
            <w:tcW w:w="879" w:type="dxa"/>
            <w:shd w:val="clear" w:color="auto" w:fill="auto"/>
          </w:tcPr>
          <w:p w14:paraId="31A96020" w14:textId="24BA6D34" w:rsidR="009A7EC3" w:rsidRPr="00DE25AD" w:rsidRDefault="009A7EC3" w:rsidP="009A7EC3">
            <w:pPr>
              <w:pStyle w:val="ASSADACCESStablecentre"/>
            </w:pPr>
            <w:r w:rsidRPr="002E5727">
              <w:rPr>
                <w:bCs w:val="0"/>
                <w:color w:val="000000"/>
              </w:rPr>
              <w:t>9^</w:t>
            </w:r>
          </w:p>
        </w:tc>
        <w:tc>
          <w:tcPr>
            <w:tcW w:w="879" w:type="dxa"/>
            <w:shd w:val="clear" w:color="auto" w:fill="auto"/>
          </w:tcPr>
          <w:p w14:paraId="7CF734B1" w14:textId="1EFC3B8F" w:rsidR="009A7EC3" w:rsidRPr="00DE25AD" w:rsidRDefault="009A7EC3" w:rsidP="009A7EC3">
            <w:pPr>
              <w:pStyle w:val="ASSADACCESStablecentre"/>
            </w:pPr>
            <w:r w:rsidRPr="002E5727">
              <w:rPr>
                <w:bCs w:val="0"/>
                <w:color w:val="000000"/>
              </w:rPr>
              <w:t>8^</w:t>
            </w:r>
          </w:p>
        </w:tc>
      </w:tr>
      <w:tr w:rsidR="009A7EC3" w:rsidRPr="00DE25AD" w14:paraId="53C3548A" w14:textId="77777777" w:rsidTr="00114C21">
        <w:tc>
          <w:tcPr>
            <w:tcW w:w="1517" w:type="dxa"/>
            <w:tcMar>
              <w:left w:w="57" w:type="dxa"/>
            </w:tcMar>
          </w:tcPr>
          <w:p w14:paraId="5C072F6A" w14:textId="77777777" w:rsidR="009A7EC3" w:rsidRPr="00DE25AD" w:rsidRDefault="009A7EC3" w:rsidP="009A7EC3">
            <w:pPr>
              <w:pStyle w:val="ACCESSTableHeaderRow"/>
            </w:pPr>
          </w:p>
        </w:tc>
        <w:tc>
          <w:tcPr>
            <w:tcW w:w="1068" w:type="dxa"/>
            <w:shd w:val="clear" w:color="auto" w:fill="auto"/>
            <w:tcMar>
              <w:left w:w="57" w:type="dxa"/>
            </w:tcMar>
            <w:vAlign w:val="bottom"/>
          </w:tcPr>
          <w:p w14:paraId="423D6437" w14:textId="7255AE28" w:rsidR="009A7EC3" w:rsidRPr="00DE25AD" w:rsidRDefault="009A7EC3" w:rsidP="009A7EC3">
            <w:pPr>
              <w:pStyle w:val="ASSAD2017ACCESSBody1"/>
            </w:pPr>
            <w:r w:rsidRPr="00DE25AD">
              <w:t>Total</w:t>
            </w:r>
          </w:p>
        </w:tc>
        <w:tc>
          <w:tcPr>
            <w:tcW w:w="878" w:type="dxa"/>
            <w:shd w:val="clear" w:color="auto" w:fill="auto"/>
          </w:tcPr>
          <w:p w14:paraId="483A5950" w14:textId="4D85A45B" w:rsidR="009A7EC3" w:rsidRPr="00DE25AD" w:rsidRDefault="009A7EC3" w:rsidP="009A7EC3">
            <w:pPr>
              <w:pStyle w:val="ASSADACCESStablecentre"/>
            </w:pPr>
            <w:r w:rsidRPr="002E5727">
              <w:rPr>
                <w:bCs w:val="0"/>
                <w:color w:val="000000"/>
              </w:rPr>
              <w:t>36*</w:t>
            </w:r>
          </w:p>
        </w:tc>
        <w:tc>
          <w:tcPr>
            <w:tcW w:w="879" w:type="dxa"/>
            <w:shd w:val="clear" w:color="auto" w:fill="auto"/>
          </w:tcPr>
          <w:p w14:paraId="018128E9" w14:textId="1AFF14DF" w:rsidR="009A7EC3" w:rsidRPr="00DE25AD" w:rsidRDefault="009A7EC3" w:rsidP="009A7EC3">
            <w:pPr>
              <w:pStyle w:val="ASSADACCESStablecentre"/>
            </w:pPr>
            <w:r w:rsidRPr="002E5727">
              <w:rPr>
                <w:bCs w:val="0"/>
                <w:color w:val="000000"/>
              </w:rPr>
              <w:t>33*^</w:t>
            </w:r>
          </w:p>
        </w:tc>
        <w:tc>
          <w:tcPr>
            <w:tcW w:w="879" w:type="dxa"/>
            <w:shd w:val="clear" w:color="auto" w:fill="auto"/>
          </w:tcPr>
          <w:p w14:paraId="530B13C3" w14:textId="46D0725F" w:rsidR="009A7EC3" w:rsidRPr="00DE25AD" w:rsidRDefault="009A7EC3" w:rsidP="009A7EC3">
            <w:pPr>
              <w:pStyle w:val="ASSADACCESStablecentre"/>
            </w:pPr>
            <w:r w:rsidRPr="002E5727">
              <w:rPr>
                <w:bCs w:val="0"/>
                <w:color w:val="000000"/>
              </w:rPr>
              <w:t>25*^</w:t>
            </w:r>
          </w:p>
        </w:tc>
        <w:tc>
          <w:tcPr>
            <w:tcW w:w="879" w:type="dxa"/>
            <w:shd w:val="clear" w:color="auto" w:fill="auto"/>
          </w:tcPr>
          <w:p w14:paraId="6B02049E" w14:textId="45C08BAA" w:rsidR="009A7EC3" w:rsidRPr="00DE25AD" w:rsidRDefault="009A7EC3" w:rsidP="009A7EC3">
            <w:pPr>
              <w:pStyle w:val="ASSADACCESStablecentre"/>
            </w:pPr>
            <w:r w:rsidRPr="002E5727">
              <w:rPr>
                <w:bCs w:val="0"/>
                <w:color w:val="000000"/>
              </w:rPr>
              <w:t>18*^</w:t>
            </w:r>
          </w:p>
        </w:tc>
        <w:tc>
          <w:tcPr>
            <w:tcW w:w="879" w:type="dxa"/>
            <w:shd w:val="clear" w:color="auto" w:fill="auto"/>
          </w:tcPr>
          <w:p w14:paraId="47781277" w14:textId="06BADAD8" w:rsidR="009A7EC3" w:rsidRPr="00DE25AD" w:rsidRDefault="009A7EC3" w:rsidP="009A7EC3">
            <w:pPr>
              <w:pStyle w:val="ASSADACCESStablecentre"/>
            </w:pPr>
            <w:r w:rsidRPr="002E5727">
              <w:rPr>
                <w:bCs w:val="0"/>
                <w:color w:val="000000"/>
              </w:rPr>
              <w:t>13*^</w:t>
            </w:r>
          </w:p>
        </w:tc>
        <w:tc>
          <w:tcPr>
            <w:tcW w:w="879" w:type="dxa"/>
            <w:shd w:val="clear" w:color="auto" w:fill="auto"/>
          </w:tcPr>
          <w:p w14:paraId="64693CD0" w14:textId="496A3B07" w:rsidR="009A7EC3" w:rsidRPr="00DE25AD" w:rsidRDefault="009A7EC3" w:rsidP="009A7EC3">
            <w:pPr>
              <w:pStyle w:val="ASSADACCESStablecentre"/>
            </w:pPr>
            <w:r w:rsidRPr="002E5727">
              <w:rPr>
                <w:bCs w:val="0"/>
                <w:color w:val="000000"/>
              </w:rPr>
              <w:t>11*^</w:t>
            </w:r>
          </w:p>
        </w:tc>
        <w:tc>
          <w:tcPr>
            <w:tcW w:w="879" w:type="dxa"/>
            <w:shd w:val="clear" w:color="auto" w:fill="auto"/>
          </w:tcPr>
          <w:p w14:paraId="613DB9AB" w14:textId="0B675BFB" w:rsidR="009A7EC3" w:rsidRPr="00DE25AD" w:rsidRDefault="009A7EC3" w:rsidP="009A7EC3">
            <w:pPr>
              <w:pStyle w:val="ASSADACCESStablecentre"/>
            </w:pPr>
            <w:r w:rsidRPr="002E5727">
              <w:rPr>
                <w:bCs w:val="0"/>
                <w:color w:val="000000"/>
              </w:rPr>
              <w:t>8^</w:t>
            </w:r>
          </w:p>
        </w:tc>
        <w:tc>
          <w:tcPr>
            <w:tcW w:w="879" w:type="dxa"/>
            <w:shd w:val="clear" w:color="auto" w:fill="auto"/>
          </w:tcPr>
          <w:p w14:paraId="344EF2BF" w14:textId="174056E5" w:rsidR="009A7EC3" w:rsidRPr="00DE25AD" w:rsidRDefault="009A7EC3" w:rsidP="009A7EC3">
            <w:pPr>
              <w:pStyle w:val="ASSADACCESStablecentre"/>
            </w:pPr>
            <w:r w:rsidRPr="002E5727">
              <w:rPr>
                <w:bCs w:val="0"/>
                <w:color w:val="000000"/>
              </w:rPr>
              <w:t>8^</w:t>
            </w:r>
          </w:p>
        </w:tc>
      </w:tr>
      <w:tr w:rsidR="009A7EC3" w:rsidRPr="00DE25AD" w14:paraId="046D5888" w14:textId="77777777" w:rsidTr="00114C21">
        <w:tc>
          <w:tcPr>
            <w:tcW w:w="1517" w:type="dxa"/>
            <w:tcMar>
              <w:left w:w="57" w:type="dxa"/>
            </w:tcMar>
          </w:tcPr>
          <w:p w14:paraId="5828623F" w14:textId="2E1FA713"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18E413FE" w14:textId="1AB2CB27" w:rsidR="009A7EC3" w:rsidRPr="00DE25AD" w:rsidRDefault="009A7EC3" w:rsidP="009A7EC3">
            <w:pPr>
              <w:pStyle w:val="ASSAD2017ACCESSBody1"/>
            </w:pPr>
            <w:r w:rsidRPr="00DE25AD">
              <w:t>Male</w:t>
            </w:r>
          </w:p>
        </w:tc>
        <w:tc>
          <w:tcPr>
            <w:tcW w:w="878" w:type="dxa"/>
            <w:shd w:val="clear" w:color="auto" w:fill="auto"/>
          </w:tcPr>
          <w:p w14:paraId="00DFC2BB" w14:textId="1A525733" w:rsidR="009A7EC3" w:rsidRPr="00DE25AD" w:rsidRDefault="009A7EC3" w:rsidP="009A7EC3">
            <w:pPr>
              <w:pStyle w:val="ASSADACCESStablecentre"/>
            </w:pPr>
            <w:r w:rsidRPr="002E5727">
              <w:rPr>
                <w:bCs w:val="0"/>
                <w:color w:val="000000"/>
              </w:rPr>
              <w:t>21*</w:t>
            </w:r>
          </w:p>
        </w:tc>
        <w:tc>
          <w:tcPr>
            <w:tcW w:w="879" w:type="dxa"/>
            <w:shd w:val="clear" w:color="auto" w:fill="auto"/>
          </w:tcPr>
          <w:p w14:paraId="233E300A" w14:textId="63E8085B" w:rsidR="009A7EC3" w:rsidRPr="00DE25AD" w:rsidRDefault="009A7EC3" w:rsidP="009A7EC3">
            <w:pPr>
              <w:pStyle w:val="ASSADACCESStablecentre"/>
            </w:pPr>
            <w:r w:rsidRPr="002E5727">
              <w:rPr>
                <w:bCs w:val="0"/>
                <w:color w:val="000000"/>
              </w:rPr>
              <w:t>18*^</w:t>
            </w:r>
          </w:p>
        </w:tc>
        <w:tc>
          <w:tcPr>
            <w:tcW w:w="879" w:type="dxa"/>
            <w:shd w:val="clear" w:color="auto" w:fill="auto"/>
          </w:tcPr>
          <w:p w14:paraId="23C5BAA4" w14:textId="57957A2D" w:rsidR="009A7EC3" w:rsidRPr="00DE25AD" w:rsidRDefault="009A7EC3" w:rsidP="009A7EC3">
            <w:pPr>
              <w:pStyle w:val="ASSADACCESStablecentre"/>
            </w:pPr>
            <w:r w:rsidRPr="002E5727">
              <w:rPr>
                <w:bCs w:val="0"/>
                <w:color w:val="000000"/>
              </w:rPr>
              <w:t>13*^</w:t>
            </w:r>
          </w:p>
        </w:tc>
        <w:tc>
          <w:tcPr>
            <w:tcW w:w="879" w:type="dxa"/>
            <w:shd w:val="clear" w:color="auto" w:fill="auto"/>
          </w:tcPr>
          <w:p w14:paraId="7395DDBC" w14:textId="1C7CF880" w:rsidR="009A7EC3" w:rsidRPr="00DE25AD" w:rsidRDefault="009A7EC3" w:rsidP="009A7EC3">
            <w:pPr>
              <w:pStyle w:val="ASSADACCESStablecentre"/>
            </w:pPr>
            <w:r w:rsidRPr="002E5727">
              <w:rPr>
                <w:bCs w:val="0"/>
                <w:color w:val="000000"/>
              </w:rPr>
              <w:t>9*^</w:t>
            </w:r>
          </w:p>
        </w:tc>
        <w:tc>
          <w:tcPr>
            <w:tcW w:w="879" w:type="dxa"/>
            <w:shd w:val="clear" w:color="auto" w:fill="auto"/>
          </w:tcPr>
          <w:p w14:paraId="576867AC" w14:textId="01560C6A" w:rsidR="009A7EC3" w:rsidRPr="00DE25AD" w:rsidRDefault="009A7EC3" w:rsidP="009A7EC3">
            <w:pPr>
              <w:pStyle w:val="ASSADACCESStablecentre"/>
            </w:pPr>
            <w:r w:rsidRPr="002E5727">
              <w:rPr>
                <w:bCs w:val="0"/>
                <w:color w:val="000000"/>
              </w:rPr>
              <w:t>7*^</w:t>
            </w:r>
          </w:p>
        </w:tc>
        <w:tc>
          <w:tcPr>
            <w:tcW w:w="879" w:type="dxa"/>
            <w:shd w:val="clear" w:color="auto" w:fill="auto"/>
          </w:tcPr>
          <w:p w14:paraId="5B5E2925" w14:textId="5D26DDAD" w:rsidR="009A7EC3" w:rsidRPr="00DE25AD" w:rsidRDefault="009A7EC3" w:rsidP="009A7EC3">
            <w:pPr>
              <w:pStyle w:val="ASSADACCESStablecentre"/>
            </w:pPr>
            <w:r w:rsidRPr="002E5727">
              <w:rPr>
                <w:bCs w:val="0"/>
                <w:color w:val="000000"/>
              </w:rPr>
              <w:t>6^</w:t>
            </w:r>
          </w:p>
        </w:tc>
        <w:tc>
          <w:tcPr>
            <w:tcW w:w="879" w:type="dxa"/>
            <w:shd w:val="clear" w:color="auto" w:fill="auto"/>
          </w:tcPr>
          <w:p w14:paraId="21606D8D" w14:textId="37132545" w:rsidR="009A7EC3" w:rsidRPr="00DE25AD" w:rsidRDefault="009A7EC3" w:rsidP="009A7EC3">
            <w:pPr>
              <w:pStyle w:val="ASSADACCESStablecentre"/>
            </w:pPr>
            <w:r w:rsidRPr="002E5727">
              <w:rPr>
                <w:bCs w:val="0"/>
                <w:color w:val="000000"/>
              </w:rPr>
              <w:t>4^</w:t>
            </w:r>
          </w:p>
        </w:tc>
        <w:tc>
          <w:tcPr>
            <w:tcW w:w="879" w:type="dxa"/>
            <w:shd w:val="clear" w:color="auto" w:fill="auto"/>
          </w:tcPr>
          <w:p w14:paraId="465D4D5A" w14:textId="74898AD3" w:rsidR="009A7EC3" w:rsidRPr="00DE25AD" w:rsidRDefault="009A7EC3" w:rsidP="009A7EC3">
            <w:pPr>
              <w:pStyle w:val="ASSADACCESStablecentre"/>
            </w:pPr>
            <w:r w:rsidRPr="002E5727">
              <w:rPr>
                <w:bCs w:val="0"/>
                <w:color w:val="000000"/>
              </w:rPr>
              <w:t>5</w:t>
            </w:r>
            <w:r>
              <w:rPr>
                <w:bCs w:val="0"/>
                <w:color w:val="000000"/>
              </w:rPr>
              <w:t>^</w:t>
            </w:r>
          </w:p>
        </w:tc>
      </w:tr>
      <w:tr w:rsidR="009A7EC3" w:rsidRPr="00DE25AD" w14:paraId="7803EF8D" w14:textId="77777777" w:rsidTr="00114C21">
        <w:tc>
          <w:tcPr>
            <w:tcW w:w="1517" w:type="dxa"/>
            <w:tcMar>
              <w:left w:w="57" w:type="dxa"/>
            </w:tcMar>
          </w:tcPr>
          <w:p w14:paraId="675244FB" w14:textId="77777777" w:rsidR="009A7EC3" w:rsidRPr="00DE25AD" w:rsidRDefault="009A7EC3" w:rsidP="009A7EC3">
            <w:pPr>
              <w:pStyle w:val="ACCESSTableHeaderRow"/>
            </w:pPr>
          </w:p>
        </w:tc>
        <w:tc>
          <w:tcPr>
            <w:tcW w:w="1068" w:type="dxa"/>
            <w:shd w:val="clear" w:color="auto" w:fill="auto"/>
            <w:tcMar>
              <w:left w:w="57" w:type="dxa"/>
            </w:tcMar>
            <w:vAlign w:val="bottom"/>
          </w:tcPr>
          <w:p w14:paraId="71E9FCEB" w14:textId="204DE4E1" w:rsidR="009A7EC3" w:rsidRPr="00DE25AD" w:rsidRDefault="009A7EC3" w:rsidP="009A7EC3">
            <w:pPr>
              <w:pStyle w:val="ASSAD2017ACCESSBody1"/>
            </w:pPr>
            <w:r w:rsidRPr="00DE25AD">
              <w:t>Female</w:t>
            </w:r>
          </w:p>
        </w:tc>
        <w:tc>
          <w:tcPr>
            <w:tcW w:w="878" w:type="dxa"/>
            <w:shd w:val="clear" w:color="auto" w:fill="auto"/>
          </w:tcPr>
          <w:p w14:paraId="3898C752" w14:textId="5B9FBAC9" w:rsidR="009A7EC3" w:rsidRPr="00DE25AD" w:rsidRDefault="009A7EC3" w:rsidP="009A7EC3">
            <w:pPr>
              <w:pStyle w:val="ASSADACCESStablecentre"/>
            </w:pPr>
            <w:r w:rsidRPr="002E5727">
              <w:rPr>
                <w:bCs w:val="0"/>
                <w:color w:val="000000"/>
              </w:rPr>
              <w:t>22*</w:t>
            </w:r>
          </w:p>
        </w:tc>
        <w:tc>
          <w:tcPr>
            <w:tcW w:w="879" w:type="dxa"/>
            <w:shd w:val="clear" w:color="auto" w:fill="auto"/>
          </w:tcPr>
          <w:p w14:paraId="582369AF" w14:textId="19CD8DDC" w:rsidR="009A7EC3" w:rsidRPr="00DE25AD" w:rsidRDefault="009A7EC3" w:rsidP="009A7EC3">
            <w:pPr>
              <w:pStyle w:val="ASSADACCESStablecentre"/>
            </w:pPr>
            <w:r w:rsidRPr="002E5727">
              <w:rPr>
                <w:bCs w:val="0"/>
                <w:color w:val="000000"/>
              </w:rPr>
              <w:t>20*</w:t>
            </w:r>
          </w:p>
        </w:tc>
        <w:tc>
          <w:tcPr>
            <w:tcW w:w="879" w:type="dxa"/>
            <w:shd w:val="clear" w:color="auto" w:fill="auto"/>
          </w:tcPr>
          <w:p w14:paraId="619A30B2" w14:textId="7DC7E66B" w:rsidR="009A7EC3" w:rsidRPr="00DE25AD" w:rsidRDefault="009A7EC3" w:rsidP="009A7EC3">
            <w:pPr>
              <w:pStyle w:val="ASSADACCESStablecentre"/>
            </w:pPr>
            <w:r w:rsidRPr="002E5727">
              <w:rPr>
                <w:bCs w:val="0"/>
                <w:color w:val="000000"/>
              </w:rPr>
              <w:t>16*^</w:t>
            </w:r>
          </w:p>
        </w:tc>
        <w:tc>
          <w:tcPr>
            <w:tcW w:w="879" w:type="dxa"/>
            <w:shd w:val="clear" w:color="auto" w:fill="auto"/>
          </w:tcPr>
          <w:p w14:paraId="734AF97F" w14:textId="78DF8B3B" w:rsidR="009A7EC3" w:rsidRPr="00DE25AD" w:rsidRDefault="009A7EC3" w:rsidP="009A7EC3">
            <w:pPr>
              <w:pStyle w:val="ASSADACCESStablecentre"/>
            </w:pPr>
            <w:r w:rsidRPr="002E5727">
              <w:rPr>
                <w:bCs w:val="0"/>
                <w:color w:val="000000"/>
              </w:rPr>
              <w:t>10*^</w:t>
            </w:r>
          </w:p>
        </w:tc>
        <w:tc>
          <w:tcPr>
            <w:tcW w:w="879" w:type="dxa"/>
            <w:shd w:val="clear" w:color="auto" w:fill="auto"/>
          </w:tcPr>
          <w:p w14:paraId="1E527F5D" w14:textId="32ED5A15" w:rsidR="009A7EC3" w:rsidRPr="00DE25AD" w:rsidRDefault="009A7EC3" w:rsidP="009A7EC3">
            <w:pPr>
              <w:pStyle w:val="ASSADACCESStablecentre"/>
            </w:pPr>
            <w:r w:rsidRPr="002E5727">
              <w:rPr>
                <w:bCs w:val="0"/>
                <w:color w:val="000000"/>
              </w:rPr>
              <w:t>8*^</w:t>
            </w:r>
          </w:p>
        </w:tc>
        <w:tc>
          <w:tcPr>
            <w:tcW w:w="879" w:type="dxa"/>
            <w:shd w:val="clear" w:color="auto" w:fill="auto"/>
          </w:tcPr>
          <w:p w14:paraId="5DECE0EF" w14:textId="56A5B703" w:rsidR="009A7EC3" w:rsidRPr="00DE25AD" w:rsidRDefault="009A7EC3" w:rsidP="009A7EC3">
            <w:pPr>
              <w:pStyle w:val="ASSADACCESStablecentre"/>
            </w:pPr>
            <w:r w:rsidRPr="002E5727">
              <w:rPr>
                <w:bCs w:val="0"/>
                <w:color w:val="000000"/>
              </w:rPr>
              <w:t>6^</w:t>
            </w:r>
          </w:p>
        </w:tc>
        <w:tc>
          <w:tcPr>
            <w:tcW w:w="879" w:type="dxa"/>
            <w:shd w:val="clear" w:color="auto" w:fill="auto"/>
          </w:tcPr>
          <w:p w14:paraId="3B9AF166" w14:textId="2E6AD0B2" w:rsidR="009A7EC3" w:rsidRPr="00DE25AD" w:rsidRDefault="009A7EC3" w:rsidP="009A7EC3">
            <w:pPr>
              <w:pStyle w:val="ASSADACCESStablecentre"/>
            </w:pPr>
            <w:r w:rsidRPr="002E5727">
              <w:rPr>
                <w:bCs w:val="0"/>
                <w:color w:val="000000"/>
              </w:rPr>
              <w:t>5^</w:t>
            </w:r>
          </w:p>
        </w:tc>
        <w:tc>
          <w:tcPr>
            <w:tcW w:w="879" w:type="dxa"/>
            <w:shd w:val="clear" w:color="auto" w:fill="auto"/>
          </w:tcPr>
          <w:p w14:paraId="637E1BF8" w14:textId="52D51800" w:rsidR="009A7EC3" w:rsidRPr="00DE25AD" w:rsidRDefault="009A7EC3" w:rsidP="009A7EC3">
            <w:pPr>
              <w:pStyle w:val="ASSADACCESStablecentre"/>
            </w:pPr>
            <w:r w:rsidRPr="002E5727">
              <w:rPr>
                <w:bCs w:val="0"/>
                <w:color w:val="000000"/>
              </w:rPr>
              <w:t>4</w:t>
            </w:r>
            <w:r>
              <w:rPr>
                <w:bCs w:val="0"/>
                <w:color w:val="000000"/>
              </w:rPr>
              <w:t>^</w:t>
            </w:r>
          </w:p>
        </w:tc>
      </w:tr>
      <w:tr w:rsidR="009A7EC3" w:rsidRPr="00DE25AD" w14:paraId="1A86DECC" w14:textId="77777777" w:rsidTr="00114C21">
        <w:tc>
          <w:tcPr>
            <w:tcW w:w="1517" w:type="dxa"/>
            <w:tcMar>
              <w:left w:w="57" w:type="dxa"/>
            </w:tcMar>
          </w:tcPr>
          <w:p w14:paraId="164AA3A4" w14:textId="77777777" w:rsidR="009A7EC3" w:rsidRPr="00DE25AD" w:rsidRDefault="009A7EC3" w:rsidP="009A7EC3">
            <w:pPr>
              <w:pStyle w:val="ACCESSTableHeaderRow"/>
            </w:pPr>
          </w:p>
        </w:tc>
        <w:tc>
          <w:tcPr>
            <w:tcW w:w="1068" w:type="dxa"/>
            <w:shd w:val="clear" w:color="auto" w:fill="auto"/>
            <w:tcMar>
              <w:left w:w="57" w:type="dxa"/>
            </w:tcMar>
            <w:vAlign w:val="bottom"/>
          </w:tcPr>
          <w:p w14:paraId="4A09FB18" w14:textId="5A2D48B1" w:rsidR="009A7EC3" w:rsidRPr="00DE25AD" w:rsidRDefault="009A7EC3" w:rsidP="009A7EC3">
            <w:pPr>
              <w:pStyle w:val="ASSAD2017ACCESSBody1"/>
            </w:pPr>
            <w:r w:rsidRPr="00DE25AD">
              <w:t>Total</w:t>
            </w:r>
          </w:p>
        </w:tc>
        <w:tc>
          <w:tcPr>
            <w:tcW w:w="878" w:type="dxa"/>
            <w:shd w:val="clear" w:color="auto" w:fill="auto"/>
          </w:tcPr>
          <w:p w14:paraId="7BF29FC2" w14:textId="5406A1F3" w:rsidR="009A7EC3" w:rsidRPr="00DE25AD" w:rsidRDefault="009A7EC3" w:rsidP="009A7EC3">
            <w:pPr>
              <w:pStyle w:val="ASSADACCESStablecentre"/>
            </w:pPr>
            <w:r w:rsidRPr="002E5727">
              <w:rPr>
                <w:bCs w:val="0"/>
                <w:color w:val="000000"/>
              </w:rPr>
              <w:t>21*</w:t>
            </w:r>
          </w:p>
        </w:tc>
        <w:tc>
          <w:tcPr>
            <w:tcW w:w="879" w:type="dxa"/>
            <w:shd w:val="clear" w:color="auto" w:fill="auto"/>
          </w:tcPr>
          <w:p w14:paraId="25E7BFBA" w14:textId="1D7FBAFA" w:rsidR="009A7EC3" w:rsidRPr="00DE25AD" w:rsidRDefault="009A7EC3" w:rsidP="009A7EC3">
            <w:pPr>
              <w:pStyle w:val="ASSADACCESStablecentre"/>
            </w:pPr>
            <w:r w:rsidRPr="002E5727">
              <w:rPr>
                <w:bCs w:val="0"/>
                <w:color w:val="000000"/>
              </w:rPr>
              <w:t>19*^</w:t>
            </w:r>
          </w:p>
        </w:tc>
        <w:tc>
          <w:tcPr>
            <w:tcW w:w="879" w:type="dxa"/>
            <w:shd w:val="clear" w:color="auto" w:fill="auto"/>
          </w:tcPr>
          <w:p w14:paraId="46B30BED" w14:textId="4834B82D" w:rsidR="009A7EC3" w:rsidRPr="00DE25AD" w:rsidRDefault="009A7EC3" w:rsidP="009A7EC3">
            <w:pPr>
              <w:pStyle w:val="ASSADACCESStablecentre"/>
            </w:pPr>
            <w:r w:rsidRPr="002E5727">
              <w:rPr>
                <w:bCs w:val="0"/>
                <w:color w:val="000000"/>
              </w:rPr>
              <w:t>14*^</w:t>
            </w:r>
          </w:p>
        </w:tc>
        <w:tc>
          <w:tcPr>
            <w:tcW w:w="879" w:type="dxa"/>
            <w:shd w:val="clear" w:color="auto" w:fill="auto"/>
          </w:tcPr>
          <w:p w14:paraId="5DDD5644" w14:textId="298A6865" w:rsidR="009A7EC3" w:rsidRPr="00DE25AD" w:rsidRDefault="009A7EC3" w:rsidP="009A7EC3">
            <w:pPr>
              <w:pStyle w:val="ASSADACCESStablecentre"/>
            </w:pPr>
            <w:r w:rsidRPr="002E5727">
              <w:rPr>
                <w:bCs w:val="0"/>
                <w:color w:val="000000"/>
              </w:rPr>
              <w:t>9*^</w:t>
            </w:r>
          </w:p>
        </w:tc>
        <w:tc>
          <w:tcPr>
            <w:tcW w:w="879" w:type="dxa"/>
            <w:shd w:val="clear" w:color="auto" w:fill="auto"/>
          </w:tcPr>
          <w:p w14:paraId="0F43605F" w14:textId="3DD3C08F" w:rsidR="009A7EC3" w:rsidRPr="00DE25AD" w:rsidRDefault="009A7EC3" w:rsidP="009A7EC3">
            <w:pPr>
              <w:pStyle w:val="ASSADACCESStablecentre"/>
            </w:pPr>
            <w:r w:rsidRPr="002E5727">
              <w:rPr>
                <w:bCs w:val="0"/>
                <w:color w:val="000000"/>
              </w:rPr>
              <w:t>7*^</w:t>
            </w:r>
          </w:p>
        </w:tc>
        <w:tc>
          <w:tcPr>
            <w:tcW w:w="879" w:type="dxa"/>
            <w:shd w:val="clear" w:color="auto" w:fill="auto"/>
          </w:tcPr>
          <w:p w14:paraId="26D4E50B" w14:textId="7F8F0DEE" w:rsidR="009A7EC3" w:rsidRPr="00DE25AD" w:rsidRDefault="009A7EC3" w:rsidP="009A7EC3">
            <w:pPr>
              <w:pStyle w:val="ASSADACCESStablecentre"/>
            </w:pPr>
            <w:r w:rsidRPr="002E5727">
              <w:rPr>
                <w:bCs w:val="0"/>
                <w:color w:val="000000"/>
              </w:rPr>
              <w:t>6^</w:t>
            </w:r>
          </w:p>
        </w:tc>
        <w:tc>
          <w:tcPr>
            <w:tcW w:w="879" w:type="dxa"/>
            <w:shd w:val="clear" w:color="auto" w:fill="auto"/>
          </w:tcPr>
          <w:p w14:paraId="519F468A" w14:textId="2E165774" w:rsidR="009A7EC3" w:rsidRPr="00DE25AD" w:rsidRDefault="009A7EC3" w:rsidP="009A7EC3">
            <w:pPr>
              <w:pStyle w:val="ASSADACCESStablecentre"/>
            </w:pPr>
            <w:r w:rsidRPr="002E5727">
              <w:rPr>
                <w:bCs w:val="0"/>
                <w:color w:val="000000"/>
              </w:rPr>
              <w:t>4^</w:t>
            </w:r>
          </w:p>
        </w:tc>
        <w:tc>
          <w:tcPr>
            <w:tcW w:w="879" w:type="dxa"/>
            <w:shd w:val="clear" w:color="auto" w:fill="auto"/>
          </w:tcPr>
          <w:p w14:paraId="5063AA3E" w14:textId="2A25B783" w:rsidR="009A7EC3" w:rsidRPr="00DE25AD" w:rsidRDefault="009A7EC3" w:rsidP="009A7EC3">
            <w:pPr>
              <w:pStyle w:val="ASSADACCESStablecentre"/>
            </w:pPr>
            <w:r w:rsidRPr="002E5727">
              <w:rPr>
                <w:bCs w:val="0"/>
                <w:color w:val="000000"/>
              </w:rPr>
              <w:t>4^</w:t>
            </w:r>
          </w:p>
        </w:tc>
      </w:tr>
      <w:tr w:rsidR="009A7EC3" w:rsidRPr="00DE25AD" w14:paraId="4BFC8DAC" w14:textId="77777777" w:rsidTr="00114C21">
        <w:tc>
          <w:tcPr>
            <w:tcW w:w="1517" w:type="dxa"/>
            <w:tcMar>
              <w:left w:w="57" w:type="dxa"/>
            </w:tcMar>
          </w:tcPr>
          <w:p w14:paraId="3AA9D303" w14:textId="11300AA7" w:rsidR="009A7EC3" w:rsidRPr="00DE25AD" w:rsidRDefault="009A7EC3" w:rsidP="009A7EC3">
            <w:pPr>
              <w:pStyle w:val="ACCESSTableHeaderRow"/>
            </w:pPr>
            <w:r>
              <w:t>Current</w:t>
            </w:r>
          </w:p>
        </w:tc>
        <w:tc>
          <w:tcPr>
            <w:tcW w:w="1068" w:type="dxa"/>
            <w:shd w:val="clear" w:color="auto" w:fill="auto"/>
            <w:tcMar>
              <w:left w:w="57" w:type="dxa"/>
            </w:tcMar>
            <w:vAlign w:val="bottom"/>
          </w:tcPr>
          <w:p w14:paraId="2C53BEF0" w14:textId="48748F4A" w:rsidR="009A7EC3" w:rsidRPr="00DE25AD" w:rsidRDefault="009A7EC3" w:rsidP="009A7EC3">
            <w:pPr>
              <w:pStyle w:val="ASSAD2017ACCESSBody1"/>
            </w:pPr>
            <w:r w:rsidRPr="00DE25AD">
              <w:t>Male</w:t>
            </w:r>
          </w:p>
        </w:tc>
        <w:tc>
          <w:tcPr>
            <w:tcW w:w="878" w:type="dxa"/>
            <w:shd w:val="clear" w:color="auto" w:fill="auto"/>
          </w:tcPr>
          <w:p w14:paraId="23D0D36F" w14:textId="03FDE32D" w:rsidR="009A7EC3" w:rsidRPr="00DE25AD" w:rsidRDefault="009A7EC3" w:rsidP="009A7EC3">
            <w:pPr>
              <w:pStyle w:val="ASSADACCESStablecentre"/>
            </w:pPr>
            <w:r w:rsidRPr="002E5727">
              <w:rPr>
                <w:bCs w:val="0"/>
                <w:color w:val="000000"/>
              </w:rPr>
              <w:t>16*</w:t>
            </w:r>
          </w:p>
        </w:tc>
        <w:tc>
          <w:tcPr>
            <w:tcW w:w="879" w:type="dxa"/>
            <w:shd w:val="clear" w:color="auto" w:fill="auto"/>
          </w:tcPr>
          <w:p w14:paraId="1D4BFF6D" w14:textId="3E00ECDF" w:rsidR="009A7EC3" w:rsidRPr="00DE25AD" w:rsidRDefault="009A7EC3" w:rsidP="009A7EC3">
            <w:pPr>
              <w:pStyle w:val="ASSADACCESStablecentre"/>
            </w:pPr>
            <w:r w:rsidRPr="002E5727">
              <w:rPr>
                <w:bCs w:val="0"/>
                <w:color w:val="000000"/>
              </w:rPr>
              <w:t>15*</w:t>
            </w:r>
          </w:p>
        </w:tc>
        <w:tc>
          <w:tcPr>
            <w:tcW w:w="879" w:type="dxa"/>
            <w:shd w:val="clear" w:color="auto" w:fill="auto"/>
          </w:tcPr>
          <w:p w14:paraId="0792B19F" w14:textId="448BF157" w:rsidR="009A7EC3" w:rsidRPr="00DE25AD" w:rsidRDefault="009A7EC3" w:rsidP="009A7EC3">
            <w:pPr>
              <w:pStyle w:val="ASSADACCESStablecentre"/>
            </w:pPr>
            <w:r w:rsidRPr="002E5727">
              <w:rPr>
                <w:bCs w:val="0"/>
                <w:color w:val="000000"/>
              </w:rPr>
              <w:t>10*^</w:t>
            </w:r>
          </w:p>
        </w:tc>
        <w:tc>
          <w:tcPr>
            <w:tcW w:w="879" w:type="dxa"/>
            <w:shd w:val="clear" w:color="auto" w:fill="auto"/>
          </w:tcPr>
          <w:p w14:paraId="21B4DD02" w14:textId="47B677A3" w:rsidR="009A7EC3" w:rsidRPr="00DE25AD" w:rsidRDefault="009A7EC3" w:rsidP="009A7EC3">
            <w:pPr>
              <w:pStyle w:val="ASSADACCESStablecentre"/>
            </w:pPr>
            <w:r w:rsidRPr="002E5727">
              <w:rPr>
                <w:bCs w:val="0"/>
                <w:color w:val="000000"/>
              </w:rPr>
              <w:t>7*^</w:t>
            </w:r>
          </w:p>
        </w:tc>
        <w:tc>
          <w:tcPr>
            <w:tcW w:w="879" w:type="dxa"/>
            <w:shd w:val="clear" w:color="auto" w:fill="auto"/>
          </w:tcPr>
          <w:p w14:paraId="328F4AB4" w14:textId="3E188AAC" w:rsidR="009A7EC3" w:rsidRPr="00DE25AD" w:rsidRDefault="009A7EC3" w:rsidP="009A7EC3">
            <w:pPr>
              <w:pStyle w:val="ASSADACCESStablecentre"/>
            </w:pPr>
            <w:r w:rsidRPr="002E5727">
              <w:rPr>
                <w:bCs w:val="0"/>
                <w:color w:val="000000"/>
              </w:rPr>
              <w:t>5</w:t>
            </w:r>
            <w:r>
              <w:rPr>
                <w:bCs w:val="0"/>
                <w:color w:val="000000"/>
              </w:rPr>
              <w:t>*</w:t>
            </w:r>
            <w:r w:rsidRPr="002E5727">
              <w:rPr>
                <w:bCs w:val="0"/>
                <w:color w:val="000000"/>
              </w:rPr>
              <w:t>^</w:t>
            </w:r>
          </w:p>
        </w:tc>
        <w:tc>
          <w:tcPr>
            <w:tcW w:w="879" w:type="dxa"/>
            <w:shd w:val="clear" w:color="auto" w:fill="auto"/>
          </w:tcPr>
          <w:p w14:paraId="3E319EFA" w14:textId="4E8CB5E2" w:rsidR="009A7EC3" w:rsidRPr="00DE25AD" w:rsidRDefault="009A7EC3" w:rsidP="009A7EC3">
            <w:pPr>
              <w:pStyle w:val="ASSADACCESStablecentre"/>
            </w:pPr>
            <w:r w:rsidRPr="002E5727">
              <w:rPr>
                <w:bCs w:val="0"/>
                <w:color w:val="000000"/>
              </w:rPr>
              <w:t>4^</w:t>
            </w:r>
          </w:p>
        </w:tc>
        <w:tc>
          <w:tcPr>
            <w:tcW w:w="879" w:type="dxa"/>
            <w:shd w:val="clear" w:color="auto" w:fill="auto"/>
          </w:tcPr>
          <w:p w14:paraId="6E68C508" w14:textId="072A914C" w:rsidR="009A7EC3" w:rsidRPr="00DE25AD" w:rsidRDefault="009A7EC3" w:rsidP="009A7EC3">
            <w:pPr>
              <w:pStyle w:val="ASSADACCESStablecentre"/>
            </w:pPr>
            <w:r w:rsidRPr="002E5727">
              <w:rPr>
                <w:bCs w:val="0"/>
                <w:color w:val="000000"/>
              </w:rPr>
              <w:t>3^</w:t>
            </w:r>
          </w:p>
        </w:tc>
        <w:tc>
          <w:tcPr>
            <w:tcW w:w="879" w:type="dxa"/>
            <w:shd w:val="clear" w:color="auto" w:fill="auto"/>
          </w:tcPr>
          <w:p w14:paraId="10ACB085" w14:textId="0714BD32" w:rsidR="009A7EC3" w:rsidRPr="00DE25AD" w:rsidRDefault="009A7EC3" w:rsidP="009A7EC3">
            <w:pPr>
              <w:pStyle w:val="ASSADACCESStablecentre"/>
            </w:pPr>
            <w:r>
              <w:rPr>
                <w:bCs w:val="0"/>
                <w:color w:val="000000"/>
              </w:rPr>
              <w:t>3</w:t>
            </w:r>
            <w:r w:rsidRPr="002E5727">
              <w:rPr>
                <w:bCs w:val="0"/>
                <w:color w:val="000000"/>
              </w:rPr>
              <w:t>^</w:t>
            </w:r>
          </w:p>
        </w:tc>
      </w:tr>
      <w:tr w:rsidR="009A7EC3" w:rsidRPr="00DE25AD" w14:paraId="0B15615E" w14:textId="77777777" w:rsidTr="00114C21">
        <w:tc>
          <w:tcPr>
            <w:tcW w:w="1517" w:type="dxa"/>
            <w:tcMar>
              <w:left w:w="57" w:type="dxa"/>
            </w:tcMar>
          </w:tcPr>
          <w:p w14:paraId="4708B082" w14:textId="77777777" w:rsidR="009A7EC3" w:rsidRPr="00DE25AD" w:rsidRDefault="009A7EC3" w:rsidP="009A7EC3">
            <w:pPr>
              <w:pStyle w:val="ACCESSTableHeaderRow"/>
            </w:pPr>
          </w:p>
        </w:tc>
        <w:tc>
          <w:tcPr>
            <w:tcW w:w="1068" w:type="dxa"/>
            <w:shd w:val="clear" w:color="auto" w:fill="auto"/>
            <w:tcMar>
              <w:left w:w="57" w:type="dxa"/>
            </w:tcMar>
            <w:vAlign w:val="bottom"/>
          </w:tcPr>
          <w:p w14:paraId="32D3D188" w14:textId="2010FEB9" w:rsidR="009A7EC3" w:rsidRPr="00DE25AD" w:rsidRDefault="009A7EC3" w:rsidP="009A7EC3">
            <w:pPr>
              <w:pStyle w:val="ASSAD2017ACCESSBody1"/>
            </w:pPr>
            <w:r w:rsidRPr="00DE25AD">
              <w:t>Female</w:t>
            </w:r>
          </w:p>
        </w:tc>
        <w:tc>
          <w:tcPr>
            <w:tcW w:w="878" w:type="dxa"/>
            <w:shd w:val="clear" w:color="auto" w:fill="auto"/>
          </w:tcPr>
          <w:p w14:paraId="031A2447" w14:textId="41AADD90" w:rsidR="009A7EC3" w:rsidRPr="00DE25AD" w:rsidRDefault="009A7EC3" w:rsidP="009A7EC3">
            <w:pPr>
              <w:pStyle w:val="ASSADACCESStablecentre"/>
            </w:pPr>
            <w:r w:rsidRPr="002E5727">
              <w:rPr>
                <w:bCs w:val="0"/>
                <w:color w:val="000000"/>
              </w:rPr>
              <w:t>18*</w:t>
            </w:r>
          </w:p>
        </w:tc>
        <w:tc>
          <w:tcPr>
            <w:tcW w:w="879" w:type="dxa"/>
            <w:shd w:val="clear" w:color="auto" w:fill="auto"/>
          </w:tcPr>
          <w:p w14:paraId="1CEE716A" w14:textId="5302B235" w:rsidR="009A7EC3" w:rsidRPr="00DE25AD" w:rsidRDefault="009A7EC3" w:rsidP="009A7EC3">
            <w:pPr>
              <w:pStyle w:val="ASSADACCESStablecentre"/>
            </w:pPr>
            <w:r w:rsidRPr="002E5727">
              <w:rPr>
                <w:bCs w:val="0"/>
                <w:color w:val="000000"/>
              </w:rPr>
              <w:t>16*^</w:t>
            </w:r>
          </w:p>
        </w:tc>
        <w:tc>
          <w:tcPr>
            <w:tcW w:w="879" w:type="dxa"/>
            <w:shd w:val="clear" w:color="auto" w:fill="auto"/>
          </w:tcPr>
          <w:p w14:paraId="0281BD24" w14:textId="297B6D61" w:rsidR="009A7EC3" w:rsidRPr="00DE25AD" w:rsidRDefault="009A7EC3" w:rsidP="009A7EC3">
            <w:pPr>
              <w:pStyle w:val="ASSADACCESStablecentre"/>
            </w:pPr>
            <w:r w:rsidRPr="002E5727">
              <w:rPr>
                <w:bCs w:val="0"/>
                <w:color w:val="000000"/>
              </w:rPr>
              <w:t>12*^</w:t>
            </w:r>
          </w:p>
        </w:tc>
        <w:tc>
          <w:tcPr>
            <w:tcW w:w="879" w:type="dxa"/>
            <w:shd w:val="clear" w:color="auto" w:fill="auto"/>
          </w:tcPr>
          <w:p w14:paraId="4641B916" w14:textId="7F1FD8B5" w:rsidR="009A7EC3" w:rsidRPr="00DE25AD" w:rsidRDefault="009A7EC3" w:rsidP="009A7EC3">
            <w:pPr>
              <w:pStyle w:val="ASSADACCESStablecentre"/>
            </w:pPr>
            <w:r w:rsidRPr="002E5727">
              <w:rPr>
                <w:bCs w:val="0"/>
                <w:color w:val="000000"/>
              </w:rPr>
              <w:t>7*^</w:t>
            </w:r>
          </w:p>
        </w:tc>
        <w:tc>
          <w:tcPr>
            <w:tcW w:w="879" w:type="dxa"/>
            <w:shd w:val="clear" w:color="auto" w:fill="auto"/>
          </w:tcPr>
          <w:p w14:paraId="626664DF" w14:textId="03C999FC" w:rsidR="009A7EC3" w:rsidRPr="00DE25AD" w:rsidRDefault="009A7EC3" w:rsidP="009A7EC3">
            <w:pPr>
              <w:pStyle w:val="ASSADACCESStablecentre"/>
            </w:pPr>
            <w:r w:rsidRPr="002E5727">
              <w:rPr>
                <w:bCs w:val="0"/>
                <w:color w:val="000000"/>
              </w:rPr>
              <w:t>6*^</w:t>
            </w:r>
          </w:p>
        </w:tc>
        <w:tc>
          <w:tcPr>
            <w:tcW w:w="879" w:type="dxa"/>
            <w:shd w:val="clear" w:color="auto" w:fill="auto"/>
          </w:tcPr>
          <w:p w14:paraId="0D38B4BA" w14:textId="68250055" w:rsidR="009A7EC3" w:rsidRPr="00DE25AD" w:rsidRDefault="009A7EC3" w:rsidP="009A7EC3">
            <w:pPr>
              <w:pStyle w:val="ASSADACCESStablecentre"/>
            </w:pPr>
            <w:r w:rsidRPr="002E5727">
              <w:rPr>
                <w:bCs w:val="0"/>
                <w:color w:val="000000"/>
              </w:rPr>
              <w:t>4*^</w:t>
            </w:r>
          </w:p>
        </w:tc>
        <w:tc>
          <w:tcPr>
            <w:tcW w:w="879" w:type="dxa"/>
            <w:shd w:val="clear" w:color="auto" w:fill="auto"/>
          </w:tcPr>
          <w:p w14:paraId="20357BB2" w14:textId="6E8AA806" w:rsidR="009A7EC3" w:rsidRPr="00DE25AD" w:rsidRDefault="009A7EC3" w:rsidP="009A7EC3">
            <w:pPr>
              <w:pStyle w:val="ASSADACCESStablecentre"/>
            </w:pPr>
            <w:r w:rsidRPr="002E5727">
              <w:rPr>
                <w:bCs w:val="0"/>
                <w:color w:val="000000"/>
              </w:rPr>
              <w:t>3^</w:t>
            </w:r>
          </w:p>
        </w:tc>
        <w:tc>
          <w:tcPr>
            <w:tcW w:w="879" w:type="dxa"/>
            <w:shd w:val="clear" w:color="auto" w:fill="auto"/>
          </w:tcPr>
          <w:p w14:paraId="537A04C2" w14:textId="585CE4A4" w:rsidR="009A7EC3" w:rsidRPr="00DE25AD" w:rsidRDefault="009A7EC3" w:rsidP="009A7EC3">
            <w:pPr>
              <w:pStyle w:val="ASSADACCESStablecentre"/>
            </w:pPr>
            <w:r w:rsidRPr="002E5727">
              <w:rPr>
                <w:bCs w:val="0"/>
                <w:color w:val="000000"/>
              </w:rPr>
              <w:t>3^</w:t>
            </w:r>
          </w:p>
        </w:tc>
      </w:tr>
      <w:tr w:rsidR="009A7EC3" w:rsidRPr="00DE25AD" w14:paraId="280462A0" w14:textId="77777777" w:rsidTr="00114C21">
        <w:tc>
          <w:tcPr>
            <w:tcW w:w="1517" w:type="dxa"/>
            <w:tcMar>
              <w:left w:w="57" w:type="dxa"/>
            </w:tcMar>
          </w:tcPr>
          <w:p w14:paraId="452B0C72" w14:textId="77777777" w:rsidR="009A7EC3" w:rsidRPr="00DE25AD" w:rsidRDefault="009A7EC3" w:rsidP="009A7EC3">
            <w:pPr>
              <w:pStyle w:val="ACCESSTableHeaderRow"/>
            </w:pPr>
          </w:p>
        </w:tc>
        <w:tc>
          <w:tcPr>
            <w:tcW w:w="1068" w:type="dxa"/>
            <w:shd w:val="clear" w:color="auto" w:fill="auto"/>
            <w:tcMar>
              <w:left w:w="57" w:type="dxa"/>
            </w:tcMar>
            <w:vAlign w:val="bottom"/>
          </w:tcPr>
          <w:p w14:paraId="4E451349" w14:textId="336858FF" w:rsidR="009A7EC3" w:rsidRPr="00DE25AD" w:rsidRDefault="009A7EC3" w:rsidP="009A7EC3">
            <w:pPr>
              <w:pStyle w:val="ASSAD2017ACCESSBody1"/>
            </w:pPr>
            <w:r w:rsidRPr="00DE25AD">
              <w:t>Total</w:t>
            </w:r>
          </w:p>
        </w:tc>
        <w:tc>
          <w:tcPr>
            <w:tcW w:w="878" w:type="dxa"/>
            <w:shd w:val="clear" w:color="auto" w:fill="auto"/>
          </w:tcPr>
          <w:p w14:paraId="4B01C3F1" w14:textId="7EBC4828" w:rsidR="009A7EC3" w:rsidRPr="00DE25AD" w:rsidRDefault="009A7EC3" w:rsidP="009A7EC3">
            <w:pPr>
              <w:pStyle w:val="ASSADACCESStablecentre"/>
            </w:pPr>
            <w:r w:rsidRPr="002E5727">
              <w:rPr>
                <w:bCs w:val="0"/>
                <w:color w:val="000000"/>
              </w:rPr>
              <w:t>17*</w:t>
            </w:r>
          </w:p>
        </w:tc>
        <w:tc>
          <w:tcPr>
            <w:tcW w:w="879" w:type="dxa"/>
            <w:shd w:val="clear" w:color="auto" w:fill="auto"/>
          </w:tcPr>
          <w:p w14:paraId="1DC6C806" w14:textId="18292BE8" w:rsidR="009A7EC3" w:rsidRPr="00DE25AD" w:rsidRDefault="009A7EC3" w:rsidP="009A7EC3">
            <w:pPr>
              <w:pStyle w:val="ASSADACCESStablecentre"/>
            </w:pPr>
            <w:r w:rsidRPr="002E5727">
              <w:rPr>
                <w:bCs w:val="0"/>
                <w:color w:val="000000"/>
              </w:rPr>
              <w:t>15*^</w:t>
            </w:r>
          </w:p>
        </w:tc>
        <w:tc>
          <w:tcPr>
            <w:tcW w:w="879" w:type="dxa"/>
            <w:shd w:val="clear" w:color="auto" w:fill="auto"/>
          </w:tcPr>
          <w:p w14:paraId="6DF44EFD" w14:textId="7E86230B" w:rsidR="009A7EC3" w:rsidRPr="00DE25AD" w:rsidRDefault="009A7EC3" w:rsidP="009A7EC3">
            <w:pPr>
              <w:pStyle w:val="ASSADACCESStablecentre"/>
            </w:pPr>
            <w:r w:rsidRPr="002E5727">
              <w:rPr>
                <w:bCs w:val="0"/>
                <w:color w:val="000000"/>
              </w:rPr>
              <w:t>11*^</w:t>
            </w:r>
          </w:p>
        </w:tc>
        <w:tc>
          <w:tcPr>
            <w:tcW w:w="879" w:type="dxa"/>
            <w:shd w:val="clear" w:color="auto" w:fill="auto"/>
          </w:tcPr>
          <w:p w14:paraId="508744AF" w14:textId="7AFB4CF0" w:rsidR="009A7EC3" w:rsidRPr="00DE25AD" w:rsidRDefault="009A7EC3" w:rsidP="009A7EC3">
            <w:pPr>
              <w:pStyle w:val="ASSADACCESStablecentre"/>
            </w:pPr>
            <w:r w:rsidRPr="002E5727">
              <w:rPr>
                <w:bCs w:val="0"/>
                <w:color w:val="000000"/>
              </w:rPr>
              <w:t>7*^</w:t>
            </w:r>
          </w:p>
        </w:tc>
        <w:tc>
          <w:tcPr>
            <w:tcW w:w="879" w:type="dxa"/>
            <w:shd w:val="clear" w:color="auto" w:fill="auto"/>
          </w:tcPr>
          <w:p w14:paraId="7062C251" w14:textId="15C37B6A" w:rsidR="009A7EC3" w:rsidRPr="00DE25AD" w:rsidRDefault="009A7EC3" w:rsidP="009A7EC3">
            <w:pPr>
              <w:pStyle w:val="ASSADACCESStablecentre"/>
            </w:pPr>
            <w:r w:rsidRPr="002E5727">
              <w:rPr>
                <w:bCs w:val="0"/>
                <w:color w:val="000000"/>
              </w:rPr>
              <w:t>5*^</w:t>
            </w:r>
          </w:p>
        </w:tc>
        <w:tc>
          <w:tcPr>
            <w:tcW w:w="879" w:type="dxa"/>
            <w:shd w:val="clear" w:color="auto" w:fill="auto"/>
          </w:tcPr>
          <w:p w14:paraId="17C587FA" w14:textId="07625E77" w:rsidR="009A7EC3" w:rsidRPr="00DE25AD" w:rsidRDefault="009A7EC3" w:rsidP="009A7EC3">
            <w:pPr>
              <w:pStyle w:val="ASSADACCESStablecentre"/>
            </w:pPr>
            <w:r w:rsidRPr="002E5727">
              <w:rPr>
                <w:bCs w:val="0"/>
                <w:color w:val="000000"/>
              </w:rPr>
              <w:t>4*^</w:t>
            </w:r>
          </w:p>
        </w:tc>
        <w:tc>
          <w:tcPr>
            <w:tcW w:w="879" w:type="dxa"/>
            <w:shd w:val="clear" w:color="auto" w:fill="auto"/>
          </w:tcPr>
          <w:p w14:paraId="758FA8EC" w14:textId="63CE9D3F" w:rsidR="009A7EC3" w:rsidRPr="00DE25AD" w:rsidRDefault="009A7EC3" w:rsidP="009A7EC3">
            <w:pPr>
              <w:pStyle w:val="ASSADACCESStablecentre"/>
            </w:pPr>
            <w:r w:rsidRPr="002E5727">
              <w:rPr>
                <w:bCs w:val="0"/>
                <w:color w:val="000000"/>
              </w:rPr>
              <w:t>3^</w:t>
            </w:r>
          </w:p>
        </w:tc>
        <w:tc>
          <w:tcPr>
            <w:tcW w:w="879" w:type="dxa"/>
            <w:shd w:val="clear" w:color="auto" w:fill="auto"/>
          </w:tcPr>
          <w:p w14:paraId="0FFE40B0" w14:textId="08736590" w:rsidR="009A7EC3" w:rsidRPr="00DE25AD" w:rsidRDefault="009A7EC3" w:rsidP="009A7EC3">
            <w:pPr>
              <w:pStyle w:val="ASSADACCESStablecentre"/>
            </w:pPr>
            <w:r w:rsidRPr="002E5727">
              <w:rPr>
                <w:bCs w:val="0"/>
                <w:color w:val="000000"/>
              </w:rPr>
              <w:t>3^</w:t>
            </w:r>
          </w:p>
        </w:tc>
      </w:tr>
      <w:tr w:rsidR="009A7EC3" w:rsidRPr="00DE25AD" w14:paraId="37C7AB5B" w14:textId="77777777" w:rsidTr="00545FF4">
        <w:tc>
          <w:tcPr>
            <w:tcW w:w="1517" w:type="dxa"/>
            <w:tcMar>
              <w:left w:w="57" w:type="dxa"/>
            </w:tcMar>
          </w:tcPr>
          <w:p w14:paraId="737A32DD" w14:textId="4B5CED80" w:rsidR="009A7EC3" w:rsidRPr="00DE25AD" w:rsidRDefault="009A7EC3" w:rsidP="009A7EC3">
            <w:pPr>
              <w:pStyle w:val="ACCESSTableHeaderRow"/>
            </w:pPr>
            <w:r>
              <w:t>Committed</w:t>
            </w:r>
          </w:p>
        </w:tc>
        <w:tc>
          <w:tcPr>
            <w:tcW w:w="1068" w:type="dxa"/>
            <w:shd w:val="clear" w:color="auto" w:fill="auto"/>
            <w:tcMar>
              <w:left w:w="57" w:type="dxa"/>
            </w:tcMar>
            <w:vAlign w:val="bottom"/>
          </w:tcPr>
          <w:p w14:paraId="554F45D5" w14:textId="1F895B24" w:rsidR="009A7EC3" w:rsidRPr="00DE25AD" w:rsidRDefault="009A7EC3" w:rsidP="009A7EC3">
            <w:pPr>
              <w:pStyle w:val="ASSAD2017ACCESSBody1"/>
            </w:pPr>
            <w:r w:rsidRPr="00DE25AD">
              <w:t>Male</w:t>
            </w:r>
          </w:p>
        </w:tc>
        <w:tc>
          <w:tcPr>
            <w:tcW w:w="878" w:type="dxa"/>
            <w:shd w:val="clear" w:color="auto" w:fill="auto"/>
          </w:tcPr>
          <w:p w14:paraId="5D36D624" w14:textId="4E0BF976" w:rsidR="009A7EC3" w:rsidRPr="00DE25AD" w:rsidRDefault="009A7EC3" w:rsidP="009A7EC3">
            <w:pPr>
              <w:pStyle w:val="ASSADACCESStablecentre"/>
            </w:pPr>
            <w:r w:rsidRPr="002E5727">
              <w:rPr>
                <w:bCs w:val="0"/>
                <w:color w:val="000000"/>
              </w:rPr>
              <w:t>11*</w:t>
            </w:r>
          </w:p>
        </w:tc>
        <w:tc>
          <w:tcPr>
            <w:tcW w:w="879" w:type="dxa"/>
            <w:shd w:val="clear" w:color="auto" w:fill="auto"/>
          </w:tcPr>
          <w:p w14:paraId="1BC21426" w14:textId="3C6E0DE4" w:rsidR="009A7EC3" w:rsidRPr="00DE25AD" w:rsidRDefault="009A7EC3" w:rsidP="009A7EC3">
            <w:pPr>
              <w:pStyle w:val="ASSADACCESStablecentre"/>
            </w:pPr>
            <w:r w:rsidRPr="002E5727">
              <w:rPr>
                <w:bCs w:val="0"/>
                <w:color w:val="000000"/>
              </w:rPr>
              <w:t>9*</w:t>
            </w:r>
          </w:p>
        </w:tc>
        <w:tc>
          <w:tcPr>
            <w:tcW w:w="879" w:type="dxa"/>
            <w:shd w:val="clear" w:color="auto" w:fill="auto"/>
          </w:tcPr>
          <w:p w14:paraId="7F8BACF3" w14:textId="6517BE7D" w:rsidR="009A7EC3" w:rsidRPr="00DE25AD" w:rsidRDefault="009A7EC3" w:rsidP="009A7EC3">
            <w:pPr>
              <w:pStyle w:val="ASSADACCESStablecentre"/>
            </w:pPr>
            <w:r w:rsidRPr="002E5727">
              <w:rPr>
                <w:bCs w:val="0"/>
                <w:color w:val="000000"/>
              </w:rPr>
              <w:t>6*^</w:t>
            </w:r>
          </w:p>
        </w:tc>
        <w:tc>
          <w:tcPr>
            <w:tcW w:w="879" w:type="dxa"/>
            <w:shd w:val="clear" w:color="auto" w:fill="auto"/>
          </w:tcPr>
          <w:p w14:paraId="2C76DA7E" w14:textId="5AF3B95E" w:rsidR="009A7EC3" w:rsidRPr="00DE25AD" w:rsidRDefault="009A7EC3" w:rsidP="009A7EC3">
            <w:pPr>
              <w:pStyle w:val="ASSADACCESStablecentre"/>
            </w:pPr>
            <w:r w:rsidRPr="002E5727">
              <w:rPr>
                <w:bCs w:val="0"/>
                <w:color w:val="000000"/>
              </w:rPr>
              <w:t>4*^</w:t>
            </w:r>
          </w:p>
        </w:tc>
        <w:tc>
          <w:tcPr>
            <w:tcW w:w="879" w:type="dxa"/>
            <w:shd w:val="clear" w:color="auto" w:fill="auto"/>
          </w:tcPr>
          <w:p w14:paraId="66A8E31F" w14:textId="531B43EF" w:rsidR="009A7EC3" w:rsidRPr="00DE25AD" w:rsidRDefault="009A7EC3" w:rsidP="009A7EC3">
            <w:pPr>
              <w:pStyle w:val="ASSADACCESStablecentre"/>
            </w:pPr>
            <w:r w:rsidRPr="002E5727">
              <w:rPr>
                <w:bCs w:val="0"/>
                <w:color w:val="000000"/>
              </w:rPr>
              <w:t>3*^</w:t>
            </w:r>
          </w:p>
        </w:tc>
        <w:tc>
          <w:tcPr>
            <w:tcW w:w="879" w:type="dxa"/>
            <w:shd w:val="clear" w:color="auto" w:fill="auto"/>
          </w:tcPr>
          <w:p w14:paraId="781E03CF" w14:textId="5809FA2B" w:rsidR="009A7EC3" w:rsidRPr="00DE25AD" w:rsidRDefault="009A7EC3" w:rsidP="009A7EC3">
            <w:pPr>
              <w:pStyle w:val="ASSADACCESStablecentre"/>
            </w:pPr>
            <w:r w:rsidRPr="002E5727">
              <w:rPr>
                <w:bCs w:val="0"/>
                <w:color w:val="000000"/>
              </w:rPr>
              <w:t>2^</w:t>
            </w:r>
          </w:p>
        </w:tc>
        <w:tc>
          <w:tcPr>
            <w:tcW w:w="879" w:type="dxa"/>
            <w:shd w:val="clear" w:color="auto" w:fill="auto"/>
          </w:tcPr>
          <w:p w14:paraId="5CAFB1C8" w14:textId="11CF355E" w:rsidR="009A7EC3" w:rsidRPr="00DE25AD" w:rsidRDefault="009A7EC3" w:rsidP="009A7EC3">
            <w:pPr>
              <w:pStyle w:val="ASSADACCESStablecentre"/>
            </w:pPr>
            <w:r w:rsidRPr="002E5727">
              <w:rPr>
                <w:bCs w:val="0"/>
                <w:color w:val="000000"/>
              </w:rPr>
              <w:t>2^</w:t>
            </w:r>
          </w:p>
        </w:tc>
        <w:tc>
          <w:tcPr>
            <w:tcW w:w="879" w:type="dxa"/>
            <w:shd w:val="clear" w:color="auto" w:fill="auto"/>
          </w:tcPr>
          <w:p w14:paraId="32851D74" w14:textId="553F0048" w:rsidR="009A7EC3" w:rsidRPr="00DE25AD" w:rsidRDefault="009A7EC3" w:rsidP="009A7EC3">
            <w:pPr>
              <w:pStyle w:val="ASSADACCESStablecentre"/>
            </w:pPr>
            <w:r w:rsidRPr="002E5727">
              <w:rPr>
                <w:bCs w:val="0"/>
                <w:color w:val="000000"/>
              </w:rPr>
              <w:t>2^</w:t>
            </w:r>
          </w:p>
        </w:tc>
      </w:tr>
      <w:tr w:rsidR="009A7EC3" w:rsidRPr="00DE25AD" w14:paraId="08A69CED" w14:textId="77777777" w:rsidTr="00114C21">
        <w:trPr>
          <w:trHeight w:val="277"/>
        </w:trPr>
        <w:tc>
          <w:tcPr>
            <w:tcW w:w="1517" w:type="dxa"/>
            <w:tcMar>
              <w:left w:w="57" w:type="dxa"/>
            </w:tcMar>
          </w:tcPr>
          <w:p w14:paraId="046BE6EF" w14:textId="77777777" w:rsidR="009A7EC3" w:rsidRPr="00DE25AD" w:rsidRDefault="009A7EC3" w:rsidP="009A7EC3">
            <w:pPr>
              <w:pStyle w:val="ACCESSTableHeaderRow"/>
            </w:pPr>
          </w:p>
        </w:tc>
        <w:tc>
          <w:tcPr>
            <w:tcW w:w="1068" w:type="dxa"/>
            <w:shd w:val="clear" w:color="auto" w:fill="auto"/>
            <w:tcMar>
              <w:left w:w="57" w:type="dxa"/>
            </w:tcMar>
            <w:vAlign w:val="bottom"/>
          </w:tcPr>
          <w:p w14:paraId="02058F17" w14:textId="31FE50BB" w:rsidR="009A7EC3" w:rsidRPr="00DE25AD" w:rsidRDefault="009A7EC3" w:rsidP="009A7EC3">
            <w:pPr>
              <w:pStyle w:val="ASSAD2017ACCESSBody1"/>
            </w:pPr>
            <w:r w:rsidRPr="00DE25AD">
              <w:t>Female</w:t>
            </w:r>
          </w:p>
        </w:tc>
        <w:tc>
          <w:tcPr>
            <w:tcW w:w="878" w:type="dxa"/>
            <w:shd w:val="clear" w:color="auto" w:fill="auto"/>
          </w:tcPr>
          <w:p w14:paraId="2A4F0E58" w14:textId="6CFABFA4" w:rsidR="009A7EC3" w:rsidRPr="00DE25AD" w:rsidRDefault="009A7EC3" w:rsidP="009A7EC3">
            <w:pPr>
              <w:pStyle w:val="ASSADACCESStablecentre"/>
            </w:pPr>
            <w:r w:rsidRPr="002E5727">
              <w:rPr>
                <w:bCs w:val="0"/>
                <w:color w:val="000000"/>
              </w:rPr>
              <w:t>11*</w:t>
            </w:r>
          </w:p>
        </w:tc>
        <w:tc>
          <w:tcPr>
            <w:tcW w:w="879" w:type="dxa"/>
            <w:shd w:val="clear" w:color="auto" w:fill="auto"/>
          </w:tcPr>
          <w:p w14:paraId="35E60729" w14:textId="6A96EF96" w:rsidR="009A7EC3" w:rsidRPr="00DE25AD" w:rsidRDefault="009A7EC3" w:rsidP="009A7EC3">
            <w:pPr>
              <w:pStyle w:val="ASSADACCESStablecentre"/>
            </w:pPr>
            <w:r>
              <w:rPr>
                <w:bCs w:val="0"/>
                <w:color w:val="000000"/>
              </w:rPr>
              <w:t>10</w:t>
            </w:r>
            <w:r w:rsidRPr="002E5727">
              <w:rPr>
                <w:bCs w:val="0"/>
                <w:color w:val="000000"/>
              </w:rPr>
              <w:t>*</w:t>
            </w:r>
          </w:p>
        </w:tc>
        <w:tc>
          <w:tcPr>
            <w:tcW w:w="879" w:type="dxa"/>
            <w:shd w:val="clear" w:color="auto" w:fill="auto"/>
          </w:tcPr>
          <w:p w14:paraId="54AD7B6C" w14:textId="3B7234D2" w:rsidR="009A7EC3" w:rsidRPr="00DE25AD" w:rsidRDefault="009A7EC3" w:rsidP="009A7EC3">
            <w:pPr>
              <w:pStyle w:val="ASSADACCESStablecentre"/>
            </w:pPr>
            <w:r>
              <w:rPr>
                <w:bCs w:val="0"/>
                <w:color w:val="000000"/>
              </w:rPr>
              <w:t>7</w:t>
            </w:r>
            <w:r w:rsidRPr="002E5727">
              <w:rPr>
                <w:bCs w:val="0"/>
                <w:color w:val="000000"/>
              </w:rPr>
              <w:t>*^</w:t>
            </w:r>
          </w:p>
        </w:tc>
        <w:tc>
          <w:tcPr>
            <w:tcW w:w="879" w:type="dxa"/>
            <w:shd w:val="clear" w:color="auto" w:fill="auto"/>
          </w:tcPr>
          <w:p w14:paraId="1E64BBAC" w14:textId="27612246" w:rsidR="009A7EC3" w:rsidRPr="00DE25AD" w:rsidRDefault="009A7EC3" w:rsidP="009A7EC3">
            <w:pPr>
              <w:pStyle w:val="ASSADACCESStablecentre"/>
            </w:pPr>
            <w:r w:rsidRPr="002E5727">
              <w:rPr>
                <w:bCs w:val="0"/>
                <w:color w:val="000000"/>
              </w:rPr>
              <w:t>4*^</w:t>
            </w:r>
          </w:p>
        </w:tc>
        <w:tc>
          <w:tcPr>
            <w:tcW w:w="879" w:type="dxa"/>
            <w:shd w:val="clear" w:color="auto" w:fill="auto"/>
          </w:tcPr>
          <w:p w14:paraId="19807C5F" w14:textId="546CA3EE" w:rsidR="009A7EC3" w:rsidRPr="00DE25AD" w:rsidRDefault="009A7EC3" w:rsidP="009A7EC3">
            <w:pPr>
              <w:pStyle w:val="ASSADACCESStablecentre"/>
            </w:pPr>
            <w:r w:rsidRPr="002E5727">
              <w:rPr>
                <w:bCs w:val="0"/>
                <w:color w:val="000000"/>
              </w:rPr>
              <w:t>3*^</w:t>
            </w:r>
          </w:p>
        </w:tc>
        <w:tc>
          <w:tcPr>
            <w:tcW w:w="879" w:type="dxa"/>
            <w:shd w:val="clear" w:color="auto" w:fill="auto"/>
          </w:tcPr>
          <w:p w14:paraId="712FF58A" w14:textId="66D9CCC2" w:rsidR="009A7EC3" w:rsidRPr="00DE25AD" w:rsidRDefault="009A7EC3" w:rsidP="009A7EC3">
            <w:pPr>
              <w:pStyle w:val="ASSADACCESStablecentre"/>
            </w:pPr>
            <w:r w:rsidRPr="002E5727">
              <w:rPr>
                <w:bCs w:val="0"/>
                <w:color w:val="000000"/>
              </w:rPr>
              <w:t>2</w:t>
            </w:r>
            <w:r>
              <w:rPr>
                <w:bCs w:val="0"/>
                <w:color w:val="000000"/>
              </w:rPr>
              <w:t>*</w:t>
            </w:r>
            <w:r w:rsidRPr="002E5727">
              <w:rPr>
                <w:bCs w:val="0"/>
                <w:color w:val="000000"/>
              </w:rPr>
              <w:t>^</w:t>
            </w:r>
          </w:p>
        </w:tc>
        <w:tc>
          <w:tcPr>
            <w:tcW w:w="879" w:type="dxa"/>
            <w:shd w:val="clear" w:color="auto" w:fill="auto"/>
          </w:tcPr>
          <w:p w14:paraId="0FD06FD3" w14:textId="4C910C83" w:rsidR="009A7EC3" w:rsidRPr="00DE25AD" w:rsidRDefault="009A7EC3" w:rsidP="009A7EC3">
            <w:pPr>
              <w:pStyle w:val="ASSADACCESStablecentre"/>
            </w:pPr>
            <w:r w:rsidRPr="002E5727">
              <w:rPr>
                <w:bCs w:val="0"/>
                <w:color w:val="000000"/>
              </w:rPr>
              <w:t>2^</w:t>
            </w:r>
          </w:p>
        </w:tc>
        <w:tc>
          <w:tcPr>
            <w:tcW w:w="879" w:type="dxa"/>
            <w:shd w:val="clear" w:color="auto" w:fill="auto"/>
          </w:tcPr>
          <w:p w14:paraId="57EBB5B4" w14:textId="7399D5DA" w:rsidR="009A7EC3" w:rsidRPr="00DE25AD" w:rsidRDefault="009A7EC3" w:rsidP="009A7EC3">
            <w:pPr>
              <w:pStyle w:val="ASSADACCESStablecentre"/>
            </w:pPr>
            <w:r>
              <w:rPr>
                <w:bCs w:val="0"/>
                <w:color w:val="000000"/>
              </w:rPr>
              <w:t>1</w:t>
            </w:r>
            <w:r w:rsidRPr="002E5727">
              <w:rPr>
                <w:bCs w:val="0"/>
                <w:color w:val="000000"/>
              </w:rPr>
              <w:t>^</w:t>
            </w:r>
          </w:p>
        </w:tc>
      </w:tr>
      <w:tr w:rsidR="009A7EC3" w:rsidRPr="00DE25AD" w14:paraId="37EE24CA" w14:textId="77777777" w:rsidTr="00114C21">
        <w:trPr>
          <w:trHeight w:val="84"/>
        </w:trPr>
        <w:tc>
          <w:tcPr>
            <w:tcW w:w="1517" w:type="dxa"/>
            <w:tcMar>
              <w:left w:w="57" w:type="dxa"/>
            </w:tcMar>
          </w:tcPr>
          <w:p w14:paraId="6CDE2E3C" w14:textId="77777777" w:rsidR="009A7EC3" w:rsidRPr="00DE25AD" w:rsidRDefault="009A7EC3" w:rsidP="009A7EC3">
            <w:pPr>
              <w:pStyle w:val="ACCESSTableHeaderRow"/>
            </w:pPr>
          </w:p>
        </w:tc>
        <w:tc>
          <w:tcPr>
            <w:tcW w:w="1068" w:type="dxa"/>
            <w:shd w:val="clear" w:color="auto" w:fill="auto"/>
            <w:tcMar>
              <w:left w:w="57" w:type="dxa"/>
            </w:tcMar>
            <w:vAlign w:val="bottom"/>
          </w:tcPr>
          <w:p w14:paraId="7ADEDE1A" w14:textId="3A871FDD" w:rsidR="009A7EC3" w:rsidRPr="00DE25AD" w:rsidRDefault="009A7EC3" w:rsidP="009A7EC3">
            <w:pPr>
              <w:pStyle w:val="ASSAD2017ACCESSBody1"/>
            </w:pPr>
            <w:r w:rsidRPr="00DE25AD">
              <w:t>Total</w:t>
            </w:r>
          </w:p>
        </w:tc>
        <w:tc>
          <w:tcPr>
            <w:tcW w:w="878" w:type="dxa"/>
            <w:shd w:val="clear" w:color="auto" w:fill="auto"/>
          </w:tcPr>
          <w:p w14:paraId="52FB7984" w14:textId="6FAE0B59" w:rsidR="009A7EC3" w:rsidRPr="00DE25AD" w:rsidRDefault="009A7EC3" w:rsidP="009A7EC3">
            <w:pPr>
              <w:pStyle w:val="ASSADACCESStablecentre"/>
            </w:pPr>
            <w:r w:rsidRPr="002E5727">
              <w:rPr>
                <w:bCs w:val="0"/>
                <w:color w:val="000000"/>
              </w:rPr>
              <w:t>11*</w:t>
            </w:r>
          </w:p>
        </w:tc>
        <w:tc>
          <w:tcPr>
            <w:tcW w:w="879" w:type="dxa"/>
            <w:shd w:val="clear" w:color="auto" w:fill="auto"/>
          </w:tcPr>
          <w:p w14:paraId="1471905A" w14:textId="02F6389E" w:rsidR="009A7EC3" w:rsidRPr="00DE25AD" w:rsidRDefault="009A7EC3" w:rsidP="009A7EC3">
            <w:pPr>
              <w:pStyle w:val="ASSADACCESStablecentre"/>
            </w:pPr>
            <w:r w:rsidRPr="002E5727">
              <w:rPr>
                <w:bCs w:val="0"/>
                <w:color w:val="000000"/>
              </w:rPr>
              <w:t>10*</w:t>
            </w:r>
            <w:r>
              <w:rPr>
                <w:bCs w:val="0"/>
                <w:color w:val="000000"/>
              </w:rPr>
              <w:t>^</w:t>
            </w:r>
          </w:p>
        </w:tc>
        <w:tc>
          <w:tcPr>
            <w:tcW w:w="879" w:type="dxa"/>
            <w:shd w:val="clear" w:color="auto" w:fill="auto"/>
          </w:tcPr>
          <w:p w14:paraId="63BB868A" w14:textId="3AE6AC70" w:rsidR="009A7EC3" w:rsidRPr="00DE25AD" w:rsidRDefault="009A7EC3" w:rsidP="009A7EC3">
            <w:pPr>
              <w:pStyle w:val="ASSADACCESStablecentre"/>
            </w:pPr>
            <w:r w:rsidRPr="002E5727">
              <w:rPr>
                <w:bCs w:val="0"/>
                <w:color w:val="000000"/>
              </w:rPr>
              <w:t>6*^</w:t>
            </w:r>
          </w:p>
        </w:tc>
        <w:tc>
          <w:tcPr>
            <w:tcW w:w="879" w:type="dxa"/>
            <w:shd w:val="clear" w:color="auto" w:fill="auto"/>
          </w:tcPr>
          <w:p w14:paraId="2C253EAA" w14:textId="3E721085" w:rsidR="009A7EC3" w:rsidRPr="00DE25AD" w:rsidRDefault="009A7EC3" w:rsidP="009A7EC3">
            <w:pPr>
              <w:pStyle w:val="ASSADACCESStablecentre"/>
            </w:pPr>
            <w:r w:rsidRPr="002E5727">
              <w:rPr>
                <w:bCs w:val="0"/>
                <w:color w:val="000000"/>
              </w:rPr>
              <w:t>4*^</w:t>
            </w:r>
          </w:p>
        </w:tc>
        <w:tc>
          <w:tcPr>
            <w:tcW w:w="879" w:type="dxa"/>
            <w:shd w:val="clear" w:color="auto" w:fill="auto"/>
          </w:tcPr>
          <w:p w14:paraId="2BE1D421" w14:textId="38F081E7" w:rsidR="009A7EC3" w:rsidRPr="00DE25AD" w:rsidRDefault="009A7EC3" w:rsidP="009A7EC3">
            <w:pPr>
              <w:pStyle w:val="ASSADACCESStablecentre"/>
            </w:pPr>
            <w:r w:rsidRPr="002E5727">
              <w:rPr>
                <w:bCs w:val="0"/>
                <w:color w:val="000000"/>
              </w:rPr>
              <w:t>3*^</w:t>
            </w:r>
          </w:p>
        </w:tc>
        <w:tc>
          <w:tcPr>
            <w:tcW w:w="879" w:type="dxa"/>
            <w:shd w:val="clear" w:color="auto" w:fill="auto"/>
          </w:tcPr>
          <w:p w14:paraId="1193BDB3" w14:textId="7DB44E9C" w:rsidR="009A7EC3" w:rsidRPr="00DE25AD" w:rsidRDefault="009A7EC3" w:rsidP="009A7EC3">
            <w:pPr>
              <w:pStyle w:val="ASSADACCESStablecentre"/>
            </w:pPr>
            <w:r w:rsidRPr="002E5727">
              <w:rPr>
                <w:bCs w:val="0"/>
                <w:color w:val="000000"/>
              </w:rPr>
              <w:t>2*^</w:t>
            </w:r>
          </w:p>
        </w:tc>
        <w:tc>
          <w:tcPr>
            <w:tcW w:w="879" w:type="dxa"/>
            <w:shd w:val="clear" w:color="auto" w:fill="auto"/>
          </w:tcPr>
          <w:p w14:paraId="34882531" w14:textId="0938B2C2" w:rsidR="009A7EC3" w:rsidRPr="00DE25AD" w:rsidRDefault="009A7EC3" w:rsidP="009A7EC3">
            <w:pPr>
              <w:pStyle w:val="ASSADACCESStablecentre"/>
            </w:pPr>
            <w:r w:rsidRPr="002E5727">
              <w:rPr>
                <w:bCs w:val="0"/>
                <w:color w:val="000000"/>
              </w:rPr>
              <w:t>2^</w:t>
            </w:r>
          </w:p>
        </w:tc>
        <w:tc>
          <w:tcPr>
            <w:tcW w:w="879" w:type="dxa"/>
            <w:shd w:val="clear" w:color="auto" w:fill="auto"/>
          </w:tcPr>
          <w:p w14:paraId="6BE128FB" w14:textId="5F2E6828" w:rsidR="009A7EC3" w:rsidRPr="00DE25AD" w:rsidRDefault="009A7EC3" w:rsidP="009A7EC3">
            <w:pPr>
              <w:pStyle w:val="ASSADACCESStablecentre"/>
            </w:pPr>
            <w:r w:rsidRPr="002E5727">
              <w:rPr>
                <w:bCs w:val="0"/>
                <w:color w:val="000000"/>
              </w:rPr>
              <w:t>2^</w:t>
            </w:r>
          </w:p>
        </w:tc>
      </w:tr>
      <w:tr w:rsidR="009A7EC3" w:rsidRPr="00DE25AD" w14:paraId="5B82DF0D" w14:textId="77777777" w:rsidTr="00545FF4">
        <w:tc>
          <w:tcPr>
            <w:tcW w:w="1517" w:type="dxa"/>
            <w:tcMar>
              <w:left w:w="57" w:type="dxa"/>
            </w:tcMar>
          </w:tcPr>
          <w:p w14:paraId="078873F5" w14:textId="4564A487" w:rsidR="009A7EC3" w:rsidRPr="00DE25AD" w:rsidRDefault="009A7EC3" w:rsidP="009A7EC3">
            <w:pPr>
              <w:pStyle w:val="ACCESSTableHeaderRow"/>
            </w:pPr>
            <w:r>
              <w:t>Daily</w:t>
            </w:r>
          </w:p>
        </w:tc>
        <w:tc>
          <w:tcPr>
            <w:tcW w:w="1068" w:type="dxa"/>
            <w:shd w:val="clear" w:color="auto" w:fill="auto"/>
            <w:tcMar>
              <w:left w:w="57" w:type="dxa"/>
            </w:tcMar>
            <w:vAlign w:val="bottom"/>
          </w:tcPr>
          <w:p w14:paraId="438636CD" w14:textId="22A0A28B" w:rsidR="009A7EC3" w:rsidRPr="00DE25AD" w:rsidRDefault="009A7EC3" w:rsidP="009A7EC3">
            <w:pPr>
              <w:pStyle w:val="ASSAD2017ACCESSBody1"/>
            </w:pPr>
            <w:r w:rsidRPr="00DE25AD">
              <w:t>Male</w:t>
            </w:r>
          </w:p>
        </w:tc>
        <w:tc>
          <w:tcPr>
            <w:tcW w:w="878" w:type="dxa"/>
            <w:shd w:val="clear" w:color="auto" w:fill="auto"/>
          </w:tcPr>
          <w:p w14:paraId="0EF13EDA" w14:textId="125EC2C4" w:rsidR="009A7EC3" w:rsidRPr="00DE25AD" w:rsidRDefault="009A7EC3" w:rsidP="009A7EC3">
            <w:pPr>
              <w:pStyle w:val="ASSADACCESStablecentre"/>
            </w:pPr>
            <w:r w:rsidRPr="002E5727">
              <w:rPr>
                <w:bCs w:val="0"/>
                <w:color w:val="000000"/>
              </w:rPr>
              <w:t>5*</w:t>
            </w:r>
          </w:p>
        </w:tc>
        <w:tc>
          <w:tcPr>
            <w:tcW w:w="879" w:type="dxa"/>
            <w:shd w:val="clear" w:color="auto" w:fill="auto"/>
          </w:tcPr>
          <w:p w14:paraId="5804E5A5" w14:textId="586292D2" w:rsidR="009A7EC3" w:rsidRPr="00DE25AD" w:rsidRDefault="009A7EC3" w:rsidP="009A7EC3">
            <w:pPr>
              <w:pStyle w:val="ASSADACCESStablecentre"/>
            </w:pPr>
            <w:r w:rsidRPr="002E5727">
              <w:rPr>
                <w:bCs w:val="0"/>
                <w:color w:val="000000"/>
              </w:rPr>
              <w:t>5*</w:t>
            </w:r>
          </w:p>
        </w:tc>
        <w:tc>
          <w:tcPr>
            <w:tcW w:w="879" w:type="dxa"/>
            <w:shd w:val="clear" w:color="auto" w:fill="auto"/>
          </w:tcPr>
          <w:p w14:paraId="4EEACA79" w14:textId="58A77647" w:rsidR="009A7EC3" w:rsidRPr="00DE25AD" w:rsidRDefault="009A7EC3" w:rsidP="009A7EC3">
            <w:pPr>
              <w:pStyle w:val="ASSADACCESStablecentre"/>
            </w:pPr>
            <w:r w:rsidRPr="002E5727">
              <w:rPr>
                <w:bCs w:val="0"/>
                <w:color w:val="000000"/>
              </w:rPr>
              <w:t>3*^</w:t>
            </w:r>
          </w:p>
        </w:tc>
        <w:tc>
          <w:tcPr>
            <w:tcW w:w="879" w:type="dxa"/>
            <w:shd w:val="clear" w:color="auto" w:fill="auto"/>
          </w:tcPr>
          <w:p w14:paraId="20667480" w14:textId="2B716287" w:rsidR="009A7EC3" w:rsidRPr="00DE25AD" w:rsidRDefault="009A7EC3" w:rsidP="009A7EC3">
            <w:pPr>
              <w:pStyle w:val="ASSADACCESStablecentre"/>
            </w:pPr>
            <w:r w:rsidRPr="002E5727">
              <w:rPr>
                <w:bCs w:val="0"/>
                <w:color w:val="000000"/>
              </w:rPr>
              <w:t>2*^</w:t>
            </w:r>
          </w:p>
        </w:tc>
        <w:tc>
          <w:tcPr>
            <w:tcW w:w="879" w:type="dxa"/>
            <w:shd w:val="clear" w:color="auto" w:fill="auto"/>
          </w:tcPr>
          <w:p w14:paraId="15902599" w14:textId="37DD9BA0" w:rsidR="009A7EC3" w:rsidRPr="00DE25AD" w:rsidRDefault="009A7EC3" w:rsidP="009A7EC3">
            <w:pPr>
              <w:pStyle w:val="ASSADACCESStablecentre"/>
            </w:pPr>
            <w:r w:rsidRPr="002E5727">
              <w:rPr>
                <w:bCs w:val="0"/>
                <w:color w:val="000000"/>
              </w:rPr>
              <w:t>1^</w:t>
            </w:r>
          </w:p>
        </w:tc>
        <w:tc>
          <w:tcPr>
            <w:tcW w:w="879" w:type="dxa"/>
            <w:shd w:val="clear" w:color="auto" w:fill="auto"/>
          </w:tcPr>
          <w:p w14:paraId="55FF22EA" w14:textId="4BA82702" w:rsidR="009A7EC3" w:rsidRPr="00DE25AD" w:rsidRDefault="009A7EC3" w:rsidP="009A7EC3">
            <w:pPr>
              <w:pStyle w:val="ASSADACCESStablecentre"/>
            </w:pPr>
            <w:r w:rsidRPr="002E5727">
              <w:rPr>
                <w:bCs w:val="0"/>
                <w:color w:val="000000"/>
              </w:rPr>
              <w:t>1^</w:t>
            </w:r>
          </w:p>
        </w:tc>
        <w:tc>
          <w:tcPr>
            <w:tcW w:w="879" w:type="dxa"/>
            <w:shd w:val="clear" w:color="auto" w:fill="auto"/>
          </w:tcPr>
          <w:p w14:paraId="74E49C70" w14:textId="0CED686C" w:rsidR="009A7EC3" w:rsidRPr="00DE25AD" w:rsidRDefault="009A7EC3" w:rsidP="009A7EC3">
            <w:pPr>
              <w:pStyle w:val="ASSADACCESStablecentre"/>
            </w:pPr>
            <w:r w:rsidRPr="002E5727">
              <w:rPr>
                <w:bCs w:val="0"/>
                <w:color w:val="000000"/>
              </w:rPr>
              <w:t>1^</w:t>
            </w:r>
          </w:p>
        </w:tc>
        <w:tc>
          <w:tcPr>
            <w:tcW w:w="879" w:type="dxa"/>
            <w:shd w:val="clear" w:color="auto" w:fill="auto"/>
          </w:tcPr>
          <w:p w14:paraId="37EB5E06" w14:textId="0ACBB1E8" w:rsidR="009A7EC3" w:rsidRPr="00DE25AD" w:rsidRDefault="009A7EC3" w:rsidP="009A7EC3">
            <w:pPr>
              <w:pStyle w:val="ASSADACCESStablecentre"/>
            </w:pPr>
            <w:r w:rsidRPr="002E5727">
              <w:rPr>
                <w:bCs w:val="0"/>
                <w:color w:val="000000"/>
              </w:rPr>
              <w:t>1^</w:t>
            </w:r>
          </w:p>
        </w:tc>
      </w:tr>
      <w:tr w:rsidR="009A7EC3" w:rsidRPr="00DE25AD" w14:paraId="4EA3C60F" w14:textId="77777777" w:rsidTr="00114C21">
        <w:tc>
          <w:tcPr>
            <w:tcW w:w="1517" w:type="dxa"/>
            <w:tcMar>
              <w:left w:w="57" w:type="dxa"/>
            </w:tcMar>
          </w:tcPr>
          <w:p w14:paraId="48089423" w14:textId="77777777" w:rsidR="009A7EC3" w:rsidRPr="00DE25AD" w:rsidRDefault="009A7EC3" w:rsidP="009A7EC3">
            <w:pPr>
              <w:pStyle w:val="ACCESSTableHeaderRow"/>
            </w:pPr>
          </w:p>
        </w:tc>
        <w:tc>
          <w:tcPr>
            <w:tcW w:w="1068" w:type="dxa"/>
            <w:shd w:val="clear" w:color="auto" w:fill="auto"/>
            <w:tcMar>
              <w:left w:w="57" w:type="dxa"/>
            </w:tcMar>
            <w:vAlign w:val="bottom"/>
          </w:tcPr>
          <w:p w14:paraId="46B3CB84" w14:textId="18D54018" w:rsidR="009A7EC3" w:rsidRPr="00DE25AD" w:rsidRDefault="009A7EC3" w:rsidP="009A7EC3">
            <w:pPr>
              <w:pStyle w:val="ASSAD2017ACCESSBody1"/>
            </w:pPr>
            <w:r w:rsidRPr="00DE25AD">
              <w:t>Female</w:t>
            </w:r>
          </w:p>
        </w:tc>
        <w:tc>
          <w:tcPr>
            <w:tcW w:w="878" w:type="dxa"/>
            <w:shd w:val="clear" w:color="auto" w:fill="auto"/>
          </w:tcPr>
          <w:p w14:paraId="7A935FF7" w14:textId="4374CD60" w:rsidR="009A7EC3" w:rsidRPr="00DE25AD" w:rsidRDefault="009A7EC3" w:rsidP="009A7EC3">
            <w:pPr>
              <w:pStyle w:val="ASSADACCESStablecentre"/>
            </w:pPr>
            <w:r w:rsidRPr="002E5727">
              <w:rPr>
                <w:bCs w:val="0"/>
                <w:color w:val="000000"/>
              </w:rPr>
              <w:t>5*</w:t>
            </w:r>
          </w:p>
        </w:tc>
        <w:tc>
          <w:tcPr>
            <w:tcW w:w="879" w:type="dxa"/>
            <w:shd w:val="clear" w:color="auto" w:fill="auto"/>
          </w:tcPr>
          <w:p w14:paraId="02D57ED8" w14:textId="72F7A946" w:rsidR="009A7EC3" w:rsidRPr="00DE25AD" w:rsidRDefault="009A7EC3" w:rsidP="009A7EC3">
            <w:pPr>
              <w:pStyle w:val="ASSADACCESStablecentre"/>
            </w:pPr>
            <w:r w:rsidRPr="002E5727">
              <w:rPr>
                <w:bCs w:val="0"/>
                <w:color w:val="000000"/>
              </w:rPr>
              <w:t>4*</w:t>
            </w:r>
          </w:p>
        </w:tc>
        <w:tc>
          <w:tcPr>
            <w:tcW w:w="879" w:type="dxa"/>
            <w:shd w:val="clear" w:color="auto" w:fill="auto"/>
          </w:tcPr>
          <w:p w14:paraId="536FDE8A" w14:textId="2225D49F" w:rsidR="009A7EC3" w:rsidRPr="00DE25AD" w:rsidRDefault="009A7EC3" w:rsidP="009A7EC3">
            <w:pPr>
              <w:pStyle w:val="ASSADACCESStablecentre"/>
            </w:pPr>
            <w:r w:rsidRPr="002E5727">
              <w:rPr>
                <w:bCs w:val="0"/>
                <w:color w:val="000000"/>
              </w:rPr>
              <w:t>3*^</w:t>
            </w:r>
          </w:p>
        </w:tc>
        <w:tc>
          <w:tcPr>
            <w:tcW w:w="879" w:type="dxa"/>
            <w:shd w:val="clear" w:color="auto" w:fill="auto"/>
          </w:tcPr>
          <w:p w14:paraId="05B92536" w14:textId="205AAAB6" w:rsidR="009A7EC3" w:rsidRPr="00DE25AD" w:rsidRDefault="009A7EC3" w:rsidP="009A7EC3">
            <w:pPr>
              <w:pStyle w:val="ASSADACCESStablecentre"/>
            </w:pPr>
            <w:r w:rsidRPr="002E5727">
              <w:rPr>
                <w:bCs w:val="0"/>
                <w:color w:val="000000"/>
              </w:rPr>
              <w:t>2*^</w:t>
            </w:r>
          </w:p>
        </w:tc>
        <w:tc>
          <w:tcPr>
            <w:tcW w:w="879" w:type="dxa"/>
            <w:shd w:val="clear" w:color="auto" w:fill="auto"/>
          </w:tcPr>
          <w:p w14:paraId="2AD54144" w14:textId="5153BE84" w:rsidR="009A7EC3" w:rsidRPr="00DE25AD" w:rsidRDefault="009A7EC3" w:rsidP="009A7EC3">
            <w:pPr>
              <w:pStyle w:val="ASSADACCESStablecentre"/>
            </w:pPr>
            <w:r w:rsidRPr="002E5727">
              <w:rPr>
                <w:bCs w:val="0"/>
                <w:color w:val="000000"/>
              </w:rPr>
              <w:t>1*^</w:t>
            </w:r>
          </w:p>
        </w:tc>
        <w:tc>
          <w:tcPr>
            <w:tcW w:w="879" w:type="dxa"/>
            <w:shd w:val="clear" w:color="auto" w:fill="auto"/>
          </w:tcPr>
          <w:p w14:paraId="52358D77" w14:textId="14C0A2DA" w:rsidR="009A7EC3" w:rsidRPr="00DE25AD" w:rsidRDefault="009A7EC3" w:rsidP="009A7EC3">
            <w:pPr>
              <w:pStyle w:val="ASSADACCESStablecentre"/>
            </w:pPr>
            <w:r w:rsidRPr="002E5727">
              <w:rPr>
                <w:bCs w:val="0"/>
                <w:color w:val="000000"/>
              </w:rPr>
              <w:t>1^</w:t>
            </w:r>
          </w:p>
        </w:tc>
        <w:tc>
          <w:tcPr>
            <w:tcW w:w="879" w:type="dxa"/>
            <w:shd w:val="clear" w:color="auto" w:fill="auto"/>
          </w:tcPr>
          <w:p w14:paraId="54002221" w14:textId="3D3430F4" w:rsidR="009A7EC3" w:rsidRPr="00DE25AD" w:rsidRDefault="009A7EC3" w:rsidP="009A7EC3">
            <w:pPr>
              <w:pStyle w:val="ASSADACCESStablecentre"/>
            </w:pPr>
            <w:r w:rsidRPr="002E5727">
              <w:rPr>
                <w:bCs w:val="0"/>
                <w:color w:val="000000"/>
              </w:rPr>
              <w:t>&lt;1^</w:t>
            </w:r>
          </w:p>
        </w:tc>
        <w:tc>
          <w:tcPr>
            <w:tcW w:w="879" w:type="dxa"/>
            <w:shd w:val="clear" w:color="auto" w:fill="auto"/>
          </w:tcPr>
          <w:p w14:paraId="6B80FE2C" w14:textId="1646DD7B" w:rsidR="009A7EC3" w:rsidRPr="00DE25AD" w:rsidRDefault="009A7EC3" w:rsidP="009A7EC3">
            <w:pPr>
              <w:pStyle w:val="ASSADACCESStablecentre"/>
            </w:pPr>
            <w:r w:rsidRPr="002E5727">
              <w:rPr>
                <w:bCs w:val="0"/>
                <w:color w:val="000000"/>
              </w:rPr>
              <w:t>1^</w:t>
            </w:r>
          </w:p>
        </w:tc>
      </w:tr>
      <w:tr w:rsidR="009A7EC3" w:rsidRPr="00DE25AD" w14:paraId="3E0406D4" w14:textId="77777777" w:rsidTr="00114C21">
        <w:trPr>
          <w:trHeight w:val="247"/>
        </w:trPr>
        <w:tc>
          <w:tcPr>
            <w:tcW w:w="1517" w:type="dxa"/>
            <w:tcMar>
              <w:left w:w="57" w:type="dxa"/>
            </w:tcMar>
          </w:tcPr>
          <w:p w14:paraId="7081628A" w14:textId="77777777" w:rsidR="009A7EC3" w:rsidRPr="00DE25AD" w:rsidRDefault="009A7EC3" w:rsidP="009A7EC3">
            <w:pPr>
              <w:pStyle w:val="ACCESSTableHeaderRow"/>
            </w:pPr>
          </w:p>
        </w:tc>
        <w:tc>
          <w:tcPr>
            <w:tcW w:w="1068" w:type="dxa"/>
            <w:shd w:val="clear" w:color="auto" w:fill="auto"/>
            <w:tcMar>
              <w:left w:w="57" w:type="dxa"/>
            </w:tcMar>
            <w:vAlign w:val="bottom"/>
          </w:tcPr>
          <w:p w14:paraId="7BF212D3" w14:textId="0C27DE21" w:rsidR="009A7EC3" w:rsidRPr="00DE25AD" w:rsidRDefault="009A7EC3" w:rsidP="009A7EC3">
            <w:pPr>
              <w:pStyle w:val="ASSAD2017ACCESSBody1"/>
            </w:pPr>
            <w:r w:rsidRPr="00DE25AD">
              <w:t>Total</w:t>
            </w:r>
          </w:p>
        </w:tc>
        <w:tc>
          <w:tcPr>
            <w:tcW w:w="878" w:type="dxa"/>
            <w:shd w:val="clear" w:color="auto" w:fill="auto"/>
          </w:tcPr>
          <w:p w14:paraId="10C91FA4" w14:textId="37AB6D2F" w:rsidR="009A7EC3" w:rsidRPr="00DE25AD" w:rsidRDefault="009A7EC3" w:rsidP="009A7EC3">
            <w:pPr>
              <w:pStyle w:val="ASSADACCESStablecentre"/>
            </w:pPr>
            <w:r w:rsidRPr="002E5727">
              <w:rPr>
                <w:bCs w:val="0"/>
                <w:color w:val="000000"/>
              </w:rPr>
              <w:t>5*</w:t>
            </w:r>
          </w:p>
        </w:tc>
        <w:tc>
          <w:tcPr>
            <w:tcW w:w="879" w:type="dxa"/>
            <w:shd w:val="clear" w:color="auto" w:fill="auto"/>
          </w:tcPr>
          <w:p w14:paraId="0ECF9B24" w14:textId="46887213" w:rsidR="009A7EC3" w:rsidRPr="00DE25AD" w:rsidRDefault="009A7EC3" w:rsidP="009A7EC3">
            <w:pPr>
              <w:pStyle w:val="ASSADACCESStablecentre"/>
            </w:pPr>
            <w:r w:rsidRPr="002E5727">
              <w:rPr>
                <w:bCs w:val="0"/>
                <w:color w:val="000000"/>
              </w:rPr>
              <w:t>4*</w:t>
            </w:r>
          </w:p>
        </w:tc>
        <w:tc>
          <w:tcPr>
            <w:tcW w:w="879" w:type="dxa"/>
            <w:shd w:val="clear" w:color="auto" w:fill="auto"/>
          </w:tcPr>
          <w:p w14:paraId="4D7F6F45" w14:textId="7B8D201C" w:rsidR="009A7EC3" w:rsidRPr="00DE25AD" w:rsidRDefault="009A7EC3" w:rsidP="009A7EC3">
            <w:pPr>
              <w:pStyle w:val="ASSADACCESStablecentre"/>
            </w:pPr>
            <w:r w:rsidRPr="002E5727">
              <w:rPr>
                <w:bCs w:val="0"/>
                <w:color w:val="000000"/>
              </w:rPr>
              <w:t>3*^</w:t>
            </w:r>
          </w:p>
        </w:tc>
        <w:tc>
          <w:tcPr>
            <w:tcW w:w="879" w:type="dxa"/>
            <w:shd w:val="clear" w:color="auto" w:fill="auto"/>
          </w:tcPr>
          <w:p w14:paraId="2CDC96F0" w14:textId="7015D0DF" w:rsidR="009A7EC3" w:rsidRPr="00DE25AD" w:rsidRDefault="009A7EC3" w:rsidP="009A7EC3">
            <w:pPr>
              <w:pStyle w:val="ASSADACCESStablecentre"/>
            </w:pPr>
            <w:r w:rsidRPr="002E5727">
              <w:rPr>
                <w:bCs w:val="0"/>
                <w:color w:val="000000"/>
              </w:rPr>
              <w:t>2*^</w:t>
            </w:r>
          </w:p>
        </w:tc>
        <w:tc>
          <w:tcPr>
            <w:tcW w:w="879" w:type="dxa"/>
            <w:shd w:val="clear" w:color="auto" w:fill="auto"/>
          </w:tcPr>
          <w:p w14:paraId="25974C1B" w14:textId="0FFB0136" w:rsidR="009A7EC3" w:rsidRPr="00DE25AD" w:rsidRDefault="009A7EC3" w:rsidP="009A7EC3">
            <w:pPr>
              <w:pStyle w:val="ASSADACCESStablecentre"/>
            </w:pPr>
            <w:r w:rsidRPr="002E5727">
              <w:rPr>
                <w:bCs w:val="0"/>
                <w:color w:val="000000"/>
              </w:rPr>
              <w:t>1*^</w:t>
            </w:r>
          </w:p>
        </w:tc>
        <w:tc>
          <w:tcPr>
            <w:tcW w:w="879" w:type="dxa"/>
            <w:shd w:val="clear" w:color="auto" w:fill="auto"/>
          </w:tcPr>
          <w:p w14:paraId="384F7642" w14:textId="2B6A3462" w:rsidR="009A7EC3" w:rsidRPr="00DE25AD" w:rsidRDefault="009A7EC3" w:rsidP="009A7EC3">
            <w:pPr>
              <w:pStyle w:val="ASSADACCESStablecentre"/>
            </w:pPr>
            <w:r w:rsidRPr="002E5727">
              <w:rPr>
                <w:bCs w:val="0"/>
                <w:color w:val="000000"/>
              </w:rPr>
              <w:t>1^</w:t>
            </w:r>
          </w:p>
        </w:tc>
        <w:tc>
          <w:tcPr>
            <w:tcW w:w="879" w:type="dxa"/>
            <w:shd w:val="clear" w:color="auto" w:fill="auto"/>
          </w:tcPr>
          <w:p w14:paraId="0D90792E" w14:textId="24685D2F" w:rsidR="009A7EC3" w:rsidRPr="00DE25AD" w:rsidRDefault="009A7EC3" w:rsidP="009A7EC3">
            <w:pPr>
              <w:pStyle w:val="ASSADACCESStablecentre"/>
            </w:pPr>
            <w:r w:rsidRPr="002E5727">
              <w:rPr>
                <w:bCs w:val="0"/>
                <w:color w:val="000000"/>
              </w:rPr>
              <w:t>1^</w:t>
            </w:r>
          </w:p>
        </w:tc>
        <w:tc>
          <w:tcPr>
            <w:tcW w:w="879" w:type="dxa"/>
            <w:shd w:val="clear" w:color="auto" w:fill="auto"/>
          </w:tcPr>
          <w:p w14:paraId="5B78A2A2" w14:textId="52CB95C9" w:rsidR="009A7EC3" w:rsidRPr="00DE25AD" w:rsidRDefault="009A7EC3" w:rsidP="009A7EC3">
            <w:pPr>
              <w:pStyle w:val="ASSADACCESStablecentre"/>
            </w:pPr>
            <w:r w:rsidRPr="002E5727">
              <w:rPr>
                <w:bCs w:val="0"/>
                <w:color w:val="000000"/>
              </w:rPr>
              <w:t>1^</w:t>
            </w:r>
          </w:p>
        </w:tc>
      </w:tr>
      <w:tr w:rsidR="009A7EC3" w:rsidRPr="00DE25AD" w14:paraId="1B461755" w14:textId="77777777" w:rsidTr="00545FF4">
        <w:trPr>
          <w:trHeight w:val="247"/>
        </w:trPr>
        <w:tc>
          <w:tcPr>
            <w:tcW w:w="1517" w:type="dxa"/>
            <w:tcMar>
              <w:left w:w="57" w:type="dxa"/>
            </w:tcMar>
          </w:tcPr>
          <w:p w14:paraId="6D900EC7" w14:textId="206F80E6" w:rsidR="009A7EC3" w:rsidRPr="00DE25AD" w:rsidRDefault="009A7EC3" w:rsidP="009A7EC3">
            <w:pPr>
              <w:pStyle w:val="ACCESSTableHeaderRow"/>
              <w:rPr>
                <w:vertAlign w:val="superscript"/>
              </w:rPr>
            </w:pPr>
            <w:r>
              <w:t>&gt; 100 cigs</w:t>
            </w:r>
          </w:p>
        </w:tc>
        <w:tc>
          <w:tcPr>
            <w:tcW w:w="1068" w:type="dxa"/>
            <w:shd w:val="clear" w:color="auto" w:fill="auto"/>
            <w:tcMar>
              <w:left w:w="57" w:type="dxa"/>
            </w:tcMar>
            <w:vAlign w:val="bottom"/>
          </w:tcPr>
          <w:p w14:paraId="2A4929E8" w14:textId="2EAE3E12" w:rsidR="009A7EC3" w:rsidRPr="00DE25AD" w:rsidRDefault="009A7EC3" w:rsidP="009A7EC3">
            <w:pPr>
              <w:pStyle w:val="ASSAD2017ACCESSBody1"/>
            </w:pPr>
            <w:r w:rsidRPr="00DE25AD">
              <w:t>Male</w:t>
            </w:r>
          </w:p>
        </w:tc>
        <w:tc>
          <w:tcPr>
            <w:tcW w:w="878" w:type="dxa"/>
            <w:shd w:val="clear" w:color="auto" w:fill="auto"/>
          </w:tcPr>
          <w:p w14:paraId="53D979FA" w14:textId="673E2552" w:rsidR="009A7EC3" w:rsidRPr="00DE25AD" w:rsidRDefault="009A7EC3" w:rsidP="009A7EC3">
            <w:pPr>
              <w:pStyle w:val="ASSADACCESStablecentre"/>
            </w:pPr>
            <w:r w:rsidRPr="002E5727">
              <w:rPr>
                <w:bCs w:val="0"/>
                <w:color w:val="000000"/>
              </w:rPr>
              <w:t>-</w:t>
            </w:r>
          </w:p>
        </w:tc>
        <w:tc>
          <w:tcPr>
            <w:tcW w:w="879" w:type="dxa"/>
            <w:shd w:val="clear" w:color="auto" w:fill="auto"/>
          </w:tcPr>
          <w:p w14:paraId="59295DB6" w14:textId="562AAACE" w:rsidR="009A7EC3" w:rsidRPr="00DE25AD" w:rsidRDefault="009A7EC3" w:rsidP="009A7EC3">
            <w:pPr>
              <w:pStyle w:val="ASSADACCESStablecentre"/>
            </w:pPr>
            <w:r w:rsidRPr="002E5727">
              <w:rPr>
                <w:bCs w:val="0"/>
                <w:color w:val="000000"/>
              </w:rPr>
              <w:t>8*</w:t>
            </w:r>
          </w:p>
        </w:tc>
        <w:tc>
          <w:tcPr>
            <w:tcW w:w="879" w:type="dxa"/>
            <w:shd w:val="clear" w:color="auto" w:fill="auto"/>
          </w:tcPr>
          <w:p w14:paraId="22FCEC8E" w14:textId="3DE78FE1"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5C0BCA77" w14:textId="77878BEB" w:rsidR="009A7EC3" w:rsidRPr="00DE25AD" w:rsidRDefault="009A7EC3" w:rsidP="009A7EC3">
            <w:pPr>
              <w:pStyle w:val="ASSADACCESStablecentre"/>
            </w:pPr>
            <w:r w:rsidRPr="002E5727">
              <w:rPr>
                <w:bCs w:val="0"/>
                <w:color w:val="000000"/>
              </w:rPr>
              <w:t>4*</w:t>
            </w:r>
            <w:r w:rsidRPr="002E5727">
              <w:rPr>
                <w:bCs w:val="0"/>
                <w:color w:val="000000"/>
                <w:vertAlign w:val="superscript"/>
              </w:rPr>
              <w:t>#</w:t>
            </w:r>
          </w:p>
        </w:tc>
        <w:tc>
          <w:tcPr>
            <w:tcW w:w="879" w:type="dxa"/>
            <w:shd w:val="clear" w:color="auto" w:fill="auto"/>
          </w:tcPr>
          <w:p w14:paraId="4B6330FD" w14:textId="260FA6C4" w:rsidR="009A7EC3" w:rsidRPr="00DE25AD" w:rsidRDefault="009A7EC3" w:rsidP="009A7EC3">
            <w:pPr>
              <w:pStyle w:val="ASSADACCESStablecentre"/>
            </w:pPr>
            <w:r w:rsidRPr="002E5727">
              <w:rPr>
                <w:bCs w:val="0"/>
                <w:color w:val="000000"/>
              </w:rPr>
              <w:t>2</w:t>
            </w:r>
            <w:r>
              <w:rPr>
                <w:bCs w:val="0"/>
                <w:color w:val="000000"/>
              </w:rPr>
              <w:t>*</w:t>
            </w:r>
            <w:r w:rsidRPr="002E5727">
              <w:rPr>
                <w:bCs w:val="0"/>
                <w:color w:val="000000"/>
                <w:vertAlign w:val="superscript"/>
              </w:rPr>
              <w:t>#</w:t>
            </w:r>
          </w:p>
        </w:tc>
        <w:tc>
          <w:tcPr>
            <w:tcW w:w="879" w:type="dxa"/>
            <w:shd w:val="clear" w:color="auto" w:fill="auto"/>
          </w:tcPr>
          <w:p w14:paraId="375B3A1E" w14:textId="417D725D"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c>
          <w:tcPr>
            <w:tcW w:w="879" w:type="dxa"/>
            <w:shd w:val="clear" w:color="auto" w:fill="auto"/>
          </w:tcPr>
          <w:p w14:paraId="232AC9CC" w14:textId="0499265E" w:rsidR="009A7EC3" w:rsidRPr="00DE25AD" w:rsidRDefault="009A7EC3" w:rsidP="009A7EC3">
            <w:pPr>
              <w:pStyle w:val="ASSADACCESStablecentre"/>
            </w:pPr>
            <w:r w:rsidRPr="002E5727">
              <w:rPr>
                <w:bCs w:val="0"/>
                <w:color w:val="000000"/>
              </w:rPr>
              <w:t>1</w:t>
            </w:r>
            <w:r w:rsidRPr="002E5727">
              <w:rPr>
                <w:bCs w:val="0"/>
                <w:color w:val="000000"/>
                <w:vertAlign w:val="superscript"/>
              </w:rPr>
              <w:t>#</w:t>
            </w:r>
          </w:p>
        </w:tc>
        <w:tc>
          <w:tcPr>
            <w:tcW w:w="879" w:type="dxa"/>
            <w:shd w:val="clear" w:color="auto" w:fill="auto"/>
          </w:tcPr>
          <w:p w14:paraId="41D1736E" w14:textId="026189B1" w:rsidR="009A7EC3" w:rsidRPr="00DE25AD" w:rsidRDefault="009A7EC3" w:rsidP="009A7EC3">
            <w:pPr>
              <w:pStyle w:val="ASSADACCESStablecentre"/>
            </w:pPr>
            <w:r w:rsidRPr="002E5727">
              <w:rPr>
                <w:bCs w:val="0"/>
                <w:color w:val="000000"/>
              </w:rPr>
              <w:t>1</w:t>
            </w:r>
            <w:r w:rsidRPr="002E5727">
              <w:rPr>
                <w:bCs w:val="0"/>
                <w:color w:val="000000"/>
                <w:vertAlign w:val="superscript"/>
              </w:rPr>
              <w:t>#</w:t>
            </w:r>
          </w:p>
        </w:tc>
      </w:tr>
      <w:tr w:rsidR="009A7EC3" w:rsidRPr="00DE25AD" w14:paraId="65A21E45" w14:textId="77777777" w:rsidTr="00114C21">
        <w:trPr>
          <w:trHeight w:val="247"/>
        </w:trPr>
        <w:tc>
          <w:tcPr>
            <w:tcW w:w="1517" w:type="dxa"/>
            <w:tcMar>
              <w:left w:w="57" w:type="dxa"/>
            </w:tcMar>
          </w:tcPr>
          <w:p w14:paraId="27AFBD6F" w14:textId="77777777" w:rsidR="009A7EC3" w:rsidRPr="00DE25AD" w:rsidRDefault="009A7EC3" w:rsidP="009A7EC3">
            <w:pPr>
              <w:pStyle w:val="ACCESSTableHeaderRow"/>
            </w:pPr>
          </w:p>
        </w:tc>
        <w:tc>
          <w:tcPr>
            <w:tcW w:w="1068" w:type="dxa"/>
            <w:shd w:val="clear" w:color="auto" w:fill="auto"/>
            <w:tcMar>
              <w:left w:w="57" w:type="dxa"/>
            </w:tcMar>
            <w:vAlign w:val="bottom"/>
          </w:tcPr>
          <w:p w14:paraId="6AF9DF95" w14:textId="4A93EB1E" w:rsidR="009A7EC3" w:rsidRPr="00DE25AD" w:rsidRDefault="009A7EC3" w:rsidP="009A7EC3">
            <w:pPr>
              <w:pStyle w:val="ASSAD2017ACCESSBody1"/>
            </w:pPr>
            <w:r w:rsidRPr="00DE25AD">
              <w:t>Female</w:t>
            </w:r>
          </w:p>
        </w:tc>
        <w:tc>
          <w:tcPr>
            <w:tcW w:w="878" w:type="dxa"/>
            <w:shd w:val="clear" w:color="auto" w:fill="auto"/>
          </w:tcPr>
          <w:p w14:paraId="0F0350D1" w14:textId="72EBFED9" w:rsidR="009A7EC3" w:rsidRPr="00DE25AD" w:rsidRDefault="009A7EC3" w:rsidP="009A7EC3">
            <w:pPr>
              <w:pStyle w:val="ASSADACCESStablecentre"/>
            </w:pPr>
            <w:r w:rsidRPr="002E5727">
              <w:rPr>
                <w:bCs w:val="0"/>
                <w:color w:val="000000"/>
              </w:rPr>
              <w:t>-</w:t>
            </w:r>
          </w:p>
        </w:tc>
        <w:tc>
          <w:tcPr>
            <w:tcW w:w="879" w:type="dxa"/>
            <w:shd w:val="clear" w:color="auto" w:fill="auto"/>
          </w:tcPr>
          <w:p w14:paraId="0D4014CE" w14:textId="629CC9D6" w:rsidR="009A7EC3" w:rsidRPr="00DE25AD" w:rsidRDefault="009A7EC3" w:rsidP="009A7EC3">
            <w:pPr>
              <w:pStyle w:val="ASSADACCESStablecentre"/>
            </w:pPr>
            <w:r w:rsidRPr="002E5727">
              <w:rPr>
                <w:bCs w:val="0"/>
                <w:color w:val="000000"/>
              </w:rPr>
              <w:t>7*</w:t>
            </w:r>
          </w:p>
        </w:tc>
        <w:tc>
          <w:tcPr>
            <w:tcW w:w="879" w:type="dxa"/>
            <w:shd w:val="clear" w:color="auto" w:fill="auto"/>
          </w:tcPr>
          <w:p w14:paraId="6E6AE31F" w14:textId="33F80304"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1598169F" w14:textId="4C9875FC" w:rsidR="009A7EC3" w:rsidRPr="00DE25AD" w:rsidRDefault="009A7EC3" w:rsidP="009A7EC3">
            <w:pPr>
              <w:pStyle w:val="ASSADACCESStablecentre"/>
            </w:pPr>
            <w:r w:rsidRPr="002E5727">
              <w:rPr>
                <w:bCs w:val="0"/>
                <w:color w:val="000000"/>
              </w:rPr>
              <w:t>3*</w:t>
            </w:r>
            <w:r w:rsidRPr="002E5727">
              <w:rPr>
                <w:bCs w:val="0"/>
                <w:color w:val="000000"/>
                <w:vertAlign w:val="superscript"/>
              </w:rPr>
              <w:t>#</w:t>
            </w:r>
          </w:p>
        </w:tc>
        <w:tc>
          <w:tcPr>
            <w:tcW w:w="879" w:type="dxa"/>
            <w:shd w:val="clear" w:color="auto" w:fill="auto"/>
          </w:tcPr>
          <w:p w14:paraId="06A89D12" w14:textId="0FF333F8"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c>
          <w:tcPr>
            <w:tcW w:w="879" w:type="dxa"/>
            <w:shd w:val="clear" w:color="auto" w:fill="auto"/>
          </w:tcPr>
          <w:p w14:paraId="0D9E5DB6" w14:textId="001D6865" w:rsidR="009A7EC3" w:rsidRPr="00DE25AD" w:rsidRDefault="009A7EC3" w:rsidP="009A7EC3">
            <w:pPr>
              <w:pStyle w:val="ASSADACCESStablecentre"/>
            </w:pPr>
            <w:r w:rsidRPr="002E5727">
              <w:rPr>
                <w:bCs w:val="0"/>
                <w:color w:val="000000"/>
              </w:rPr>
              <w:t>2</w:t>
            </w:r>
            <w:r>
              <w:rPr>
                <w:bCs w:val="0"/>
                <w:color w:val="000000"/>
              </w:rPr>
              <w:t>*</w:t>
            </w:r>
            <w:r w:rsidRPr="002E5727">
              <w:rPr>
                <w:bCs w:val="0"/>
                <w:color w:val="000000"/>
                <w:vertAlign w:val="superscript"/>
              </w:rPr>
              <w:t>#</w:t>
            </w:r>
          </w:p>
        </w:tc>
        <w:tc>
          <w:tcPr>
            <w:tcW w:w="879" w:type="dxa"/>
            <w:shd w:val="clear" w:color="auto" w:fill="auto"/>
          </w:tcPr>
          <w:p w14:paraId="57A74381" w14:textId="033AA01F" w:rsidR="009A7EC3" w:rsidRPr="00DE25AD" w:rsidRDefault="009A7EC3" w:rsidP="009A7EC3">
            <w:pPr>
              <w:pStyle w:val="ASSADACCESStablecentre"/>
            </w:pPr>
            <w:r w:rsidRPr="002E5727">
              <w:rPr>
                <w:bCs w:val="0"/>
                <w:color w:val="000000"/>
              </w:rPr>
              <w:t>1</w:t>
            </w:r>
            <w:r w:rsidRPr="002E5727">
              <w:rPr>
                <w:bCs w:val="0"/>
                <w:color w:val="000000"/>
                <w:vertAlign w:val="superscript"/>
              </w:rPr>
              <w:t>#</w:t>
            </w:r>
          </w:p>
        </w:tc>
        <w:tc>
          <w:tcPr>
            <w:tcW w:w="879" w:type="dxa"/>
            <w:shd w:val="clear" w:color="auto" w:fill="auto"/>
          </w:tcPr>
          <w:p w14:paraId="0F7DBC01" w14:textId="7B1D65EE" w:rsidR="009A7EC3" w:rsidRPr="00DE25AD" w:rsidRDefault="009A7EC3" w:rsidP="009A7EC3">
            <w:pPr>
              <w:pStyle w:val="ASSADACCESStablecentre"/>
            </w:pPr>
            <w:r w:rsidRPr="002E5727">
              <w:rPr>
                <w:bCs w:val="0"/>
                <w:color w:val="000000"/>
              </w:rPr>
              <w:t>1</w:t>
            </w:r>
            <w:r w:rsidRPr="002E5727">
              <w:rPr>
                <w:bCs w:val="0"/>
                <w:color w:val="000000"/>
                <w:vertAlign w:val="superscript"/>
              </w:rPr>
              <w:t>#</w:t>
            </w:r>
          </w:p>
        </w:tc>
      </w:tr>
      <w:tr w:rsidR="009A7EC3" w:rsidRPr="00DE25AD" w14:paraId="5CC97960" w14:textId="77777777" w:rsidTr="00114C21">
        <w:trPr>
          <w:trHeight w:val="247"/>
        </w:trPr>
        <w:tc>
          <w:tcPr>
            <w:tcW w:w="1517" w:type="dxa"/>
            <w:tcMar>
              <w:left w:w="57" w:type="dxa"/>
            </w:tcMar>
          </w:tcPr>
          <w:p w14:paraId="3D5CC8F6" w14:textId="77777777" w:rsidR="009A7EC3" w:rsidRPr="00DE25AD" w:rsidRDefault="009A7EC3" w:rsidP="009A7EC3">
            <w:pPr>
              <w:pStyle w:val="ACCESSTableHeaderRow"/>
            </w:pPr>
          </w:p>
        </w:tc>
        <w:tc>
          <w:tcPr>
            <w:tcW w:w="1068" w:type="dxa"/>
            <w:shd w:val="clear" w:color="auto" w:fill="auto"/>
            <w:tcMar>
              <w:left w:w="57" w:type="dxa"/>
            </w:tcMar>
            <w:vAlign w:val="bottom"/>
          </w:tcPr>
          <w:p w14:paraId="177027D8" w14:textId="1C031581" w:rsidR="009A7EC3" w:rsidRPr="00DE25AD" w:rsidRDefault="009A7EC3" w:rsidP="009A7EC3">
            <w:pPr>
              <w:pStyle w:val="ASSAD2017ACCESSBody1"/>
            </w:pPr>
            <w:r w:rsidRPr="00DE25AD">
              <w:t>Total</w:t>
            </w:r>
          </w:p>
        </w:tc>
        <w:tc>
          <w:tcPr>
            <w:tcW w:w="878" w:type="dxa"/>
            <w:shd w:val="clear" w:color="auto" w:fill="auto"/>
          </w:tcPr>
          <w:p w14:paraId="44B536BA" w14:textId="31DC4B2B" w:rsidR="009A7EC3" w:rsidRPr="00DE25AD" w:rsidRDefault="009A7EC3" w:rsidP="009A7EC3">
            <w:pPr>
              <w:pStyle w:val="ASSADACCESStablecentre"/>
            </w:pPr>
            <w:r w:rsidRPr="002E5727">
              <w:rPr>
                <w:bCs w:val="0"/>
                <w:color w:val="000000"/>
              </w:rPr>
              <w:t>-</w:t>
            </w:r>
          </w:p>
        </w:tc>
        <w:tc>
          <w:tcPr>
            <w:tcW w:w="879" w:type="dxa"/>
            <w:shd w:val="clear" w:color="auto" w:fill="auto"/>
          </w:tcPr>
          <w:p w14:paraId="77014C51" w14:textId="6B3C8404" w:rsidR="009A7EC3" w:rsidRPr="00DE25AD" w:rsidRDefault="009A7EC3" w:rsidP="009A7EC3">
            <w:pPr>
              <w:pStyle w:val="ASSADACCESStablecentre"/>
            </w:pPr>
            <w:r w:rsidRPr="002E5727">
              <w:rPr>
                <w:bCs w:val="0"/>
                <w:color w:val="000000"/>
              </w:rPr>
              <w:t>7*</w:t>
            </w:r>
          </w:p>
        </w:tc>
        <w:tc>
          <w:tcPr>
            <w:tcW w:w="879" w:type="dxa"/>
            <w:shd w:val="clear" w:color="auto" w:fill="auto"/>
          </w:tcPr>
          <w:p w14:paraId="07D9BBF6" w14:textId="0BA16DAA"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470C7BA6" w14:textId="4AF8CEED" w:rsidR="009A7EC3" w:rsidRPr="00DE25AD" w:rsidRDefault="009A7EC3" w:rsidP="009A7EC3">
            <w:pPr>
              <w:pStyle w:val="ASSADACCESStablecentre"/>
            </w:pPr>
            <w:r w:rsidRPr="002E5727">
              <w:rPr>
                <w:bCs w:val="0"/>
                <w:color w:val="000000"/>
              </w:rPr>
              <w:t>3*</w:t>
            </w:r>
            <w:r w:rsidRPr="002E5727">
              <w:rPr>
                <w:bCs w:val="0"/>
                <w:color w:val="000000"/>
                <w:vertAlign w:val="superscript"/>
              </w:rPr>
              <w:t>#</w:t>
            </w:r>
          </w:p>
        </w:tc>
        <w:tc>
          <w:tcPr>
            <w:tcW w:w="879" w:type="dxa"/>
            <w:shd w:val="clear" w:color="auto" w:fill="auto"/>
          </w:tcPr>
          <w:p w14:paraId="44F05A62" w14:textId="46272E78"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c>
          <w:tcPr>
            <w:tcW w:w="879" w:type="dxa"/>
            <w:shd w:val="clear" w:color="auto" w:fill="auto"/>
          </w:tcPr>
          <w:p w14:paraId="53C83B97" w14:textId="682E794C"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c>
          <w:tcPr>
            <w:tcW w:w="879" w:type="dxa"/>
            <w:shd w:val="clear" w:color="auto" w:fill="auto"/>
          </w:tcPr>
          <w:p w14:paraId="7715DDB4" w14:textId="59F0524B" w:rsidR="009A7EC3" w:rsidRPr="00DE25AD" w:rsidRDefault="009A7EC3" w:rsidP="009A7EC3">
            <w:pPr>
              <w:pStyle w:val="ASSADACCESStablecentre"/>
            </w:pPr>
            <w:r w:rsidRPr="002E5727">
              <w:rPr>
                <w:bCs w:val="0"/>
                <w:color w:val="000000"/>
              </w:rPr>
              <w:t>1</w:t>
            </w:r>
            <w:r w:rsidRPr="002E5727">
              <w:rPr>
                <w:bCs w:val="0"/>
                <w:color w:val="000000"/>
                <w:vertAlign w:val="superscript"/>
              </w:rPr>
              <w:t>#</w:t>
            </w:r>
          </w:p>
        </w:tc>
        <w:tc>
          <w:tcPr>
            <w:tcW w:w="879" w:type="dxa"/>
            <w:shd w:val="clear" w:color="auto" w:fill="auto"/>
          </w:tcPr>
          <w:p w14:paraId="43A2EF77" w14:textId="7391E07C" w:rsidR="009A7EC3" w:rsidRPr="00DE25AD" w:rsidRDefault="009A7EC3" w:rsidP="009A7EC3">
            <w:pPr>
              <w:pStyle w:val="ASSADACCESStablecentre"/>
            </w:pPr>
            <w:r w:rsidRPr="002E5727">
              <w:rPr>
                <w:bCs w:val="0"/>
                <w:color w:val="000000"/>
              </w:rPr>
              <w:t>1</w:t>
            </w:r>
            <w:r w:rsidRPr="002E5727">
              <w:rPr>
                <w:bCs w:val="0"/>
                <w:color w:val="000000"/>
                <w:vertAlign w:val="superscript"/>
              </w:rPr>
              <w:t>#</w:t>
            </w:r>
          </w:p>
        </w:tc>
      </w:tr>
    </w:tbl>
    <w:p w14:paraId="5FA6E80C" w14:textId="77777777" w:rsidR="0046446A" w:rsidRDefault="00114C21" w:rsidP="00B17F4F">
      <w:pPr>
        <w:pStyle w:val="ASSAD2017CWTablenote1"/>
      </w:pPr>
      <w:bookmarkStart w:id="67" w:name="_Toc419186163"/>
      <w:bookmarkStart w:id="68" w:name="_Toc424049414"/>
      <w:bookmarkStart w:id="69" w:name="_Toc424110742"/>
      <w:bookmarkStart w:id="70" w:name="_Toc432412404"/>
      <w:bookmarkStart w:id="71" w:name="_Toc444588630"/>
      <w:bookmarkStart w:id="72" w:name="_Hlk524359911"/>
      <w:r>
        <w:t>* Significantly different than 2017, p&lt;.01; ^ Significantly different than 1</w:t>
      </w:r>
      <w:r w:rsidR="0046446A">
        <w:t xml:space="preserve">996, p&lt;.01; </w:t>
      </w:r>
      <w:r w:rsidR="0046446A">
        <w:rPr>
          <w:vertAlign w:val="superscript"/>
        </w:rPr>
        <w:t>#</w:t>
      </w:r>
      <w:r w:rsidR="0046446A">
        <w:t xml:space="preserve"> Significantly different than 1999, p&lt;.01.</w:t>
      </w:r>
    </w:p>
    <w:p w14:paraId="0A41AAF7" w14:textId="77777777" w:rsidR="0046446A" w:rsidRDefault="0046446A" w:rsidP="00B17F4F">
      <w:pPr>
        <w:pStyle w:val="ASSAD2017CWTablenote1"/>
      </w:pPr>
    </w:p>
    <w:p w14:paraId="3D8F3EB5" w14:textId="77777777" w:rsidR="0046446A" w:rsidRDefault="0046446A">
      <w:pPr>
        <w:suppressAutoHyphens w:val="0"/>
        <w:rPr>
          <w:rFonts w:ascii="Arial" w:eastAsia="Arial" w:hAnsi="Arial" w:cs="Arial"/>
          <w:sz w:val="18"/>
          <w:szCs w:val="18"/>
          <w:lang w:val="en-AU"/>
        </w:rPr>
      </w:pPr>
      <w:r>
        <w:br w:type="page"/>
      </w:r>
    </w:p>
    <w:p w14:paraId="3B65812B" w14:textId="3C7C6925" w:rsidR="0046446A" w:rsidRPr="0046446A" w:rsidRDefault="0046446A" w:rsidP="0046446A">
      <w:pPr>
        <w:pStyle w:val="ASSAD2017TableHeading"/>
      </w:pPr>
      <w:bookmarkStart w:id="73" w:name="_Toc44060489"/>
      <w:r w:rsidRPr="0046446A">
        <w:lastRenderedPageBreak/>
        <w:t xml:space="preserve">Table </w:t>
      </w:r>
      <w:r>
        <w:t>2</w:t>
      </w:r>
      <w:r w:rsidRPr="0046446A">
        <w:t xml:space="preserve"> </w:t>
      </w:r>
      <w:r>
        <w:t>Prevalence</w:t>
      </w:r>
      <w:r w:rsidRPr="0046446A">
        <w:t xml:space="preserve"> of tobacco use among secondary students aged 1</w:t>
      </w:r>
      <w:r>
        <w:t>6</w:t>
      </w:r>
      <w:r w:rsidRPr="0046446A">
        <w:t>-1</w:t>
      </w:r>
      <w:r>
        <w:t>7</w:t>
      </w:r>
      <w:r w:rsidRPr="0046446A">
        <w:t xml:space="preserve"> in Australia, ASSAD 1996-2017</w:t>
      </w:r>
      <w:bookmarkEnd w:id="73"/>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46446A" w:rsidRPr="00DE25AD" w14:paraId="22175E86" w14:textId="77777777" w:rsidTr="005C5B03">
        <w:trPr>
          <w:tblHeader/>
        </w:trPr>
        <w:tc>
          <w:tcPr>
            <w:tcW w:w="1517" w:type="dxa"/>
            <w:tcMar>
              <w:left w:w="57" w:type="dxa"/>
            </w:tcMar>
          </w:tcPr>
          <w:p w14:paraId="4019192D" w14:textId="77777777" w:rsidR="0046446A" w:rsidRPr="00DE25AD" w:rsidRDefault="0046446A"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1DE7A2ED" w14:textId="77777777" w:rsidR="0046446A" w:rsidRPr="00DE25AD" w:rsidRDefault="0046446A" w:rsidP="005C5B03">
            <w:pPr>
              <w:pStyle w:val="ACCESSTableHeaderRow"/>
            </w:pPr>
          </w:p>
        </w:tc>
        <w:tc>
          <w:tcPr>
            <w:tcW w:w="878" w:type="dxa"/>
            <w:shd w:val="clear" w:color="auto" w:fill="auto"/>
            <w:vAlign w:val="bottom"/>
          </w:tcPr>
          <w:p w14:paraId="5A620DD3" w14:textId="77777777" w:rsidR="0046446A" w:rsidRPr="00DE25AD" w:rsidRDefault="0046446A" w:rsidP="005C5B03">
            <w:pPr>
              <w:pStyle w:val="ACCESSTableHeaderRow"/>
              <w:jc w:val="center"/>
            </w:pPr>
            <w:r>
              <w:t>1996</w:t>
            </w:r>
          </w:p>
          <w:p w14:paraId="7EB94C89"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25BA31C3" w14:textId="77777777" w:rsidR="0046446A" w:rsidRPr="00DE25AD" w:rsidRDefault="0046446A" w:rsidP="005C5B03">
            <w:pPr>
              <w:pStyle w:val="ACCESSTableHeaderRow"/>
              <w:jc w:val="center"/>
            </w:pPr>
            <w:r w:rsidRPr="00DE25AD">
              <w:t>1</w:t>
            </w:r>
            <w:r>
              <w:t>999</w:t>
            </w:r>
          </w:p>
          <w:p w14:paraId="7313C168"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57EF9C21" w14:textId="77777777" w:rsidR="0046446A" w:rsidRPr="00DE25AD" w:rsidRDefault="0046446A" w:rsidP="005C5B03">
            <w:pPr>
              <w:pStyle w:val="ACCESSTableHeaderRow"/>
              <w:jc w:val="center"/>
            </w:pPr>
            <w:r>
              <w:t>2002</w:t>
            </w:r>
          </w:p>
          <w:p w14:paraId="1E4586D1"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6C51B7D2" w14:textId="77777777" w:rsidR="0046446A" w:rsidRPr="00DE25AD" w:rsidRDefault="0046446A" w:rsidP="005C5B03">
            <w:pPr>
              <w:pStyle w:val="ACCESSTableHeaderRow"/>
              <w:jc w:val="center"/>
            </w:pPr>
            <w:r>
              <w:t>200</w:t>
            </w:r>
            <w:r w:rsidRPr="00DE25AD">
              <w:t>5</w:t>
            </w:r>
          </w:p>
          <w:p w14:paraId="1605E076"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7A80DB5E" w14:textId="77777777" w:rsidR="0046446A" w:rsidRPr="00DE25AD" w:rsidRDefault="0046446A" w:rsidP="005C5B03">
            <w:pPr>
              <w:pStyle w:val="ACCESSTableHeaderRow"/>
              <w:jc w:val="center"/>
            </w:pPr>
            <w:r>
              <w:t>2008</w:t>
            </w:r>
          </w:p>
          <w:p w14:paraId="3C6C9072"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2BEE4373" w14:textId="77777777" w:rsidR="0046446A" w:rsidRPr="00DE25AD" w:rsidRDefault="0046446A" w:rsidP="005C5B03">
            <w:pPr>
              <w:pStyle w:val="ACCESSTableHeaderRow"/>
              <w:jc w:val="center"/>
            </w:pPr>
            <w:r>
              <w:t>2011</w:t>
            </w:r>
          </w:p>
          <w:p w14:paraId="6E9E6B0A"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4E7D5DC9" w14:textId="77777777" w:rsidR="0046446A" w:rsidRDefault="0046446A" w:rsidP="005C5B03">
            <w:pPr>
              <w:pStyle w:val="ACCESSTableHeaderRow"/>
              <w:jc w:val="center"/>
            </w:pPr>
            <w:r>
              <w:t>2014</w:t>
            </w:r>
          </w:p>
          <w:p w14:paraId="3A83CB4D" w14:textId="77777777" w:rsidR="0046446A" w:rsidRPr="00DE25AD" w:rsidRDefault="0046446A" w:rsidP="005C5B03">
            <w:pPr>
              <w:pStyle w:val="ACCESSTableHeaderRow"/>
              <w:jc w:val="center"/>
            </w:pPr>
            <w:r>
              <w:t>(%)</w:t>
            </w:r>
          </w:p>
        </w:tc>
        <w:tc>
          <w:tcPr>
            <w:tcW w:w="879" w:type="dxa"/>
            <w:shd w:val="clear" w:color="auto" w:fill="auto"/>
            <w:vAlign w:val="bottom"/>
          </w:tcPr>
          <w:p w14:paraId="6D1B164C" w14:textId="77777777" w:rsidR="0046446A" w:rsidRDefault="0046446A" w:rsidP="005C5B03">
            <w:pPr>
              <w:pStyle w:val="ACCESSTableHeaderRow"/>
              <w:jc w:val="center"/>
            </w:pPr>
            <w:r>
              <w:t>2017</w:t>
            </w:r>
          </w:p>
          <w:p w14:paraId="43334CD5" w14:textId="77777777" w:rsidR="0046446A" w:rsidRPr="00DE25AD" w:rsidRDefault="0046446A" w:rsidP="005C5B03">
            <w:pPr>
              <w:pStyle w:val="ACCESSTableHeaderRow"/>
              <w:jc w:val="center"/>
            </w:pPr>
            <w:r w:rsidRPr="00DE25AD">
              <w:t>(%)</w:t>
            </w:r>
          </w:p>
        </w:tc>
      </w:tr>
      <w:tr w:rsidR="0046446A" w:rsidRPr="00DE25AD" w14:paraId="5E7A15A2" w14:textId="77777777" w:rsidTr="005C5B03">
        <w:trPr>
          <w:tblHeader/>
        </w:trPr>
        <w:tc>
          <w:tcPr>
            <w:tcW w:w="1517" w:type="dxa"/>
            <w:tcMar>
              <w:left w:w="57" w:type="dxa"/>
            </w:tcMar>
          </w:tcPr>
          <w:p w14:paraId="7591F7AB" w14:textId="77777777" w:rsidR="0046446A" w:rsidRPr="00DE25AD" w:rsidRDefault="0046446A" w:rsidP="005C5B03">
            <w:pPr>
              <w:pStyle w:val="ACCESSTableHeaderRow"/>
            </w:pPr>
            <w:r w:rsidRPr="00DE25AD">
              <w:t>Recency</w:t>
            </w:r>
          </w:p>
        </w:tc>
        <w:tc>
          <w:tcPr>
            <w:tcW w:w="1068" w:type="dxa"/>
            <w:shd w:val="clear" w:color="auto" w:fill="auto"/>
            <w:tcMar>
              <w:left w:w="57" w:type="dxa"/>
            </w:tcMar>
            <w:vAlign w:val="center"/>
          </w:tcPr>
          <w:p w14:paraId="7BD755C6" w14:textId="77777777" w:rsidR="0046446A" w:rsidRPr="00DE25AD" w:rsidRDefault="0046446A" w:rsidP="005C5B03">
            <w:pPr>
              <w:pStyle w:val="ACCESSTableHeaderRow"/>
            </w:pPr>
            <w:r w:rsidRPr="00DE25AD">
              <w:t>Sex</w:t>
            </w:r>
          </w:p>
        </w:tc>
        <w:tc>
          <w:tcPr>
            <w:tcW w:w="878" w:type="dxa"/>
            <w:shd w:val="clear" w:color="auto" w:fill="auto"/>
            <w:vAlign w:val="bottom"/>
          </w:tcPr>
          <w:p w14:paraId="0F029A79" w14:textId="77777777" w:rsidR="0046446A" w:rsidRPr="00DE25AD" w:rsidRDefault="0046446A" w:rsidP="005C5B03">
            <w:pPr>
              <w:pStyle w:val="ACCESSTableHeaderRow"/>
            </w:pPr>
          </w:p>
        </w:tc>
        <w:tc>
          <w:tcPr>
            <w:tcW w:w="879" w:type="dxa"/>
            <w:shd w:val="clear" w:color="auto" w:fill="auto"/>
            <w:vAlign w:val="bottom"/>
          </w:tcPr>
          <w:p w14:paraId="71ECCC13" w14:textId="77777777" w:rsidR="0046446A" w:rsidRPr="00DE25AD" w:rsidRDefault="0046446A" w:rsidP="005C5B03">
            <w:pPr>
              <w:pStyle w:val="ACCESSTableHeaderRow"/>
            </w:pPr>
          </w:p>
        </w:tc>
        <w:tc>
          <w:tcPr>
            <w:tcW w:w="879" w:type="dxa"/>
            <w:shd w:val="clear" w:color="auto" w:fill="auto"/>
            <w:vAlign w:val="bottom"/>
          </w:tcPr>
          <w:p w14:paraId="245DF6FB" w14:textId="77777777" w:rsidR="0046446A" w:rsidRPr="00DE25AD" w:rsidRDefault="0046446A" w:rsidP="005C5B03">
            <w:pPr>
              <w:pStyle w:val="ACCESSTableHeaderRow"/>
            </w:pPr>
          </w:p>
        </w:tc>
        <w:tc>
          <w:tcPr>
            <w:tcW w:w="879" w:type="dxa"/>
            <w:shd w:val="clear" w:color="auto" w:fill="auto"/>
            <w:vAlign w:val="bottom"/>
          </w:tcPr>
          <w:p w14:paraId="43D8BB3F" w14:textId="77777777" w:rsidR="0046446A" w:rsidRPr="00DE25AD" w:rsidRDefault="0046446A" w:rsidP="005C5B03">
            <w:pPr>
              <w:pStyle w:val="ACCESSTableHeaderRow"/>
            </w:pPr>
          </w:p>
        </w:tc>
        <w:tc>
          <w:tcPr>
            <w:tcW w:w="879" w:type="dxa"/>
            <w:shd w:val="clear" w:color="auto" w:fill="auto"/>
            <w:vAlign w:val="bottom"/>
          </w:tcPr>
          <w:p w14:paraId="6C944556" w14:textId="77777777" w:rsidR="0046446A" w:rsidRPr="00DE25AD" w:rsidRDefault="0046446A" w:rsidP="005C5B03">
            <w:pPr>
              <w:pStyle w:val="ACCESSTableHeaderRow"/>
            </w:pPr>
          </w:p>
        </w:tc>
        <w:tc>
          <w:tcPr>
            <w:tcW w:w="879" w:type="dxa"/>
            <w:shd w:val="clear" w:color="auto" w:fill="auto"/>
            <w:vAlign w:val="bottom"/>
          </w:tcPr>
          <w:p w14:paraId="0F34F233" w14:textId="77777777" w:rsidR="0046446A" w:rsidRPr="00DE25AD" w:rsidRDefault="0046446A" w:rsidP="005C5B03">
            <w:pPr>
              <w:pStyle w:val="ACCESSTableHeaderRow"/>
            </w:pPr>
          </w:p>
        </w:tc>
        <w:tc>
          <w:tcPr>
            <w:tcW w:w="879" w:type="dxa"/>
            <w:shd w:val="clear" w:color="auto" w:fill="auto"/>
            <w:vAlign w:val="bottom"/>
          </w:tcPr>
          <w:p w14:paraId="7D3C4F0A" w14:textId="77777777" w:rsidR="0046446A" w:rsidRPr="00DE25AD" w:rsidRDefault="0046446A" w:rsidP="005C5B03">
            <w:pPr>
              <w:pStyle w:val="ACCESSTableHeaderRow"/>
            </w:pPr>
          </w:p>
        </w:tc>
        <w:tc>
          <w:tcPr>
            <w:tcW w:w="879" w:type="dxa"/>
            <w:shd w:val="clear" w:color="auto" w:fill="auto"/>
            <w:vAlign w:val="bottom"/>
          </w:tcPr>
          <w:p w14:paraId="0DB11B89" w14:textId="77777777" w:rsidR="0046446A" w:rsidRPr="00DE25AD" w:rsidRDefault="0046446A" w:rsidP="005C5B03">
            <w:pPr>
              <w:pStyle w:val="ACCESSTableHeaderRow"/>
            </w:pPr>
          </w:p>
        </w:tc>
      </w:tr>
      <w:tr w:rsidR="009A7EC3" w:rsidRPr="00DE25AD" w14:paraId="729F136B" w14:textId="77777777" w:rsidTr="005C5B03">
        <w:tc>
          <w:tcPr>
            <w:tcW w:w="1517" w:type="dxa"/>
            <w:tcMar>
              <w:left w:w="57" w:type="dxa"/>
            </w:tcMar>
          </w:tcPr>
          <w:p w14:paraId="0C9CD0E8"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7706FAB7" w14:textId="77777777" w:rsidR="009A7EC3" w:rsidRPr="00DE25AD" w:rsidRDefault="009A7EC3" w:rsidP="009A7EC3">
            <w:pPr>
              <w:pStyle w:val="ASSAD2017ACCESSBody1"/>
            </w:pPr>
            <w:r w:rsidRPr="00DE25AD">
              <w:t>Male</w:t>
            </w:r>
          </w:p>
        </w:tc>
        <w:tc>
          <w:tcPr>
            <w:tcW w:w="878" w:type="dxa"/>
            <w:shd w:val="clear" w:color="auto" w:fill="auto"/>
          </w:tcPr>
          <w:p w14:paraId="61CD45A6" w14:textId="64A75CAF" w:rsidR="009A7EC3" w:rsidRPr="00DE25AD" w:rsidRDefault="009A7EC3" w:rsidP="009A7EC3">
            <w:pPr>
              <w:pStyle w:val="ASSADACCESStablecentre"/>
            </w:pPr>
            <w:r w:rsidRPr="002E5727">
              <w:rPr>
                <w:bCs w:val="0"/>
                <w:color w:val="000000"/>
              </w:rPr>
              <w:t>73*</w:t>
            </w:r>
          </w:p>
        </w:tc>
        <w:tc>
          <w:tcPr>
            <w:tcW w:w="879" w:type="dxa"/>
            <w:shd w:val="clear" w:color="auto" w:fill="auto"/>
          </w:tcPr>
          <w:p w14:paraId="1AF5E539" w14:textId="039B955F" w:rsidR="009A7EC3" w:rsidRPr="00DE25AD" w:rsidRDefault="009A7EC3" w:rsidP="009A7EC3">
            <w:pPr>
              <w:pStyle w:val="ASSADACCESStablecentre"/>
            </w:pPr>
            <w:r w:rsidRPr="002E5727">
              <w:rPr>
                <w:bCs w:val="0"/>
                <w:color w:val="000000"/>
              </w:rPr>
              <w:t>68*</w:t>
            </w:r>
            <w:r>
              <w:rPr>
                <w:bCs w:val="0"/>
                <w:color w:val="000000"/>
              </w:rPr>
              <w:t>^</w:t>
            </w:r>
          </w:p>
        </w:tc>
        <w:tc>
          <w:tcPr>
            <w:tcW w:w="879" w:type="dxa"/>
            <w:shd w:val="clear" w:color="auto" w:fill="auto"/>
          </w:tcPr>
          <w:p w14:paraId="66676F1B" w14:textId="02BE114B" w:rsidR="009A7EC3" w:rsidRPr="00DE25AD" w:rsidRDefault="009A7EC3" w:rsidP="009A7EC3">
            <w:pPr>
              <w:pStyle w:val="ASSADACCESStablecentre"/>
            </w:pPr>
            <w:r w:rsidRPr="002E5727">
              <w:rPr>
                <w:bCs w:val="0"/>
                <w:color w:val="000000"/>
              </w:rPr>
              <w:t>61*^</w:t>
            </w:r>
          </w:p>
        </w:tc>
        <w:tc>
          <w:tcPr>
            <w:tcW w:w="879" w:type="dxa"/>
            <w:shd w:val="clear" w:color="auto" w:fill="auto"/>
          </w:tcPr>
          <w:p w14:paraId="291E4FE1" w14:textId="50AA0B10" w:rsidR="009A7EC3" w:rsidRPr="00DE25AD" w:rsidRDefault="009A7EC3" w:rsidP="009A7EC3">
            <w:pPr>
              <w:pStyle w:val="ASSADACCESStablecentre"/>
            </w:pPr>
            <w:r w:rsidRPr="002E5727">
              <w:rPr>
                <w:bCs w:val="0"/>
                <w:color w:val="000000"/>
              </w:rPr>
              <w:t>5</w:t>
            </w:r>
            <w:r>
              <w:rPr>
                <w:bCs w:val="0"/>
                <w:color w:val="000000"/>
              </w:rPr>
              <w:t>2</w:t>
            </w:r>
            <w:r w:rsidRPr="002E5727">
              <w:rPr>
                <w:bCs w:val="0"/>
                <w:color w:val="000000"/>
              </w:rPr>
              <w:t>*^</w:t>
            </w:r>
          </w:p>
        </w:tc>
        <w:tc>
          <w:tcPr>
            <w:tcW w:w="879" w:type="dxa"/>
            <w:shd w:val="clear" w:color="auto" w:fill="auto"/>
          </w:tcPr>
          <w:p w14:paraId="0AEB21E4" w14:textId="26775416" w:rsidR="009A7EC3" w:rsidRPr="00DE25AD" w:rsidRDefault="009A7EC3" w:rsidP="009A7EC3">
            <w:pPr>
              <w:pStyle w:val="ASSADACCESStablecentre"/>
            </w:pPr>
            <w:r w:rsidRPr="002E5727">
              <w:rPr>
                <w:bCs w:val="0"/>
                <w:color w:val="000000"/>
              </w:rPr>
              <w:t>42*^</w:t>
            </w:r>
          </w:p>
        </w:tc>
        <w:tc>
          <w:tcPr>
            <w:tcW w:w="879" w:type="dxa"/>
            <w:shd w:val="clear" w:color="auto" w:fill="auto"/>
          </w:tcPr>
          <w:p w14:paraId="797FCF50" w14:textId="4AE1905B" w:rsidR="009A7EC3" w:rsidRPr="00DE25AD" w:rsidRDefault="009A7EC3" w:rsidP="009A7EC3">
            <w:pPr>
              <w:pStyle w:val="ASSADACCESStablecentre"/>
            </w:pPr>
            <w:r w:rsidRPr="002E5727">
              <w:rPr>
                <w:bCs w:val="0"/>
                <w:color w:val="000000"/>
              </w:rPr>
              <w:t>40*^</w:t>
            </w:r>
          </w:p>
        </w:tc>
        <w:tc>
          <w:tcPr>
            <w:tcW w:w="879" w:type="dxa"/>
            <w:shd w:val="clear" w:color="auto" w:fill="auto"/>
          </w:tcPr>
          <w:p w14:paraId="374125B3" w14:textId="4A6BCE05" w:rsidR="009A7EC3" w:rsidRPr="00DE25AD" w:rsidRDefault="009A7EC3" w:rsidP="009A7EC3">
            <w:pPr>
              <w:pStyle w:val="ASSADACCESStablecentre"/>
            </w:pPr>
            <w:r w:rsidRPr="002E5727">
              <w:rPr>
                <w:bCs w:val="0"/>
                <w:color w:val="000000"/>
              </w:rPr>
              <w:t>33^</w:t>
            </w:r>
          </w:p>
        </w:tc>
        <w:tc>
          <w:tcPr>
            <w:tcW w:w="879" w:type="dxa"/>
            <w:shd w:val="clear" w:color="auto" w:fill="auto"/>
          </w:tcPr>
          <w:p w14:paraId="595024C2" w14:textId="24CB834A" w:rsidR="009A7EC3" w:rsidRPr="00DE25AD" w:rsidRDefault="009A7EC3" w:rsidP="009A7EC3">
            <w:pPr>
              <w:pStyle w:val="ASSADACCESStablecentre"/>
            </w:pPr>
            <w:r w:rsidRPr="002E5727">
              <w:rPr>
                <w:bCs w:val="0"/>
                <w:color w:val="000000"/>
              </w:rPr>
              <w:t>31^</w:t>
            </w:r>
          </w:p>
        </w:tc>
      </w:tr>
      <w:tr w:rsidR="009A7EC3" w:rsidRPr="00DE25AD" w14:paraId="0AB1B180" w14:textId="77777777" w:rsidTr="005C5B03">
        <w:tc>
          <w:tcPr>
            <w:tcW w:w="1517" w:type="dxa"/>
            <w:tcMar>
              <w:left w:w="57" w:type="dxa"/>
            </w:tcMar>
          </w:tcPr>
          <w:p w14:paraId="5BB8F41E" w14:textId="77777777" w:rsidR="009A7EC3" w:rsidRPr="00DE25AD" w:rsidRDefault="009A7EC3" w:rsidP="009A7EC3">
            <w:pPr>
              <w:pStyle w:val="ACCESSTableHeaderRow"/>
            </w:pPr>
          </w:p>
        </w:tc>
        <w:tc>
          <w:tcPr>
            <w:tcW w:w="1068" w:type="dxa"/>
            <w:shd w:val="clear" w:color="auto" w:fill="auto"/>
            <w:tcMar>
              <w:left w:w="57" w:type="dxa"/>
            </w:tcMar>
            <w:vAlign w:val="bottom"/>
          </w:tcPr>
          <w:p w14:paraId="617A13AA" w14:textId="77777777" w:rsidR="009A7EC3" w:rsidRPr="00DE25AD" w:rsidRDefault="009A7EC3" w:rsidP="009A7EC3">
            <w:pPr>
              <w:pStyle w:val="ASSAD2017ACCESSBody1"/>
            </w:pPr>
            <w:r w:rsidRPr="00DE25AD">
              <w:t>Female</w:t>
            </w:r>
          </w:p>
        </w:tc>
        <w:tc>
          <w:tcPr>
            <w:tcW w:w="878" w:type="dxa"/>
            <w:shd w:val="clear" w:color="auto" w:fill="auto"/>
          </w:tcPr>
          <w:p w14:paraId="235148C3" w14:textId="2E786FD2" w:rsidR="009A7EC3" w:rsidRPr="00DE25AD" w:rsidRDefault="009A7EC3" w:rsidP="009A7EC3">
            <w:pPr>
              <w:pStyle w:val="ASSADACCESStablecentre"/>
            </w:pPr>
            <w:r w:rsidRPr="002E5727">
              <w:rPr>
                <w:bCs w:val="0"/>
                <w:color w:val="000000"/>
              </w:rPr>
              <w:t>73*</w:t>
            </w:r>
          </w:p>
        </w:tc>
        <w:tc>
          <w:tcPr>
            <w:tcW w:w="879" w:type="dxa"/>
            <w:shd w:val="clear" w:color="auto" w:fill="auto"/>
          </w:tcPr>
          <w:p w14:paraId="006118D1" w14:textId="5D669F22" w:rsidR="009A7EC3" w:rsidRPr="00DE25AD" w:rsidRDefault="009A7EC3" w:rsidP="009A7EC3">
            <w:pPr>
              <w:pStyle w:val="ASSADACCESStablecentre"/>
            </w:pPr>
            <w:r w:rsidRPr="002E5727">
              <w:rPr>
                <w:bCs w:val="0"/>
                <w:color w:val="000000"/>
              </w:rPr>
              <w:t>70*</w:t>
            </w:r>
          </w:p>
        </w:tc>
        <w:tc>
          <w:tcPr>
            <w:tcW w:w="879" w:type="dxa"/>
            <w:shd w:val="clear" w:color="auto" w:fill="auto"/>
          </w:tcPr>
          <w:p w14:paraId="2801B157" w14:textId="44F3BF02" w:rsidR="009A7EC3" w:rsidRPr="00DE25AD" w:rsidRDefault="009A7EC3" w:rsidP="009A7EC3">
            <w:pPr>
              <w:pStyle w:val="ASSADACCESStablecentre"/>
            </w:pPr>
            <w:r w:rsidRPr="002E5727">
              <w:rPr>
                <w:bCs w:val="0"/>
                <w:color w:val="000000"/>
              </w:rPr>
              <w:t>65*^</w:t>
            </w:r>
          </w:p>
        </w:tc>
        <w:tc>
          <w:tcPr>
            <w:tcW w:w="879" w:type="dxa"/>
            <w:shd w:val="clear" w:color="auto" w:fill="auto"/>
          </w:tcPr>
          <w:p w14:paraId="63FD1EE9" w14:textId="55F37988" w:rsidR="009A7EC3" w:rsidRPr="00DE25AD" w:rsidRDefault="009A7EC3" w:rsidP="009A7EC3">
            <w:pPr>
              <w:pStyle w:val="ASSADACCESStablecentre"/>
            </w:pPr>
            <w:r w:rsidRPr="002E5727">
              <w:rPr>
                <w:bCs w:val="0"/>
                <w:color w:val="000000"/>
              </w:rPr>
              <w:t>53*^</w:t>
            </w:r>
          </w:p>
        </w:tc>
        <w:tc>
          <w:tcPr>
            <w:tcW w:w="879" w:type="dxa"/>
            <w:shd w:val="clear" w:color="auto" w:fill="auto"/>
          </w:tcPr>
          <w:p w14:paraId="0097C3BD" w14:textId="788A2D05" w:rsidR="009A7EC3" w:rsidRPr="00DE25AD" w:rsidRDefault="009A7EC3" w:rsidP="009A7EC3">
            <w:pPr>
              <w:pStyle w:val="ASSADACCESStablecentre"/>
            </w:pPr>
            <w:r w:rsidRPr="002E5727">
              <w:rPr>
                <w:bCs w:val="0"/>
                <w:color w:val="000000"/>
              </w:rPr>
              <w:t>44*^</w:t>
            </w:r>
          </w:p>
        </w:tc>
        <w:tc>
          <w:tcPr>
            <w:tcW w:w="879" w:type="dxa"/>
            <w:shd w:val="clear" w:color="auto" w:fill="auto"/>
          </w:tcPr>
          <w:p w14:paraId="593CDD22" w14:textId="67EE181E" w:rsidR="009A7EC3" w:rsidRPr="00DE25AD" w:rsidRDefault="009A7EC3" w:rsidP="009A7EC3">
            <w:pPr>
              <w:pStyle w:val="ASSADACCESStablecentre"/>
            </w:pPr>
            <w:r w:rsidRPr="002E5727">
              <w:rPr>
                <w:bCs w:val="0"/>
                <w:color w:val="000000"/>
              </w:rPr>
              <w:t>39*^</w:t>
            </w:r>
          </w:p>
        </w:tc>
        <w:tc>
          <w:tcPr>
            <w:tcW w:w="879" w:type="dxa"/>
            <w:shd w:val="clear" w:color="auto" w:fill="auto"/>
          </w:tcPr>
          <w:p w14:paraId="0EFC5964" w14:textId="3420281E" w:rsidR="009A7EC3" w:rsidRPr="00DE25AD" w:rsidRDefault="009A7EC3" w:rsidP="009A7EC3">
            <w:pPr>
              <w:pStyle w:val="ASSADACCESStablecentre"/>
            </w:pPr>
            <w:r w:rsidRPr="002E5727">
              <w:rPr>
                <w:bCs w:val="0"/>
                <w:color w:val="000000"/>
              </w:rPr>
              <w:t>37*^</w:t>
            </w:r>
          </w:p>
        </w:tc>
        <w:tc>
          <w:tcPr>
            <w:tcW w:w="879" w:type="dxa"/>
            <w:shd w:val="clear" w:color="auto" w:fill="auto"/>
          </w:tcPr>
          <w:p w14:paraId="01FE0FD3" w14:textId="50AFCBFB" w:rsidR="009A7EC3" w:rsidRPr="00DE25AD" w:rsidRDefault="009A7EC3" w:rsidP="009A7EC3">
            <w:pPr>
              <w:pStyle w:val="ASSADACCESStablecentre"/>
            </w:pPr>
            <w:r w:rsidRPr="002E5727">
              <w:rPr>
                <w:bCs w:val="0"/>
                <w:color w:val="000000"/>
              </w:rPr>
              <w:t>32^</w:t>
            </w:r>
          </w:p>
        </w:tc>
      </w:tr>
      <w:tr w:rsidR="009A7EC3" w:rsidRPr="00DE25AD" w14:paraId="6FA2E136" w14:textId="77777777" w:rsidTr="005C5B03">
        <w:tc>
          <w:tcPr>
            <w:tcW w:w="1517" w:type="dxa"/>
            <w:tcMar>
              <w:left w:w="57" w:type="dxa"/>
            </w:tcMar>
          </w:tcPr>
          <w:p w14:paraId="5DF3368B" w14:textId="77777777" w:rsidR="009A7EC3" w:rsidRPr="00DE25AD" w:rsidRDefault="009A7EC3" w:rsidP="009A7EC3">
            <w:pPr>
              <w:pStyle w:val="ACCESSTableHeaderRow"/>
            </w:pPr>
          </w:p>
        </w:tc>
        <w:tc>
          <w:tcPr>
            <w:tcW w:w="1068" w:type="dxa"/>
            <w:shd w:val="clear" w:color="auto" w:fill="auto"/>
            <w:tcMar>
              <w:left w:w="57" w:type="dxa"/>
            </w:tcMar>
            <w:vAlign w:val="bottom"/>
          </w:tcPr>
          <w:p w14:paraId="5680686C" w14:textId="77777777" w:rsidR="009A7EC3" w:rsidRPr="00DE25AD" w:rsidRDefault="009A7EC3" w:rsidP="009A7EC3">
            <w:pPr>
              <w:pStyle w:val="ASSAD2017ACCESSBody1"/>
            </w:pPr>
            <w:r w:rsidRPr="00DE25AD">
              <w:t>Total</w:t>
            </w:r>
          </w:p>
        </w:tc>
        <w:tc>
          <w:tcPr>
            <w:tcW w:w="878" w:type="dxa"/>
            <w:shd w:val="clear" w:color="auto" w:fill="auto"/>
          </w:tcPr>
          <w:p w14:paraId="1732E468" w14:textId="03314829" w:rsidR="009A7EC3" w:rsidRPr="00DE25AD" w:rsidRDefault="009A7EC3" w:rsidP="009A7EC3">
            <w:pPr>
              <w:pStyle w:val="ASSADACCESStablecentre"/>
            </w:pPr>
            <w:r w:rsidRPr="002E5727">
              <w:rPr>
                <w:bCs w:val="0"/>
                <w:color w:val="000000"/>
              </w:rPr>
              <w:t>73*</w:t>
            </w:r>
          </w:p>
        </w:tc>
        <w:tc>
          <w:tcPr>
            <w:tcW w:w="879" w:type="dxa"/>
            <w:shd w:val="clear" w:color="auto" w:fill="auto"/>
          </w:tcPr>
          <w:p w14:paraId="16713636" w14:textId="14A9F68F" w:rsidR="009A7EC3" w:rsidRPr="00DE25AD" w:rsidRDefault="009A7EC3" w:rsidP="009A7EC3">
            <w:pPr>
              <w:pStyle w:val="ASSADACCESStablecentre"/>
            </w:pPr>
            <w:r w:rsidRPr="002E5727">
              <w:rPr>
                <w:bCs w:val="0"/>
                <w:color w:val="000000"/>
              </w:rPr>
              <w:t>69*^</w:t>
            </w:r>
          </w:p>
        </w:tc>
        <w:tc>
          <w:tcPr>
            <w:tcW w:w="879" w:type="dxa"/>
            <w:shd w:val="clear" w:color="auto" w:fill="auto"/>
          </w:tcPr>
          <w:p w14:paraId="10397396" w14:textId="57647F20" w:rsidR="009A7EC3" w:rsidRPr="00DE25AD" w:rsidRDefault="009A7EC3" w:rsidP="009A7EC3">
            <w:pPr>
              <w:pStyle w:val="ASSADACCESStablecentre"/>
            </w:pPr>
            <w:r w:rsidRPr="002E5727">
              <w:rPr>
                <w:bCs w:val="0"/>
                <w:color w:val="000000"/>
              </w:rPr>
              <w:t>63*^</w:t>
            </w:r>
          </w:p>
        </w:tc>
        <w:tc>
          <w:tcPr>
            <w:tcW w:w="879" w:type="dxa"/>
            <w:shd w:val="clear" w:color="auto" w:fill="auto"/>
          </w:tcPr>
          <w:p w14:paraId="0713FD4A" w14:textId="456DE1CA" w:rsidR="009A7EC3" w:rsidRPr="00DE25AD" w:rsidRDefault="009A7EC3" w:rsidP="009A7EC3">
            <w:pPr>
              <w:pStyle w:val="ASSADACCESStablecentre"/>
            </w:pPr>
            <w:r w:rsidRPr="002E5727">
              <w:rPr>
                <w:bCs w:val="0"/>
                <w:color w:val="000000"/>
              </w:rPr>
              <w:t>52*^</w:t>
            </w:r>
          </w:p>
        </w:tc>
        <w:tc>
          <w:tcPr>
            <w:tcW w:w="879" w:type="dxa"/>
            <w:shd w:val="clear" w:color="auto" w:fill="auto"/>
          </w:tcPr>
          <w:p w14:paraId="24E8B16A" w14:textId="237BE331" w:rsidR="009A7EC3" w:rsidRPr="00DE25AD" w:rsidRDefault="009A7EC3" w:rsidP="009A7EC3">
            <w:pPr>
              <w:pStyle w:val="ASSADACCESStablecentre"/>
            </w:pPr>
            <w:r w:rsidRPr="002E5727">
              <w:rPr>
                <w:bCs w:val="0"/>
                <w:color w:val="000000"/>
              </w:rPr>
              <w:t>43*^</w:t>
            </w:r>
          </w:p>
        </w:tc>
        <w:tc>
          <w:tcPr>
            <w:tcW w:w="879" w:type="dxa"/>
            <w:shd w:val="clear" w:color="auto" w:fill="auto"/>
          </w:tcPr>
          <w:p w14:paraId="0DEAE576" w14:textId="62C79C5A" w:rsidR="009A7EC3" w:rsidRPr="00DE25AD" w:rsidRDefault="009A7EC3" w:rsidP="009A7EC3">
            <w:pPr>
              <w:pStyle w:val="ASSADACCESStablecentre"/>
            </w:pPr>
            <w:r w:rsidRPr="002E5727">
              <w:rPr>
                <w:bCs w:val="0"/>
                <w:color w:val="000000"/>
              </w:rPr>
              <w:t>39*^</w:t>
            </w:r>
          </w:p>
        </w:tc>
        <w:tc>
          <w:tcPr>
            <w:tcW w:w="879" w:type="dxa"/>
            <w:shd w:val="clear" w:color="auto" w:fill="auto"/>
          </w:tcPr>
          <w:p w14:paraId="07718AF4" w14:textId="1EC60276" w:rsidR="009A7EC3" w:rsidRPr="00DE25AD" w:rsidRDefault="009A7EC3" w:rsidP="009A7EC3">
            <w:pPr>
              <w:pStyle w:val="ASSADACCESStablecentre"/>
            </w:pPr>
            <w:r w:rsidRPr="002E5727">
              <w:rPr>
                <w:bCs w:val="0"/>
                <w:color w:val="000000"/>
              </w:rPr>
              <w:t>35^</w:t>
            </w:r>
          </w:p>
        </w:tc>
        <w:tc>
          <w:tcPr>
            <w:tcW w:w="879" w:type="dxa"/>
            <w:shd w:val="clear" w:color="auto" w:fill="auto"/>
          </w:tcPr>
          <w:p w14:paraId="29EC7720" w14:textId="2D593392" w:rsidR="009A7EC3" w:rsidRPr="00DE25AD" w:rsidRDefault="009A7EC3" w:rsidP="009A7EC3">
            <w:pPr>
              <w:pStyle w:val="ASSADACCESStablecentre"/>
            </w:pPr>
            <w:r w:rsidRPr="002E5727">
              <w:rPr>
                <w:bCs w:val="0"/>
                <w:color w:val="000000"/>
              </w:rPr>
              <w:t>31^</w:t>
            </w:r>
          </w:p>
        </w:tc>
      </w:tr>
      <w:tr w:rsidR="009A7EC3" w:rsidRPr="00DE25AD" w14:paraId="1FE58593" w14:textId="77777777" w:rsidTr="00545FF4">
        <w:tc>
          <w:tcPr>
            <w:tcW w:w="1517" w:type="dxa"/>
            <w:tcMar>
              <w:left w:w="57" w:type="dxa"/>
            </w:tcMar>
          </w:tcPr>
          <w:p w14:paraId="56A6C59C"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56F7C837" w14:textId="77777777" w:rsidR="009A7EC3" w:rsidRPr="00DE25AD" w:rsidRDefault="009A7EC3" w:rsidP="009A7EC3">
            <w:pPr>
              <w:pStyle w:val="ASSAD2017ACCESSBody1"/>
            </w:pPr>
            <w:r w:rsidRPr="00DE25AD">
              <w:t>Male</w:t>
            </w:r>
          </w:p>
        </w:tc>
        <w:tc>
          <w:tcPr>
            <w:tcW w:w="878" w:type="dxa"/>
            <w:shd w:val="clear" w:color="auto" w:fill="auto"/>
          </w:tcPr>
          <w:p w14:paraId="7AC8B7F3" w14:textId="521C458C" w:rsidR="009A7EC3" w:rsidRPr="00DE25AD" w:rsidRDefault="009A7EC3" w:rsidP="009A7EC3">
            <w:pPr>
              <w:pStyle w:val="ASSADACCESStablecentre"/>
            </w:pPr>
            <w:r w:rsidRPr="002E5727">
              <w:rPr>
                <w:bCs w:val="0"/>
                <w:color w:val="000000"/>
              </w:rPr>
              <w:t>49*</w:t>
            </w:r>
          </w:p>
        </w:tc>
        <w:tc>
          <w:tcPr>
            <w:tcW w:w="879" w:type="dxa"/>
            <w:shd w:val="clear" w:color="auto" w:fill="auto"/>
          </w:tcPr>
          <w:p w14:paraId="0145DA8B" w14:textId="21A50013" w:rsidR="009A7EC3" w:rsidRPr="00DE25AD" w:rsidRDefault="009A7EC3" w:rsidP="009A7EC3">
            <w:pPr>
              <w:pStyle w:val="ASSADACCESStablecentre"/>
            </w:pPr>
            <w:r w:rsidRPr="002E5727">
              <w:rPr>
                <w:bCs w:val="0"/>
                <w:color w:val="000000"/>
              </w:rPr>
              <w:t>48*</w:t>
            </w:r>
          </w:p>
        </w:tc>
        <w:tc>
          <w:tcPr>
            <w:tcW w:w="879" w:type="dxa"/>
            <w:shd w:val="clear" w:color="auto" w:fill="auto"/>
          </w:tcPr>
          <w:p w14:paraId="6FDDC44F" w14:textId="5200A82D" w:rsidR="009A7EC3" w:rsidRPr="00DE25AD" w:rsidRDefault="009A7EC3" w:rsidP="009A7EC3">
            <w:pPr>
              <w:pStyle w:val="ASSADACCESStablecentre"/>
            </w:pPr>
            <w:r w:rsidRPr="002E5727">
              <w:rPr>
                <w:bCs w:val="0"/>
                <w:color w:val="000000"/>
              </w:rPr>
              <w:t>41*^</w:t>
            </w:r>
          </w:p>
        </w:tc>
        <w:tc>
          <w:tcPr>
            <w:tcW w:w="879" w:type="dxa"/>
            <w:shd w:val="clear" w:color="auto" w:fill="auto"/>
          </w:tcPr>
          <w:p w14:paraId="29C10549" w14:textId="7E40A6ED" w:rsidR="009A7EC3" w:rsidRPr="00DE25AD" w:rsidRDefault="009A7EC3" w:rsidP="009A7EC3">
            <w:pPr>
              <w:pStyle w:val="ASSADACCESStablecentre"/>
            </w:pPr>
            <w:r w:rsidRPr="002E5727">
              <w:rPr>
                <w:bCs w:val="0"/>
                <w:color w:val="000000"/>
              </w:rPr>
              <w:t>34*^</w:t>
            </w:r>
          </w:p>
        </w:tc>
        <w:tc>
          <w:tcPr>
            <w:tcW w:w="879" w:type="dxa"/>
            <w:shd w:val="clear" w:color="auto" w:fill="auto"/>
          </w:tcPr>
          <w:p w14:paraId="6CF486D3" w14:textId="1150D779" w:rsidR="009A7EC3" w:rsidRPr="00DE25AD" w:rsidRDefault="009A7EC3" w:rsidP="009A7EC3">
            <w:pPr>
              <w:pStyle w:val="ASSADACCESStablecentre"/>
            </w:pPr>
            <w:r w:rsidRPr="002E5727">
              <w:rPr>
                <w:bCs w:val="0"/>
                <w:color w:val="000000"/>
              </w:rPr>
              <w:t>29^</w:t>
            </w:r>
          </w:p>
        </w:tc>
        <w:tc>
          <w:tcPr>
            <w:tcW w:w="879" w:type="dxa"/>
            <w:shd w:val="clear" w:color="auto" w:fill="auto"/>
          </w:tcPr>
          <w:p w14:paraId="7BE54D87" w14:textId="6566FCB8" w:rsidR="009A7EC3" w:rsidRPr="00DE25AD" w:rsidRDefault="009A7EC3" w:rsidP="009A7EC3">
            <w:pPr>
              <w:pStyle w:val="ASSADACCESStablecentre"/>
            </w:pPr>
            <w:r w:rsidRPr="002E5727">
              <w:rPr>
                <w:bCs w:val="0"/>
                <w:color w:val="000000"/>
              </w:rPr>
              <w:t>30^</w:t>
            </w:r>
          </w:p>
        </w:tc>
        <w:tc>
          <w:tcPr>
            <w:tcW w:w="879" w:type="dxa"/>
            <w:shd w:val="clear" w:color="auto" w:fill="auto"/>
          </w:tcPr>
          <w:p w14:paraId="26DC1E12" w14:textId="3AFA0ECA" w:rsidR="009A7EC3" w:rsidRPr="00DE25AD" w:rsidRDefault="009A7EC3" w:rsidP="009A7EC3">
            <w:pPr>
              <w:pStyle w:val="ASSADACCESStablecentre"/>
            </w:pPr>
            <w:r w:rsidRPr="002E5727">
              <w:rPr>
                <w:bCs w:val="0"/>
                <w:color w:val="000000"/>
              </w:rPr>
              <w:t>24^</w:t>
            </w:r>
          </w:p>
        </w:tc>
        <w:tc>
          <w:tcPr>
            <w:tcW w:w="879" w:type="dxa"/>
            <w:shd w:val="clear" w:color="auto" w:fill="auto"/>
          </w:tcPr>
          <w:p w14:paraId="657A4CE9" w14:textId="26161D19" w:rsidR="009A7EC3" w:rsidRPr="00DE25AD" w:rsidRDefault="009A7EC3" w:rsidP="009A7EC3">
            <w:pPr>
              <w:pStyle w:val="ASSADACCESStablecentre"/>
            </w:pPr>
            <w:r w:rsidRPr="002E5727">
              <w:rPr>
                <w:bCs w:val="0"/>
                <w:color w:val="000000"/>
              </w:rPr>
              <w:t>25^</w:t>
            </w:r>
          </w:p>
        </w:tc>
      </w:tr>
      <w:tr w:rsidR="009A7EC3" w:rsidRPr="00DE25AD" w14:paraId="36F4091A" w14:textId="77777777" w:rsidTr="005C5B03">
        <w:tc>
          <w:tcPr>
            <w:tcW w:w="1517" w:type="dxa"/>
            <w:tcMar>
              <w:left w:w="57" w:type="dxa"/>
            </w:tcMar>
          </w:tcPr>
          <w:p w14:paraId="434226B4" w14:textId="77777777" w:rsidR="009A7EC3" w:rsidRPr="00DE25AD" w:rsidRDefault="009A7EC3" w:rsidP="009A7EC3">
            <w:pPr>
              <w:pStyle w:val="ACCESSTableHeaderRow"/>
            </w:pPr>
          </w:p>
        </w:tc>
        <w:tc>
          <w:tcPr>
            <w:tcW w:w="1068" w:type="dxa"/>
            <w:shd w:val="clear" w:color="auto" w:fill="auto"/>
            <w:tcMar>
              <w:left w:w="57" w:type="dxa"/>
            </w:tcMar>
            <w:vAlign w:val="bottom"/>
          </w:tcPr>
          <w:p w14:paraId="5BD39A1C" w14:textId="77777777" w:rsidR="009A7EC3" w:rsidRPr="00DE25AD" w:rsidRDefault="009A7EC3" w:rsidP="009A7EC3">
            <w:pPr>
              <w:pStyle w:val="ASSAD2017ACCESSBody1"/>
            </w:pPr>
            <w:r w:rsidRPr="00DE25AD">
              <w:t>Female</w:t>
            </w:r>
          </w:p>
        </w:tc>
        <w:tc>
          <w:tcPr>
            <w:tcW w:w="878" w:type="dxa"/>
            <w:shd w:val="clear" w:color="auto" w:fill="auto"/>
          </w:tcPr>
          <w:p w14:paraId="5FCC1264" w14:textId="39670706" w:rsidR="009A7EC3" w:rsidRPr="00DE25AD" w:rsidRDefault="009A7EC3" w:rsidP="009A7EC3">
            <w:pPr>
              <w:pStyle w:val="ASSADACCESStablecentre"/>
            </w:pPr>
            <w:r w:rsidRPr="002E5727">
              <w:rPr>
                <w:bCs w:val="0"/>
                <w:color w:val="000000"/>
              </w:rPr>
              <w:t>54*</w:t>
            </w:r>
          </w:p>
        </w:tc>
        <w:tc>
          <w:tcPr>
            <w:tcW w:w="879" w:type="dxa"/>
            <w:shd w:val="clear" w:color="auto" w:fill="auto"/>
          </w:tcPr>
          <w:p w14:paraId="32EA6796" w14:textId="40853AD6" w:rsidR="009A7EC3" w:rsidRPr="00DE25AD" w:rsidRDefault="009A7EC3" w:rsidP="009A7EC3">
            <w:pPr>
              <w:pStyle w:val="ASSADACCESStablecentre"/>
            </w:pPr>
            <w:r w:rsidRPr="002E5727">
              <w:rPr>
                <w:bCs w:val="0"/>
                <w:color w:val="000000"/>
              </w:rPr>
              <w:t>53*</w:t>
            </w:r>
          </w:p>
        </w:tc>
        <w:tc>
          <w:tcPr>
            <w:tcW w:w="879" w:type="dxa"/>
            <w:shd w:val="clear" w:color="auto" w:fill="auto"/>
          </w:tcPr>
          <w:p w14:paraId="6594B67D" w14:textId="522EEC6C" w:rsidR="009A7EC3" w:rsidRPr="00DE25AD" w:rsidRDefault="009A7EC3" w:rsidP="009A7EC3">
            <w:pPr>
              <w:pStyle w:val="ASSADACCESStablecentre"/>
            </w:pPr>
            <w:r w:rsidRPr="002E5727">
              <w:rPr>
                <w:bCs w:val="0"/>
                <w:color w:val="000000"/>
              </w:rPr>
              <w:t>45*^</w:t>
            </w:r>
          </w:p>
        </w:tc>
        <w:tc>
          <w:tcPr>
            <w:tcW w:w="879" w:type="dxa"/>
            <w:shd w:val="clear" w:color="auto" w:fill="auto"/>
          </w:tcPr>
          <w:p w14:paraId="1529C0D0" w14:textId="6D30CC6A" w:rsidR="009A7EC3" w:rsidRPr="00DE25AD" w:rsidRDefault="009A7EC3" w:rsidP="009A7EC3">
            <w:pPr>
              <w:pStyle w:val="ASSADACCESStablecentre"/>
            </w:pPr>
            <w:r w:rsidRPr="002E5727">
              <w:rPr>
                <w:bCs w:val="0"/>
                <w:color w:val="000000"/>
              </w:rPr>
              <w:t>37*^</w:t>
            </w:r>
          </w:p>
        </w:tc>
        <w:tc>
          <w:tcPr>
            <w:tcW w:w="879" w:type="dxa"/>
            <w:shd w:val="clear" w:color="auto" w:fill="auto"/>
          </w:tcPr>
          <w:p w14:paraId="7DD6B883" w14:textId="041EEEE7" w:rsidR="009A7EC3" w:rsidRPr="00DE25AD" w:rsidRDefault="009A7EC3" w:rsidP="009A7EC3">
            <w:pPr>
              <w:pStyle w:val="ASSADACCESStablecentre"/>
            </w:pPr>
            <w:r w:rsidRPr="002E5727">
              <w:rPr>
                <w:bCs w:val="0"/>
                <w:color w:val="000000"/>
              </w:rPr>
              <w:t>31*^</w:t>
            </w:r>
          </w:p>
        </w:tc>
        <w:tc>
          <w:tcPr>
            <w:tcW w:w="879" w:type="dxa"/>
            <w:shd w:val="clear" w:color="auto" w:fill="auto"/>
          </w:tcPr>
          <w:p w14:paraId="31716856" w14:textId="31BFD914" w:rsidR="009A7EC3" w:rsidRPr="00DE25AD" w:rsidRDefault="009A7EC3" w:rsidP="009A7EC3">
            <w:pPr>
              <w:pStyle w:val="ASSADACCESStablecentre"/>
            </w:pPr>
            <w:r w:rsidRPr="002E5727">
              <w:rPr>
                <w:bCs w:val="0"/>
                <w:color w:val="000000"/>
              </w:rPr>
              <w:t>29^</w:t>
            </w:r>
          </w:p>
        </w:tc>
        <w:tc>
          <w:tcPr>
            <w:tcW w:w="879" w:type="dxa"/>
            <w:shd w:val="clear" w:color="auto" w:fill="auto"/>
          </w:tcPr>
          <w:p w14:paraId="66BC70B3" w14:textId="27F7A0D8" w:rsidR="009A7EC3" w:rsidRPr="00DE25AD" w:rsidRDefault="009A7EC3" w:rsidP="009A7EC3">
            <w:pPr>
              <w:pStyle w:val="ASSADACCESStablecentre"/>
            </w:pPr>
            <w:r w:rsidRPr="002E5727">
              <w:rPr>
                <w:bCs w:val="0"/>
                <w:color w:val="000000"/>
              </w:rPr>
              <w:t>29^</w:t>
            </w:r>
          </w:p>
        </w:tc>
        <w:tc>
          <w:tcPr>
            <w:tcW w:w="879" w:type="dxa"/>
            <w:shd w:val="clear" w:color="auto" w:fill="auto"/>
          </w:tcPr>
          <w:p w14:paraId="663C6B7A" w14:textId="61E24A5F" w:rsidR="009A7EC3" w:rsidRPr="00DE25AD" w:rsidRDefault="009A7EC3" w:rsidP="009A7EC3">
            <w:pPr>
              <w:pStyle w:val="ASSADACCESStablecentre"/>
            </w:pPr>
            <w:r w:rsidRPr="002E5727">
              <w:rPr>
                <w:bCs w:val="0"/>
                <w:color w:val="000000"/>
              </w:rPr>
              <w:t>25^</w:t>
            </w:r>
          </w:p>
        </w:tc>
      </w:tr>
      <w:tr w:rsidR="009A7EC3" w:rsidRPr="00DE25AD" w14:paraId="0BEE8492" w14:textId="77777777" w:rsidTr="005C5B03">
        <w:tc>
          <w:tcPr>
            <w:tcW w:w="1517" w:type="dxa"/>
            <w:tcMar>
              <w:left w:w="57" w:type="dxa"/>
            </w:tcMar>
          </w:tcPr>
          <w:p w14:paraId="4B0E05DC" w14:textId="77777777" w:rsidR="009A7EC3" w:rsidRPr="00DE25AD" w:rsidRDefault="009A7EC3" w:rsidP="009A7EC3">
            <w:pPr>
              <w:pStyle w:val="ACCESSTableHeaderRow"/>
            </w:pPr>
          </w:p>
        </w:tc>
        <w:tc>
          <w:tcPr>
            <w:tcW w:w="1068" w:type="dxa"/>
            <w:shd w:val="clear" w:color="auto" w:fill="auto"/>
            <w:tcMar>
              <w:left w:w="57" w:type="dxa"/>
            </w:tcMar>
            <w:vAlign w:val="bottom"/>
          </w:tcPr>
          <w:p w14:paraId="74039379" w14:textId="77777777" w:rsidR="009A7EC3" w:rsidRPr="00DE25AD" w:rsidRDefault="009A7EC3" w:rsidP="009A7EC3">
            <w:pPr>
              <w:pStyle w:val="ASSAD2017ACCESSBody1"/>
            </w:pPr>
            <w:r w:rsidRPr="00DE25AD">
              <w:t>Total</w:t>
            </w:r>
          </w:p>
        </w:tc>
        <w:tc>
          <w:tcPr>
            <w:tcW w:w="878" w:type="dxa"/>
            <w:shd w:val="clear" w:color="auto" w:fill="auto"/>
          </w:tcPr>
          <w:p w14:paraId="483D7EE5" w14:textId="414BF86D" w:rsidR="009A7EC3" w:rsidRPr="00DE25AD" w:rsidRDefault="009A7EC3" w:rsidP="009A7EC3">
            <w:pPr>
              <w:pStyle w:val="ASSADACCESStablecentre"/>
            </w:pPr>
            <w:r w:rsidRPr="002E5727">
              <w:rPr>
                <w:bCs w:val="0"/>
                <w:color w:val="000000"/>
              </w:rPr>
              <w:t>52*</w:t>
            </w:r>
          </w:p>
        </w:tc>
        <w:tc>
          <w:tcPr>
            <w:tcW w:w="879" w:type="dxa"/>
            <w:shd w:val="clear" w:color="auto" w:fill="auto"/>
          </w:tcPr>
          <w:p w14:paraId="7A39ED6E" w14:textId="1A86463E" w:rsidR="009A7EC3" w:rsidRPr="00DE25AD" w:rsidRDefault="009A7EC3" w:rsidP="009A7EC3">
            <w:pPr>
              <w:pStyle w:val="ASSADACCESStablecentre"/>
            </w:pPr>
            <w:r w:rsidRPr="002E5727">
              <w:rPr>
                <w:bCs w:val="0"/>
                <w:color w:val="000000"/>
              </w:rPr>
              <w:t>51*</w:t>
            </w:r>
          </w:p>
        </w:tc>
        <w:tc>
          <w:tcPr>
            <w:tcW w:w="879" w:type="dxa"/>
            <w:shd w:val="clear" w:color="auto" w:fill="auto"/>
          </w:tcPr>
          <w:p w14:paraId="1B5697CA" w14:textId="2C41676E" w:rsidR="009A7EC3" w:rsidRPr="00DE25AD" w:rsidRDefault="009A7EC3" w:rsidP="009A7EC3">
            <w:pPr>
              <w:pStyle w:val="ASSADACCESStablecentre"/>
            </w:pPr>
            <w:r w:rsidRPr="002E5727">
              <w:rPr>
                <w:bCs w:val="0"/>
                <w:color w:val="000000"/>
              </w:rPr>
              <w:t>43*^</w:t>
            </w:r>
          </w:p>
        </w:tc>
        <w:tc>
          <w:tcPr>
            <w:tcW w:w="879" w:type="dxa"/>
            <w:shd w:val="clear" w:color="auto" w:fill="auto"/>
          </w:tcPr>
          <w:p w14:paraId="6409D98D" w14:textId="6429B58F" w:rsidR="009A7EC3" w:rsidRPr="00DE25AD" w:rsidRDefault="009A7EC3" w:rsidP="009A7EC3">
            <w:pPr>
              <w:pStyle w:val="ASSADACCESStablecentre"/>
            </w:pPr>
            <w:r w:rsidRPr="002E5727">
              <w:rPr>
                <w:bCs w:val="0"/>
                <w:color w:val="000000"/>
              </w:rPr>
              <w:t>36*^</w:t>
            </w:r>
          </w:p>
        </w:tc>
        <w:tc>
          <w:tcPr>
            <w:tcW w:w="879" w:type="dxa"/>
            <w:shd w:val="clear" w:color="auto" w:fill="auto"/>
          </w:tcPr>
          <w:p w14:paraId="68EBE6C3" w14:textId="2F271D8B" w:rsidR="009A7EC3" w:rsidRPr="00DE25AD" w:rsidRDefault="009A7EC3" w:rsidP="009A7EC3">
            <w:pPr>
              <w:pStyle w:val="ASSADACCESStablecentre"/>
            </w:pPr>
            <w:r w:rsidRPr="002E5727">
              <w:rPr>
                <w:bCs w:val="0"/>
                <w:color w:val="000000"/>
              </w:rPr>
              <w:t>30*^</w:t>
            </w:r>
          </w:p>
        </w:tc>
        <w:tc>
          <w:tcPr>
            <w:tcW w:w="879" w:type="dxa"/>
            <w:shd w:val="clear" w:color="auto" w:fill="auto"/>
          </w:tcPr>
          <w:p w14:paraId="3D00C04D" w14:textId="0AA53B3C" w:rsidR="009A7EC3" w:rsidRPr="00DE25AD" w:rsidRDefault="009A7EC3" w:rsidP="009A7EC3">
            <w:pPr>
              <w:pStyle w:val="ASSADACCESStablecentre"/>
            </w:pPr>
            <w:r w:rsidRPr="002E5727">
              <w:rPr>
                <w:bCs w:val="0"/>
                <w:color w:val="000000"/>
              </w:rPr>
              <w:t>29*^</w:t>
            </w:r>
          </w:p>
        </w:tc>
        <w:tc>
          <w:tcPr>
            <w:tcW w:w="879" w:type="dxa"/>
            <w:shd w:val="clear" w:color="auto" w:fill="auto"/>
          </w:tcPr>
          <w:p w14:paraId="60DE0E4E" w14:textId="7FDE292F" w:rsidR="009A7EC3" w:rsidRPr="00DE25AD" w:rsidRDefault="009A7EC3" w:rsidP="009A7EC3">
            <w:pPr>
              <w:pStyle w:val="ASSADACCESStablecentre"/>
            </w:pPr>
            <w:r w:rsidRPr="002E5727">
              <w:rPr>
                <w:bCs w:val="0"/>
                <w:color w:val="000000"/>
              </w:rPr>
              <w:t>27^</w:t>
            </w:r>
          </w:p>
        </w:tc>
        <w:tc>
          <w:tcPr>
            <w:tcW w:w="879" w:type="dxa"/>
            <w:shd w:val="clear" w:color="auto" w:fill="auto"/>
          </w:tcPr>
          <w:p w14:paraId="41D7B95A" w14:textId="08DEFFB7" w:rsidR="009A7EC3" w:rsidRPr="00DE25AD" w:rsidRDefault="009A7EC3" w:rsidP="009A7EC3">
            <w:pPr>
              <w:pStyle w:val="ASSADACCESStablecentre"/>
            </w:pPr>
            <w:r w:rsidRPr="002E5727">
              <w:rPr>
                <w:bCs w:val="0"/>
                <w:color w:val="000000"/>
              </w:rPr>
              <w:t>25^</w:t>
            </w:r>
          </w:p>
        </w:tc>
      </w:tr>
      <w:tr w:rsidR="009A7EC3" w:rsidRPr="00DE25AD" w14:paraId="2BC2118E" w14:textId="77777777" w:rsidTr="005C5B03">
        <w:tc>
          <w:tcPr>
            <w:tcW w:w="1517" w:type="dxa"/>
            <w:tcMar>
              <w:left w:w="57" w:type="dxa"/>
            </w:tcMar>
          </w:tcPr>
          <w:p w14:paraId="58608478"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09C6C89D" w14:textId="77777777" w:rsidR="009A7EC3" w:rsidRPr="00DE25AD" w:rsidRDefault="009A7EC3" w:rsidP="009A7EC3">
            <w:pPr>
              <w:pStyle w:val="ASSAD2017ACCESSBody1"/>
            </w:pPr>
            <w:r w:rsidRPr="00DE25AD">
              <w:t>Male</w:t>
            </w:r>
          </w:p>
        </w:tc>
        <w:tc>
          <w:tcPr>
            <w:tcW w:w="878" w:type="dxa"/>
            <w:shd w:val="clear" w:color="auto" w:fill="auto"/>
          </w:tcPr>
          <w:p w14:paraId="2A0ADA6C" w14:textId="6E04CAE5" w:rsidR="009A7EC3" w:rsidRPr="00DE25AD" w:rsidRDefault="009A7EC3" w:rsidP="009A7EC3">
            <w:pPr>
              <w:pStyle w:val="ASSADACCESStablecentre"/>
            </w:pPr>
            <w:r w:rsidRPr="002E5727">
              <w:rPr>
                <w:bCs w:val="0"/>
                <w:color w:val="000000"/>
              </w:rPr>
              <w:t>32*</w:t>
            </w:r>
          </w:p>
        </w:tc>
        <w:tc>
          <w:tcPr>
            <w:tcW w:w="879" w:type="dxa"/>
            <w:shd w:val="clear" w:color="auto" w:fill="auto"/>
          </w:tcPr>
          <w:p w14:paraId="7D6A1B3A" w14:textId="48E8B4F8" w:rsidR="009A7EC3" w:rsidRPr="00DE25AD" w:rsidRDefault="009A7EC3" w:rsidP="009A7EC3">
            <w:pPr>
              <w:pStyle w:val="ASSADACCESStablecentre"/>
            </w:pPr>
            <w:r w:rsidRPr="002E5727">
              <w:rPr>
                <w:bCs w:val="0"/>
                <w:color w:val="000000"/>
              </w:rPr>
              <w:t>34*</w:t>
            </w:r>
          </w:p>
        </w:tc>
        <w:tc>
          <w:tcPr>
            <w:tcW w:w="879" w:type="dxa"/>
            <w:shd w:val="clear" w:color="auto" w:fill="auto"/>
          </w:tcPr>
          <w:p w14:paraId="6AA37089" w14:textId="227358A6" w:rsidR="009A7EC3" w:rsidRPr="00DE25AD" w:rsidRDefault="009A7EC3" w:rsidP="009A7EC3">
            <w:pPr>
              <w:pStyle w:val="ASSADACCESStablecentre"/>
            </w:pPr>
            <w:r w:rsidRPr="002E5727">
              <w:rPr>
                <w:bCs w:val="0"/>
                <w:color w:val="000000"/>
              </w:rPr>
              <w:t>26*^</w:t>
            </w:r>
          </w:p>
        </w:tc>
        <w:tc>
          <w:tcPr>
            <w:tcW w:w="879" w:type="dxa"/>
            <w:shd w:val="clear" w:color="auto" w:fill="auto"/>
          </w:tcPr>
          <w:p w14:paraId="1B212A56" w14:textId="3E1CA7E1" w:rsidR="009A7EC3" w:rsidRPr="00DE25AD" w:rsidRDefault="009A7EC3" w:rsidP="009A7EC3">
            <w:pPr>
              <w:pStyle w:val="ASSADACCESStablecentre"/>
            </w:pPr>
            <w:r w:rsidRPr="002E5727">
              <w:rPr>
                <w:bCs w:val="0"/>
                <w:color w:val="000000"/>
              </w:rPr>
              <w:t>21*^</w:t>
            </w:r>
          </w:p>
        </w:tc>
        <w:tc>
          <w:tcPr>
            <w:tcW w:w="879" w:type="dxa"/>
            <w:shd w:val="clear" w:color="auto" w:fill="auto"/>
          </w:tcPr>
          <w:p w14:paraId="6261F4AA" w14:textId="6C6138D4" w:rsidR="009A7EC3" w:rsidRPr="00DE25AD" w:rsidRDefault="009A7EC3" w:rsidP="009A7EC3">
            <w:pPr>
              <w:pStyle w:val="ASSADACCESStablecentre"/>
            </w:pPr>
            <w:r w:rsidRPr="002E5727">
              <w:rPr>
                <w:bCs w:val="0"/>
                <w:color w:val="000000"/>
              </w:rPr>
              <w:t>17^</w:t>
            </w:r>
          </w:p>
        </w:tc>
        <w:tc>
          <w:tcPr>
            <w:tcW w:w="879" w:type="dxa"/>
            <w:shd w:val="clear" w:color="auto" w:fill="auto"/>
          </w:tcPr>
          <w:p w14:paraId="62F40C46" w14:textId="68CE11E7" w:rsidR="009A7EC3" w:rsidRPr="00DE25AD" w:rsidRDefault="009A7EC3" w:rsidP="009A7EC3">
            <w:pPr>
              <w:pStyle w:val="ASSADACCESStablecentre"/>
            </w:pPr>
            <w:r w:rsidRPr="002E5727">
              <w:rPr>
                <w:bCs w:val="0"/>
                <w:color w:val="000000"/>
              </w:rPr>
              <w:t>18^</w:t>
            </w:r>
          </w:p>
        </w:tc>
        <w:tc>
          <w:tcPr>
            <w:tcW w:w="879" w:type="dxa"/>
            <w:shd w:val="clear" w:color="auto" w:fill="auto"/>
          </w:tcPr>
          <w:p w14:paraId="4787D68F" w14:textId="4491B28B" w:rsidR="009A7EC3" w:rsidRPr="00DE25AD" w:rsidRDefault="009A7EC3" w:rsidP="009A7EC3">
            <w:pPr>
              <w:pStyle w:val="ASSADACCESStablecentre"/>
            </w:pPr>
            <w:r w:rsidRPr="002E5727">
              <w:rPr>
                <w:bCs w:val="0"/>
                <w:color w:val="000000"/>
              </w:rPr>
              <w:t>15^</w:t>
            </w:r>
          </w:p>
        </w:tc>
        <w:tc>
          <w:tcPr>
            <w:tcW w:w="879" w:type="dxa"/>
            <w:shd w:val="clear" w:color="auto" w:fill="auto"/>
          </w:tcPr>
          <w:p w14:paraId="413F12D3" w14:textId="247B605B" w:rsidR="009A7EC3" w:rsidRPr="00DE25AD" w:rsidRDefault="009A7EC3" w:rsidP="009A7EC3">
            <w:pPr>
              <w:pStyle w:val="ASSADACCESStablecentre"/>
            </w:pPr>
            <w:r w:rsidRPr="002E5727">
              <w:rPr>
                <w:bCs w:val="0"/>
                <w:color w:val="000000"/>
              </w:rPr>
              <w:t>15</w:t>
            </w:r>
            <w:r>
              <w:rPr>
                <w:bCs w:val="0"/>
                <w:color w:val="000000"/>
              </w:rPr>
              <w:t>^</w:t>
            </w:r>
          </w:p>
        </w:tc>
      </w:tr>
      <w:tr w:rsidR="009A7EC3" w:rsidRPr="00DE25AD" w14:paraId="3A860551" w14:textId="77777777" w:rsidTr="005C5B03">
        <w:tc>
          <w:tcPr>
            <w:tcW w:w="1517" w:type="dxa"/>
            <w:tcMar>
              <w:left w:w="57" w:type="dxa"/>
            </w:tcMar>
          </w:tcPr>
          <w:p w14:paraId="4F283373" w14:textId="77777777" w:rsidR="009A7EC3" w:rsidRPr="00DE25AD" w:rsidRDefault="009A7EC3" w:rsidP="009A7EC3">
            <w:pPr>
              <w:pStyle w:val="ACCESSTableHeaderRow"/>
            </w:pPr>
          </w:p>
        </w:tc>
        <w:tc>
          <w:tcPr>
            <w:tcW w:w="1068" w:type="dxa"/>
            <w:shd w:val="clear" w:color="auto" w:fill="auto"/>
            <w:tcMar>
              <w:left w:w="57" w:type="dxa"/>
            </w:tcMar>
            <w:vAlign w:val="bottom"/>
          </w:tcPr>
          <w:p w14:paraId="544AABD3" w14:textId="77777777" w:rsidR="009A7EC3" w:rsidRPr="00DE25AD" w:rsidRDefault="009A7EC3" w:rsidP="009A7EC3">
            <w:pPr>
              <w:pStyle w:val="ASSAD2017ACCESSBody1"/>
            </w:pPr>
            <w:r w:rsidRPr="00DE25AD">
              <w:t>Female</w:t>
            </w:r>
          </w:p>
        </w:tc>
        <w:tc>
          <w:tcPr>
            <w:tcW w:w="878" w:type="dxa"/>
            <w:shd w:val="clear" w:color="auto" w:fill="auto"/>
          </w:tcPr>
          <w:p w14:paraId="4FAEB0D1" w14:textId="2C2C3F14" w:rsidR="009A7EC3" w:rsidRPr="00DE25AD" w:rsidRDefault="009A7EC3" w:rsidP="009A7EC3">
            <w:pPr>
              <w:pStyle w:val="ASSADACCESStablecentre"/>
            </w:pPr>
            <w:r w:rsidRPr="002E5727">
              <w:rPr>
                <w:bCs w:val="0"/>
                <w:color w:val="000000"/>
              </w:rPr>
              <w:t>37*</w:t>
            </w:r>
          </w:p>
        </w:tc>
        <w:tc>
          <w:tcPr>
            <w:tcW w:w="879" w:type="dxa"/>
            <w:shd w:val="clear" w:color="auto" w:fill="auto"/>
          </w:tcPr>
          <w:p w14:paraId="7BC222BB" w14:textId="387CA8B3" w:rsidR="009A7EC3" w:rsidRPr="00DE25AD" w:rsidRDefault="009A7EC3" w:rsidP="009A7EC3">
            <w:pPr>
              <w:pStyle w:val="ASSADACCESStablecentre"/>
            </w:pPr>
            <w:r w:rsidRPr="002E5727">
              <w:rPr>
                <w:bCs w:val="0"/>
                <w:color w:val="000000"/>
              </w:rPr>
              <w:t>36*</w:t>
            </w:r>
          </w:p>
        </w:tc>
        <w:tc>
          <w:tcPr>
            <w:tcW w:w="879" w:type="dxa"/>
            <w:shd w:val="clear" w:color="auto" w:fill="auto"/>
          </w:tcPr>
          <w:p w14:paraId="61BB53D9" w14:textId="2160AAFA" w:rsidR="009A7EC3" w:rsidRPr="00DE25AD" w:rsidRDefault="009A7EC3" w:rsidP="009A7EC3">
            <w:pPr>
              <w:pStyle w:val="ASSADACCESStablecentre"/>
            </w:pPr>
            <w:r w:rsidRPr="002E5727">
              <w:rPr>
                <w:bCs w:val="0"/>
                <w:color w:val="000000"/>
              </w:rPr>
              <w:t>30*^</w:t>
            </w:r>
          </w:p>
        </w:tc>
        <w:tc>
          <w:tcPr>
            <w:tcW w:w="879" w:type="dxa"/>
            <w:shd w:val="clear" w:color="auto" w:fill="auto"/>
          </w:tcPr>
          <w:p w14:paraId="6A8C85AB" w14:textId="148C0B65" w:rsidR="009A7EC3" w:rsidRPr="00DE25AD" w:rsidRDefault="009A7EC3" w:rsidP="009A7EC3">
            <w:pPr>
              <w:pStyle w:val="ASSADACCESStablecentre"/>
            </w:pPr>
            <w:r w:rsidRPr="002E5727">
              <w:rPr>
                <w:bCs w:val="0"/>
                <w:color w:val="000000"/>
              </w:rPr>
              <w:t>23*^</w:t>
            </w:r>
          </w:p>
        </w:tc>
        <w:tc>
          <w:tcPr>
            <w:tcW w:w="879" w:type="dxa"/>
            <w:shd w:val="clear" w:color="auto" w:fill="auto"/>
          </w:tcPr>
          <w:p w14:paraId="2BF0E928" w14:textId="5B9DDB9C" w:rsidR="009A7EC3" w:rsidRPr="00DE25AD" w:rsidRDefault="009A7EC3" w:rsidP="009A7EC3">
            <w:pPr>
              <w:pStyle w:val="ASSADACCESStablecentre"/>
            </w:pPr>
            <w:r w:rsidRPr="002E5727">
              <w:rPr>
                <w:bCs w:val="0"/>
                <w:color w:val="000000"/>
              </w:rPr>
              <w:t>17^</w:t>
            </w:r>
          </w:p>
        </w:tc>
        <w:tc>
          <w:tcPr>
            <w:tcW w:w="879" w:type="dxa"/>
            <w:shd w:val="clear" w:color="auto" w:fill="auto"/>
          </w:tcPr>
          <w:p w14:paraId="542D7CEB" w14:textId="51FED92C" w:rsidR="009A7EC3" w:rsidRPr="00DE25AD" w:rsidRDefault="009A7EC3" w:rsidP="009A7EC3">
            <w:pPr>
              <w:pStyle w:val="ASSADACCESStablecentre"/>
            </w:pPr>
            <w:r w:rsidRPr="002E5727">
              <w:rPr>
                <w:bCs w:val="0"/>
                <w:color w:val="000000"/>
              </w:rPr>
              <w:t>16^</w:t>
            </w:r>
          </w:p>
        </w:tc>
        <w:tc>
          <w:tcPr>
            <w:tcW w:w="879" w:type="dxa"/>
            <w:shd w:val="clear" w:color="auto" w:fill="auto"/>
          </w:tcPr>
          <w:p w14:paraId="701E37F5" w14:textId="38DE3D3C" w:rsidR="009A7EC3" w:rsidRPr="00DE25AD" w:rsidRDefault="009A7EC3" w:rsidP="009A7EC3">
            <w:pPr>
              <w:pStyle w:val="ASSADACCESStablecentre"/>
            </w:pPr>
            <w:r w:rsidRPr="002E5727">
              <w:rPr>
                <w:bCs w:val="0"/>
                <w:color w:val="000000"/>
              </w:rPr>
              <w:t>14^</w:t>
            </w:r>
          </w:p>
        </w:tc>
        <w:tc>
          <w:tcPr>
            <w:tcW w:w="879" w:type="dxa"/>
            <w:shd w:val="clear" w:color="auto" w:fill="auto"/>
          </w:tcPr>
          <w:p w14:paraId="5255A41E" w14:textId="40DFEEE1" w:rsidR="009A7EC3" w:rsidRPr="00DE25AD" w:rsidRDefault="009A7EC3" w:rsidP="009A7EC3">
            <w:pPr>
              <w:pStyle w:val="ASSADACCESStablecentre"/>
            </w:pPr>
            <w:r w:rsidRPr="002E5727">
              <w:rPr>
                <w:bCs w:val="0"/>
                <w:color w:val="000000"/>
              </w:rPr>
              <w:t>14</w:t>
            </w:r>
            <w:r>
              <w:rPr>
                <w:bCs w:val="0"/>
                <w:color w:val="000000"/>
              </w:rPr>
              <w:t>^</w:t>
            </w:r>
          </w:p>
        </w:tc>
      </w:tr>
      <w:tr w:rsidR="009A7EC3" w:rsidRPr="00DE25AD" w14:paraId="62C44E05" w14:textId="77777777" w:rsidTr="005C5B03">
        <w:tc>
          <w:tcPr>
            <w:tcW w:w="1517" w:type="dxa"/>
            <w:tcMar>
              <w:left w:w="57" w:type="dxa"/>
            </w:tcMar>
          </w:tcPr>
          <w:p w14:paraId="4286B5EA" w14:textId="77777777" w:rsidR="009A7EC3" w:rsidRPr="00DE25AD" w:rsidRDefault="009A7EC3" w:rsidP="009A7EC3">
            <w:pPr>
              <w:pStyle w:val="ACCESSTableHeaderRow"/>
            </w:pPr>
          </w:p>
        </w:tc>
        <w:tc>
          <w:tcPr>
            <w:tcW w:w="1068" w:type="dxa"/>
            <w:shd w:val="clear" w:color="auto" w:fill="auto"/>
            <w:tcMar>
              <w:left w:w="57" w:type="dxa"/>
            </w:tcMar>
            <w:vAlign w:val="bottom"/>
          </w:tcPr>
          <w:p w14:paraId="44FDA268" w14:textId="77777777" w:rsidR="009A7EC3" w:rsidRPr="00DE25AD" w:rsidRDefault="009A7EC3" w:rsidP="009A7EC3">
            <w:pPr>
              <w:pStyle w:val="ASSAD2017ACCESSBody1"/>
            </w:pPr>
            <w:r w:rsidRPr="00DE25AD">
              <w:t>Total</w:t>
            </w:r>
          </w:p>
        </w:tc>
        <w:tc>
          <w:tcPr>
            <w:tcW w:w="878" w:type="dxa"/>
            <w:shd w:val="clear" w:color="auto" w:fill="auto"/>
          </w:tcPr>
          <w:p w14:paraId="514C45CC" w14:textId="69DBFD89" w:rsidR="009A7EC3" w:rsidRPr="00DE25AD" w:rsidRDefault="009A7EC3" w:rsidP="009A7EC3">
            <w:pPr>
              <w:pStyle w:val="ASSADACCESStablecentre"/>
            </w:pPr>
            <w:r w:rsidRPr="002E5727">
              <w:rPr>
                <w:bCs w:val="0"/>
                <w:color w:val="000000"/>
              </w:rPr>
              <w:t>35*</w:t>
            </w:r>
          </w:p>
        </w:tc>
        <w:tc>
          <w:tcPr>
            <w:tcW w:w="879" w:type="dxa"/>
            <w:shd w:val="clear" w:color="auto" w:fill="auto"/>
          </w:tcPr>
          <w:p w14:paraId="761E9107" w14:textId="379A5BC5" w:rsidR="009A7EC3" w:rsidRPr="00DE25AD" w:rsidRDefault="009A7EC3" w:rsidP="009A7EC3">
            <w:pPr>
              <w:pStyle w:val="ASSADACCESStablecentre"/>
            </w:pPr>
            <w:r w:rsidRPr="002E5727">
              <w:rPr>
                <w:bCs w:val="0"/>
                <w:color w:val="000000"/>
              </w:rPr>
              <w:t>35*</w:t>
            </w:r>
          </w:p>
        </w:tc>
        <w:tc>
          <w:tcPr>
            <w:tcW w:w="879" w:type="dxa"/>
            <w:shd w:val="clear" w:color="auto" w:fill="auto"/>
          </w:tcPr>
          <w:p w14:paraId="0DAEA54B" w14:textId="37BF56BB" w:rsidR="009A7EC3" w:rsidRPr="00DE25AD" w:rsidRDefault="009A7EC3" w:rsidP="009A7EC3">
            <w:pPr>
              <w:pStyle w:val="ASSADACCESStablecentre"/>
            </w:pPr>
            <w:r w:rsidRPr="002E5727">
              <w:rPr>
                <w:bCs w:val="0"/>
                <w:color w:val="000000"/>
              </w:rPr>
              <w:t>28*^</w:t>
            </w:r>
          </w:p>
        </w:tc>
        <w:tc>
          <w:tcPr>
            <w:tcW w:w="879" w:type="dxa"/>
            <w:shd w:val="clear" w:color="auto" w:fill="auto"/>
          </w:tcPr>
          <w:p w14:paraId="0007E985" w14:textId="426F0652" w:rsidR="009A7EC3" w:rsidRPr="00DE25AD" w:rsidRDefault="009A7EC3" w:rsidP="009A7EC3">
            <w:pPr>
              <w:pStyle w:val="ASSADACCESStablecentre"/>
            </w:pPr>
            <w:r w:rsidRPr="002E5727">
              <w:rPr>
                <w:bCs w:val="0"/>
                <w:color w:val="000000"/>
              </w:rPr>
              <w:t>22*^</w:t>
            </w:r>
          </w:p>
        </w:tc>
        <w:tc>
          <w:tcPr>
            <w:tcW w:w="879" w:type="dxa"/>
            <w:shd w:val="clear" w:color="auto" w:fill="auto"/>
          </w:tcPr>
          <w:p w14:paraId="4A963A6E" w14:textId="38524F15" w:rsidR="009A7EC3" w:rsidRPr="00DE25AD" w:rsidRDefault="009A7EC3" w:rsidP="009A7EC3">
            <w:pPr>
              <w:pStyle w:val="ASSADACCESStablecentre"/>
            </w:pPr>
            <w:r w:rsidRPr="002E5727">
              <w:rPr>
                <w:bCs w:val="0"/>
                <w:color w:val="000000"/>
              </w:rPr>
              <w:t>17^</w:t>
            </w:r>
          </w:p>
        </w:tc>
        <w:tc>
          <w:tcPr>
            <w:tcW w:w="879" w:type="dxa"/>
            <w:shd w:val="clear" w:color="auto" w:fill="auto"/>
          </w:tcPr>
          <w:p w14:paraId="004C60C3" w14:textId="48B0A38F" w:rsidR="009A7EC3" w:rsidRPr="00DE25AD" w:rsidRDefault="009A7EC3" w:rsidP="009A7EC3">
            <w:pPr>
              <w:pStyle w:val="ASSADACCESStablecentre"/>
            </w:pPr>
            <w:r w:rsidRPr="002E5727">
              <w:rPr>
                <w:bCs w:val="0"/>
                <w:color w:val="000000"/>
              </w:rPr>
              <w:t>17^</w:t>
            </w:r>
          </w:p>
        </w:tc>
        <w:tc>
          <w:tcPr>
            <w:tcW w:w="879" w:type="dxa"/>
            <w:shd w:val="clear" w:color="auto" w:fill="auto"/>
          </w:tcPr>
          <w:p w14:paraId="0D28CEF1" w14:textId="3B7F7101" w:rsidR="009A7EC3" w:rsidRPr="00DE25AD" w:rsidRDefault="009A7EC3" w:rsidP="009A7EC3">
            <w:pPr>
              <w:pStyle w:val="ASSADACCESStablecentre"/>
            </w:pPr>
            <w:r w:rsidRPr="002E5727">
              <w:rPr>
                <w:bCs w:val="0"/>
                <w:color w:val="000000"/>
              </w:rPr>
              <w:t>15^</w:t>
            </w:r>
          </w:p>
        </w:tc>
        <w:tc>
          <w:tcPr>
            <w:tcW w:w="879" w:type="dxa"/>
            <w:shd w:val="clear" w:color="auto" w:fill="auto"/>
          </w:tcPr>
          <w:p w14:paraId="7197AC92" w14:textId="231EF4DA" w:rsidR="009A7EC3" w:rsidRPr="00DE25AD" w:rsidRDefault="009A7EC3" w:rsidP="009A7EC3">
            <w:pPr>
              <w:pStyle w:val="ASSADACCESStablecentre"/>
            </w:pPr>
            <w:r w:rsidRPr="002E5727">
              <w:rPr>
                <w:bCs w:val="0"/>
                <w:color w:val="000000"/>
              </w:rPr>
              <w:t>14^</w:t>
            </w:r>
          </w:p>
        </w:tc>
      </w:tr>
      <w:tr w:rsidR="009A7EC3" w:rsidRPr="00DE25AD" w14:paraId="3C758A61" w14:textId="77777777" w:rsidTr="005C5B03">
        <w:tc>
          <w:tcPr>
            <w:tcW w:w="1517" w:type="dxa"/>
            <w:tcMar>
              <w:left w:w="57" w:type="dxa"/>
            </w:tcMar>
          </w:tcPr>
          <w:p w14:paraId="1FF20397" w14:textId="77777777" w:rsidR="009A7EC3" w:rsidRPr="00DE25AD" w:rsidRDefault="009A7EC3" w:rsidP="009A7EC3">
            <w:pPr>
              <w:pStyle w:val="ACCESSTableHeaderRow"/>
            </w:pPr>
            <w:r>
              <w:t>Current</w:t>
            </w:r>
          </w:p>
        </w:tc>
        <w:tc>
          <w:tcPr>
            <w:tcW w:w="1068" w:type="dxa"/>
            <w:shd w:val="clear" w:color="auto" w:fill="auto"/>
            <w:tcMar>
              <w:left w:w="57" w:type="dxa"/>
            </w:tcMar>
            <w:vAlign w:val="bottom"/>
          </w:tcPr>
          <w:p w14:paraId="22806F4E" w14:textId="77777777" w:rsidR="009A7EC3" w:rsidRPr="00DE25AD" w:rsidRDefault="009A7EC3" w:rsidP="009A7EC3">
            <w:pPr>
              <w:pStyle w:val="ASSAD2017ACCESSBody1"/>
            </w:pPr>
            <w:r w:rsidRPr="00DE25AD">
              <w:t>Male</w:t>
            </w:r>
          </w:p>
        </w:tc>
        <w:tc>
          <w:tcPr>
            <w:tcW w:w="878" w:type="dxa"/>
            <w:shd w:val="clear" w:color="auto" w:fill="auto"/>
          </w:tcPr>
          <w:p w14:paraId="343AC6B3" w14:textId="75A41F97" w:rsidR="009A7EC3" w:rsidRPr="00DE25AD" w:rsidRDefault="009A7EC3" w:rsidP="009A7EC3">
            <w:pPr>
              <w:pStyle w:val="ASSADACCESStablecentre"/>
            </w:pPr>
            <w:r w:rsidRPr="002E5727">
              <w:rPr>
                <w:bCs w:val="0"/>
                <w:color w:val="000000"/>
              </w:rPr>
              <w:t>27*</w:t>
            </w:r>
          </w:p>
        </w:tc>
        <w:tc>
          <w:tcPr>
            <w:tcW w:w="879" w:type="dxa"/>
            <w:shd w:val="clear" w:color="auto" w:fill="auto"/>
          </w:tcPr>
          <w:p w14:paraId="4DE57FD1" w14:textId="345CE03D" w:rsidR="009A7EC3" w:rsidRPr="00DE25AD" w:rsidRDefault="009A7EC3" w:rsidP="009A7EC3">
            <w:pPr>
              <w:pStyle w:val="ASSADACCESStablecentre"/>
            </w:pPr>
            <w:r w:rsidRPr="002E5727">
              <w:rPr>
                <w:bCs w:val="0"/>
                <w:color w:val="000000"/>
              </w:rPr>
              <w:t>30*</w:t>
            </w:r>
          </w:p>
        </w:tc>
        <w:tc>
          <w:tcPr>
            <w:tcW w:w="879" w:type="dxa"/>
            <w:shd w:val="clear" w:color="auto" w:fill="auto"/>
          </w:tcPr>
          <w:p w14:paraId="78655701" w14:textId="6A134BB7" w:rsidR="009A7EC3" w:rsidRPr="00DE25AD" w:rsidRDefault="009A7EC3" w:rsidP="009A7EC3">
            <w:pPr>
              <w:pStyle w:val="ASSADACCESStablecentre"/>
            </w:pPr>
            <w:r w:rsidRPr="002E5727">
              <w:rPr>
                <w:bCs w:val="0"/>
                <w:color w:val="000000"/>
              </w:rPr>
              <w:t>21*^</w:t>
            </w:r>
          </w:p>
        </w:tc>
        <w:tc>
          <w:tcPr>
            <w:tcW w:w="879" w:type="dxa"/>
            <w:shd w:val="clear" w:color="auto" w:fill="auto"/>
          </w:tcPr>
          <w:p w14:paraId="62C7B8A6" w14:textId="014C973B" w:rsidR="009A7EC3" w:rsidRPr="00DE25AD" w:rsidRDefault="009A7EC3" w:rsidP="009A7EC3">
            <w:pPr>
              <w:pStyle w:val="ASSADACCESStablecentre"/>
            </w:pPr>
            <w:r w:rsidRPr="002E5727">
              <w:rPr>
                <w:bCs w:val="0"/>
                <w:color w:val="000000"/>
              </w:rPr>
              <w:t>16*^</w:t>
            </w:r>
          </w:p>
        </w:tc>
        <w:tc>
          <w:tcPr>
            <w:tcW w:w="879" w:type="dxa"/>
            <w:shd w:val="clear" w:color="auto" w:fill="auto"/>
          </w:tcPr>
          <w:p w14:paraId="230398BD" w14:textId="72526D8D" w:rsidR="009A7EC3" w:rsidRPr="00DE25AD" w:rsidRDefault="009A7EC3" w:rsidP="009A7EC3">
            <w:pPr>
              <w:pStyle w:val="ASSADACCESStablecentre"/>
            </w:pPr>
            <w:r w:rsidRPr="002E5727">
              <w:rPr>
                <w:bCs w:val="0"/>
                <w:color w:val="000000"/>
              </w:rPr>
              <w:t>13^</w:t>
            </w:r>
          </w:p>
        </w:tc>
        <w:tc>
          <w:tcPr>
            <w:tcW w:w="879" w:type="dxa"/>
            <w:shd w:val="clear" w:color="auto" w:fill="auto"/>
          </w:tcPr>
          <w:p w14:paraId="5C075BBB" w14:textId="5F41A020" w:rsidR="009A7EC3" w:rsidRPr="00DE25AD" w:rsidRDefault="009A7EC3" w:rsidP="009A7EC3">
            <w:pPr>
              <w:pStyle w:val="ASSADACCESStablecentre"/>
            </w:pPr>
            <w:r w:rsidRPr="002E5727">
              <w:rPr>
                <w:bCs w:val="0"/>
                <w:color w:val="000000"/>
              </w:rPr>
              <w:t>13^</w:t>
            </w:r>
          </w:p>
        </w:tc>
        <w:tc>
          <w:tcPr>
            <w:tcW w:w="879" w:type="dxa"/>
            <w:shd w:val="clear" w:color="auto" w:fill="auto"/>
          </w:tcPr>
          <w:p w14:paraId="2157034E" w14:textId="73A8D233" w:rsidR="009A7EC3" w:rsidRPr="00DE25AD" w:rsidRDefault="009A7EC3" w:rsidP="009A7EC3">
            <w:pPr>
              <w:pStyle w:val="ASSADACCESStablecentre"/>
            </w:pPr>
            <w:r w:rsidRPr="002E5727">
              <w:rPr>
                <w:bCs w:val="0"/>
                <w:color w:val="000000"/>
              </w:rPr>
              <w:t>12^</w:t>
            </w:r>
          </w:p>
        </w:tc>
        <w:tc>
          <w:tcPr>
            <w:tcW w:w="879" w:type="dxa"/>
            <w:shd w:val="clear" w:color="auto" w:fill="auto"/>
          </w:tcPr>
          <w:p w14:paraId="2226902B" w14:textId="2E94E1EB" w:rsidR="009A7EC3" w:rsidRPr="00DE25AD" w:rsidRDefault="009A7EC3" w:rsidP="009A7EC3">
            <w:pPr>
              <w:pStyle w:val="ASSADACCESStablecentre"/>
            </w:pPr>
            <w:r w:rsidRPr="002E5727">
              <w:rPr>
                <w:bCs w:val="0"/>
                <w:color w:val="000000"/>
              </w:rPr>
              <w:t>10^</w:t>
            </w:r>
          </w:p>
        </w:tc>
      </w:tr>
      <w:tr w:rsidR="009A7EC3" w:rsidRPr="00DE25AD" w14:paraId="04034112" w14:textId="77777777" w:rsidTr="005C5B03">
        <w:tc>
          <w:tcPr>
            <w:tcW w:w="1517" w:type="dxa"/>
            <w:tcMar>
              <w:left w:w="57" w:type="dxa"/>
            </w:tcMar>
          </w:tcPr>
          <w:p w14:paraId="044A6D07" w14:textId="77777777" w:rsidR="009A7EC3" w:rsidRPr="00DE25AD" w:rsidRDefault="009A7EC3" w:rsidP="009A7EC3">
            <w:pPr>
              <w:pStyle w:val="ACCESSTableHeaderRow"/>
            </w:pPr>
          </w:p>
        </w:tc>
        <w:tc>
          <w:tcPr>
            <w:tcW w:w="1068" w:type="dxa"/>
            <w:shd w:val="clear" w:color="auto" w:fill="auto"/>
            <w:tcMar>
              <w:left w:w="57" w:type="dxa"/>
            </w:tcMar>
            <w:vAlign w:val="bottom"/>
          </w:tcPr>
          <w:p w14:paraId="36456B74" w14:textId="77777777" w:rsidR="009A7EC3" w:rsidRPr="00DE25AD" w:rsidRDefault="009A7EC3" w:rsidP="009A7EC3">
            <w:pPr>
              <w:pStyle w:val="ASSAD2017ACCESSBody1"/>
            </w:pPr>
            <w:r w:rsidRPr="00DE25AD">
              <w:t>Female</w:t>
            </w:r>
          </w:p>
        </w:tc>
        <w:tc>
          <w:tcPr>
            <w:tcW w:w="878" w:type="dxa"/>
            <w:shd w:val="clear" w:color="auto" w:fill="auto"/>
          </w:tcPr>
          <w:p w14:paraId="203806AD" w14:textId="20ABC3B9" w:rsidR="009A7EC3" w:rsidRPr="00DE25AD" w:rsidRDefault="009A7EC3" w:rsidP="009A7EC3">
            <w:pPr>
              <w:pStyle w:val="ASSADACCESStablecentre"/>
            </w:pPr>
            <w:r w:rsidRPr="002E5727">
              <w:rPr>
                <w:bCs w:val="0"/>
                <w:color w:val="000000"/>
              </w:rPr>
              <w:t>32*</w:t>
            </w:r>
          </w:p>
        </w:tc>
        <w:tc>
          <w:tcPr>
            <w:tcW w:w="879" w:type="dxa"/>
            <w:shd w:val="clear" w:color="auto" w:fill="auto"/>
          </w:tcPr>
          <w:p w14:paraId="2064E3E8" w14:textId="78805164" w:rsidR="009A7EC3" w:rsidRPr="00DE25AD" w:rsidRDefault="009A7EC3" w:rsidP="009A7EC3">
            <w:pPr>
              <w:pStyle w:val="ASSADACCESStablecentre"/>
            </w:pPr>
            <w:r w:rsidRPr="002E5727">
              <w:rPr>
                <w:bCs w:val="0"/>
                <w:color w:val="000000"/>
              </w:rPr>
              <w:t>29*</w:t>
            </w:r>
          </w:p>
        </w:tc>
        <w:tc>
          <w:tcPr>
            <w:tcW w:w="879" w:type="dxa"/>
            <w:shd w:val="clear" w:color="auto" w:fill="auto"/>
          </w:tcPr>
          <w:p w14:paraId="5987F294" w14:textId="6DBF6A94" w:rsidR="009A7EC3" w:rsidRPr="00DE25AD" w:rsidRDefault="009A7EC3" w:rsidP="009A7EC3">
            <w:pPr>
              <w:pStyle w:val="ASSADACCESStablecentre"/>
            </w:pPr>
            <w:r w:rsidRPr="002E5727">
              <w:rPr>
                <w:bCs w:val="0"/>
                <w:color w:val="000000"/>
              </w:rPr>
              <w:t>25*^</w:t>
            </w:r>
          </w:p>
        </w:tc>
        <w:tc>
          <w:tcPr>
            <w:tcW w:w="879" w:type="dxa"/>
            <w:shd w:val="clear" w:color="auto" w:fill="auto"/>
          </w:tcPr>
          <w:p w14:paraId="4F71F38D" w14:textId="63689657" w:rsidR="009A7EC3" w:rsidRPr="00DE25AD" w:rsidRDefault="009A7EC3" w:rsidP="009A7EC3">
            <w:pPr>
              <w:pStyle w:val="ASSADACCESStablecentre"/>
            </w:pPr>
            <w:r w:rsidRPr="002E5727">
              <w:rPr>
                <w:bCs w:val="0"/>
                <w:color w:val="000000"/>
              </w:rPr>
              <w:t>17*^</w:t>
            </w:r>
          </w:p>
        </w:tc>
        <w:tc>
          <w:tcPr>
            <w:tcW w:w="879" w:type="dxa"/>
            <w:shd w:val="clear" w:color="auto" w:fill="auto"/>
          </w:tcPr>
          <w:p w14:paraId="6199559E" w14:textId="3E5C7B12" w:rsidR="009A7EC3" w:rsidRPr="00DE25AD" w:rsidRDefault="009A7EC3" w:rsidP="009A7EC3">
            <w:pPr>
              <w:pStyle w:val="ASSADACCESStablecentre"/>
            </w:pPr>
            <w:r w:rsidRPr="002E5727">
              <w:rPr>
                <w:bCs w:val="0"/>
                <w:color w:val="000000"/>
              </w:rPr>
              <w:t>13*^</w:t>
            </w:r>
          </w:p>
        </w:tc>
        <w:tc>
          <w:tcPr>
            <w:tcW w:w="879" w:type="dxa"/>
            <w:shd w:val="clear" w:color="auto" w:fill="auto"/>
          </w:tcPr>
          <w:p w14:paraId="52766FBB" w14:textId="7CEA37DA" w:rsidR="009A7EC3" w:rsidRPr="00DE25AD" w:rsidRDefault="009A7EC3" w:rsidP="009A7EC3">
            <w:pPr>
              <w:pStyle w:val="ASSADACCESStablecentre"/>
            </w:pPr>
            <w:r w:rsidRPr="002E5727">
              <w:rPr>
                <w:bCs w:val="0"/>
                <w:color w:val="000000"/>
              </w:rPr>
              <w:t>12*^</w:t>
            </w:r>
          </w:p>
        </w:tc>
        <w:tc>
          <w:tcPr>
            <w:tcW w:w="879" w:type="dxa"/>
            <w:shd w:val="clear" w:color="auto" w:fill="auto"/>
          </w:tcPr>
          <w:p w14:paraId="24A930E7" w14:textId="406DAFFD" w:rsidR="009A7EC3" w:rsidRPr="00DE25AD" w:rsidRDefault="009A7EC3" w:rsidP="009A7EC3">
            <w:pPr>
              <w:pStyle w:val="ASSADACCESStablecentre"/>
            </w:pPr>
            <w:r w:rsidRPr="002E5727">
              <w:rPr>
                <w:bCs w:val="0"/>
                <w:color w:val="000000"/>
              </w:rPr>
              <w:t>9^</w:t>
            </w:r>
          </w:p>
        </w:tc>
        <w:tc>
          <w:tcPr>
            <w:tcW w:w="879" w:type="dxa"/>
            <w:shd w:val="clear" w:color="auto" w:fill="auto"/>
          </w:tcPr>
          <w:p w14:paraId="09C5CAD7" w14:textId="4B05583F" w:rsidR="009A7EC3" w:rsidRPr="00DE25AD" w:rsidRDefault="009A7EC3" w:rsidP="009A7EC3">
            <w:pPr>
              <w:pStyle w:val="ASSADACCESStablecentre"/>
            </w:pPr>
            <w:r w:rsidRPr="002E5727">
              <w:rPr>
                <w:bCs w:val="0"/>
                <w:color w:val="000000"/>
              </w:rPr>
              <w:t>9^</w:t>
            </w:r>
          </w:p>
        </w:tc>
      </w:tr>
      <w:tr w:rsidR="009A7EC3" w:rsidRPr="00DE25AD" w14:paraId="5C3A4D1A" w14:textId="77777777" w:rsidTr="005C5B03">
        <w:tc>
          <w:tcPr>
            <w:tcW w:w="1517" w:type="dxa"/>
            <w:tcMar>
              <w:left w:w="57" w:type="dxa"/>
            </w:tcMar>
          </w:tcPr>
          <w:p w14:paraId="0BE41467" w14:textId="77777777" w:rsidR="009A7EC3" w:rsidRPr="00DE25AD" w:rsidRDefault="009A7EC3" w:rsidP="009A7EC3">
            <w:pPr>
              <w:pStyle w:val="ACCESSTableHeaderRow"/>
            </w:pPr>
          </w:p>
        </w:tc>
        <w:tc>
          <w:tcPr>
            <w:tcW w:w="1068" w:type="dxa"/>
            <w:shd w:val="clear" w:color="auto" w:fill="auto"/>
            <w:tcMar>
              <w:left w:w="57" w:type="dxa"/>
            </w:tcMar>
            <w:vAlign w:val="bottom"/>
          </w:tcPr>
          <w:p w14:paraId="47EF641F" w14:textId="77777777" w:rsidR="009A7EC3" w:rsidRPr="00DE25AD" w:rsidRDefault="009A7EC3" w:rsidP="009A7EC3">
            <w:pPr>
              <w:pStyle w:val="ASSAD2017ACCESSBody1"/>
            </w:pPr>
            <w:r w:rsidRPr="00DE25AD">
              <w:t>Total</w:t>
            </w:r>
          </w:p>
        </w:tc>
        <w:tc>
          <w:tcPr>
            <w:tcW w:w="878" w:type="dxa"/>
            <w:shd w:val="clear" w:color="auto" w:fill="auto"/>
          </w:tcPr>
          <w:p w14:paraId="45E0D5A6" w14:textId="271752D6" w:rsidR="009A7EC3" w:rsidRPr="00DE25AD" w:rsidRDefault="009A7EC3" w:rsidP="009A7EC3">
            <w:pPr>
              <w:pStyle w:val="ASSADACCESStablecentre"/>
            </w:pPr>
            <w:r w:rsidRPr="002E5727">
              <w:rPr>
                <w:bCs w:val="0"/>
                <w:color w:val="000000"/>
              </w:rPr>
              <w:t>30*</w:t>
            </w:r>
          </w:p>
        </w:tc>
        <w:tc>
          <w:tcPr>
            <w:tcW w:w="879" w:type="dxa"/>
            <w:shd w:val="clear" w:color="auto" w:fill="auto"/>
          </w:tcPr>
          <w:p w14:paraId="5D7119B8" w14:textId="44D1AF70" w:rsidR="009A7EC3" w:rsidRPr="00DE25AD" w:rsidRDefault="009A7EC3" w:rsidP="009A7EC3">
            <w:pPr>
              <w:pStyle w:val="ASSADACCESStablecentre"/>
            </w:pPr>
            <w:r w:rsidRPr="002E5727">
              <w:rPr>
                <w:bCs w:val="0"/>
                <w:color w:val="000000"/>
              </w:rPr>
              <w:t>29*</w:t>
            </w:r>
          </w:p>
        </w:tc>
        <w:tc>
          <w:tcPr>
            <w:tcW w:w="879" w:type="dxa"/>
            <w:shd w:val="clear" w:color="auto" w:fill="auto"/>
          </w:tcPr>
          <w:p w14:paraId="56F48E92" w14:textId="3B443168" w:rsidR="009A7EC3" w:rsidRPr="00DE25AD" w:rsidRDefault="009A7EC3" w:rsidP="009A7EC3">
            <w:pPr>
              <w:pStyle w:val="ASSADACCESStablecentre"/>
            </w:pPr>
            <w:r w:rsidRPr="002E5727">
              <w:rPr>
                <w:bCs w:val="0"/>
                <w:color w:val="000000"/>
              </w:rPr>
              <w:t>23*^</w:t>
            </w:r>
          </w:p>
        </w:tc>
        <w:tc>
          <w:tcPr>
            <w:tcW w:w="879" w:type="dxa"/>
            <w:shd w:val="clear" w:color="auto" w:fill="auto"/>
          </w:tcPr>
          <w:p w14:paraId="7F0E5200" w14:textId="422834D4" w:rsidR="009A7EC3" w:rsidRPr="00DE25AD" w:rsidRDefault="009A7EC3" w:rsidP="009A7EC3">
            <w:pPr>
              <w:pStyle w:val="ASSADACCESStablecentre"/>
            </w:pPr>
            <w:r w:rsidRPr="002E5727">
              <w:rPr>
                <w:bCs w:val="0"/>
                <w:color w:val="000000"/>
              </w:rPr>
              <w:t>17*^</w:t>
            </w:r>
          </w:p>
        </w:tc>
        <w:tc>
          <w:tcPr>
            <w:tcW w:w="879" w:type="dxa"/>
            <w:shd w:val="clear" w:color="auto" w:fill="auto"/>
          </w:tcPr>
          <w:p w14:paraId="636CB778" w14:textId="1B7F7EE3" w:rsidR="009A7EC3" w:rsidRPr="00DE25AD" w:rsidRDefault="009A7EC3" w:rsidP="009A7EC3">
            <w:pPr>
              <w:pStyle w:val="ASSADACCESStablecentre"/>
            </w:pPr>
            <w:r w:rsidRPr="002E5727">
              <w:rPr>
                <w:bCs w:val="0"/>
                <w:color w:val="000000"/>
              </w:rPr>
              <w:t>13*^</w:t>
            </w:r>
          </w:p>
        </w:tc>
        <w:tc>
          <w:tcPr>
            <w:tcW w:w="879" w:type="dxa"/>
            <w:shd w:val="clear" w:color="auto" w:fill="auto"/>
          </w:tcPr>
          <w:p w14:paraId="5CC75EF8" w14:textId="05338417" w:rsidR="009A7EC3" w:rsidRPr="00DE25AD" w:rsidRDefault="009A7EC3" w:rsidP="009A7EC3">
            <w:pPr>
              <w:pStyle w:val="ASSADACCESStablecentre"/>
            </w:pPr>
            <w:r w:rsidRPr="002E5727">
              <w:rPr>
                <w:bCs w:val="0"/>
                <w:color w:val="000000"/>
              </w:rPr>
              <w:t>13*^</w:t>
            </w:r>
          </w:p>
        </w:tc>
        <w:tc>
          <w:tcPr>
            <w:tcW w:w="879" w:type="dxa"/>
            <w:shd w:val="clear" w:color="auto" w:fill="auto"/>
          </w:tcPr>
          <w:p w14:paraId="67932AE8" w14:textId="245F0D9F" w:rsidR="009A7EC3" w:rsidRPr="00DE25AD" w:rsidRDefault="009A7EC3" w:rsidP="009A7EC3">
            <w:pPr>
              <w:pStyle w:val="ASSADACCESStablecentre"/>
            </w:pPr>
            <w:r w:rsidRPr="002E5727">
              <w:rPr>
                <w:bCs w:val="0"/>
                <w:color w:val="000000"/>
              </w:rPr>
              <w:t>10^</w:t>
            </w:r>
          </w:p>
        </w:tc>
        <w:tc>
          <w:tcPr>
            <w:tcW w:w="879" w:type="dxa"/>
            <w:shd w:val="clear" w:color="auto" w:fill="auto"/>
          </w:tcPr>
          <w:p w14:paraId="13E1E5D1" w14:textId="6D9A4721" w:rsidR="009A7EC3" w:rsidRPr="00DE25AD" w:rsidRDefault="009A7EC3" w:rsidP="009A7EC3">
            <w:pPr>
              <w:pStyle w:val="ASSADACCESStablecentre"/>
            </w:pPr>
            <w:r w:rsidRPr="002E5727">
              <w:rPr>
                <w:bCs w:val="0"/>
                <w:color w:val="000000"/>
              </w:rPr>
              <w:t>9^</w:t>
            </w:r>
          </w:p>
        </w:tc>
      </w:tr>
      <w:tr w:rsidR="009A7EC3" w:rsidRPr="00DE25AD" w14:paraId="3BF79E77" w14:textId="77777777" w:rsidTr="00545FF4">
        <w:tc>
          <w:tcPr>
            <w:tcW w:w="1517" w:type="dxa"/>
            <w:tcMar>
              <w:left w:w="57" w:type="dxa"/>
            </w:tcMar>
          </w:tcPr>
          <w:p w14:paraId="43ACD7E7" w14:textId="77777777" w:rsidR="009A7EC3" w:rsidRPr="00DE25AD" w:rsidRDefault="009A7EC3" w:rsidP="009A7EC3">
            <w:pPr>
              <w:pStyle w:val="ACCESSTableHeaderRow"/>
            </w:pPr>
            <w:r>
              <w:t>Committed</w:t>
            </w:r>
          </w:p>
        </w:tc>
        <w:tc>
          <w:tcPr>
            <w:tcW w:w="1068" w:type="dxa"/>
            <w:shd w:val="clear" w:color="auto" w:fill="auto"/>
            <w:tcMar>
              <w:left w:w="57" w:type="dxa"/>
            </w:tcMar>
            <w:vAlign w:val="bottom"/>
          </w:tcPr>
          <w:p w14:paraId="58E3A39D" w14:textId="77777777" w:rsidR="009A7EC3" w:rsidRPr="00DE25AD" w:rsidRDefault="009A7EC3" w:rsidP="009A7EC3">
            <w:pPr>
              <w:pStyle w:val="ASSAD2017ACCESSBody1"/>
            </w:pPr>
            <w:r w:rsidRPr="00DE25AD">
              <w:t>Male</w:t>
            </w:r>
          </w:p>
        </w:tc>
        <w:tc>
          <w:tcPr>
            <w:tcW w:w="878" w:type="dxa"/>
            <w:shd w:val="clear" w:color="auto" w:fill="auto"/>
          </w:tcPr>
          <w:p w14:paraId="3008B10D" w14:textId="52A7A9EF" w:rsidR="009A7EC3" w:rsidRPr="00DE25AD" w:rsidRDefault="009A7EC3" w:rsidP="009A7EC3">
            <w:pPr>
              <w:pStyle w:val="ASSADACCESStablecentre"/>
            </w:pPr>
            <w:r w:rsidRPr="002E5727">
              <w:rPr>
                <w:bCs w:val="0"/>
                <w:color w:val="000000"/>
              </w:rPr>
              <w:t>21*</w:t>
            </w:r>
          </w:p>
        </w:tc>
        <w:tc>
          <w:tcPr>
            <w:tcW w:w="879" w:type="dxa"/>
            <w:shd w:val="clear" w:color="auto" w:fill="auto"/>
          </w:tcPr>
          <w:p w14:paraId="587D1298" w14:textId="052F13DD" w:rsidR="009A7EC3" w:rsidRPr="00DE25AD" w:rsidRDefault="009A7EC3" w:rsidP="009A7EC3">
            <w:pPr>
              <w:pStyle w:val="ASSADACCESStablecentre"/>
            </w:pPr>
            <w:r w:rsidRPr="002E5727">
              <w:rPr>
                <w:bCs w:val="0"/>
                <w:color w:val="000000"/>
              </w:rPr>
              <w:t>21*</w:t>
            </w:r>
          </w:p>
        </w:tc>
        <w:tc>
          <w:tcPr>
            <w:tcW w:w="879" w:type="dxa"/>
            <w:shd w:val="clear" w:color="auto" w:fill="auto"/>
          </w:tcPr>
          <w:p w14:paraId="513F2703" w14:textId="7A19B72F" w:rsidR="009A7EC3" w:rsidRPr="00DE25AD" w:rsidRDefault="009A7EC3" w:rsidP="009A7EC3">
            <w:pPr>
              <w:pStyle w:val="ASSADACCESStablecentre"/>
            </w:pPr>
            <w:r w:rsidRPr="002E5727">
              <w:rPr>
                <w:bCs w:val="0"/>
                <w:color w:val="000000"/>
              </w:rPr>
              <w:t>14*^</w:t>
            </w:r>
          </w:p>
        </w:tc>
        <w:tc>
          <w:tcPr>
            <w:tcW w:w="879" w:type="dxa"/>
            <w:shd w:val="clear" w:color="auto" w:fill="auto"/>
          </w:tcPr>
          <w:p w14:paraId="7EC8771A" w14:textId="4795853A" w:rsidR="009A7EC3" w:rsidRPr="00DE25AD" w:rsidRDefault="009A7EC3" w:rsidP="009A7EC3">
            <w:pPr>
              <w:pStyle w:val="ASSADACCESStablecentre"/>
            </w:pPr>
            <w:r w:rsidRPr="002E5727">
              <w:rPr>
                <w:bCs w:val="0"/>
                <w:color w:val="000000"/>
              </w:rPr>
              <w:t>10*^</w:t>
            </w:r>
          </w:p>
        </w:tc>
        <w:tc>
          <w:tcPr>
            <w:tcW w:w="879" w:type="dxa"/>
            <w:shd w:val="clear" w:color="auto" w:fill="auto"/>
          </w:tcPr>
          <w:p w14:paraId="6B8E188E" w14:textId="4E24E55A" w:rsidR="009A7EC3" w:rsidRPr="00DE25AD" w:rsidRDefault="009A7EC3" w:rsidP="009A7EC3">
            <w:pPr>
              <w:pStyle w:val="ASSADACCESStablecentre"/>
            </w:pPr>
            <w:r w:rsidRPr="002E5727">
              <w:rPr>
                <w:bCs w:val="0"/>
                <w:color w:val="000000"/>
              </w:rPr>
              <w:t>8^</w:t>
            </w:r>
          </w:p>
        </w:tc>
        <w:tc>
          <w:tcPr>
            <w:tcW w:w="879" w:type="dxa"/>
            <w:shd w:val="clear" w:color="auto" w:fill="auto"/>
          </w:tcPr>
          <w:p w14:paraId="4550E005" w14:textId="787F7B05" w:rsidR="009A7EC3" w:rsidRPr="00DE25AD" w:rsidRDefault="009A7EC3" w:rsidP="009A7EC3">
            <w:pPr>
              <w:pStyle w:val="ASSADACCESStablecentre"/>
            </w:pPr>
            <w:r w:rsidRPr="002E5727">
              <w:rPr>
                <w:bCs w:val="0"/>
                <w:color w:val="000000"/>
              </w:rPr>
              <w:t>7^</w:t>
            </w:r>
          </w:p>
        </w:tc>
        <w:tc>
          <w:tcPr>
            <w:tcW w:w="879" w:type="dxa"/>
            <w:shd w:val="clear" w:color="auto" w:fill="auto"/>
          </w:tcPr>
          <w:p w14:paraId="4AAEF0F7" w14:textId="4D9F5A0A" w:rsidR="009A7EC3" w:rsidRPr="00DE25AD" w:rsidRDefault="009A7EC3" w:rsidP="009A7EC3">
            <w:pPr>
              <w:pStyle w:val="ASSADACCESStablecentre"/>
            </w:pPr>
            <w:r w:rsidRPr="002E5727">
              <w:rPr>
                <w:bCs w:val="0"/>
                <w:color w:val="000000"/>
              </w:rPr>
              <w:t>7^</w:t>
            </w:r>
          </w:p>
        </w:tc>
        <w:tc>
          <w:tcPr>
            <w:tcW w:w="879" w:type="dxa"/>
            <w:shd w:val="clear" w:color="auto" w:fill="auto"/>
          </w:tcPr>
          <w:p w14:paraId="345F02B5" w14:textId="754E08C6" w:rsidR="009A7EC3" w:rsidRPr="00DE25AD" w:rsidRDefault="009A7EC3" w:rsidP="009A7EC3">
            <w:pPr>
              <w:pStyle w:val="ASSADACCESStablecentre"/>
            </w:pPr>
            <w:r w:rsidRPr="002E5727">
              <w:rPr>
                <w:bCs w:val="0"/>
                <w:color w:val="000000"/>
              </w:rPr>
              <w:t>6^</w:t>
            </w:r>
          </w:p>
        </w:tc>
      </w:tr>
      <w:tr w:rsidR="009A7EC3" w:rsidRPr="00DE25AD" w14:paraId="35007CDA" w14:textId="77777777" w:rsidTr="005C5B03">
        <w:trPr>
          <w:trHeight w:val="277"/>
        </w:trPr>
        <w:tc>
          <w:tcPr>
            <w:tcW w:w="1517" w:type="dxa"/>
            <w:tcMar>
              <w:left w:w="57" w:type="dxa"/>
            </w:tcMar>
          </w:tcPr>
          <w:p w14:paraId="2587045D" w14:textId="77777777" w:rsidR="009A7EC3" w:rsidRPr="00DE25AD" w:rsidRDefault="009A7EC3" w:rsidP="009A7EC3">
            <w:pPr>
              <w:pStyle w:val="ACCESSTableHeaderRow"/>
            </w:pPr>
          </w:p>
        </w:tc>
        <w:tc>
          <w:tcPr>
            <w:tcW w:w="1068" w:type="dxa"/>
            <w:shd w:val="clear" w:color="auto" w:fill="auto"/>
            <w:tcMar>
              <w:left w:w="57" w:type="dxa"/>
            </w:tcMar>
            <w:vAlign w:val="bottom"/>
          </w:tcPr>
          <w:p w14:paraId="47BF220D" w14:textId="77777777" w:rsidR="009A7EC3" w:rsidRPr="00DE25AD" w:rsidRDefault="009A7EC3" w:rsidP="009A7EC3">
            <w:pPr>
              <w:pStyle w:val="ASSAD2017ACCESSBody1"/>
            </w:pPr>
            <w:r w:rsidRPr="00DE25AD">
              <w:t>Female</w:t>
            </w:r>
          </w:p>
        </w:tc>
        <w:tc>
          <w:tcPr>
            <w:tcW w:w="878" w:type="dxa"/>
            <w:shd w:val="clear" w:color="auto" w:fill="auto"/>
          </w:tcPr>
          <w:p w14:paraId="0A8A2464" w14:textId="4DB37749" w:rsidR="009A7EC3" w:rsidRPr="00DE25AD" w:rsidRDefault="009A7EC3" w:rsidP="009A7EC3">
            <w:pPr>
              <w:pStyle w:val="ASSADACCESStablecentre"/>
            </w:pPr>
            <w:r w:rsidRPr="002E5727">
              <w:rPr>
                <w:bCs w:val="0"/>
                <w:color w:val="000000"/>
              </w:rPr>
              <w:t>24*</w:t>
            </w:r>
          </w:p>
        </w:tc>
        <w:tc>
          <w:tcPr>
            <w:tcW w:w="879" w:type="dxa"/>
            <w:shd w:val="clear" w:color="auto" w:fill="auto"/>
          </w:tcPr>
          <w:p w14:paraId="70A2D7BB" w14:textId="78F3FFF6" w:rsidR="009A7EC3" w:rsidRPr="00DE25AD" w:rsidRDefault="009A7EC3" w:rsidP="009A7EC3">
            <w:pPr>
              <w:pStyle w:val="ASSADACCESStablecentre"/>
            </w:pPr>
            <w:r w:rsidRPr="002E5727">
              <w:rPr>
                <w:bCs w:val="0"/>
                <w:color w:val="000000"/>
              </w:rPr>
              <w:t>20*</w:t>
            </w:r>
          </w:p>
        </w:tc>
        <w:tc>
          <w:tcPr>
            <w:tcW w:w="879" w:type="dxa"/>
            <w:shd w:val="clear" w:color="auto" w:fill="auto"/>
          </w:tcPr>
          <w:p w14:paraId="323B251C" w14:textId="43AF7568" w:rsidR="009A7EC3" w:rsidRPr="00DE25AD" w:rsidRDefault="009A7EC3" w:rsidP="009A7EC3">
            <w:pPr>
              <w:pStyle w:val="ASSADACCESStablecentre"/>
            </w:pPr>
            <w:r w:rsidRPr="002E5727">
              <w:rPr>
                <w:bCs w:val="0"/>
                <w:color w:val="000000"/>
              </w:rPr>
              <w:t>18*^</w:t>
            </w:r>
          </w:p>
        </w:tc>
        <w:tc>
          <w:tcPr>
            <w:tcW w:w="879" w:type="dxa"/>
            <w:shd w:val="clear" w:color="auto" w:fill="auto"/>
          </w:tcPr>
          <w:p w14:paraId="220B6689" w14:textId="3D37E621" w:rsidR="009A7EC3" w:rsidRPr="00DE25AD" w:rsidRDefault="009A7EC3" w:rsidP="009A7EC3">
            <w:pPr>
              <w:pStyle w:val="ASSADACCESStablecentre"/>
            </w:pPr>
            <w:r w:rsidRPr="002E5727">
              <w:rPr>
                <w:bCs w:val="0"/>
                <w:color w:val="000000"/>
              </w:rPr>
              <w:t>11*^</w:t>
            </w:r>
          </w:p>
        </w:tc>
        <w:tc>
          <w:tcPr>
            <w:tcW w:w="879" w:type="dxa"/>
            <w:shd w:val="clear" w:color="auto" w:fill="auto"/>
          </w:tcPr>
          <w:p w14:paraId="2A695490" w14:textId="2484678B" w:rsidR="009A7EC3" w:rsidRPr="00DE25AD" w:rsidRDefault="009A7EC3" w:rsidP="009A7EC3">
            <w:pPr>
              <w:pStyle w:val="ASSADACCESStablecentre"/>
            </w:pPr>
            <w:r w:rsidRPr="002E5727">
              <w:rPr>
                <w:bCs w:val="0"/>
                <w:color w:val="000000"/>
              </w:rPr>
              <w:t>8*^</w:t>
            </w:r>
          </w:p>
        </w:tc>
        <w:tc>
          <w:tcPr>
            <w:tcW w:w="879" w:type="dxa"/>
            <w:shd w:val="clear" w:color="auto" w:fill="auto"/>
          </w:tcPr>
          <w:p w14:paraId="25DDD408" w14:textId="0684F406" w:rsidR="009A7EC3" w:rsidRPr="00DE25AD" w:rsidRDefault="009A7EC3" w:rsidP="009A7EC3">
            <w:pPr>
              <w:pStyle w:val="ASSADACCESStablecentre"/>
            </w:pPr>
            <w:r w:rsidRPr="002E5727">
              <w:rPr>
                <w:bCs w:val="0"/>
                <w:color w:val="000000"/>
              </w:rPr>
              <w:t>7*^</w:t>
            </w:r>
          </w:p>
        </w:tc>
        <w:tc>
          <w:tcPr>
            <w:tcW w:w="879" w:type="dxa"/>
            <w:shd w:val="clear" w:color="auto" w:fill="auto"/>
          </w:tcPr>
          <w:p w14:paraId="4A1C07D4" w14:textId="35924A52" w:rsidR="009A7EC3" w:rsidRPr="00DE25AD" w:rsidRDefault="009A7EC3" w:rsidP="009A7EC3">
            <w:pPr>
              <w:pStyle w:val="ASSADACCESStablecentre"/>
            </w:pPr>
            <w:r w:rsidRPr="002E5727">
              <w:rPr>
                <w:bCs w:val="0"/>
                <w:color w:val="000000"/>
              </w:rPr>
              <w:t>4^</w:t>
            </w:r>
          </w:p>
        </w:tc>
        <w:tc>
          <w:tcPr>
            <w:tcW w:w="879" w:type="dxa"/>
            <w:shd w:val="clear" w:color="auto" w:fill="auto"/>
          </w:tcPr>
          <w:p w14:paraId="30653073" w14:textId="4839F1D9" w:rsidR="009A7EC3" w:rsidRPr="00DE25AD" w:rsidRDefault="009A7EC3" w:rsidP="009A7EC3">
            <w:pPr>
              <w:pStyle w:val="ASSADACCESStablecentre"/>
            </w:pPr>
            <w:r w:rsidRPr="002E5727">
              <w:rPr>
                <w:bCs w:val="0"/>
                <w:color w:val="000000"/>
              </w:rPr>
              <w:t>4^</w:t>
            </w:r>
          </w:p>
        </w:tc>
      </w:tr>
      <w:tr w:rsidR="009A7EC3" w:rsidRPr="00DE25AD" w14:paraId="14B79312" w14:textId="77777777" w:rsidTr="005C5B03">
        <w:trPr>
          <w:trHeight w:val="84"/>
        </w:trPr>
        <w:tc>
          <w:tcPr>
            <w:tcW w:w="1517" w:type="dxa"/>
            <w:tcMar>
              <w:left w:w="57" w:type="dxa"/>
            </w:tcMar>
          </w:tcPr>
          <w:p w14:paraId="6EC27F33" w14:textId="77777777" w:rsidR="009A7EC3" w:rsidRPr="00DE25AD" w:rsidRDefault="009A7EC3" w:rsidP="009A7EC3">
            <w:pPr>
              <w:pStyle w:val="ACCESSTableHeaderRow"/>
            </w:pPr>
          </w:p>
        </w:tc>
        <w:tc>
          <w:tcPr>
            <w:tcW w:w="1068" w:type="dxa"/>
            <w:shd w:val="clear" w:color="auto" w:fill="auto"/>
            <w:tcMar>
              <w:left w:w="57" w:type="dxa"/>
            </w:tcMar>
            <w:vAlign w:val="bottom"/>
          </w:tcPr>
          <w:p w14:paraId="3696B6B9" w14:textId="77777777" w:rsidR="009A7EC3" w:rsidRPr="00DE25AD" w:rsidRDefault="009A7EC3" w:rsidP="009A7EC3">
            <w:pPr>
              <w:pStyle w:val="ASSAD2017ACCESSBody1"/>
            </w:pPr>
            <w:r w:rsidRPr="00DE25AD">
              <w:t>Total</w:t>
            </w:r>
          </w:p>
        </w:tc>
        <w:tc>
          <w:tcPr>
            <w:tcW w:w="878" w:type="dxa"/>
            <w:shd w:val="clear" w:color="auto" w:fill="auto"/>
          </w:tcPr>
          <w:p w14:paraId="4EEC9FF6" w14:textId="71FFE54D" w:rsidR="009A7EC3" w:rsidRPr="00DE25AD" w:rsidRDefault="009A7EC3" w:rsidP="009A7EC3">
            <w:pPr>
              <w:pStyle w:val="ASSADACCESStablecentre"/>
            </w:pPr>
            <w:r w:rsidRPr="002E5727">
              <w:rPr>
                <w:bCs w:val="0"/>
                <w:color w:val="000000"/>
              </w:rPr>
              <w:t>22*</w:t>
            </w:r>
          </w:p>
        </w:tc>
        <w:tc>
          <w:tcPr>
            <w:tcW w:w="879" w:type="dxa"/>
            <w:shd w:val="clear" w:color="auto" w:fill="auto"/>
          </w:tcPr>
          <w:p w14:paraId="66C18884" w14:textId="010CA227" w:rsidR="009A7EC3" w:rsidRPr="00DE25AD" w:rsidRDefault="009A7EC3" w:rsidP="009A7EC3">
            <w:pPr>
              <w:pStyle w:val="ASSADACCESStablecentre"/>
            </w:pPr>
            <w:r w:rsidRPr="002E5727">
              <w:rPr>
                <w:bCs w:val="0"/>
                <w:color w:val="000000"/>
              </w:rPr>
              <w:t>21*</w:t>
            </w:r>
          </w:p>
        </w:tc>
        <w:tc>
          <w:tcPr>
            <w:tcW w:w="879" w:type="dxa"/>
            <w:shd w:val="clear" w:color="auto" w:fill="auto"/>
          </w:tcPr>
          <w:p w14:paraId="299F1C3A" w14:textId="5CB56A4A" w:rsidR="009A7EC3" w:rsidRPr="00DE25AD" w:rsidRDefault="009A7EC3" w:rsidP="009A7EC3">
            <w:pPr>
              <w:pStyle w:val="ASSADACCESStablecentre"/>
            </w:pPr>
            <w:r w:rsidRPr="002E5727">
              <w:rPr>
                <w:bCs w:val="0"/>
                <w:color w:val="000000"/>
              </w:rPr>
              <w:t>16*^</w:t>
            </w:r>
          </w:p>
        </w:tc>
        <w:tc>
          <w:tcPr>
            <w:tcW w:w="879" w:type="dxa"/>
            <w:shd w:val="clear" w:color="auto" w:fill="auto"/>
          </w:tcPr>
          <w:p w14:paraId="580AA29A" w14:textId="36BB7499" w:rsidR="009A7EC3" w:rsidRPr="00DE25AD" w:rsidRDefault="009A7EC3" w:rsidP="009A7EC3">
            <w:pPr>
              <w:pStyle w:val="ASSADACCESStablecentre"/>
            </w:pPr>
            <w:r w:rsidRPr="002E5727">
              <w:rPr>
                <w:bCs w:val="0"/>
                <w:color w:val="000000"/>
              </w:rPr>
              <w:t>1</w:t>
            </w:r>
            <w:r>
              <w:rPr>
                <w:bCs w:val="0"/>
                <w:color w:val="000000"/>
              </w:rPr>
              <w:t>0</w:t>
            </w:r>
            <w:r w:rsidRPr="002E5727">
              <w:rPr>
                <w:bCs w:val="0"/>
                <w:color w:val="000000"/>
              </w:rPr>
              <w:t>*^</w:t>
            </w:r>
          </w:p>
        </w:tc>
        <w:tc>
          <w:tcPr>
            <w:tcW w:w="879" w:type="dxa"/>
            <w:shd w:val="clear" w:color="auto" w:fill="auto"/>
          </w:tcPr>
          <w:p w14:paraId="2B0CDD5E" w14:textId="5074DD1C" w:rsidR="009A7EC3" w:rsidRPr="00DE25AD" w:rsidRDefault="009A7EC3" w:rsidP="009A7EC3">
            <w:pPr>
              <w:pStyle w:val="ASSADACCESStablecentre"/>
            </w:pPr>
            <w:r w:rsidRPr="002E5727">
              <w:rPr>
                <w:bCs w:val="0"/>
                <w:color w:val="000000"/>
              </w:rPr>
              <w:t>8*^</w:t>
            </w:r>
          </w:p>
        </w:tc>
        <w:tc>
          <w:tcPr>
            <w:tcW w:w="879" w:type="dxa"/>
            <w:shd w:val="clear" w:color="auto" w:fill="auto"/>
          </w:tcPr>
          <w:p w14:paraId="27951673" w14:textId="2E53589C" w:rsidR="009A7EC3" w:rsidRPr="00DE25AD" w:rsidRDefault="009A7EC3" w:rsidP="009A7EC3">
            <w:pPr>
              <w:pStyle w:val="ASSADACCESStablecentre"/>
            </w:pPr>
            <w:r w:rsidRPr="002E5727">
              <w:rPr>
                <w:bCs w:val="0"/>
                <w:color w:val="000000"/>
              </w:rPr>
              <w:t>7*^</w:t>
            </w:r>
          </w:p>
        </w:tc>
        <w:tc>
          <w:tcPr>
            <w:tcW w:w="879" w:type="dxa"/>
            <w:shd w:val="clear" w:color="auto" w:fill="auto"/>
          </w:tcPr>
          <w:p w14:paraId="1D8AEF34" w14:textId="4E7B1F8E" w:rsidR="009A7EC3" w:rsidRPr="00DE25AD" w:rsidRDefault="009A7EC3" w:rsidP="009A7EC3">
            <w:pPr>
              <w:pStyle w:val="ASSADACCESStablecentre"/>
            </w:pPr>
            <w:r w:rsidRPr="002E5727">
              <w:rPr>
                <w:bCs w:val="0"/>
                <w:color w:val="000000"/>
              </w:rPr>
              <w:t>6^</w:t>
            </w:r>
          </w:p>
        </w:tc>
        <w:tc>
          <w:tcPr>
            <w:tcW w:w="879" w:type="dxa"/>
            <w:shd w:val="clear" w:color="auto" w:fill="auto"/>
          </w:tcPr>
          <w:p w14:paraId="760764EB" w14:textId="64765DFB" w:rsidR="009A7EC3" w:rsidRPr="00DE25AD" w:rsidRDefault="009A7EC3" w:rsidP="009A7EC3">
            <w:pPr>
              <w:pStyle w:val="ASSADACCESStablecentre"/>
            </w:pPr>
            <w:r w:rsidRPr="002E5727">
              <w:rPr>
                <w:bCs w:val="0"/>
                <w:color w:val="000000"/>
              </w:rPr>
              <w:t>5^</w:t>
            </w:r>
          </w:p>
        </w:tc>
      </w:tr>
      <w:tr w:rsidR="009A7EC3" w:rsidRPr="00DE25AD" w14:paraId="26BB8CCA" w14:textId="77777777" w:rsidTr="00545FF4">
        <w:tc>
          <w:tcPr>
            <w:tcW w:w="1517" w:type="dxa"/>
            <w:tcMar>
              <w:left w:w="57" w:type="dxa"/>
            </w:tcMar>
          </w:tcPr>
          <w:p w14:paraId="6191CB37" w14:textId="77777777" w:rsidR="009A7EC3" w:rsidRPr="00DE25AD" w:rsidRDefault="009A7EC3" w:rsidP="009A7EC3">
            <w:pPr>
              <w:pStyle w:val="ACCESSTableHeaderRow"/>
            </w:pPr>
            <w:r>
              <w:t>Daily</w:t>
            </w:r>
          </w:p>
        </w:tc>
        <w:tc>
          <w:tcPr>
            <w:tcW w:w="1068" w:type="dxa"/>
            <w:shd w:val="clear" w:color="auto" w:fill="auto"/>
            <w:tcMar>
              <w:left w:w="57" w:type="dxa"/>
            </w:tcMar>
            <w:vAlign w:val="bottom"/>
          </w:tcPr>
          <w:p w14:paraId="312DE73B" w14:textId="77777777" w:rsidR="009A7EC3" w:rsidRPr="00DE25AD" w:rsidRDefault="009A7EC3" w:rsidP="009A7EC3">
            <w:pPr>
              <w:pStyle w:val="ASSAD2017ACCESSBody1"/>
            </w:pPr>
            <w:r w:rsidRPr="00DE25AD">
              <w:t>Male</w:t>
            </w:r>
          </w:p>
        </w:tc>
        <w:tc>
          <w:tcPr>
            <w:tcW w:w="878" w:type="dxa"/>
            <w:shd w:val="clear" w:color="auto" w:fill="auto"/>
          </w:tcPr>
          <w:p w14:paraId="490C8BA3" w14:textId="2C004665" w:rsidR="009A7EC3" w:rsidRPr="00DE25AD" w:rsidRDefault="009A7EC3" w:rsidP="009A7EC3">
            <w:pPr>
              <w:pStyle w:val="ASSADACCESStablecentre"/>
            </w:pPr>
            <w:r w:rsidRPr="002E5727">
              <w:rPr>
                <w:bCs w:val="0"/>
                <w:color w:val="000000"/>
              </w:rPr>
              <w:t>13*</w:t>
            </w:r>
          </w:p>
        </w:tc>
        <w:tc>
          <w:tcPr>
            <w:tcW w:w="879" w:type="dxa"/>
            <w:shd w:val="clear" w:color="auto" w:fill="auto"/>
          </w:tcPr>
          <w:p w14:paraId="0155D7D1" w14:textId="21994CDC" w:rsidR="009A7EC3" w:rsidRPr="00DE25AD" w:rsidRDefault="009A7EC3" w:rsidP="009A7EC3">
            <w:pPr>
              <w:pStyle w:val="ASSADACCESStablecentre"/>
            </w:pPr>
            <w:r w:rsidRPr="002E5727">
              <w:rPr>
                <w:bCs w:val="0"/>
                <w:color w:val="000000"/>
              </w:rPr>
              <w:t>13*</w:t>
            </w:r>
          </w:p>
        </w:tc>
        <w:tc>
          <w:tcPr>
            <w:tcW w:w="879" w:type="dxa"/>
            <w:shd w:val="clear" w:color="auto" w:fill="auto"/>
          </w:tcPr>
          <w:p w14:paraId="55451A1B" w14:textId="1126684B" w:rsidR="009A7EC3" w:rsidRPr="00DE25AD" w:rsidRDefault="009A7EC3" w:rsidP="009A7EC3">
            <w:pPr>
              <w:pStyle w:val="ASSADACCESStablecentre"/>
            </w:pPr>
            <w:r w:rsidRPr="002E5727">
              <w:rPr>
                <w:bCs w:val="0"/>
                <w:color w:val="000000"/>
              </w:rPr>
              <w:t>9*^</w:t>
            </w:r>
          </w:p>
        </w:tc>
        <w:tc>
          <w:tcPr>
            <w:tcW w:w="879" w:type="dxa"/>
            <w:shd w:val="clear" w:color="auto" w:fill="auto"/>
          </w:tcPr>
          <w:p w14:paraId="57076BF4" w14:textId="097BCCF5" w:rsidR="009A7EC3" w:rsidRPr="00DE25AD" w:rsidRDefault="009A7EC3" w:rsidP="009A7EC3">
            <w:pPr>
              <w:pStyle w:val="ASSADACCESStablecentre"/>
            </w:pPr>
            <w:r w:rsidRPr="002E5727">
              <w:rPr>
                <w:bCs w:val="0"/>
                <w:color w:val="000000"/>
              </w:rPr>
              <w:t>5*^</w:t>
            </w:r>
          </w:p>
        </w:tc>
        <w:tc>
          <w:tcPr>
            <w:tcW w:w="879" w:type="dxa"/>
            <w:shd w:val="clear" w:color="auto" w:fill="auto"/>
          </w:tcPr>
          <w:p w14:paraId="52C55564" w14:textId="6D727FF5" w:rsidR="009A7EC3" w:rsidRPr="00DE25AD" w:rsidRDefault="009A7EC3" w:rsidP="009A7EC3">
            <w:pPr>
              <w:pStyle w:val="ASSADACCESStablecentre"/>
            </w:pPr>
            <w:r w:rsidRPr="002E5727">
              <w:rPr>
                <w:bCs w:val="0"/>
                <w:color w:val="000000"/>
              </w:rPr>
              <w:t>4^</w:t>
            </w:r>
          </w:p>
        </w:tc>
        <w:tc>
          <w:tcPr>
            <w:tcW w:w="879" w:type="dxa"/>
            <w:shd w:val="clear" w:color="auto" w:fill="auto"/>
          </w:tcPr>
          <w:p w14:paraId="7769D0CA" w14:textId="5CA3D99B" w:rsidR="009A7EC3" w:rsidRPr="00DE25AD" w:rsidRDefault="009A7EC3" w:rsidP="009A7EC3">
            <w:pPr>
              <w:pStyle w:val="ASSADACCESStablecentre"/>
            </w:pPr>
            <w:r w:rsidRPr="002E5727">
              <w:rPr>
                <w:bCs w:val="0"/>
                <w:color w:val="000000"/>
              </w:rPr>
              <w:t>4^</w:t>
            </w:r>
          </w:p>
        </w:tc>
        <w:tc>
          <w:tcPr>
            <w:tcW w:w="879" w:type="dxa"/>
            <w:shd w:val="clear" w:color="auto" w:fill="auto"/>
          </w:tcPr>
          <w:p w14:paraId="317BD211" w14:textId="14DFF60A" w:rsidR="009A7EC3" w:rsidRPr="00DE25AD" w:rsidRDefault="009A7EC3" w:rsidP="009A7EC3">
            <w:pPr>
              <w:pStyle w:val="ASSADACCESStablecentre"/>
            </w:pPr>
            <w:r w:rsidRPr="002E5727">
              <w:rPr>
                <w:bCs w:val="0"/>
                <w:color w:val="000000"/>
              </w:rPr>
              <w:t>3^</w:t>
            </w:r>
          </w:p>
        </w:tc>
        <w:tc>
          <w:tcPr>
            <w:tcW w:w="879" w:type="dxa"/>
            <w:shd w:val="clear" w:color="auto" w:fill="auto"/>
          </w:tcPr>
          <w:p w14:paraId="7636933D" w14:textId="6EEE923B" w:rsidR="009A7EC3" w:rsidRPr="00DE25AD" w:rsidRDefault="009A7EC3" w:rsidP="009A7EC3">
            <w:pPr>
              <w:pStyle w:val="ASSADACCESStablecentre"/>
            </w:pPr>
            <w:r w:rsidRPr="002E5727">
              <w:rPr>
                <w:bCs w:val="0"/>
                <w:color w:val="000000"/>
              </w:rPr>
              <w:t>2^</w:t>
            </w:r>
          </w:p>
        </w:tc>
      </w:tr>
      <w:tr w:rsidR="009A7EC3" w:rsidRPr="00DE25AD" w14:paraId="762D0220" w14:textId="77777777" w:rsidTr="005C5B03">
        <w:tc>
          <w:tcPr>
            <w:tcW w:w="1517" w:type="dxa"/>
            <w:tcMar>
              <w:left w:w="57" w:type="dxa"/>
            </w:tcMar>
          </w:tcPr>
          <w:p w14:paraId="0414DE27" w14:textId="77777777" w:rsidR="009A7EC3" w:rsidRPr="00DE25AD" w:rsidRDefault="009A7EC3" w:rsidP="009A7EC3">
            <w:pPr>
              <w:pStyle w:val="ACCESSTableHeaderRow"/>
            </w:pPr>
          </w:p>
        </w:tc>
        <w:tc>
          <w:tcPr>
            <w:tcW w:w="1068" w:type="dxa"/>
            <w:shd w:val="clear" w:color="auto" w:fill="auto"/>
            <w:tcMar>
              <w:left w:w="57" w:type="dxa"/>
            </w:tcMar>
            <w:vAlign w:val="bottom"/>
          </w:tcPr>
          <w:p w14:paraId="2F9B3D8F" w14:textId="77777777" w:rsidR="009A7EC3" w:rsidRPr="00DE25AD" w:rsidRDefault="009A7EC3" w:rsidP="009A7EC3">
            <w:pPr>
              <w:pStyle w:val="ASSAD2017ACCESSBody1"/>
            </w:pPr>
            <w:r w:rsidRPr="00DE25AD">
              <w:t>Female</w:t>
            </w:r>
          </w:p>
        </w:tc>
        <w:tc>
          <w:tcPr>
            <w:tcW w:w="878" w:type="dxa"/>
            <w:shd w:val="clear" w:color="auto" w:fill="auto"/>
          </w:tcPr>
          <w:p w14:paraId="7195640C" w14:textId="516CCEE7" w:rsidR="009A7EC3" w:rsidRPr="00DE25AD" w:rsidRDefault="009A7EC3" w:rsidP="009A7EC3">
            <w:pPr>
              <w:pStyle w:val="ASSADACCESStablecentre"/>
            </w:pPr>
            <w:r w:rsidRPr="002E5727">
              <w:rPr>
                <w:bCs w:val="0"/>
                <w:color w:val="000000"/>
              </w:rPr>
              <w:t>14*</w:t>
            </w:r>
          </w:p>
        </w:tc>
        <w:tc>
          <w:tcPr>
            <w:tcW w:w="879" w:type="dxa"/>
            <w:shd w:val="clear" w:color="auto" w:fill="auto"/>
          </w:tcPr>
          <w:p w14:paraId="0B2C1D0B" w14:textId="564A5C4B" w:rsidR="009A7EC3" w:rsidRPr="00DE25AD" w:rsidRDefault="009A7EC3" w:rsidP="009A7EC3">
            <w:pPr>
              <w:pStyle w:val="ASSADACCESStablecentre"/>
            </w:pPr>
            <w:r w:rsidRPr="002E5727">
              <w:rPr>
                <w:bCs w:val="0"/>
                <w:color w:val="000000"/>
              </w:rPr>
              <w:t>11*</w:t>
            </w:r>
          </w:p>
        </w:tc>
        <w:tc>
          <w:tcPr>
            <w:tcW w:w="879" w:type="dxa"/>
            <w:shd w:val="clear" w:color="auto" w:fill="auto"/>
          </w:tcPr>
          <w:p w14:paraId="3662EC10" w14:textId="7DC3840E" w:rsidR="009A7EC3" w:rsidRPr="00DE25AD" w:rsidRDefault="009A7EC3" w:rsidP="009A7EC3">
            <w:pPr>
              <w:pStyle w:val="ASSADACCESStablecentre"/>
            </w:pPr>
            <w:r w:rsidRPr="002E5727">
              <w:rPr>
                <w:bCs w:val="0"/>
                <w:color w:val="000000"/>
              </w:rPr>
              <w:t>12*</w:t>
            </w:r>
          </w:p>
        </w:tc>
        <w:tc>
          <w:tcPr>
            <w:tcW w:w="879" w:type="dxa"/>
            <w:shd w:val="clear" w:color="auto" w:fill="auto"/>
          </w:tcPr>
          <w:p w14:paraId="0C06FD14" w14:textId="50AE12FB" w:rsidR="009A7EC3" w:rsidRPr="00DE25AD" w:rsidRDefault="009A7EC3" w:rsidP="009A7EC3">
            <w:pPr>
              <w:pStyle w:val="ASSADACCESStablecentre"/>
            </w:pPr>
            <w:r w:rsidRPr="002E5727">
              <w:rPr>
                <w:bCs w:val="0"/>
                <w:color w:val="000000"/>
              </w:rPr>
              <w:t>6*^</w:t>
            </w:r>
          </w:p>
        </w:tc>
        <w:tc>
          <w:tcPr>
            <w:tcW w:w="879" w:type="dxa"/>
            <w:shd w:val="clear" w:color="auto" w:fill="auto"/>
          </w:tcPr>
          <w:p w14:paraId="0327A4E3" w14:textId="411B17CD" w:rsidR="009A7EC3" w:rsidRPr="00DE25AD" w:rsidRDefault="009A7EC3" w:rsidP="009A7EC3">
            <w:pPr>
              <w:pStyle w:val="ASSADACCESStablecentre"/>
            </w:pPr>
            <w:r w:rsidRPr="002E5727">
              <w:rPr>
                <w:bCs w:val="0"/>
                <w:color w:val="000000"/>
              </w:rPr>
              <w:t>4*^</w:t>
            </w:r>
          </w:p>
        </w:tc>
        <w:tc>
          <w:tcPr>
            <w:tcW w:w="879" w:type="dxa"/>
            <w:shd w:val="clear" w:color="auto" w:fill="auto"/>
          </w:tcPr>
          <w:p w14:paraId="22ED49EB" w14:textId="476CED89" w:rsidR="009A7EC3" w:rsidRPr="00DE25AD" w:rsidRDefault="009A7EC3" w:rsidP="009A7EC3">
            <w:pPr>
              <w:pStyle w:val="ASSADACCESStablecentre"/>
            </w:pPr>
            <w:r w:rsidRPr="002E5727">
              <w:rPr>
                <w:bCs w:val="0"/>
                <w:color w:val="000000"/>
              </w:rPr>
              <w:t>3*^</w:t>
            </w:r>
          </w:p>
        </w:tc>
        <w:tc>
          <w:tcPr>
            <w:tcW w:w="879" w:type="dxa"/>
            <w:shd w:val="clear" w:color="auto" w:fill="auto"/>
          </w:tcPr>
          <w:p w14:paraId="043991B9" w14:textId="38E18759" w:rsidR="009A7EC3" w:rsidRPr="00DE25AD" w:rsidRDefault="009A7EC3" w:rsidP="009A7EC3">
            <w:pPr>
              <w:pStyle w:val="ASSADACCESStablecentre"/>
            </w:pPr>
            <w:r w:rsidRPr="002E5727">
              <w:rPr>
                <w:bCs w:val="0"/>
                <w:color w:val="000000"/>
              </w:rPr>
              <w:t>2^</w:t>
            </w:r>
          </w:p>
        </w:tc>
        <w:tc>
          <w:tcPr>
            <w:tcW w:w="879" w:type="dxa"/>
            <w:shd w:val="clear" w:color="auto" w:fill="auto"/>
          </w:tcPr>
          <w:p w14:paraId="2F98060E" w14:textId="3F122E5C" w:rsidR="009A7EC3" w:rsidRPr="00DE25AD" w:rsidRDefault="009A7EC3" w:rsidP="009A7EC3">
            <w:pPr>
              <w:pStyle w:val="ASSADACCESStablecentre"/>
            </w:pPr>
            <w:r w:rsidRPr="002E5727">
              <w:rPr>
                <w:bCs w:val="0"/>
                <w:color w:val="000000"/>
              </w:rPr>
              <w:t>2^</w:t>
            </w:r>
          </w:p>
        </w:tc>
      </w:tr>
      <w:tr w:rsidR="009A7EC3" w:rsidRPr="00DE25AD" w14:paraId="7A50DBAE" w14:textId="77777777" w:rsidTr="005C5B03">
        <w:trPr>
          <w:trHeight w:val="247"/>
        </w:trPr>
        <w:tc>
          <w:tcPr>
            <w:tcW w:w="1517" w:type="dxa"/>
            <w:tcMar>
              <w:left w:w="57" w:type="dxa"/>
            </w:tcMar>
          </w:tcPr>
          <w:p w14:paraId="37B78AEC" w14:textId="77777777" w:rsidR="009A7EC3" w:rsidRPr="00DE25AD" w:rsidRDefault="009A7EC3" w:rsidP="009A7EC3">
            <w:pPr>
              <w:pStyle w:val="ACCESSTableHeaderRow"/>
            </w:pPr>
          </w:p>
        </w:tc>
        <w:tc>
          <w:tcPr>
            <w:tcW w:w="1068" w:type="dxa"/>
            <w:shd w:val="clear" w:color="auto" w:fill="auto"/>
            <w:tcMar>
              <w:left w:w="57" w:type="dxa"/>
            </w:tcMar>
            <w:vAlign w:val="bottom"/>
          </w:tcPr>
          <w:p w14:paraId="17595EF9" w14:textId="77777777" w:rsidR="009A7EC3" w:rsidRPr="00DE25AD" w:rsidRDefault="009A7EC3" w:rsidP="009A7EC3">
            <w:pPr>
              <w:pStyle w:val="ASSAD2017ACCESSBody1"/>
            </w:pPr>
            <w:r w:rsidRPr="00DE25AD">
              <w:t>Total</w:t>
            </w:r>
          </w:p>
        </w:tc>
        <w:tc>
          <w:tcPr>
            <w:tcW w:w="878" w:type="dxa"/>
            <w:shd w:val="clear" w:color="auto" w:fill="auto"/>
          </w:tcPr>
          <w:p w14:paraId="5A9D24C3" w14:textId="37894EC6" w:rsidR="009A7EC3" w:rsidRPr="00DE25AD" w:rsidRDefault="009A7EC3" w:rsidP="009A7EC3">
            <w:pPr>
              <w:pStyle w:val="ASSADACCESStablecentre"/>
            </w:pPr>
            <w:r w:rsidRPr="002E5727">
              <w:rPr>
                <w:bCs w:val="0"/>
                <w:color w:val="000000"/>
              </w:rPr>
              <w:t>13*</w:t>
            </w:r>
          </w:p>
        </w:tc>
        <w:tc>
          <w:tcPr>
            <w:tcW w:w="879" w:type="dxa"/>
            <w:shd w:val="clear" w:color="auto" w:fill="auto"/>
          </w:tcPr>
          <w:p w14:paraId="5998306B" w14:textId="299FC31E" w:rsidR="009A7EC3" w:rsidRPr="00DE25AD" w:rsidRDefault="009A7EC3" w:rsidP="009A7EC3">
            <w:pPr>
              <w:pStyle w:val="ASSADACCESStablecentre"/>
            </w:pPr>
            <w:r w:rsidRPr="002E5727">
              <w:rPr>
                <w:bCs w:val="0"/>
                <w:color w:val="000000"/>
              </w:rPr>
              <w:t>12*</w:t>
            </w:r>
          </w:p>
        </w:tc>
        <w:tc>
          <w:tcPr>
            <w:tcW w:w="879" w:type="dxa"/>
            <w:shd w:val="clear" w:color="auto" w:fill="auto"/>
          </w:tcPr>
          <w:p w14:paraId="3E866212" w14:textId="710D30C9" w:rsidR="009A7EC3" w:rsidRPr="00DE25AD" w:rsidRDefault="009A7EC3" w:rsidP="009A7EC3">
            <w:pPr>
              <w:pStyle w:val="ASSADACCESStablecentre"/>
            </w:pPr>
            <w:r w:rsidRPr="002E5727">
              <w:rPr>
                <w:bCs w:val="0"/>
                <w:color w:val="000000"/>
              </w:rPr>
              <w:t>10*^</w:t>
            </w:r>
          </w:p>
        </w:tc>
        <w:tc>
          <w:tcPr>
            <w:tcW w:w="879" w:type="dxa"/>
            <w:shd w:val="clear" w:color="auto" w:fill="auto"/>
          </w:tcPr>
          <w:p w14:paraId="446D2747" w14:textId="22157586" w:rsidR="009A7EC3" w:rsidRPr="00DE25AD" w:rsidRDefault="009A7EC3" w:rsidP="009A7EC3">
            <w:pPr>
              <w:pStyle w:val="ASSADACCESStablecentre"/>
            </w:pPr>
            <w:r w:rsidRPr="002E5727">
              <w:rPr>
                <w:bCs w:val="0"/>
                <w:color w:val="000000"/>
              </w:rPr>
              <w:t>5*^</w:t>
            </w:r>
          </w:p>
        </w:tc>
        <w:tc>
          <w:tcPr>
            <w:tcW w:w="879" w:type="dxa"/>
            <w:shd w:val="clear" w:color="auto" w:fill="auto"/>
          </w:tcPr>
          <w:p w14:paraId="2A88A75C" w14:textId="2C4A5BBD" w:rsidR="009A7EC3" w:rsidRPr="00DE25AD" w:rsidRDefault="009A7EC3" w:rsidP="009A7EC3">
            <w:pPr>
              <w:pStyle w:val="ASSADACCESStablecentre"/>
            </w:pPr>
            <w:r w:rsidRPr="002E5727">
              <w:rPr>
                <w:bCs w:val="0"/>
                <w:color w:val="000000"/>
              </w:rPr>
              <w:t>4*^</w:t>
            </w:r>
          </w:p>
        </w:tc>
        <w:tc>
          <w:tcPr>
            <w:tcW w:w="879" w:type="dxa"/>
            <w:shd w:val="clear" w:color="auto" w:fill="auto"/>
          </w:tcPr>
          <w:p w14:paraId="578942B9" w14:textId="3BAE3522" w:rsidR="009A7EC3" w:rsidRPr="00DE25AD" w:rsidRDefault="009A7EC3" w:rsidP="009A7EC3">
            <w:pPr>
              <w:pStyle w:val="ASSADACCESStablecentre"/>
            </w:pPr>
            <w:r w:rsidRPr="002E5727">
              <w:rPr>
                <w:bCs w:val="0"/>
                <w:color w:val="000000"/>
              </w:rPr>
              <w:t>4</w:t>
            </w:r>
            <w:r>
              <w:rPr>
                <w:bCs w:val="0"/>
                <w:color w:val="000000"/>
              </w:rPr>
              <w:t>*</w:t>
            </w:r>
            <w:r w:rsidRPr="002E5727">
              <w:rPr>
                <w:bCs w:val="0"/>
                <w:color w:val="000000"/>
              </w:rPr>
              <w:t>^</w:t>
            </w:r>
          </w:p>
        </w:tc>
        <w:tc>
          <w:tcPr>
            <w:tcW w:w="879" w:type="dxa"/>
            <w:shd w:val="clear" w:color="auto" w:fill="auto"/>
          </w:tcPr>
          <w:p w14:paraId="47D185ED" w14:textId="25391A2B" w:rsidR="009A7EC3" w:rsidRPr="00DE25AD" w:rsidRDefault="009A7EC3" w:rsidP="009A7EC3">
            <w:pPr>
              <w:pStyle w:val="ASSADACCESStablecentre"/>
            </w:pPr>
            <w:r w:rsidRPr="002E5727">
              <w:rPr>
                <w:bCs w:val="0"/>
                <w:color w:val="000000"/>
              </w:rPr>
              <w:t>3^</w:t>
            </w:r>
          </w:p>
        </w:tc>
        <w:tc>
          <w:tcPr>
            <w:tcW w:w="879" w:type="dxa"/>
            <w:shd w:val="clear" w:color="auto" w:fill="auto"/>
          </w:tcPr>
          <w:p w14:paraId="4C0BC351" w14:textId="1AAD9BAC" w:rsidR="009A7EC3" w:rsidRPr="00DE25AD" w:rsidRDefault="009A7EC3" w:rsidP="009A7EC3">
            <w:pPr>
              <w:pStyle w:val="ASSADACCESStablecentre"/>
            </w:pPr>
            <w:r w:rsidRPr="002E5727">
              <w:rPr>
                <w:bCs w:val="0"/>
                <w:color w:val="000000"/>
              </w:rPr>
              <w:t>2^</w:t>
            </w:r>
          </w:p>
        </w:tc>
      </w:tr>
      <w:tr w:rsidR="009A7EC3" w:rsidRPr="00DE25AD" w14:paraId="51005A2F" w14:textId="77777777" w:rsidTr="00545FF4">
        <w:trPr>
          <w:trHeight w:val="247"/>
        </w:trPr>
        <w:tc>
          <w:tcPr>
            <w:tcW w:w="1517" w:type="dxa"/>
            <w:tcMar>
              <w:left w:w="57" w:type="dxa"/>
            </w:tcMar>
          </w:tcPr>
          <w:p w14:paraId="0B089993" w14:textId="77777777" w:rsidR="009A7EC3" w:rsidRPr="00DE25AD" w:rsidRDefault="009A7EC3" w:rsidP="009A7EC3">
            <w:pPr>
              <w:pStyle w:val="ACCESSTableHeaderRow"/>
              <w:rPr>
                <w:vertAlign w:val="superscript"/>
              </w:rPr>
            </w:pPr>
            <w:r>
              <w:t>&gt; 100 cigs</w:t>
            </w:r>
          </w:p>
        </w:tc>
        <w:tc>
          <w:tcPr>
            <w:tcW w:w="1068" w:type="dxa"/>
            <w:shd w:val="clear" w:color="auto" w:fill="auto"/>
            <w:tcMar>
              <w:left w:w="57" w:type="dxa"/>
            </w:tcMar>
            <w:vAlign w:val="bottom"/>
          </w:tcPr>
          <w:p w14:paraId="63F85D83" w14:textId="77777777" w:rsidR="009A7EC3" w:rsidRPr="00DE25AD" w:rsidRDefault="009A7EC3" w:rsidP="009A7EC3">
            <w:pPr>
              <w:pStyle w:val="ASSAD2017ACCESSBody1"/>
            </w:pPr>
            <w:r w:rsidRPr="00DE25AD">
              <w:t>Male</w:t>
            </w:r>
          </w:p>
        </w:tc>
        <w:tc>
          <w:tcPr>
            <w:tcW w:w="878" w:type="dxa"/>
            <w:shd w:val="clear" w:color="auto" w:fill="auto"/>
          </w:tcPr>
          <w:p w14:paraId="4A2864DF" w14:textId="1139C3DE" w:rsidR="009A7EC3" w:rsidRPr="00DE25AD" w:rsidRDefault="009A7EC3" w:rsidP="009A7EC3">
            <w:pPr>
              <w:pStyle w:val="ASSADACCESStablecentre"/>
            </w:pPr>
            <w:r w:rsidRPr="002E5727">
              <w:rPr>
                <w:bCs w:val="0"/>
                <w:color w:val="000000"/>
              </w:rPr>
              <w:t>-</w:t>
            </w:r>
          </w:p>
        </w:tc>
        <w:tc>
          <w:tcPr>
            <w:tcW w:w="879" w:type="dxa"/>
            <w:shd w:val="clear" w:color="auto" w:fill="auto"/>
          </w:tcPr>
          <w:p w14:paraId="0AB2A9A3" w14:textId="701BDFD5" w:rsidR="009A7EC3" w:rsidRPr="00DE25AD" w:rsidRDefault="009A7EC3" w:rsidP="009A7EC3">
            <w:pPr>
              <w:pStyle w:val="ASSADACCESStablecentre"/>
            </w:pPr>
            <w:r w:rsidRPr="002E5727">
              <w:rPr>
                <w:bCs w:val="0"/>
                <w:color w:val="000000"/>
              </w:rPr>
              <w:t>23*</w:t>
            </w:r>
          </w:p>
        </w:tc>
        <w:tc>
          <w:tcPr>
            <w:tcW w:w="879" w:type="dxa"/>
            <w:shd w:val="clear" w:color="auto" w:fill="auto"/>
          </w:tcPr>
          <w:p w14:paraId="032297E7" w14:textId="7866D374" w:rsidR="009A7EC3" w:rsidRPr="00DE25AD" w:rsidRDefault="009A7EC3" w:rsidP="009A7EC3">
            <w:pPr>
              <w:pStyle w:val="ASSADACCESStablecentre"/>
            </w:pPr>
            <w:r w:rsidRPr="002E5727">
              <w:rPr>
                <w:bCs w:val="0"/>
                <w:color w:val="000000"/>
              </w:rPr>
              <w:t>15*</w:t>
            </w:r>
            <w:r w:rsidRPr="002E5727">
              <w:rPr>
                <w:bCs w:val="0"/>
                <w:color w:val="000000"/>
                <w:vertAlign w:val="superscript"/>
              </w:rPr>
              <w:t>#</w:t>
            </w:r>
          </w:p>
        </w:tc>
        <w:tc>
          <w:tcPr>
            <w:tcW w:w="879" w:type="dxa"/>
            <w:shd w:val="clear" w:color="auto" w:fill="auto"/>
          </w:tcPr>
          <w:p w14:paraId="612A298B" w14:textId="1BCB0AB2" w:rsidR="009A7EC3" w:rsidRPr="00DE25AD" w:rsidRDefault="009A7EC3" w:rsidP="009A7EC3">
            <w:pPr>
              <w:pStyle w:val="ASSADACCESStablecentre"/>
            </w:pPr>
            <w:r w:rsidRPr="002E5727">
              <w:rPr>
                <w:bCs w:val="0"/>
                <w:color w:val="000000"/>
              </w:rPr>
              <w:t>11*</w:t>
            </w:r>
            <w:r w:rsidRPr="002E5727">
              <w:rPr>
                <w:bCs w:val="0"/>
                <w:color w:val="000000"/>
                <w:vertAlign w:val="superscript"/>
              </w:rPr>
              <w:t>#</w:t>
            </w:r>
          </w:p>
        </w:tc>
        <w:tc>
          <w:tcPr>
            <w:tcW w:w="879" w:type="dxa"/>
            <w:shd w:val="clear" w:color="auto" w:fill="auto"/>
          </w:tcPr>
          <w:p w14:paraId="2988B548" w14:textId="57660463" w:rsidR="009A7EC3" w:rsidRPr="00DE25AD" w:rsidRDefault="009A7EC3" w:rsidP="009A7EC3">
            <w:pPr>
              <w:pStyle w:val="ASSADACCESStablecentre"/>
            </w:pPr>
            <w:r w:rsidRPr="002E5727">
              <w:rPr>
                <w:bCs w:val="0"/>
                <w:color w:val="000000"/>
              </w:rPr>
              <w:t>9</w:t>
            </w:r>
            <w:r w:rsidRPr="002E5727">
              <w:rPr>
                <w:bCs w:val="0"/>
                <w:color w:val="000000"/>
                <w:vertAlign w:val="superscript"/>
              </w:rPr>
              <w:t>#</w:t>
            </w:r>
          </w:p>
        </w:tc>
        <w:tc>
          <w:tcPr>
            <w:tcW w:w="879" w:type="dxa"/>
            <w:shd w:val="clear" w:color="auto" w:fill="auto"/>
          </w:tcPr>
          <w:p w14:paraId="7C9F5854" w14:textId="7FC32CDE" w:rsidR="009A7EC3" w:rsidRPr="00DE25AD" w:rsidRDefault="009A7EC3" w:rsidP="009A7EC3">
            <w:pPr>
              <w:pStyle w:val="ASSADACCESStablecentre"/>
            </w:pPr>
            <w:r w:rsidRPr="002E5727">
              <w:rPr>
                <w:bCs w:val="0"/>
                <w:color w:val="000000"/>
              </w:rPr>
              <w:t>9</w:t>
            </w:r>
            <w:r w:rsidRPr="002E5727">
              <w:rPr>
                <w:bCs w:val="0"/>
                <w:color w:val="000000"/>
                <w:vertAlign w:val="superscript"/>
              </w:rPr>
              <w:t>#</w:t>
            </w:r>
          </w:p>
        </w:tc>
        <w:tc>
          <w:tcPr>
            <w:tcW w:w="879" w:type="dxa"/>
            <w:shd w:val="clear" w:color="auto" w:fill="auto"/>
          </w:tcPr>
          <w:p w14:paraId="080C922B" w14:textId="7D9D37DB" w:rsidR="009A7EC3" w:rsidRPr="00DE25AD" w:rsidRDefault="009A7EC3" w:rsidP="009A7EC3">
            <w:pPr>
              <w:pStyle w:val="ASSADACCESStablecentre"/>
            </w:pPr>
            <w:r w:rsidRPr="002E5727">
              <w:rPr>
                <w:bCs w:val="0"/>
                <w:color w:val="000000"/>
              </w:rPr>
              <w:t>8</w:t>
            </w:r>
            <w:r w:rsidRPr="002E5727">
              <w:rPr>
                <w:bCs w:val="0"/>
                <w:color w:val="000000"/>
                <w:vertAlign w:val="superscript"/>
              </w:rPr>
              <w:t>#</w:t>
            </w:r>
          </w:p>
        </w:tc>
        <w:tc>
          <w:tcPr>
            <w:tcW w:w="879" w:type="dxa"/>
            <w:shd w:val="clear" w:color="auto" w:fill="auto"/>
          </w:tcPr>
          <w:p w14:paraId="655034A4" w14:textId="1374CC77" w:rsidR="009A7EC3" w:rsidRPr="00DE25AD" w:rsidRDefault="009A7EC3" w:rsidP="009A7EC3">
            <w:pPr>
              <w:pStyle w:val="ASSADACCESStablecentre"/>
            </w:pPr>
            <w:r w:rsidRPr="002E5727">
              <w:rPr>
                <w:bCs w:val="0"/>
                <w:color w:val="000000"/>
              </w:rPr>
              <w:t>7</w:t>
            </w:r>
            <w:r w:rsidRPr="002E5727">
              <w:rPr>
                <w:bCs w:val="0"/>
                <w:color w:val="000000"/>
                <w:vertAlign w:val="superscript"/>
              </w:rPr>
              <w:t>#</w:t>
            </w:r>
          </w:p>
        </w:tc>
      </w:tr>
      <w:tr w:rsidR="009A7EC3" w:rsidRPr="00DE25AD" w14:paraId="652442EF" w14:textId="77777777" w:rsidTr="005C5B03">
        <w:trPr>
          <w:trHeight w:val="247"/>
        </w:trPr>
        <w:tc>
          <w:tcPr>
            <w:tcW w:w="1517" w:type="dxa"/>
            <w:tcMar>
              <w:left w:w="57" w:type="dxa"/>
            </w:tcMar>
          </w:tcPr>
          <w:p w14:paraId="1590986A" w14:textId="77777777" w:rsidR="009A7EC3" w:rsidRPr="00DE25AD" w:rsidRDefault="009A7EC3" w:rsidP="009A7EC3">
            <w:pPr>
              <w:pStyle w:val="ACCESSTableHeaderRow"/>
            </w:pPr>
          </w:p>
        </w:tc>
        <w:tc>
          <w:tcPr>
            <w:tcW w:w="1068" w:type="dxa"/>
            <w:shd w:val="clear" w:color="auto" w:fill="auto"/>
            <w:tcMar>
              <w:left w:w="57" w:type="dxa"/>
            </w:tcMar>
            <w:vAlign w:val="bottom"/>
          </w:tcPr>
          <w:p w14:paraId="6733DE17" w14:textId="77777777" w:rsidR="009A7EC3" w:rsidRPr="00DE25AD" w:rsidRDefault="009A7EC3" w:rsidP="009A7EC3">
            <w:pPr>
              <w:pStyle w:val="ASSAD2017ACCESSBody1"/>
            </w:pPr>
            <w:r w:rsidRPr="00DE25AD">
              <w:t>Female</w:t>
            </w:r>
          </w:p>
        </w:tc>
        <w:tc>
          <w:tcPr>
            <w:tcW w:w="878" w:type="dxa"/>
            <w:shd w:val="clear" w:color="auto" w:fill="auto"/>
          </w:tcPr>
          <w:p w14:paraId="4BDC126A" w14:textId="02D4A71C" w:rsidR="009A7EC3" w:rsidRPr="00DE25AD" w:rsidRDefault="009A7EC3" w:rsidP="009A7EC3">
            <w:pPr>
              <w:pStyle w:val="ASSADACCESStablecentre"/>
            </w:pPr>
            <w:r w:rsidRPr="002E5727">
              <w:rPr>
                <w:bCs w:val="0"/>
                <w:color w:val="000000"/>
              </w:rPr>
              <w:t>-</w:t>
            </w:r>
          </w:p>
        </w:tc>
        <w:tc>
          <w:tcPr>
            <w:tcW w:w="879" w:type="dxa"/>
            <w:shd w:val="clear" w:color="auto" w:fill="auto"/>
          </w:tcPr>
          <w:p w14:paraId="54BB423A" w14:textId="331B814A" w:rsidR="009A7EC3" w:rsidRPr="00DE25AD" w:rsidRDefault="009A7EC3" w:rsidP="009A7EC3">
            <w:pPr>
              <w:pStyle w:val="ASSADACCESStablecentre"/>
            </w:pPr>
            <w:r w:rsidRPr="002E5727">
              <w:rPr>
                <w:bCs w:val="0"/>
                <w:color w:val="000000"/>
              </w:rPr>
              <w:t>22*</w:t>
            </w:r>
          </w:p>
        </w:tc>
        <w:tc>
          <w:tcPr>
            <w:tcW w:w="879" w:type="dxa"/>
            <w:shd w:val="clear" w:color="auto" w:fill="auto"/>
          </w:tcPr>
          <w:p w14:paraId="2EE87D1E" w14:textId="413BBC7E" w:rsidR="009A7EC3" w:rsidRPr="00DE25AD" w:rsidRDefault="009A7EC3" w:rsidP="009A7EC3">
            <w:pPr>
              <w:pStyle w:val="ASSADACCESStablecentre"/>
            </w:pPr>
            <w:r w:rsidRPr="002E5727">
              <w:rPr>
                <w:bCs w:val="0"/>
                <w:color w:val="000000"/>
              </w:rPr>
              <w:t>18*</w:t>
            </w:r>
          </w:p>
        </w:tc>
        <w:tc>
          <w:tcPr>
            <w:tcW w:w="879" w:type="dxa"/>
            <w:shd w:val="clear" w:color="auto" w:fill="auto"/>
          </w:tcPr>
          <w:p w14:paraId="2814BDC5" w14:textId="2BBAF8A1" w:rsidR="009A7EC3" w:rsidRPr="00DE25AD" w:rsidRDefault="009A7EC3" w:rsidP="009A7EC3">
            <w:pPr>
              <w:pStyle w:val="ASSADACCESStablecentre"/>
            </w:pPr>
            <w:r w:rsidRPr="002E5727">
              <w:rPr>
                <w:bCs w:val="0"/>
                <w:color w:val="000000"/>
              </w:rPr>
              <w:t>10*</w:t>
            </w:r>
            <w:r w:rsidRPr="002E5727">
              <w:rPr>
                <w:bCs w:val="0"/>
                <w:color w:val="000000"/>
                <w:vertAlign w:val="superscript"/>
              </w:rPr>
              <w:t>#</w:t>
            </w:r>
          </w:p>
        </w:tc>
        <w:tc>
          <w:tcPr>
            <w:tcW w:w="879" w:type="dxa"/>
            <w:shd w:val="clear" w:color="auto" w:fill="auto"/>
          </w:tcPr>
          <w:p w14:paraId="3EC0E830" w14:textId="3EE0FD93" w:rsidR="009A7EC3" w:rsidRPr="00DE25AD" w:rsidRDefault="009A7EC3" w:rsidP="009A7EC3">
            <w:pPr>
              <w:pStyle w:val="ASSADACCESStablecentre"/>
            </w:pPr>
            <w:r w:rsidRPr="002E5727">
              <w:rPr>
                <w:bCs w:val="0"/>
                <w:color w:val="000000"/>
              </w:rPr>
              <w:t>7*</w:t>
            </w:r>
            <w:r w:rsidRPr="002E5727">
              <w:rPr>
                <w:bCs w:val="0"/>
                <w:color w:val="000000"/>
                <w:vertAlign w:val="superscript"/>
              </w:rPr>
              <w:t>#</w:t>
            </w:r>
          </w:p>
        </w:tc>
        <w:tc>
          <w:tcPr>
            <w:tcW w:w="879" w:type="dxa"/>
            <w:shd w:val="clear" w:color="auto" w:fill="auto"/>
          </w:tcPr>
          <w:p w14:paraId="09984711" w14:textId="586CB602" w:rsidR="009A7EC3" w:rsidRPr="00DE25AD" w:rsidRDefault="009A7EC3" w:rsidP="009A7EC3">
            <w:pPr>
              <w:pStyle w:val="ASSADACCESStablecentre"/>
            </w:pPr>
            <w:r w:rsidRPr="002E5727">
              <w:rPr>
                <w:bCs w:val="0"/>
                <w:color w:val="000000"/>
              </w:rPr>
              <w:t>7*</w:t>
            </w:r>
            <w:r w:rsidRPr="002E5727">
              <w:rPr>
                <w:bCs w:val="0"/>
                <w:color w:val="000000"/>
                <w:vertAlign w:val="superscript"/>
              </w:rPr>
              <w:t>#</w:t>
            </w:r>
          </w:p>
        </w:tc>
        <w:tc>
          <w:tcPr>
            <w:tcW w:w="879" w:type="dxa"/>
            <w:shd w:val="clear" w:color="auto" w:fill="auto"/>
          </w:tcPr>
          <w:p w14:paraId="31EB118C" w14:textId="5D8F611D"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220CEE72" w14:textId="608D6F13" w:rsidR="009A7EC3" w:rsidRPr="00DE25AD" w:rsidRDefault="009A7EC3" w:rsidP="009A7EC3">
            <w:pPr>
              <w:pStyle w:val="ASSADACCESStablecentre"/>
            </w:pPr>
            <w:r w:rsidRPr="002E5727">
              <w:rPr>
                <w:bCs w:val="0"/>
                <w:color w:val="000000"/>
              </w:rPr>
              <w:t>4</w:t>
            </w:r>
            <w:r w:rsidRPr="002E5727">
              <w:rPr>
                <w:bCs w:val="0"/>
                <w:color w:val="000000"/>
                <w:vertAlign w:val="superscript"/>
              </w:rPr>
              <w:t>#</w:t>
            </w:r>
          </w:p>
        </w:tc>
      </w:tr>
      <w:tr w:rsidR="009A7EC3" w:rsidRPr="00DE25AD" w14:paraId="33B93D70" w14:textId="77777777" w:rsidTr="005C5B03">
        <w:trPr>
          <w:trHeight w:val="247"/>
        </w:trPr>
        <w:tc>
          <w:tcPr>
            <w:tcW w:w="1517" w:type="dxa"/>
            <w:tcMar>
              <w:left w:w="57" w:type="dxa"/>
            </w:tcMar>
          </w:tcPr>
          <w:p w14:paraId="3B28BB84" w14:textId="77777777" w:rsidR="009A7EC3" w:rsidRPr="00DE25AD" w:rsidRDefault="009A7EC3" w:rsidP="009A7EC3">
            <w:pPr>
              <w:pStyle w:val="ACCESSTableHeaderRow"/>
            </w:pPr>
          </w:p>
        </w:tc>
        <w:tc>
          <w:tcPr>
            <w:tcW w:w="1068" w:type="dxa"/>
            <w:shd w:val="clear" w:color="auto" w:fill="auto"/>
            <w:tcMar>
              <w:left w:w="57" w:type="dxa"/>
            </w:tcMar>
            <w:vAlign w:val="bottom"/>
          </w:tcPr>
          <w:p w14:paraId="24AE97FD" w14:textId="77777777" w:rsidR="009A7EC3" w:rsidRPr="00DE25AD" w:rsidRDefault="009A7EC3" w:rsidP="009A7EC3">
            <w:pPr>
              <w:pStyle w:val="ASSAD2017ACCESSBody1"/>
            </w:pPr>
            <w:r w:rsidRPr="00DE25AD">
              <w:t>Total</w:t>
            </w:r>
          </w:p>
        </w:tc>
        <w:tc>
          <w:tcPr>
            <w:tcW w:w="878" w:type="dxa"/>
            <w:shd w:val="clear" w:color="auto" w:fill="auto"/>
          </w:tcPr>
          <w:p w14:paraId="59098100" w14:textId="2CEB0811" w:rsidR="009A7EC3" w:rsidRPr="00DE25AD" w:rsidRDefault="009A7EC3" w:rsidP="009A7EC3">
            <w:pPr>
              <w:pStyle w:val="ASSADACCESStablecentre"/>
            </w:pPr>
            <w:r w:rsidRPr="002E5727">
              <w:rPr>
                <w:bCs w:val="0"/>
                <w:color w:val="000000"/>
              </w:rPr>
              <w:t>-</w:t>
            </w:r>
          </w:p>
        </w:tc>
        <w:tc>
          <w:tcPr>
            <w:tcW w:w="879" w:type="dxa"/>
            <w:shd w:val="clear" w:color="auto" w:fill="auto"/>
          </w:tcPr>
          <w:p w14:paraId="5CA6D0C3" w14:textId="4FA137AF" w:rsidR="009A7EC3" w:rsidRPr="00DE25AD" w:rsidRDefault="009A7EC3" w:rsidP="009A7EC3">
            <w:pPr>
              <w:pStyle w:val="ASSADACCESStablecentre"/>
            </w:pPr>
            <w:r w:rsidRPr="002E5727">
              <w:rPr>
                <w:bCs w:val="0"/>
                <w:color w:val="000000"/>
              </w:rPr>
              <w:t>22*</w:t>
            </w:r>
          </w:p>
        </w:tc>
        <w:tc>
          <w:tcPr>
            <w:tcW w:w="879" w:type="dxa"/>
            <w:shd w:val="clear" w:color="auto" w:fill="auto"/>
          </w:tcPr>
          <w:p w14:paraId="06A3BB09" w14:textId="76E227A9" w:rsidR="009A7EC3" w:rsidRPr="00DE25AD" w:rsidRDefault="009A7EC3" w:rsidP="009A7EC3">
            <w:pPr>
              <w:pStyle w:val="ASSADACCESStablecentre"/>
            </w:pPr>
            <w:r w:rsidRPr="002E5727">
              <w:rPr>
                <w:bCs w:val="0"/>
                <w:color w:val="000000"/>
              </w:rPr>
              <w:t>17*</w:t>
            </w:r>
            <w:r w:rsidRPr="002E5727">
              <w:rPr>
                <w:bCs w:val="0"/>
                <w:color w:val="000000"/>
                <w:vertAlign w:val="superscript"/>
              </w:rPr>
              <w:t>#</w:t>
            </w:r>
          </w:p>
        </w:tc>
        <w:tc>
          <w:tcPr>
            <w:tcW w:w="879" w:type="dxa"/>
            <w:shd w:val="clear" w:color="auto" w:fill="auto"/>
          </w:tcPr>
          <w:p w14:paraId="524AF4DA" w14:textId="5D187E98" w:rsidR="009A7EC3" w:rsidRPr="00DE25AD" w:rsidRDefault="009A7EC3" w:rsidP="009A7EC3">
            <w:pPr>
              <w:pStyle w:val="ASSADACCESStablecentre"/>
            </w:pPr>
            <w:r w:rsidRPr="002E5727">
              <w:rPr>
                <w:bCs w:val="0"/>
                <w:color w:val="000000"/>
              </w:rPr>
              <w:t>11*</w:t>
            </w:r>
            <w:r w:rsidRPr="002E5727">
              <w:rPr>
                <w:bCs w:val="0"/>
                <w:color w:val="000000"/>
                <w:vertAlign w:val="superscript"/>
              </w:rPr>
              <w:t>#</w:t>
            </w:r>
          </w:p>
        </w:tc>
        <w:tc>
          <w:tcPr>
            <w:tcW w:w="879" w:type="dxa"/>
            <w:shd w:val="clear" w:color="auto" w:fill="auto"/>
          </w:tcPr>
          <w:p w14:paraId="20A02BF5" w14:textId="0FBD8555" w:rsidR="009A7EC3" w:rsidRPr="00DE25AD" w:rsidRDefault="009A7EC3" w:rsidP="009A7EC3">
            <w:pPr>
              <w:pStyle w:val="ASSADACCESStablecentre"/>
            </w:pPr>
            <w:r w:rsidRPr="002E5727">
              <w:rPr>
                <w:bCs w:val="0"/>
                <w:color w:val="000000"/>
              </w:rPr>
              <w:t>8*</w:t>
            </w:r>
            <w:r w:rsidRPr="002E5727">
              <w:rPr>
                <w:bCs w:val="0"/>
                <w:color w:val="000000"/>
                <w:vertAlign w:val="superscript"/>
              </w:rPr>
              <w:t>#</w:t>
            </w:r>
          </w:p>
        </w:tc>
        <w:tc>
          <w:tcPr>
            <w:tcW w:w="879" w:type="dxa"/>
            <w:shd w:val="clear" w:color="auto" w:fill="auto"/>
          </w:tcPr>
          <w:p w14:paraId="3BC32AE6" w14:textId="74B0C7DF" w:rsidR="009A7EC3" w:rsidRPr="00DE25AD" w:rsidRDefault="009A7EC3" w:rsidP="009A7EC3">
            <w:pPr>
              <w:pStyle w:val="ASSADACCESStablecentre"/>
            </w:pPr>
            <w:r w:rsidRPr="002E5727">
              <w:rPr>
                <w:bCs w:val="0"/>
                <w:color w:val="000000"/>
              </w:rPr>
              <w:t>8*</w:t>
            </w:r>
            <w:r w:rsidRPr="002E5727">
              <w:rPr>
                <w:bCs w:val="0"/>
                <w:color w:val="000000"/>
                <w:vertAlign w:val="superscript"/>
              </w:rPr>
              <w:t>#</w:t>
            </w:r>
          </w:p>
        </w:tc>
        <w:tc>
          <w:tcPr>
            <w:tcW w:w="879" w:type="dxa"/>
            <w:shd w:val="clear" w:color="auto" w:fill="auto"/>
          </w:tcPr>
          <w:p w14:paraId="49518BAD" w14:textId="3CF0A67B" w:rsidR="009A7EC3" w:rsidRPr="00DE25AD" w:rsidRDefault="009A7EC3" w:rsidP="009A7EC3">
            <w:pPr>
              <w:pStyle w:val="ASSADACCESStablecentre"/>
            </w:pPr>
            <w:r w:rsidRPr="002E5727">
              <w:rPr>
                <w:bCs w:val="0"/>
                <w:color w:val="000000"/>
              </w:rPr>
              <w:t>6</w:t>
            </w:r>
            <w:r w:rsidRPr="002E5727">
              <w:rPr>
                <w:bCs w:val="0"/>
                <w:color w:val="000000"/>
                <w:vertAlign w:val="superscript"/>
              </w:rPr>
              <w:t>#</w:t>
            </w:r>
          </w:p>
        </w:tc>
        <w:tc>
          <w:tcPr>
            <w:tcW w:w="879" w:type="dxa"/>
            <w:shd w:val="clear" w:color="auto" w:fill="auto"/>
          </w:tcPr>
          <w:p w14:paraId="586848AF" w14:textId="772F88E2"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r>
    </w:tbl>
    <w:p w14:paraId="59FA9DB3" w14:textId="77777777" w:rsidR="0046446A" w:rsidRDefault="0046446A" w:rsidP="0046446A">
      <w:pPr>
        <w:pStyle w:val="ASSAD2017CWTablenote1"/>
      </w:pPr>
      <w:r>
        <w:t xml:space="preserve">* Significantly different than 2017, p&lt;.01; ^ Significantly different than 1996, p&lt;.01; </w:t>
      </w:r>
      <w:r>
        <w:rPr>
          <w:vertAlign w:val="superscript"/>
        </w:rPr>
        <w:t>#</w:t>
      </w:r>
      <w:r>
        <w:t xml:space="preserve"> Significantly different than 1999, p&lt;.01.</w:t>
      </w:r>
    </w:p>
    <w:p w14:paraId="2A1E7F36" w14:textId="77777777" w:rsidR="0046446A" w:rsidRDefault="0046446A" w:rsidP="0046446A">
      <w:pPr>
        <w:pStyle w:val="ASSAD2017CWTablenote1"/>
      </w:pPr>
    </w:p>
    <w:p w14:paraId="6193FC70" w14:textId="77777777" w:rsidR="0046446A" w:rsidRDefault="0046446A">
      <w:pPr>
        <w:suppressAutoHyphens w:val="0"/>
        <w:rPr>
          <w:rFonts w:ascii="Arial" w:eastAsia="Arial" w:hAnsi="Arial" w:cs="Arial"/>
          <w:sz w:val="18"/>
          <w:szCs w:val="18"/>
          <w:lang w:val="en-AU"/>
        </w:rPr>
      </w:pPr>
      <w:r>
        <w:br w:type="page"/>
      </w:r>
    </w:p>
    <w:p w14:paraId="05483353" w14:textId="7421B82E" w:rsidR="0046446A" w:rsidRPr="0046446A" w:rsidRDefault="0046446A" w:rsidP="0046446A">
      <w:pPr>
        <w:pStyle w:val="ASSAD2017TableHeading"/>
      </w:pPr>
      <w:bookmarkStart w:id="74" w:name="_Toc44060490"/>
      <w:r w:rsidRPr="0046446A">
        <w:lastRenderedPageBreak/>
        <w:t xml:space="preserve">Table </w:t>
      </w:r>
      <w:r>
        <w:t>3</w:t>
      </w:r>
      <w:r w:rsidRPr="0046446A">
        <w:t xml:space="preserve"> </w:t>
      </w:r>
      <w:r>
        <w:t>Prevalence</w:t>
      </w:r>
      <w:r w:rsidRPr="0046446A">
        <w:t xml:space="preserve"> of tobacco use among secondary students aged 12-1</w:t>
      </w:r>
      <w:r>
        <w:t>7</w:t>
      </w:r>
      <w:r w:rsidRPr="0046446A">
        <w:t xml:space="preserve"> in Australia, ASSAD 1996-2017</w:t>
      </w:r>
      <w:bookmarkEnd w:id="74"/>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46446A" w:rsidRPr="00DE25AD" w14:paraId="30F908B8" w14:textId="77777777" w:rsidTr="005C5B03">
        <w:trPr>
          <w:tblHeader/>
        </w:trPr>
        <w:tc>
          <w:tcPr>
            <w:tcW w:w="1517" w:type="dxa"/>
            <w:tcMar>
              <w:left w:w="57" w:type="dxa"/>
            </w:tcMar>
          </w:tcPr>
          <w:p w14:paraId="3DE5BA70" w14:textId="77777777" w:rsidR="0046446A" w:rsidRPr="00DE25AD" w:rsidRDefault="0046446A"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312E38E0" w14:textId="77777777" w:rsidR="0046446A" w:rsidRPr="00DE25AD" w:rsidRDefault="0046446A" w:rsidP="005C5B03">
            <w:pPr>
              <w:pStyle w:val="ACCESSTableHeaderRow"/>
            </w:pPr>
          </w:p>
        </w:tc>
        <w:tc>
          <w:tcPr>
            <w:tcW w:w="878" w:type="dxa"/>
            <w:shd w:val="clear" w:color="auto" w:fill="auto"/>
            <w:vAlign w:val="bottom"/>
          </w:tcPr>
          <w:p w14:paraId="5548A937" w14:textId="77777777" w:rsidR="0046446A" w:rsidRPr="00DE25AD" w:rsidRDefault="0046446A" w:rsidP="005C5B03">
            <w:pPr>
              <w:pStyle w:val="ACCESSTableHeaderRow"/>
              <w:jc w:val="center"/>
            </w:pPr>
            <w:r>
              <w:t>1996</w:t>
            </w:r>
          </w:p>
          <w:p w14:paraId="5F907387"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43ACE5FF" w14:textId="77777777" w:rsidR="0046446A" w:rsidRPr="00DE25AD" w:rsidRDefault="0046446A" w:rsidP="005C5B03">
            <w:pPr>
              <w:pStyle w:val="ACCESSTableHeaderRow"/>
              <w:jc w:val="center"/>
            </w:pPr>
            <w:r w:rsidRPr="00DE25AD">
              <w:t>1</w:t>
            </w:r>
            <w:r>
              <w:t>999</w:t>
            </w:r>
          </w:p>
          <w:p w14:paraId="5B004D50"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35A2E28F" w14:textId="77777777" w:rsidR="0046446A" w:rsidRPr="00DE25AD" w:rsidRDefault="0046446A" w:rsidP="005C5B03">
            <w:pPr>
              <w:pStyle w:val="ACCESSTableHeaderRow"/>
              <w:jc w:val="center"/>
            </w:pPr>
            <w:r>
              <w:t>2002</w:t>
            </w:r>
          </w:p>
          <w:p w14:paraId="44DA6263"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08FD5306" w14:textId="77777777" w:rsidR="0046446A" w:rsidRPr="00DE25AD" w:rsidRDefault="0046446A" w:rsidP="005C5B03">
            <w:pPr>
              <w:pStyle w:val="ACCESSTableHeaderRow"/>
              <w:jc w:val="center"/>
            </w:pPr>
            <w:r>
              <w:t>200</w:t>
            </w:r>
            <w:r w:rsidRPr="00DE25AD">
              <w:t>5</w:t>
            </w:r>
          </w:p>
          <w:p w14:paraId="7966C599"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76B7762A" w14:textId="77777777" w:rsidR="0046446A" w:rsidRPr="00DE25AD" w:rsidRDefault="0046446A" w:rsidP="005C5B03">
            <w:pPr>
              <w:pStyle w:val="ACCESSTableHeaderRow"/>
              <w:jc w:val="center"/>
            </w:pPr>
            <w:r>
              <w:t>2008</w:t>
            </w:r>
          </w:p>
          <w:p w14:paraId="773D2590"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7FD6EC56" w14:textId="77777777" w:rsidR="0046446A" w:rsidRPr="00DE25AD" w:rsidRDefault="0046446A" w:rsidP="005C5B03">
            <w:pPr>
              <w:pStyle w:val="ACCESSTableHeaderRow"/>
              <w:jc w:val="center"/>
            </w:pPr>
            <w:r>
              <w:t>2011</w:t>
            </w:r>
          </w:p>
          <w:p w14:paraId="73359627" w14:textId="77777777" w:rsidR="0046446A" w:rsidRPr="00DE25AD" w:rsidRDefault="0046446A" w:rsidP="005C5B03">
            <w:pPr>
              <w:pStyle w:val="ACCESSTableHeaderRow"/>
              <w:jc w:val="center"/>
            </w:pPr>
            <w:r w:rsidRPr="00DE25AD">
              <w:t>(%)</w:t>
            </w:r>
          </w:p>
        </w:tc>
        <w:tc>
          <w:tcPr>
            <w:tcW w:w="879" w:type="dxa"/>
            <w:shd w:val="clear" w:color="auto" w:fill="auto"/>
            <w:vAlign w:val="bottom"/>
          </w:tcPr>
          <w:p w14:paraId="69CE3A32" w14:textId="77777777" w:rsidR="0046446A" w:rsidRDefault="0046446A" w:rsidP="005C5B03">
            <w:pPr>
              <w:pStyle w:val="ACCESSTableHeaderRow"/>
              <w:jc w:val="center"/>
            </w:pPr>
            <w:r>
              <w:t>2014</w:t>
            </w:r>
          </w:p>
          <w:p w14:paraId="279B7CE3" w14:textId="77777777" w:rsidR="0046446A" w:rsidRPr="00DE25AD" w:rsidRDefault="0046446A" w:rsidP="005C5B03">
            <w:pPr>
              <w:pStyle w:val="ACCESSTableHeaderRow"/>
              <w:jc w:val="center"/>
            </w:pPr>
            <w:r>
              <w:t>(%)</w:t>
            </w:r>
          </w:p>
        </w:tc>
        <w:tc>
          <w:tcPr>
            <w:tcW w:w="879" w:type="dxa"/>
            <w:shd w:val="clear" w:color="auto" w:fill="auto"/>
            <w:vAlign w:val="bottom"/>
          </w:tcPr>
          <w:p w14:paraId="1312D973" w14:textId="77777777" w:rsidR="0046446A" w:rsidRDefault="0046446A" w:rsidP="005C5B03">
            <w:pPr>
              <w:pStyle w:val="ACCESSTableHeaderRow"/>
              <w:jc w:val="center"/>
            </w:pPr>
            <w:r>
              <w:t>2017</w:t>
            </w:r>
          </w:p>
          <w:p w14:paraId="552CC11B" w14:textId="77777777" w:rsidR="0046446A" w:rsidRPr="00DE25AD" w:rsidRDefault="0046446A" w:rsidP="005C5B03">
            <w:pPr>
              <w:pStyle w:val="ACCESSTableHeaderRow"/>
              <w:jc w:val="center"/>
            </w:pPr>
            <w:r w:rsidRPr="00DE25AD">
              <w:t>(%)</w:t>
            </w:r>
          </w:p>
        </w:tc>
      </w:tr>
      <w:tr w:rsidR="0046446A" w:rsidRPr="00DE25AD" w14:paraId="6948D0C7" w14:textId="77777777" w:rsidTr="005C5B03">
        <w:trPr>
          <w:tblHeader/>
        </w:trPr>
        <w:tc>
          <w:tcPr>
            <w:tcW w:w="1517" w:type="dxa"/>
            <w:tcMar>
              <w:left w:w="57" w:type="dxa"/>
            </w:tcMar>
          </w:tcPr>
          <w:p w14:paraId="5CD04180" w14:textId="77777777" w:rsidR="0046446A" w:rsidRPr="00DE25AD" w:rsidRDefault="0046446A" w:rsidP="005C5B03">
            <w:pPr>
              <w:pStyle w:val="ACCESSTableHeaderRow"/>
            </w:pPr>
            <w:r w:rsidRPr="00DE25AD">
              <w:t>Recency</w:t>
            </w:r>
          </w:p>
        </w:tc>
        <w:tc>
          <w:tcPr>
            <w:tcW w:w="1068" w:type="dxa"/>
            <w:shd w:val="clear" w:color="auto" w:fill="auto"/>
            <w:tcMar>
              <w:left w:w="57" w:type="dxa"/>
            </w:tcMar>
            <w:vAlign w:val="center"/>
          </w:tcPr>
          <w:p w14:paraId="3C6DB05B" w14:textId="77777777" w:rsidR="0046446A" w:rsidRPr="00DE25AD" w:rsidRDefault="0046446A" w:rsidP="005C5B03">
            <w:pPr>
              <w:pStyle w:val="ACCESSTableHeaderRow"/>
            </w:pPr>
            <w:r w:rsidRPr="00DE25AD">
              <w:t>Sex</w:t>
            </w:r>
          </w:p>
        </w:tc>
        <w:tc>
          <w:tcPr>
            <w:tcW w:w="878" w:type="dxa"/>
            <w:shd w:val="clear" w:color="auto" w:fill="auto"/>
            <w:vAlign w:val="bottom"/>
          </w:tcPr>
          <w:p w14:paraId="57135944" w14:textId="77777777" w:rsidR="0046446A" w:rsidRPr="00DE25AD" w:rsidRDefault="0046446A" w:rsidP="005C5B03">
            <w:pPr>
              <w:pStyle w:val="ACCESSTableHeaderRow"/>
            </w:pPr>
          </w:p>
        </w:tc>
        <w:tc>
          <w:tcPr>
            <w:tcW w:w="879" w:type="dxa"/>
            <w:shd w:val="clear" w:color="auto" w:fill="auto"/>
            <w:vAlign w:val="bottom"/>
          </w:tcPr>
          <w:p w14:paraId="1C54671D" w14:textId="77777777" w:rsidR="0046446A" w:rsidRPr="00DE25AD" w:rsidRDefault="0046446A" w:rsidP="005C5B03">
            <w:pPr>
              <w:pStyle w:val="ACCESSTableHeaderRow"/>
            </w:pPr>
          </w:p>
        </w:tc>
        <w:tc>
          <w:tcPr>
            <w:tcW w:w="879" w:type="dxa"/>
            <w:shd w:val="clear" w:color="auto" w:fill="auto"/>
            <w:vAlign w:val="bottom"/>
          </w:tcPr>
          <w:p w14:paraId="6D047C1B" w14:textId="77777777" w:rsidR="0046446A" w:rsidRPr="00DE25AD" w:rsidRDefault="0046446A" w:rsidP="005C5B03">
            <w:pPr>
              <w:pStyle w:val="ACCESSTableHeaderRow"/>
            </w:pPr>
          </w:p>
        </w:tc>
        <w:tc>
          <w:tcPr>
            <w:tcW w:w="879" w:type="dxa"/>
            <w:shd w:val="clear" w:color="auto" w:fill="auto"/>
            <w:vAlign w:val="bottom"/>
          </w:tcPr>
          <w:p w14:paraId="6019F6F7" w14:textId="77777777" w:rsidR="0046446A" w:rsidRPr="00DE25AD" w:rsidRDefault="0046446A" w:rsidP="005C5B03">
            <w:pPr>
              <w:pStyle w:val="ACCESSTableHeaderRow"/>
            </w:pPr>
          </w:p>
        </w:tc>
        <w:tc>
          <w:tcPr>
            <w:tcW w:w="879" w:type="dxa"/>
            <w:shd w:val="clear" w:color="auto" w:fill="auto"/>
            <w:vAlign w:val="bottom"/>
          </w:tcPr>
          <w:p w14:paraId="5F2455F1" w14:textId="77777777" w:rsidR="0046446A" w:rsidRPr="00DE25AD" w:rsidRDefault="0046446A" w:rsidP="005C5B03">
            <w:pPr>
              <w:pStyle w:val="ACCESSTableHeaderRow"/>
            </w:pPr>
          </w:p>
        </w:tc>
        <w:tc>
          <w:tcPr>
            <w:tcW w:w="879" w:type="dxa"/>
            <w:shd w:val="clear" w:color="auto" w:fill="auto"/>
            <w:vAlign w:val="bottom"/>
          </w:tcPr>
          <w:p w14:paraId="1001F431" w14:textId="77777777" w:rsidR="0046446A" w:rsidRPr="00DE25AD" w:rsidRDefault="0046446A" w:rsidP="005C5B03">
            <w:pPr>
              <w:pStyle w:val="ACCESSTableHeaderRow"/>
            </w:pPr>
          </w:p>
        </w:tc>
        <w:tc>
          <w:tcPr>
            <w:tcW w:w="879" w:type="dxa"/>
            <w:shd w:val="clear" w:color="auto" w:fill="auto"/>
            <w:vAlign w:val="bottom"/>
          </w:tcPr>
          <w:p w14:paraId="3601B605" w14:textId="77777777" w:rsidR="0046446A" w:rsidRPr="00DE25AD" w:rsidRDefault="0046446A" w:rsidP="005C5B03">
            <w:pPr>
              <w:pStyle w:val="ACCESSTableHeaderRow"/>
            </w:pPr>
          </w:p>
        </w:tc>
        <w:tc>
          <w:tcPr>
            <w:tcW w:w="879" w:type="dxa"/>
            <w:shd w:val="clear" w:color="auto" w:fill="auto"/>
            <w:vAlign w:val="bottom"/>
          </w:tcPr>
          <w:p w14:paraId="7AB0BCD2" w14:textId="77777777" w:rsidR="0046446A" w:rsidRPr="00DE25AD" w:rsidRDefault="0046446A" w:rsidP="005C5B03">
            <w:pPr>
              <w:pStyle w:val="ACCESSTableHeaderRow"/>
            </w:pPr>
          </w:p>
        </w:tc>
      </w:tr>
      <w:tr w:rsidR="009A7EC3" w:rsidRPr="00DE25AD" w14:paraId="43633B6A" w14:textId="77777777" w:rsidTr="005C5B03">
        <w:tc>
          <w:tcPr>
            <w:tcW w:w="1517" w:type="dxa"/>
            <w:tcMar>
              <w:left w:w="57" w:type="dxa"/>
            </w:tcMar>
          </w:tcPr>
          <w:p w14:paraId="297E5250"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6E288FBE" w14:textId="77777777" w:rsidR="009A7EC3" w:rsidRPr="00DE25AD" w:rsidRDefault="009A7EC3" w:rsidP="009A7EC3">
            <w:pPr>
              <w:pStyle w:val="ASSAD2017ACCESSBody1"/>
            </w:pPr>
            <w:r w:rsidRPr="00DE25AD">
              <w:t>Male</w:t>
            </w:r>
          </w:p>
        </w:tc>
        <w:tc>
          <w:tcPr>
            <w:tcW w:w="878" w:type="dxa"/>
            <w:shd w:val="clear" w:color="auto" w:fill="auto"/>
          </w:tcPr>
          <w:p w14:paraId="251F4D35" w14:textId="403854FA" w:rsidR="009A7EC3" w:rsidRPr="00DE25AD" w:rsidRDefault="009A7EC3" w:rsidP="009A7EC3">
            <w:pPr>
              <w:pStyle w:val="ASSADACCESStablecentre"/>
            </w:pPr>
            <w:r w:rsidRPr="002E5727">
              <w:rPr>
                <w:bCs w:val="0"/>
                <w:color w:val="000000"/>
              </w:rPr>
              <w:t>59*</w:t>
            </w:r>
          </w:p>
        </w:tc>
        <w:tc>
          <w:tcPr>
            <w:tcW w:w="879" w:type="dxa"/>
            <w:shd w:val="clear" w:color="auto" w:fill="auto"/>
          </w:tcPr>
          <w:p w14:paraId="3CE1B45C" w14:textId="4C20D45C" w:rsidR="009A7EC3" w:rsidRPr="00DE25AD" w:rsidRDefault="009A7EC3" w:rsidP="009A7EC3">
            <w:pPr>
              <w:pStyle w:val="ASSADACCESStablecentre"/>
            </w:pPr>
            <w:r w:rsidRPr="002E5727">
              <w:rPr>
                <w:bCs w:val="0"/>
                <w:color w:val="000000"/>
              </w:rPr>
              <w:t>52*^</w:t>
            </w:r>
          </w:p>
        </w:tc>
        <w:tc>
          <w:tcPr>
            <w:tcW w:w="879" w:type="dxa"/>
            <w:shd w:val="clear" w:color="auto" w:fill="auto"/>
          </w:tcPr>
          <w:p w14:paraId="39D0F98D" w14:textId="227FA996" w:rsidR="009A7EC3" w:rsidRPr="00DE25AD" w:rsidRDefault="009A7EC3" w:rsidP="009A7EC3">
            <w:pPr>
              <w:pStyle w:val="ASSADACCESStablecentre"/>
            </w:pPr>
            <w:r w:rsidRPr="002E5727">
              <w:rPr>
                <w:bCs w:val="0"/>
                <w:color w:val="000000"/>
              </w:rPr>
              <w:t>46*^</w:t>
            </w:r>
          </w:p>
        </w:tc>
        <w:tc>
          <w:tcPr>
            <w:tcW w:w="879" w:type="dxa"/>
            <w:shd w:val="clear" w:color="auto" w:fill="auto"/>
          </w:tcPr>
          <w:p w14:paraId="21025EAE" w14:textId="1699A301" w:rsidR="009A7EC3" w:rsidRPr="00DE25AD" w:rsidRDefault="009A7EC3" w:rsidP="009A7EC3">
            <w:pPr>
              <w:pStyle w:val="ASSADACCESStablecentre"/>
            </w:pPr>
            <w:r w:rsidRPr="002E5727">
              <w:rPr>
                <w:bCs w:val="0"/>
                <w:color w:val="000000"/>
              </w:rPr>
              <w:t>35*^</w:t>
            </w:r>
          </w:p>
        </w:tc>
        <w:tc>
          <w:tcPr>
            <w:tcW w:w="879" w:type="dxa"/>
            <w:shd w:val="clear" w:color="auto" w:fill="auto"/>
          </w:tcPr>
          <w:p w14:paraId="72F7057C" w14:textId="1F0F2A18" w:rsidR="009A7EC3" w:rsidRPr="00DE25AD" w:rsidRDefault="009A7EC3" w:rsidP="009A7EC3">
            <w:pPr>
              <w:pStyle w:val="ASSADACCESStablecentre"/>
            </w:pPr>
            <w:r w:rsidRPr="002E5727">
              <w:rPr>
                <w:bCs w:val="0"/>
                <w:color w:val="000000"/>
              </w:rPr>
              <w:t>27*^</w:t>
            </w:r>
          </w:p>
        </w:tc>
        <w:tc>
          <w:tcPr>
            <w:tcW w:w="879" w:type="dxa"/>
            <w:shd w:val="clear" w:color="auto" w:fill="auto"/>
          </w:tcPr>
          <w:p w14:paraId="099A62CE" w14:textId="23CE8E32" w:rsidR="009A7EC3" w:rsidRPr="00DE25AD" w:rsidRDefault="009A7EC3" w:rsidP="009A7EC3">
            <w:pPr>
              <w:pStyle w:val="ASSADACCESStablecentre"/>
            </w:pPr>
            <w:r w:rsidRPr="002E5727">
              <w:rPr>
                <w:bCs w:val="0"/>
                <w:color w:val="000000"/>
              </w:rPr>
              <w:t>24*^</w:t>
            </w:r>
          </w:p>
        </w:tc>
        <w:tc>
          <w:tcPr>
            <w:tcW w:w="879" w:type="dxa"/>
            <w:shd w:val="clear" w:color="auto" w:fill="auto"/>
          </w:tcPr>
          <w:p w14:paraId="02CD3CF3" w14:textId="4631E5D6" w:rsidR="009A7EC3" w:rsidRPr="00DE25AD" w:rsidRDefault="009A7EC3" w:rsidP="009A7EC3">
            <w:pPr>
              <w:pStyle w:val="ASSADACCESStablecentre"/>
            </w:pPr>
            <w:r w:rsidRPr="002E5727">
              <w:rPr>
                <w:bCs w:val="0"/>
                <w:color w:val="000000"/>
              </w:rPr>
              <w:t>18^</w:t>
            </w:r>
          </w:p>
        </w:tc>
        <w:tc>
          <w:tcPr>
            <w:tcW w:w="879" w:type="dxa"/>
            <w:shd w:val="clear" w:color="auto" w:fill="auto"/>
          </w:tcPr>
          <w:p w14:paraId="16A7EE07" w14:textId="034B1C23" w:rsidR="009A7EC3" w:rsidRPr="00DE25AD" w:rsidRDefault="009A7EC3" w:rsidP="009A7EC3">
            <w:pPr>
              <w:pStyle w:val="ASSADACCESStablecentre"/>
            </w:pPr>
            <w:r w:rsidRPr="002E5727">
              <w:rPr>
                <w:bCs w:val="0"/>
                <w:color w:val="000000"/>
              </w:rPr>
              <w:t>18^</w:t>
            </w:r>
          </w:p>
        </w:tc>
      </w:tr>
      <w:tr w:rsidR="009A7EC3" w:rsidRPr="00DE25AD" w14:paraId="5FE1F9B9" w14:textId="77777777" w:rsidTr="005C5B03">
        <w:tc>
          <w:tcPr>
            <w:tcW w:w="1517" w:type="dxa"/>
            <w:tcMar>
              <w:left w:w="57" w:type="dxa"/>
            </w:tcMar>
          </w:tcPr>
          <w:p w14:paraId="50EB3D2E" w14:textId="77777777" w:rsidR="009A7EC3" w:rsidRPr="00DE25AD" w:rsidRDefault="009A7EC3" w:rsidP="009A7EC3">
            <w:pPr>
              <w:pStyle w:val="ACCESSTableHeaderRow"/>
            </w:pPr>
          </w:p>
        </w:tc>
        <w:tc>
          <w:tcPr>
            <w:tcW w:w="1068" w:type="dxa"/>
            <w:shd w:val="clear" w:color="auto" w:fill="auto"/>
            <w:tcMar>
              <w:left w:w="57" w:type="dxa"/>
            </w:tcMar>
            <w:vAlign w:val="bottom"/>
          </w:tcPr>
          <w:p w14:paraId="6B96E839" w14:textId="77777777" w:rsidR="009A7EC3" w:rsidRPr="00DE25AD" w:rsidRDefault="009A7EC3" w:rsidP="009A7EC3">
            <w:pPr>
              <w:pStyle w:val="ASSAD2017ACCESSBody1"/>
            </w:pPr>
            <w:r w:rsidRPr="00DE25AD">
              <w:t>Female</w:t>
            </w:r>
          </w:p>
        </w:tc>
        <w:tc>
          <w:tcPr>
            <w:tcW w:w="878" w:type="dxa"/>
            <w:shd w:val="clear" w:color="auto" w:fill="auto"/>
          </w:tcPr>
          <w:p w14:paraId="1757BCBC" w14:textId="73831293" w:rsidR="009A7EC3" w:rsidRPr="00DE25AD" w:rsidRDefault="009A7EC3" w:rsidP="009A7EC3">
            <w:pPr>
              <w:pStyle w:val="ASSADACCESStablecentre"/>
            </w:pPr>
            <w:r w:rsidRPr="002E5727">
              <w:rPr>
                <w:bCs w:val="0"/>
                <w:color w:val="000000"/>
              </w:rPr>
              <w:t>57*</w:t>
            </w:r>
          </w:p>
        </w:tc>
        <w:tc>
          <w:tcPr>
            <w:tcW w:w="879" w:type="dxa"/>
            <w:shd w:val="clear" w:color="auto" w:fill="auto"/>
          </w:tcPr>
          <w:p w14:paraId="1BF02CAD" w14:textId="066C8386" w:rsidR="009A7EC3" w:rsidRPr="00DE25AD" w:rsidRDefault="009A7EC3" w:rsidP="009A7EC3">
            <w:pPr>
              <w:pStyle w:val="ASSADACCESStablecentre"/>
            </w:pPr>
            <w:r w:rsidRPr="002E5727">
              <w:rPr>
                <w:bCs w:val="0"/>
                <w:color w:val="000000"/>
              </w:rPr>
              <w:t>53*^</w:t>
            </w:r>
          </w:p>
        </w:tc>
        <w:tc>
          <w:tcPr>
            <w:tcW w:w="879" w:type="dxa"/>
            <w:shd w:val="clear" w:color="auto" w:fill="auto"/>
          </w:tcPr>
          <w:p w14:paraId="67EE9B0C" w14:textId="0BFE684D" w:rsidR="009A7EC3" w:rsidRPr="00DE25AD" w:rsidRDefault="009A7EC3" w:rsidP="009A7EC3">
            <w:pPr>
              <w:pStyle w:val="ASSADACCESStablecentre"/>
            </w:pPr>
            <w:r w:rsidRPr="002E5727">
              <w:rPr>
                <w:bCs w:val="0"/>
                <w:color w:val="000000"/>
              </w:rPr>
              <w:t>47*^</w:t>
            </w:r>
          </w:p>
        </w:tc>
        <w:tc>
          <w:tcPr>
            <w:tcW w:w="879" w:type="dxa"/>
            <w:shd w:val="clear" w:color="auto" w:fill="auto"/>
          </w:tcPr>
          <w:p w14:paraId="47BF1006" w14:textId="39F4036D" w:rsidR="009A7EC3" w:rsidRPr="00DE25AD" w:rsidRDefault="009A7EC3" w:rsidP="009A7EC3">
            <w:pPr>
              <w:pStyle w:val="ASSADACCESStablecentre"/>
            </w:pPr>
            <w:r w:rsidRPr="002E5727">
              <w:rPr>
                <w:bCs w:val="0"/>
                <w:color w:val="000000"/>
              </w:rPr>
              <w:t>35*^</w:t>
            </w:r>
          </w:p>
        </w:tc>
        <w:tc>
          <w:tcPr>
            <w:tcW w:w="879" w:type="dxa"/>
            <w:shd w:val="clear" w:color="auto" w:fill="auto"/>
          </w:tcPr>
          <w:p w14:paraId="07D688E7" w14:textId="613441F0" w:rsidR="009A7EC3" w:rsidRPr="00DE25AD" w:rsidRDefault="009A7EC3" w:rsidP="009A7EC3">
            <w:pPr>
              <w:pStyle w:val="ASSADACCESStablecentre"/>
            </w:pPr>
            <w:r w:rsidRPr="002E5727">
              <w:rPr>
                <w:bCs w:val="0"/>
                <w:color w:val="000000"/>
              </w:rPr>
              <w:t>27*^</w:t>
            </w:r>
          </w:p>
        </w:tc>
        <w:tc>
          <w:tcPr>
            <w:tcW w:w="879" w:type="dxa"/>
            <w:shd w:val="clear" w:color="auto" w:fill="auto"/>
          </w:tcPr>
          <w:p w14:paraId="4C4ECDC6" w14:textId="2CD2901F" w:rsidR="009A7EC3" w:rsidRPr="00DE25AD" w:rsidRDefault="009A7EC3" w:rsidP="009A7EC3">
            <w:pPr>
              <w:pStyle w:val="ASSADACCESStablecentre"/>
            </w:pPr>
            <w:r w:rsidRPr="002E5727">
              <w:rPr>
                <w:bCs w:val="0"/>
                <w:color w:val="000000"/>
              </w:rPr>
              <w:t>23*^</w:t>
            </w:r>
          </w:p>
        </w:tc>
        <w:tc>
          <w:tcPr>
            <w:tcW w:w="879" w:type="dxa"/>
            <w:shd w:val="clear" w:color="auto" w:fill="auto"/>
          </w:tcPr>
          <w:p w14:paraId="06390631" w14:textId="24EFB960" w:rsidR="009A7EC3" w:rsidRPr="00DE25AD" w:rsidRDefault="009A7EC3" w:rsidP="009A7EC3">
            <w:pPr>
              <w:pStyle w:val="ASSADACCESStablecentre"/>
            </w:pPr>
            <w:r w:rsidRPr="002E5727">
              <w:rPr>
                <w:bCs w:val="0"/>
                <w:color w:val="000000"/>
              </w:rPr>
              <w:t>20*^</w:t>
            </w:r>
          </w:p>
        </w:tc>
        <w:tc>
          <w:tcPr>
            <w:tcW w:w="879" w:type="dxa"/>
            <w:shd w:val="clear" w:color="auto" w:fill="auto"/>
          </w:tcPr>
          <w:p w14:paraId="54AF306F" w14:textId="1BA74FA0" w:rsidR="009A7EC3" w:rsidRPr="00DE25AD" w:rsidRDefault="009A7EC3" w:rsidP="009A7EC3">
            <w:pPr>
              <w:pStyle w:val="ASSADACCESStablecentre"/>
            </w:pPr>
            <w:r w:rsidRPr="002E5727">
              <w:rPr>
                <w:bCs w:val="0"/>
                <w:color w:val="000000"/>
              </w:rPr>
              <w:t>17^</w:t>
            </w:r>
          </w:p>
        </w:tc>
      </w:tr>
      <w:tr w:rsidR="009A7EC3" w:rsidRPr="00DE25AD" w14:paraId="4B7BFD71" w14:textId="77777777" w:rsidTr="005C5B03">
        <w:tc>
          <w:tcPr>
            <w:tcW w:w="1517" w:type="dxa"/>
            <w:tcMar>
              <w:left w:w="57" w:type="dxa"/>
            </w:tcMar>
          </w:tcPr>
          <w:p w14:paraId="7B362185" w14:textId="77777777" w:rsidR="009A7EC3" w:rsidRPr="00DE25AD" w:rsidRDefault="009A7EC3" w:rsidP="009A7EC3">
            <w:pPr>
              <w:pStyle w:val="ACCESSTableHeaderRow"/>
            </w:pPr>
          </w:p>
        </w:tc>
        <w:tc>
          <w:tcPr>
            <w:tcW w:w="1068" w:type="dxa"/>
            <w:shd w:val="clear" w:color="auto" w:fill="auto"/>
            <w:tcMar>
              <w:left w:w="57" w:type="dxa"/>
            </w:tcMar>
            <w:vAlign w:val="bottom"/>
          </w:tcPr>
          <w:p w14:paraId="66B0DA0F" w14:textId="77777777" w:rsidR="009A7EC3" w:rsidRPr="00DE25AD" w:rsidRDefault="009A7EC3" w:rsidP="009A7EC3">
            <w:pPr>
              <w:pStyle w:val="ASSAD2017ACCESSBody1"/>
            </w:pPr>
            <w:r w:rsidRPr="00DE25AD">
              <w:t>Total</w:t>
            </w:r>
          </w:p>
        </w:tc>
        <w:tc>
          <w:tcPr>
            <w:tcW w:w="878" w:type="dxa"/>
            <w:shd w:val="clear" w:color="auto" w:fill="auto"/>
          </w:tcPr>
          <w:p w14:paraId="29AA5D46" w14:textId="7CA665FE" w:rsidR="009A7EC3" w:rsidRPr="00DE25AD" w:rsidRDefault="009A7EC3" w:rsidP="009A7EC3">
            <w:pPr>
              <w:pStyle w:val="ASSADACCESStablecentre"/>
            </w:pPr>
            <w:r w:rsidRPr="002E5727">
              <w:rPr>
                <w:bCs w:val="0"/>
                <w:color w:val="000000"/>
              </w:rPr>
              <w:t>58*</w:t>
            </w:r>
          </w:p>
        </w:tc>
        <w:tc>
          <w:tcPr>
            <w:tcW w:w="879" w:type="dxa"/>
            <w:shd w:val="clear" w:color="auto" w:fill="auto"/>
          </w:tcPr>
          <w:p w14:paraId="07C90885" w14:textId="16A3BC4F" w:rsidR="009A7EC3" w:rsidRPr="00DE25AD" w:rsidRDefault="009A7EC3" w:rsidP="009A7EC3">
            <w:pPr>
              <w:pStyle w:val="ASSADACCESStablecentre"/>
            </w:pPr>
            <w:r w:rsidRPr="002E5727">
              <w:rPr>
                <w:bCs w:val="0"/>
                <w:color w:val="000000"/>
              </w:rPr>
              <w:t>53*^</w:t>
            </w:r>
          </w:p>
        </w:tc>
        <w:tc>
          <w:tcPr>
            <w:tcW w:w="879" w:type="dxa"/>
            <w:shd w:val="clear" w:color="auto" w:fill="auto"/>
          </w:tcPr>
          <w:p w14:paraId="465891BC" w14:textId="227BE011" w:rsidR="009A7EC3" w:rsidRPr="00DE25AD" w:rsidRDefault="009A7EC3" w:rsidP="009A7EC3">
            <w:pPr>
              <w:pStyle w:val="ASSADACCESStablecentre"/>
            </w:pPr>
            <w:r w:rsidRPr="002E5727">
              <w:rPr>
                <w:bCs w:val="0"/>
                <w:color w:val="000000"/>
              </w:rPr>
              <w:t>47*^</w:t>
            </w:r>
          </w:p>
        </w:tc>
        <w:tc>
          <w:tcPr>
            <w:tcW w:w="879" w:type="dxa"/>
            <w:shd w:val="clear" w:color="auto" w:fill="auto"/>
          </w:tcPr>
          <w:p w14:paraId="4EDBB4B5" w14:textId="054FBCF4" w:rsidR="009A7EC3" w:rsidRPr="00DE25AD" w:rsidRDefault="009A7EC3" w:rsidP="009A7EC3">
            <w:pPr>
              <w:pStyle w:val="ASSADACCESStablecentre"/>
            </w:pPr>
            <w:r w:rsidRPr="002E5727">
              <w:rPr>
                <w:bCs w:val="0"/>
                <w:color w:val="000000"/>
              </w:rPr>
              <w:t>35*^</w:t>
            </w:r>
          </w:p>
        </w:tc>
        <w:tc>
          <w:tcPr>
            <w:tcW w:w="879" w:type="dxa"/>
            <w:shd w:val="clear" w:color="auto" w:fill="auto"/>
          </w:tcPr>
          <w:p w14:paraId="5DB074AB" w14:textId="5F1088C6" w:rsidR="009A7EC3" w:rsidRPr="00DE25AD" w:rsidRDefault="009A7EC3" w:rsidP="009A7EC3">
            <w:pPr>
              <w:pStyle w:val="ASSADACCESStablecentre"/>
            </w:pPr>
            <w:r w:rsidRPr="002E5727">
              <w:rPr>
                <w:bCs w:val="0"/>
                <w:color w:val="000000"/>
              </w:rPr>
              <w:t>27*^</w:t>
            </w:r>
          </w:p>
        </w:tc>
        <w:tc>
          <w:tcPr>
            <w:tcW w:w="879" w:type="dxa"/>
            <w:shd w:val="clear" w:color="auto" w:fill="auto"/>
          </w:tcPr>
          <w:p w14:paraId="5578BA0F" w14:textId="185BED3F" w:rsidR="009A7EC3" w:rsidRPr="00DE25AD" w:rsidRDefault="009A7EC3" w:rsidP="009A7EC3">
            <w:pPr>
              <w:pStyle w:val="ASSADACCESStablecentre"/>
            </w:pPr>
            <w:r w:rsidRPr="002E5727">
              <w:rPr>
                <w:bCs w:val="0"/>
                <w:color w:val="000000"/>
              </w:rPr>
              <w:t>23*^</w:t>
            </w:r>
          </w:p>
        </w:tc>
        <w:tc>
          <w:tcPr>
            <w:tcW w:w="879" w:type="dxa"/>
            <w:shd w:val="clear" w:color="auto" w:fill="auto"/>
          </w:tcPr>
          <w:p w14:paraId="1386A78B" w14:textId="19A95125" w:rsidR="009A7EC3" w:rsidRPr="00DE25AD" w:rsidRDefault="009A7EC3" w:rsidP="009A7EC3">
            <w:pPr>
              <w:pStyle w:val="ASSADACCESStablecentre"/>
            </w:pPr>
            <w:r w:rsidRPr="002E5727">
              <w:rPr>
                <w:bCs w:val="0"/>
                <w:color w:val="000000"/>
              </w:rPr>
              <w:t>19^</w:t>
            </w:r>
          </w:p>
        </w:tc>
        <w:tc>
          <w:tcPr>
            <w:tcW w:w="879" w:type="dxa"/>
            <w:shd w:val="clear" w:color="auto" w:fill="auto"/>
          </w:tcPr>
          <w:p w14:paraId="2FD64E06" w14:textId="0F9AC851" w:rsidR="009A7EC3" w:rsidRPr="00DE25AD" w:rsidRDefault="009A7EC3" w:rsidP="009A7EC3">
            <w:pPr>
              <w:pStyle w:val="ASSADACCESStablecentre"/>
            </w:pPr>
            <w:r w:rsidRPr="002E5727">
              <w:rPr>
                <w:bCs w:val="0"/>
                <w:color w:val="000000"/>
              </w:rPr>
              <w:t>18^</w:t>
            </w:r>
          </w:p>
        </w:tc>
      </w:tr>
      <w:tr w:rsidR="009A7EC3" w:rsidRPr="00DE25AD" w14:paraId="1525CBE7" w14:textId="77777777" w:rsidTr="00545FF4">
        <w:tc>
          <w:tcPr>
            <w:tcW w:w="1517" w:type="dxa"/>
            <w:tcMar>
              <w:left w:w="57" w:type="dxa"/>
            </w:tcMar>
          </w:tcPr>
          <w:p w14:paraId="6EB6B9E8"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7306DBA9" w14:textId="77777777" w:rsidR="009A7EC3" w:rsidRPr="00DE25AD" w:rsidRDefault="009A7EC3" w:rsidP="009A7EC3">
            <w:pPr>
              <w:pStyle w:val="ASSAD2017ACCESSBody1"/>
            </w:pPr>
            <w:r w:rsidRPr="00DE25AD">
              <w:t>Male</w:t>
            </w:r>
          </w:p>
        </w:tc>
        <w:tc>
          <w:tcPr>
            <w:tcW w:w="878" w:type="dxa"/>
            <w:shd w:val="clear" w:color="auto" w:fill="auto"/>
          </w:tcPr>
          <w:p w14:paraId="6925CF43" w14:textId="40039707" w:rsidR="009A7EC3" w:rsidRPr="00DE25AD" w:rsidRDefault="009A7EC3" w:rsidP="009A7EC3">
            <w:pPr>
              <w:pStyle w:val="ASSADACCESStablecentre"/>
            </w:pPr>
            <w:r w:rsidRPr="002E5727">
              <w:rPr>
                <w:bCs w:val="0"/>
                <w:color w:val="000000"/>
              </w:rPr>
              <w:t>39*</w:t>
            </w:r>
          </w:p>
        </w:tc>
        <w:tc>
          <w:tcPr>
            <w:tcW w:w="879" w:type="dxa"/>
            <w:shd w:val="clear" w:color="auto" w:fill="auto"/>
          </w:tcPr>
          <w:p w14:paraId="6A8D3AB1" w14:textId="64C5CBF2" w:rsidR="009A7EC3" w:rsidRPr="00DE25AD" w:rsidRDefault="009A7EC3" w:rsidP="009A7EC3">
            <w:pPr>
              <w:pStyle w:val="ASSADACCESStablecentre"/>
            </w:pPr>
            <w:r w:rsidRPr="002E5727">
              <w:rPr>
                <w:bCs w:val="0"/>
                <w:color w:val="000000"/>
              </w:rPr>
              <w:t>36*^</w:t>
            </w:r>
          </w:p>
        </w:tc>
        <w:tc>
          <w:tcPr>
            <w:tcW w:w="879" w:type="dxa"/>
            <w:shd w:val="clear" w:color="auto" w:fill="auto"/>
          </w:tcPr>
          <w:p w14:paraId="47119415" w14:textId="132DEC0B" w:rsidR="009A7EC3" w:rsidRPr="00DE25AD" w:rsidRDefault="009A7EC3" w:rsidP="009A7EC3">
            <w:pPr>
              <w:pStyle w:val="ASSADACCESStablecentre"/>
            </w:pPr>
            <w:r w:rsidRPr="002E5727">
              <w:rPr>
                <w:bCs w:val="0"/>
                <w:color w:val="000000"/>
              </w:rPr>
              <w:t>28*^</w:t>
            </w:r>
          </w:p>
        </w:tc>
        <w:tc>
          <w:tcPr>
            <w:tcW w:w="879" w:type="dxa"/>
            <w:shd w:val="clear" w:color="auto" w:fill="auto"/>
          </w:tcPr>
          <w:p w14:paraId="086AC62B" w14:textId="63C50F67" w:rsidR="009A7EC3" w:rsidRPr="00DE25AD" w:rsidRDefault="009A7EC3" w:rsidP="009A7EC3">
            <w:pPr>
              <w:pStyle w:val="ASSADACCESStablecentre"/>
            </w:pPr>
            <w:r w:rsidRPr="002E5727">
              <w:rPr>
                <w:bCs w:val="0"/>
                <w:color w:val="000000"/>
              </w:rPr>
              <w:t>21*^</w:t>
            </w:r>
          </w:p>
        </w:tc>
        <w:tc>
          <w:tcPr>
            <w:tcW w:w="879" w:type="dxa"/>
            <w:shd w:val="clear" w:color="auto" w:fill="auto"/>
          </w:tcPr>
          <w:p w14:paraId="03411F9D" w14:textId="19ECBF1B" w:rsidR="009A7EC3" w:rsidRPr="00DE25AD" w:rsidRDefault="009A7EC3" w:rsidP="009A7EC3">
            <w:pPr>
              <w:pStyle w:val="ASSADACCESStablecentre"/>
            </w:pPr>
            <w:r w:rsidRPr="002E5727">
              <w:rPr>
                <w:bCs w:val="0"/>
                <w:color w:val="000000"/>
              </w:rPr>
              <w:t>17*^</w:t>
            </w:r>
          </w:p>
        </w:tc>
        <w:tc>
          <w:tcPr>
            <w:tcW w:w="879" w:type="dxa"/>
            <w:shd w:val="clear" w:color="auto" w:fill="auto"/>
          </w:tcPr>
          <w:p w14:paraId="74668227" w14:textId="2A6C3CBC" w:rsidR="009A7EC3" w:rsidRPr="00DE25AD" w:rsidRDefault="009A7EC3" w:rsidP="009A7EC3">
            <w:pPr>
              <w:pStyle w:val="ASSADACCESStablecentre"/>
            </w:pPr>
            <w:r w:rsidRPr="002E5727">
              <w:rPr>
                <w:bCs w:val="0"/>
                <w:color w:val="000000"/>
              </w:rPr>
              <w:t>16*^</w:t>
            </w:r>
          </w:p>
        </w:tc>
        <w:tc>
          <w:tcPr>
            <w:tcW w:w="879" w:type="dxa"/>
            <w:shd w:val="clear" w:color="auto" w:fill="auto"/>
          </w:tcPr>
          <w:p w14:paraId="1B9C1440" w14:textId="1562CE8B" w:rsidR="009A7EC3" w:rsidRPr="00DE25AD" w:rsidRDefault="009A7EC3" w:rsidP="009A7EC3">
            <w:pPr>
              <w:pStyle w:val="ASSADACCESStablecentre"/>
            </w:pPr>
            <w:r w:rsidRPr="002E5727">
              <w:rPr>
                <w:bCs w:val="0"/>
                <w:color w:val="000000"/>
              </w:rPr>
              <w:t>13^</w:t>
            </w:r>
          </w:p>
        </w:tc>
        <w:tc>
          <w:tcPr>
            <w:tcW w:w="879" w:type="dxa"/>
            <w:shd w:val="clear" w:color="auto" w:fill="auto"/>
          </w:tcPr>
          <w:p w14:paraId="4DC18C07" w14:textId="0A9A6099" w:rsidR="009A7EC3" w:rsidRPr="00DE25AD" w:rsidRDefault="009A7EC3" w:rsidP="009A7EC3">
            <w:pPr>
              <w:pStyle w:val="ASSADACCESStablecentre"/>
            </w:pPr>
            <w:r w:rsidRPr="002E5727">
              <w:rPr>
                <w:bCs w:val="0"/>
                <w:color w:val="000000"/>
              </w:rPr>
              <w:t>13^</w:t>
            </w:r>
          </w:p>
        </w:tc>
      </w:tr>
      <w:tr w:rsidR="009A7EC3" w:rsidRPr="00DE25AD" w14:paraId="1055D5CF" w14:textId="77777777" w:rsidTr="005C5B03">
        <w:tc>
          <w:tcPr>
            <w:tcW w:w="1517" w:type="dxa"/>
            <w:tcMar>
              <w:left w:w="57" w:type="dxa"/>
            </w:tcMar>
          </w:tcPr>
          <w:p w14:paraId="660C0AD9" w14:textId="77777777" w:rsidR="009A7EC3" w:rsidRPr="00DE25AD" w:rsidRDefault="009A7EC3" w:rsidP="009A7EC3">
            <w:pPr>
              <w:pStyle w:val="ACCESSTableHeaderRow"/>
            </w:pPr>
          </w:p>
        </w:tc>
        <w:tc>
          <w:tcPr>
            <w:tcW w:w="1068" w:type="dxa"/>
            <w:shd w:val="clear" w:color="auto" w:fill="auto"/>
            <w:tcMar>
              <w:left w:w="57" w:type="dxa"/>
            </w:tcMar>
            <w:vAlign w:val="bottom"/>
          </w:tcPr>
          <w:p w14:paraId="77090DEE" w14:textId="77777777" w:rsidR="009A7EC3" w:rsidRPr="00DE25AD" w:rsidRDefault="009A7EC3" w:rsidP="009A7EC3">
            <w:pPr>
              <w:pStyle w:val="ASSAD2017ACCESSBody1"/>
            </w:pPr>
            <w:r w:rsidRPr="00DE25AD">
              <w:t>Female</w:t>
            </w:r>
          </w:p>
        </w:tc>
        <w:tc>
          <w:tcPr>
            <w:tcW w:w="878" w:type="dxa"/>
            <w:shd w:val="clear" w:color="auto" w:fill="auto"/>
          </w:tcPr>
          <w:p w14:paraId="31686144" w14:textId="5F78869A" w:rsidR="009A7EC3" w:rsidRPr="00DE25AD" w:rsidRDefault="009A7EC3" w:rsidP="009A7EC3">
            <w:pPr>
              <w:pStyle w:val="ASSADACCESStablecentre"/>
            </w:pPr>
            <w:r w:rsidRPr="002E5727">
              <w:rPr>
                <w:bCs w:val="0"/>
                <w:color w:val="000000"/>
              </w:rPr>
              <w:t>41*</w:t>
            </w:r>
          </w:p>
        </w:tc>
        <w:tc>
          <w:tcPr>
            <w:tcW w:w="879" w:type="dxa"/>
            <w:shd w:val="clear" w:color="auto" w:fill="auto"/>
          </w:tcPr>
          <w:p w14:paraId="0C6846A5" w14:textId="2DD0A48D" w:rsidR="009A7EC3" w:rsidRPr="00DE25AD" w:rsidRDefault="009A7EC3" w:rsidP="009A7EC3">
            <w:pPr>
              <w:pStyle w:val="ASSADACCESStablecentre"/>
            </w:pPr>
            <w:r w:rsidRPr="002E5727">
              <w:rPr>
                <w:bCs w:val="0"/>
                <w:color w:val="000000"/>
              </w:rPr>
              <w:t>40*</w:t>
            </w:r>
          </w:p>
        </w:tc>
        <w:tc>
          <w:tcPr>
            <w:tcW w:w="879" w:type="dxa"/>
            <w:shd w:val="clear" w:color="auto" w:fill="auto"/>
          </w:tcPr>
          <w:p w14:paraId="176AF2B9" w14:textId="38459090" w:rsidR="009A7EC3" w:rsidRPr="00DE25AD" w:rsidRDefault="009A7EC3" w:rsidP="009A7EC3">
            <w:pPr>
              <w:pStyle w:val="ASSADACCESStablecentre"/>
            </w:pPr>
            <w:r w:rsidRPr="002E5727">
              <w:rPr>
                <w:bCs w:val="0"/>
                <w:color w:val="000000"/>
              </w:rPr>
              <w:t>32*^</w:t>
            </w:r>
          </w:p>
        </w:tc>
        <w:tc>
          <w:tcPr>
            <w:tcW w:w="879" w:type="dxa"/>
            <w:shd w:val="clear" w:color="auto" w:fill="auto"/>
          </w:tcPr>
          <w:p w14:paraId="7CEE6152" w14:textId="5FC7A7E5" w:rsidR="009A7EC3" w:rsidRPr="00DE25AD" w:rsidRDefault="009A7EC3" w:rsidP="009A7EC3">
            <w:pPr>
              <w:pStyle w:val="ASSADACCESStablecentre"/>
            </w:pPr>
            <w:r w:rsidRPr="002E5727">
              <w:rPr>
                <w:bCs w:val="0"/>
                <w:color w:val="000000"/>
              </w:rPr>
              <w:t>24*^</w:t>
            </w:r>
          </w:p>
        </w:tc>
        <w:tc>
          <w:tcPr>
            <w:tcW w:w="879" w:type="dxa"/>
            <w:shd w:val="clear" w:color="auto" w:fill="auto"/>
          </w:tcPr>
          <w:p w14:paraId="601876E1" w14:textId="0980F641" w:rsidR="009A7EC3" w:rsidRPr="00DE25AD" w:rsidRDefault="009A7EC3" w:rsidP="009A7EC3">
            <w:pPr>
              <w:pStyle w:val="ASSADACCESStablecentre"/>
            </w:pPr>
            <w:r w:rsidRPr="002E5727">
              <w:rPr>
                <w:bCs w:val="0"/>
                <w:color w:val="000000"/>
              </w:rPr>
              <w:t>19*^</w:t>
            </w:r>
          </w:p>
        </w:tc>
        <w:tc>
          <w:tcPr>
            <w:tcW w:w="879" w:type="dxa"/>
            <w:shd w:val="clear" w:color="auto" w:fill="auto"/>
          </w:tcPr>
          <w:p w14:paraId="25958BC1" w14:textId="3373CAF8" w:rsidR="009A7EC3" w:rsidRPr="00DE25AD" w:rsidRDefault="009A7EC3" w:rsidP="009A7EC3">
            <w:pPr>
              <w:pStyle w:val="ASSADACCESStablecentre"/>
            </w:pPr>
            <w:r w:rsidRPr="002E5727">
              <w:rPr>
                <w:bCs w:val="0"/>
                <w:color w:val="000000"/>
              </w:rPr>
              <w:t>16*^</w:t>
            </w:r>
          </w:p>
        </w:tc>
        <w:tc>
          <w:tcPr>
            <w:tcW w:w="879" w:type="dxa"/>
            <w:shd w:val="clear" w:color="auto" w:fill="auto"/>
          </w:tcPr>
          <w:p w14:paraId="751F21CF" w14:textId="7C3E5E23" w:rsidR="009A7EC3" w:rsidRPr="00DE25AD" w:rsidRDefault="009A7EC3" w:rsidP="009A7EC3">
            <w:pPr>
              <w:pStyle w:val="ASSADACCESStablecentre"/>
            </w:pPr>
            <w:r w:rsidRPr="002E5727">
              <w:rPr>
                <w:bCs w:val="0"/>
                <w:color w:val="000000"/>
              </w:rPr>
              <w:t>15^</w:t>
            </w:r>
          </w:p>
        </w:tc>
        <w:tc>
          <w:tcPr>
            <w:tcW w:w="879" w:type="dxa"/>
            <w:shd w:val="clear" w:color="auto" w:fill="auto"/>
          </w:tcPr>
          <w:p w14:paraId="4660F2F7" w14:textId="7FAE60F1" w:rsidR="009A7EC3" w:rsidRPr="00DE25AD" w:rsidRDefault="009A7EC3" w:rsidP="009A7EC3">
            <w:pPr>
              <w:pStyle w:val="ASSADACCESStablecentre"/>
            </w:pPr>
            <w:r w:rsidRPr="002E5727">
              <w:rPr>
                <w:bCs w:val="0"/>
                <w:color w:val="000000"/>
              </w:rPr>
              <w:t>13^</w:t>
            </w:r>
          </w:p>
        </w:tc>
      </w:tr>
      <w:tr w:rsidR="009A7EC3" w:rsidRPr="00DE25AD" w14:paraId="10CECFD2" w14:textId="77777777" w:rsidTr="005C5B03">
        <w:tc>
          <w:tcPr>
            <w:tcW w:w="1517" w:type="dxa"/>
            <w:tcMar>
              <w:left w:w="57" w:type="dxa"/>
            </w:tcMar>
          </w:tcPr>
          <w:p w14:paraId="47F82524" w14:textId="77777777" w:rsidR="009A7EC3" w:rsidRPr="00DE25AD" w:rsidRDefault="009A7EC3" w:rsidP="009A7EC3">
            <w:pPr>
              <w:pStyle w:val="ACCESSTableHeaderRow"/>
            </w:pPr>
          </w:p>
        </w:tc>
        <w:tc>
          <w:tcPr>
            <w:tcW w:w="1068" w:type="dxa"/>
            <w:shd w:val="clear" w:color="auto" w:fill="auto"/>
            <w:tcMar>
              <w:left w:w="57" w:type="dxa"/>
            </w:tcMar>
            <w:vAlign w:val="bottom"/>
          </w:tcPr>
          <w:p w14:paraId="15B59FBC" w14:textId="77777777" w:rsidR="009A7EC3" w:rsidRPr="00DE25AD" w:rsidRDefault="009A7EC3" w:rsidP="009A7EC3">
            <w:pPr>
              <w:pStyle w:val="ASSAD2017ACCESSBody1"/>
            </w:pPr>
            <w:r w:rsidRPr="00DE25AD">
              <w:t>Total</w:t>
            </w:r>
          </w:p>
        </w:tc>
        <w:tc>
          <w:tcPr>
            <w:tcW w:w="878" w:type="dxa"/>
            <w:shd w:val="clear" w:color="auto" w:fill="auto"/>
          </w:tcPr>
          <w:p w14:paraId="73BDB7F9" w14:textId="5FCA040C" w:rsidR="009A7EC3" w:rsidRPr="00DE25AD" w:rsidRDefault="009A7EC3" w:rsidP="009A7EC3">
            <w:pPr>
              <w:pStyle w:val="ASSADACCESStablecentre"/>
            </w:pPr>
            <w:r w:rsidRPr="002E5727">
              <w:rPr>
                <w:bCs w:val="0"/>
                <w:color w:val="000000"/>
              </w:rPr>
              <w:t>40*</w:t>
            </w:r>
          </w:p>
        </w:tc>
        <w:tc>
          <w:tcPr>
            <w:tcW w:w="879" w:type="dxa"/>
            <w:shd w:val="clear" w:color="auto" w:fill="auto"/>
          </w:tcPr>
          <w:p w14:paraId="5047D300" w14:textId="640A1BFF" w:rsidR="009A7EC3" w:rsidRPr="00DE25AD" w:rsidRDefault="009A7EC3" w:rsidP="009A7EC3">
            <w:pPr>
              <w:pStyle w:val="ASSADACCESStablecentre"/>
            </w:pPr>
            <w:r w:rsidRPr="002E5727">
              <w:rPr>
                <w:bCs w:val="0"/>
                <w:color w:val="000000"/>
              </w:rPr>
              <w:t>38*^</w:t>
            </w:r>
          </w:p>
        </w:tc>
        <w:tc>
          <w:tcPr>
            <w:tcW w:w="879" w:type="dxa"/>
            <w:shd w:val="clear" w:color="auto" w:fill="auto"/>
          </w:tcPr>
          <w:p w14:paraId="6E769777" w14:textId="72E0E518" w:rsidR="009A7EC3" w:rsidRPr="00DE25AD" w:rsidRDefault="009A7EC3" w:rsidP="009A7EC3">
            <w:pPr>
              <w:pStyle w:val="ASSADACCESStablecentre"/>
            </w:pPr>
            <w:r w:rsidRPr="002E5727">
              <w:rPr>
                <w:bCs w:val="0"/>
                <w:color w:val="000000"/>
              </w:rPr>
              <w:t>30*^</w:t>
            </w:r>
          </w:p>
        </w:tc>
        <w:tc>
          <w:tcPr>
            <w:tcW w:w="879" w:type="dxa"/>
            <w:shd w:val="clear" w:color="auto" w:fill="auto"/>
          </w:tcPr>
          <w:p w14:paraId="569DA2B8" w14:textId="38C1B34B" w:rsidR="009A7EC3" w:rsidRPr="00DE25AD" w:rsidRDefault="009A7EC3" w:rsidP="009A7EC3">
            <w:pPr>
              <w:pStyle w:val="ASSADACCESStablecentre"/>
            </w:pPr>
            <w:r w:rsidRPr="002E5727">
              <w:rPr>
                <w:bCs w:val="0"/>
                <w:color w:val="000000"/>
              </w:rPr>
              <w:t>2</w:t>
            </w:r>
            <w:r>
              <w:rPr>
                <w:bCs w:val="0"/>
                <w:color w:val="000000"/>
              </w:rPr>
              <w:t>2</w:t>
            </w:r>
            <w:r w:rsidRPr="002E5727">
              <w:rPr>
                <w:bCs w:val="0"/>
                <w:color w:val="000000"/>
              </w:rPr>
              <w:t>*^</w:t>
            </w:r>
          </w:p>
        </w:tc>
        <w:tc>
          <w:tcPr>
            <w:tcW w:w="879" w:type="dxa"/>
            <w:shd w:val="clear" w:color="auto" w:fill="auto"/>
          </w:tcPr>
          <w:p w14:paraId="78785BA9" w14:textId="7A081B89" w:rsidR="009A7EC3" w:rsidRPr="00DE25AD" w:rsidRDefault="009A7EC3" w:rsidP="009A7EC3">
            <w:pPr>
              <w:pStyle w:val="ASSADACCESStablecentre"/>
            </w:pPr>
            <w:r w:rsidRPr="002E5727">
              <w:rPr>
                <w:bCs w:val="0"/>
                <w:color w:val="000000"/>
              </w:rPr>
              <w:t>18*^</w:t>
            </w:r>
          </w:p>
        </w:tc>
        <w:tc>
          <w:tcPr>
            <w:tcW w:w="879" w:type="dxa"/>
            <w:shd w:val="clear" w:color="auto" w:fill="auto"/>
          </w:tcPr>
          <w:p w14:paraId="3C615509" w14:textId="24154810" w:rsidR="009A7EC3" w:rsidRPr="00DE25AD" w:rsidRDefault="009A7EC3" w:rsidP="009A7EC3">
            <w:pPr>
              <w:pStyle w:val="ASSADACCESStablecentre"/>
            </w:pPr>
            <w:r w:rsidRPr="002E5727">
              <w:rPr>
                <w:bCs w:val="0"/>
                <w:color w:val="000000"/>
              </w:rPr>
              <w:t>16*^</w:t>
            </w:r>
          </w:p>
        </w:tc>
        <w:tc>
          <w:tcPr>
            <w:tcW w:w="879" w:type="dxa"/>
            <w:shd w:val="clear" w:color="auto" w:fill="auto"/>
          </w:tcPr>
          <w:p w14:paraId="7D0810CF" w14:textId="5F7A59DD" w:rsidR="009A7EC3" w:rsidRPr="00DE25AD" w:rsidRDefault="009A7EC3" w:rsidP="009A7EC3">
            <w:pPr>
              <w:pStyle w:val="ASSADACCESStablecentre"/>
            </w:pPr>
            <w:r w:rsidRPr="002E5727">
              <w:rPr>
                <w:bCs w:val="0"/>
                <w:color w:val="000000"/>
              </w:rPr>
              <w:t>14^</w:t>
            </w:r>
          </w:p>
        </w:tc>
        <w:tc>
          <w:tcPr>
            <w:tcW w:w="879" w:type="dxa"/>
            <w:shd w:val="clear" w:color="auto" w:fill="auto"/>
          </w:tcPr>
          <w:p w14:paraId="3979CD89" w14:textId="73D65B22" w:rsidR="009A7EC3" w:rsidRPr="00DE25AD" w:rsidRDefault="009A7EC3" w:rsidP="009A7EC3">
            <w:pPr>
              <w:pStyle w:val="ASSADACCESStablecentre"/>
            </w:pPr>
            <w:r w:rsidRPr="002E5727">
              <w:rPr>
                <w:bCs w:val="0"/>
                <w:color w:val="000000"/>
              </w:rPr>
              <w:t>13^</w:t>
            </w:r>
          </w:p>
        </w:tc>
      </w:tr>
      <w:tr w:rsidR="009A7EC3" w:rsidRPr="00DE25AD" w14:paraId="45C68236" w14:textId="77777777" w:rsidTr="005C5B03">
        <w:tc>
          <w:tcPr>
            <w:tcW w:w="1517" w:type="dxa"/>
            <w:tcMar>
              <w:left w:w="57" w:type="dxa"/>
            </w:tcMar>
          </w:tcPr>
          <w:p w14:paraId="690776F7"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5E6BCD1A" w14:textId="77777777" w:rsidR="009A7EC3" w:rsidRPr="00DE25AD" w:rsidRDefault="009A7EC3" w:rsidP="009A7EC3">
            <w:pPr>
              <w:pStyle w:val="ASSAD2017ACCESSBody1"/>
            </w:pPr>
            <w:r w:rsidRPr="00DE25AD">
              <w:t>Male</w:t>
            </w:r>
          </w:p>
        </w:tc>
        <w:tc>
          <w:tcPr>
            <w:tcW w:w="878" w:type="dxa"/>
            <w:shd w:val="clear" w:color="auto" w:fill="auto"/>
          </w:tcPr>
          <w:p w14:paraId="68A84372" w14:textId="01731E1E" w:rsidR="009A7EC3" w:rsidRPr="00DE25AD" w:rsidRDefault="009A7EC3" w:rsidP="009A7EC3">
            <w:pPr>
              <w:pStyle w:val="ASSADACCESStablecentre"/>
            </w:pPr>
            <w:r w:rsidRPr="002E5727">
              <w:rPr>
                <w:bCs w:val="0"/>
                <w:color w:val="000000"/>
              </w:rPr>
              <w:t>24*</w:t>
            </w:r>
          </w:p>
        </w:tc>
        <w:tc>
          <w:tcPr>
            <w:tcW w:w="879" w:type="dxa"/>
            <w:shd w:val="clear" w:color="auto" w:fill="auto"/>
          </w:tcPr>
          <w:p w14:paraId="1A3066ED" w14:textId="385714A1" w:rsidR="009A7EC3" w:rsidRPr="00DE25AD" w:rsidRDefault="009A7EC3" w:rsidP="009A7EC3">
            <w:pPr>
              <w:pStyle w:val="ASSADACCESStablecentre"/>
            </w:pPr>
            <w:r w:rsidRPr="002E5727">
              <w:rPr>
                <w:bCs w:val="0"/>
                <w:color w:val="000000"/>
              </w:rPr>
              <w:t>22*</w:t>
            </w:r>
          </w:p>
        </w:tc>
        <w:tc>
          <w:tcPr>
            <w:tcW w:w="879" w:type="dxa"/>
            <w:shd w:val="clear" w:color="auto" w:fill="auto"/>
          </w:tcPr>
          <w:p w14:paraId="4DE944E6" w14:textId="7FBF3303" w:rsidR="009A7EC3" w:rsidRPr="00DE25AD" w:rsidRDefault="009A7EC3" w:rsidP="009A7EC3">
            <w:pPr>
              <w:pStyle w:val="ASSADACCESStablecentre"/>
            </w:pPr>
            <w:r w:rsidRPr="002E5727">
              <w:rPr>
                <w:bCs w:val="0"/>
                <w:color w:val="000000"/>
              </w:rPr>
              <w:t>16*^</w:t>
            </w:r>
          </w:p>
        </w:tc>
        <w:tc>
          <w:tcPr>
            <w:tcW w:w="879" w:type="dxa"/>
            <w:shd w:val="clear" w:color="auto" w:fill="auto"/>
          </w:tcPr>
          <w:p w14:paraId="09050B3E" w14:textId="6514ED2E" w:rsidR="009A7EC3" w:rsidRPr="00DE25AD" w:rsidRDefault="009A7EC3" w:rsidP="009A7EC3">
            <w:pPr>
              <w:pStyle w:val="ASSADACCESStablecentre"/>
            </w:pPr>
            <w:r w:rsidRPr="002E5727">
              <w:rPr>
                <w:bCs w:val="0"/>
                <w:color w:val="000000"/>
              </w:rPr>
              <w:t>12*^</w:t>
            </w:r>
          </w:p>
        </w:tc>
        <w:tc>
          <w:tcPr>
            <w:tcW w:w="879" w:type="dxa"/>
            <w:shd w:val="clear" w:color="auto" w:fill="auto"/>
          </w:tcPr>
          <w:p w14:paraId="218CFB47" w14:textId="6EDBD78C" w:rsidR="009A7EC3" w:rsidRPr="00DE25AD" w:rsidRDefault="009A7EC3" w:rsidP="009A7EC3">
            <w:pPr>
              <w:pStyle w:val="ASSADACCESStablecentre"/>
            </w:pPr>
            <w:r w:rsidRPr="002E5727">
              <w:rPr>
                <w:bCs w:val="0"/>
                <w:color w:val="000000"/>
              </w:rPr>
              <w:t>10*^</w:t>
            </w:r>
          </w:p>
        </w:tc>
        <w:tc>
          <w:tcPr>
            <w:tcW w:w="879" w:type="dxa"/>
            <w:shd w:val="clear" w:color="auto" w:fill="auto"/>
          </w:tcPr>
          <w:p w14:paraId="38909DA6" w14:textId="02E90DE6" w:rsidR="009A7EC3" w:rsidRPr="00DE25AD" w:rsidRDefault="009A7EC3" w:rsidP="009A7EC3">
            <w:pPr>
              <w:pStyle w:val="ASSADACCESStablecentre"/>
            </w:pPr>
            <w:r w:rsidRPr="002E5727">
              <w:rPr>
                <w:bCs w:val="0"/>
                <w:color w:val="000000"/>
              </w:rPr>
              <w:t>9^</w:t>
            </w:r>
          </w:p>
        </w:tc>
        <w:tc>
          <w:tcPr>
            <w:tcW w:w="879" w:type="dxa"/>
            <w:shd w:val="clear" w:color="auto" w:fill="auto"/>
          </w:tcPr>
          <w:p w14:paraId="1EFCAE64" w14:textId="41C6E3BB" w:rsidR="009A7EC3" w:rsidRPr="00DE25AD" w:rsidRDefault="009A7EC3" w:rsidP="009A7EC3">
            <w:pPr>
              <w:pStyle w:val="ASSADACCESStablecentre"/>
            </w:pPr>
            <w:r w:rsidRPr="002E5727">
              <w:rPr>
                <w:bCs w:val="0"/>
                <w:color w:val="000000"/>
              </w:rPr>
              <w:t>7^</w:t>
            </w:r>
          </w:p>
        </w:tc>
        <w:tc>
          <w:tcPr>
            <w:tcW w:w="879" w:type="dxa"/>
            <w:shd w:val="clear" w:color="auto" w:fill="auto"/>
          </w:tcPr>
          <w:p w14:paraId="5EBAF7EF" w14:textId="061B591A" w:rsidR="009A7EC3" w:rsidRPr="00DE25AD" w:rsidRDefault="009A7EC3" w:rsidP="009A7EC3">
            <w:pPr>
              <w:pStyle w:val="ASSADACCESStablecentre"/>
            </w:pPr>
            <w:r w:rsidRPr="002E5727">
              <w:rPr>
                <w:bCs w:val="0"/>
                <w:color w:val="000000"/>
              </w:rPr>
              <w:t>8^</w:t>
            </w:r>
          </w:p>
        </w:tc>
      </w:tr>
      <w:tr w:rsidR="009A7EC3" w:rsidRPr="00DE25AD" w14:paraId="3B0A7444" w14:textId="77777777" w:rsidTr="005C5B03">
        <w:tc>
          <w:tcPr>
            <w:tcW w:w="1517" w:type="dxa"/>
            <w:tcMar>
              <w:left w:w="57" w:type="dxa"/>
            </w:tcMar>
          </w:tcPr>
          <w:p w14:paraId="6B7E2B27" w14:textId="77777777" w:rsidR="009A7EC3" w:rsidRPr="00DE25AD" w:rsidRDefault="009A7EC3" w:rsidP="009A7EC3">
            <w:pPr>
              <w:pStyle w:val="ACCESSTableHeaderRow"/>
            </w:pPr>
          </w:p>
        </w:tc>
        <w:tc>
          <w:tcPr>
            <w:tcW w:w="1068" w:type="dxa"/>
            <w:shd w:val="clear" w:color="auto" w:fill="auto"/>
            <w:tcMar>
              <w:left w:w="57" w:type="dxa"/>
            </w:tcMar>
            <w:vAlign w:val="bottom"/>
          </w:tcPr>
          <w:p w14:paraId="624A79B1" w14:textId="77777777" w:rsidR="009A7EC3" w:rsidRPr="00DE25AD" w:rsidRDefault="009A7EC3" w:rsidP="009A7EC3">
            <w:pPr>
              <w:pStyle w:val="ASSAD2017ACCESSBody1"/>
            </w:pPr>
            <w:r w:rsidRPr="00DE25AD">
              <w:t>Female</w:t>
            </w:r>
          </w:p>
        </w:tc>
        <w:tc>
          <w:tcPr>
            <w:tcW w:w="878" w:type="dxa"/>
            <w:shd w:val="clear" w:color="auto" w:fill="auto"/>
          </w:tcPr>
          <w:p w14:paraId="5E2B6553" w14:textId="6235EE98" w:rsidR="009A7EC3" w:rsidRPr="00DE25AD" w:rsidRDefault="009A7EC3" w:rsidP="009A7EC3">
            <w:pPr>
              <w:pStyle w:val="ASSADACCESStablecentre"/>
            </w:pPr>
            <w:r w:rsidRPr="002E5727">
              <w:rPr>
                <w:bCs w:val="0"/>
                <w:color w:val="000000"/>
              </w:rPr>
              <w:t>26*</w:t>
            </w:r>
          </w:p>
        </w:tc>
        <w:tc>
          <w:tcPr>
            <w:tcW w:w="879" w:type="dxa"/>
            <w:shd w:val="clear" w:color="auto" w:fill="auto"/>
          </w:tcPr>
          <w:p w14:paraId="41DAFBD1" w14:textId="4A0F273E" w:rsidR="009A7EC3" w:rsidRPr="00DE25AD" w:rsidRDefault="009A7EC3" w:rsidP="009A7EC3">
            <w:pPr>
              <w:pStyle w:val="ASSADACCESStablecentre"/>
            </w:pPr>
            <w:r w:rsidRPr="002E5727">
              <w:rPr>
                <w:bCs w:val="0"/>
                <w:color w:val="000000"/>
              </w:rPr>
              <w:t>24*</w:t>
            </w:r>
          </w:p>
        </w:tc>
        <w:tc>
          <w:tcPr>
            <w:tcW w:w="879" w:type="dxa"/>
            <w:shd w:val="clear" w:color="auto" w:fill="auto"/>
          </w:tcPr>
          <w:p w14:paraId="08FB5287" w14:textId="42615030" w:rsidR="009A7EC3" w:rsidRPr="00DE25AD" w:rsidRDefault="009A7EC3" w:rsidP="009A7EC3">
            <w:pPr>
              <w:pStyle w:val="ASSADACCESStablecentre"/>
            </w:pPr>
            <w:r w:rsidRPr="002E5727">
              <w:rPr>
                <w:bCs w:val="0"/>
                <w:color w:val="000000"/>
              </w:rPr>
              <w:t>19*^</w:t>
            </w:r>
          </w:p>
        </w:tc>
        <w:tc>
          <w:tcPr>
            <w:tcW w:w="879" w:type="dxa"/>
            <w:shd w:val="clear" w:color="auto" w:fill="auto"/>
          </w:tcPr>
          <w:p w14:paraId="2C99B11A" w14:textId="2A4E1309" w:rsidR="009A7EC3" w:rsidRPr="00DE25AD" w:rsidRDefault="009A7EC3" w:rsidP="009A7EC3">
            <w:pPr>
              <w:pStyle w:val="ASSADACCESStablecentre"/>
            </w:pPr>
            <w:r w:rsidRPr="002E5727">
              <w:rPr>
                <w:bCs w:val="0"/>
                <w:color w:val="000000"/>
              </w:rPr>
              <w:t>13*^</w:t>
            </w:r>
          </w:p>
        </w:tc>
        <w:tc>
          <w:tcPr>
            <w:tcW w:w="879" w:type="dxa"/>
            <w:shd w:val="clear" w:color="auto" w:fill="auto"/>
          </w:tcPr>
          <w:p w14:paraId="1F2C04CB" w14:textId="103D12B2" w:rsidR="009A7EC3" w:rsidRPr="00DE25AD" w:rsidRDefault="009A7EC3" w:rsidP="009A7EC3">
            <w:pPr>
              <w:pStyle w:val="ASSADACCESStablecentre"/>
            </w:pPr>
            <w:r w:rsidRPr="002E5727">
              <w:rPr>
                <w:bCs w:val="0"/>
                <w:color w:val="000000"/>
              </w:rPr>
              <w:t>11*^</w:t>
            </w:r>
          </w:p>
        </w:tc>
        <w:tc>
          <w:tcPr>
            <w:tcW w:w="879" w:type="dxa"/>
            <w:shd w:val="clear" w:color="auto" w:fill="auto"/>
          </w:tcPr>
          <w:p w14:paraId="76C0AB1F" w14:textId="1202E2A6" w:rsidR="009A7EC3" w:rsidRPr="00DE25AD" w:rsidRDefault="009A7EC3" w:rsidP="009A7EC3">
            <w:pPr>
              <w:pStyle w:val="ASSADACCESStablecentre"/>
            </w:pPr>
            <w:r w:rsidRPr="002E5727">
              <w:rPr>
                <w:bCs w:val="0"/>
                <w:color w:val="000000"/>
              </w:rPr>
              <w:t>9*^</w:t>
            </w:r>
          </w:p>
        </w:tc>
        <w:tc>
          <w:tcPr>
            <w:tcW w:w="879" w:type="dxa"/>
            <w:shd w:val="clear" w:color="auto" w:fill="auto"/>
          </w:tcPr>
          <w:p w14:paraId="5871BA1F" w14:textId="13BDC5B0" w:rsidR="009A7EC3" w:rsidRPr="00DE25AD" w:rsidRDefault="009A7EC3" w:rsidP="009A7EC3">
            <w:pPr>
              <w:pStyle w:val="ASSADACCESStablecentre"/>
            </w:pPr>
            <w:r w:rsidRPr="002E5727">
              <w:rPr>
                <w:bCs w:val="0"/>
                <w:color w:val="000000"/>
              </w:rPr>
              <w:t>8^</w:t>
            </w:r>
          </w:p>
        </w:tc>
        <w:tc>
          <w:tcPr>
            <w:tcW w:w="879" w:type="dxa"/>
            <w:shd w:val="clear" w:color="auto" w:fill="auto"/>
          </w:tcPr>
          <w:p w14:paraId="1DFE2CD4" w14:textId="72559A12" w:rsidR="009A7EC3" w:rsidRPr="00DE25AD" w:rsidRDefault="009A7EC3" w:rsidP="009A7EC3">
            <w:pPr>
              <w:pStyle w:val="ASSADACCESStablecentre"/>
            </w:pPr>
            <w:r w:rsidRPr="002E5727">
              <w:rPr>
                <w:bCs w:val="0"/>
                <w:color w:val="000000"/>
              </w:rPr>
              <w:t>7^</w:t>
            </w:r>
          </w:p>
        </w:tc>
      </w:tr>
      <w:tr w:rsidR="009A7EC3" w:rsidRPr="00DE25AD" w14:paraId="7DB4866C" w14:textId="77777777" w:rsidTr="005C5B03">
        <w:tc>
          <w:tcPr>
            <w:tcW w:w="1517" w:type="dxa"/>
            <w:tcMar>
              <w:left w:w="57" w:type="dxa"/>
            </w:tcMar>
          </w:tcPr>
          <w:p w14:paraId="1B1B37D6" w14:textId="77777777" w:rsidR="009A7EC3" w:rsidRPr="00DE25AD" w:rsidRDefault="009A7EC3" w:rsidP="009A7EC3">
            <w:pPr>
              <w:pStyle w:val="ACCESSTableHeaderRow"/>
            </w:pPr>
          </w:p>
        </w:tc>
        <w:tc>
          <w:tcPr>
            <w:tcW w:w="1068" w:type="dxa"/>
            <w:shd w:val="clear" w:color="auto" w:fill="auto"/>
            <w:tcMar>
              <w:left w:w="57" w:type="dxa"/>
            </w:tcMar>
            <w:vAlign w:val="bottom"/>
          </w:tcPr>
          <w:p w14:paraId="7E39CC21" w14:textId="77777777" w:rsidR="009A7EC3" w:rsidRPr="00DE25AD" w:rsidRDefault="009A7EC3" w:rsidP="009A7EC3">
            <w:pPr>
              <w:pStyle w:val="ASSAD2017ACCESSBody1"/>
            </w:pPr>
            <w:r w:rsidRPr="00DE25AD">
              <w:t>Total</w:t>
            </w:r>
          </w:p>
        </w:tc>
        <w:tc>
          <w:tcPr>
            <w:tcW w:w="878" w:type="dxa"/>
            <w:shd w:val="clear" w:color="auto" w:fill="auto"/>
          </w:tcPr>
          <w:p w14:paraId="0A590175" w14:textId="59049A07" w:rsidR="009A7EC3" w:rsidRPr="00DE25AD" w:rsidRDefault="009A7EC3" w:rsidP="009A7EC3">
            <w:pPr>
              <w:pStyle w:val="ASSADACCESStablecentre"/>
            </w:pPr>
            <w:r w:rsidRPr="002E5727">
              <w:rPr>
                <w:bCs w:val="0"/>
                <w:color w:val="000000"/>
              </w:rPr>
              <w:t>25*</w:t>
            </w:r>
          </w:p>
        </w:tc>
        <w:tc>
          <w:tcPr>
            <w:tcW w:w="879" w:type="dxa"/>
            <w:shd w:val="clear" w:color="auto" w:fill="auto"/>
          </w:tcPr>
          <w:p w14:paraId="13999589" w14:textId="2095D131" w:rsidR="009A7EC3" w:rsidRPr="00DE25AD" w:rsidRDefault="009A7EC3" w:rsidP="009A7EC3">
            <w:pPr>
              <w:pStyle w:val="ASSADACCESStablecentre"/>
            </w:pPr>
            <w:r w:rsidRPr="002E5727">
              <w:rPr>
                <w:bCs w:val="0"/>
                <w:color w:val="000000"/>
              </w:rPr>
              <w:t>23*</w:t>
            </w:r>
          </w:p>
        </w:tc>
        <w:tc>
          <w:tcPr>
            <w:tcW w:w="879" w:type="dxa"/>
            <w:shd w:val="clear" w:color="auto" w:fill="auto"/>
          </w:tcPr>
          <w:p w14:paraId="060A6CCF" w14:textId="2E8705B1" w:rsidR="009A7EC3" w:rsidRPr="00DE25AD" w:rsidRDefault="009A7EC3" w:rsidP="009A7EC3">
            <w:pPr>
              <w:pStyle w:val="ASSADACCESStablecentre"/>
            </w:pPr>
            <w:r w:rsidRPr="002E5727">
              <w:rPr>
                <w:bCs w:val="0"/>
                <w:color w:val="000000"/>
              </w:rPr>
              <w:t>18*^</w:t>
            </w:r>
          </w:p>
        </w:tc>
        <w:tc>
          <w:tcPr>
            <w:tcW w:w="879" w:type="dxa"/>
            <w:shd w:val="clear" w:color="auto" w:fill="auto"/>
          </w:tcPr>
          <w:p w14:paraId="58FCF1FA" w14:textId="0CF21652" w:rsidR="009A7EC3" w:rsidRPr="00DE25AD" w:rsidRDefault="009A7EC3" w:rsidP="009A7EC3">
            <w:pPr>
              <w:pStyle w:val="ASSADACCESStablecentre"/>
            </w:pPr>
            <w:r w:rsidRPr="002E5727">
              <w:rPr>
                <w:bCs w:val="0"/>
                <w:color w:val="000000"/>
              </w:rPr>
              <w:t>13*^</w:t>
            </w:r>
          </w:p>
        </w:tc>
        <w:tc>
          <w:tcPr>
            <w:tcW w:w="879" w:type="dxa"/>
            <w:shd w:val="clear" w:color="auto" w:fill="auto"/>
          </w:tcPr>
          <w:p w14:paraId="7ADBE72C" w14:textId="3E4EF20D" w:rsidR="009A7EC3" w:rsidRPr="00DE25AD" w:rsidRDefault="009A7EC3" w:rsidP="009A7EC3">
            <w:pPr>
              <w:pStyle w:val="ASSADACCESStablecentre"/>
            </w:pPr>
            <w:r w:rsidRPr="002E5727">
              <w:rPr>
                <w:bCs w:val="0"/>
                <w:color w:val="000000"/>
              </w:rPr>
              <w:t>10*^</w:t>
            </w:r>
          </w:p>
        </w:tc>
        <w:tc>
          <w:tcPr>
            <w:tcW w:w="879" w:type="dxa"/>
            <w:shd w:val="clear" w:color="auto" w:fill="auto"/>
          </w:tcPr>
          <w:p w14:paraId="61407DA4" w14:textId="75A8A147" w:rsidR="009A7EC3" w:rsidRPr="00DE25AD" w:rsidRDefault="009A7EC3" w:rsidP="009A7EC3">
            <w:pPr>
              <w:pStyle w:val="ASSADACCESStablecentre"/>
            </w:pPr>
            <w:r w:rsidRPr="002E5727">
              <w:rPr>
                <w:bCs w:val="0"/>
                <w:color w:val="000000"/>
              </w:rPr>
              <w:t>9*^</w:t>
            </w:r>
          </w:p>
        </w:tc>
        <w:tc>
          <w:tcPr>
            <w:tcW w:w="879" w:type="dxa"/>
            <w:shd w:val="clear" w:color="auto" w:fill="auto"/>
          </w:tcPr>
          <w:p w14:paraId="0220E3C2" w14:textId="614028B6" w:rsidR="009A7EC3" w:rsidRPr="00DE25AD" w:rsidRDefault="009A7EC3" w:rsidP="009A7EC3">
            <w:pPr>
              <w:pStyle w:val="ASSADACCESStablecentre"/>
            </w:pPr>
            <w:r w:rsidRPr="002E5727">
              <w:rPr>
                <w:bCs w:val="0"/>
                <w:color w:val="000000"/>
              </w:rPr>
              <w:t>7^</w:t>
            </w:r>
          </w:p>
        </w:tc>
        <w:tc>
          <w:tcPr>
            <w:tcW w:w="879" w:type="dxa"/>
            <w:shd w:val="clear" w:color="auto" w:fill="auto"/>
          </w:tcPr>
          <w:p w14:paraId="42CE4186" w14:textId="7566BB23" w:rsidR="009A7EC3" w:rsidRPr="00DE25AD" w:rsidRDefault="009A7EC3" w:rsidP="009A7EC3">
            <w:pPr>
              <w:pStyle w:val="ASSADACCESStablecentre"/>
            </w:pPr>
            <w:r w:rsidRPr="002E5727">
              <w:rPr>
                <w:bCs w:val="0"/>
                <w:color w:val="000000"/>
              </w:rPr>
              <w:t>7^</w:t>
            </w:r>
          </w:p>
        </w:tc>
      </w:tr>
      <w:tr w:rsidR="009A7EC3" w:rsidRPr="00DE25AD" w14:paraId="3F5C1C63" w14:textId="77777777" w:rsidTr="005C5B03">
        <w:tc>
          <w:tcPr>
            <w:tcW w:w="1517" w:type="dxa"/>
            <w:tcMar>
              <w:left w:w="57" w:type="dxa"/>
            </w:tcMar>
          </w:tcPr>
          <w:p w14:paraId="1195DECA" w14:textId="77777777" w:rsidR="009A7EC3" w:rsidRPr="00DE25AD" w:rsidRDefault="009A7EC3" w:rsidP="009A7EC3">
            <w:pPr>
              <w:pStyle w:val="ACCESSTableHeaderRow"/>
            </w:pPr>
            <w:r>
              <w:t>Current</w:t>
            </w:r>
          </w:p>
        </w:tc>
        <w:tc>
          <w:tcPr>
            <w:tcW w:w="1068" w:type="dxa"/>
            <w:shd w:val="clear" w:color="auto" w:fill="auto"/>
            <w:tcMar>
              <w:left w:w="57" w:type="dxa"/>
            </w:tcMar>
            <w:vAlign w:val="bottom"/>
          </w:tcPr>
          <w:p w14:paraId="3D90A11B" w14:textId="77777777" w:rsidR="009A7EC3" w:rsidRPr="00DE25AD" w:rsidRDefault="009A7EC3" w:rsidP="009A7EC3">
            <w:pPr>
              <w:pStyle w:val="ASSAD2017ACCESSBody1"/>
            </w:pPr>
            <w:r w:rsidRPr="00DE25AD">
              <w:t>Male</w:t>
            </w:r>
          </w:p>
        </w:tc>
        <w:tc>
          <w:tcPr>
            <w:tcW w:w="878" w:type="dxa"/>
            <w:shd w:val="clear" w:color="auto" w:fill="auto"/>
          </w:tcPr>
          <w:p w14:paraId="70816BB6" w14:textId="01261293" w:rsidR="009A7EC3" w:rsidRPr="00DE25AD" w:rsidRDefault="009A7EC3" w:rsidP="009A7EC3">
            <w:pPr>
              <w:pStyle w:val="ASSADACCESStablecentre"/>
            </w:pPr>
            <w:r w:rsidRPr="002E5727">
              <w:rPr>
                <w:bCs w:val="0"/>
                <w:color w:val="000000"/>
              </w:rPr>
              <w:t>19*</w:t>
            </w:r>
          </w:p>
        </w:tc>
        <w:tc>
          <w:tcPr>
            <w:tcW w:w="879" w:type="dxa"/>
            <w:shd w:val="clear" w:color="auto" w:fill="auto"/>
          </w:tcPr>
          <w:p w14:paraId="300E1C54" w14:textId="2CA33166" w:rsidR="009A7EC3" w:rsidRPr="00DE25AD" w:rsidRDefault="009A7EC3" w:rsidP="009A7EC3">
            <w:pPr>
              <w:pStyle w:val="ASSADACCESStablecentre"/>
            </w:pPr>
            <w:r w:rsidRPr="002E5727">
              <w:rPr>
                <w:bCs w:val="0"/>
                <w:color w:val="000000"/>
              </w:rPr>
              <w:t>19*</w:t>
            </w:r>
          </w:p>
        </w:tc>
        <w:tc>
          <w:tcPr>
            <w:tcW w:w="879" w:type="dxa"/>
            <w:shd w:val="clear" w:color="auto" w:fill="auto"/>
          </w:tcPr>
          <w:p w14:paraId="28619C0F" w14:textId="0BAADF0A" w:rsidR="009A7EC3" w:rsidRPr="00DE25AD" w:rsidRDefault="009A7EC3" w:rsidP="009A7EC3">
            <w:pPr>
              <w:pStyle w:val="ASSADACCESStablecentre"/>
            </w:pPr>
            <w:r w:rsidRPr="002E5727">
              <w:rPr>
                <w:bCs w:val="0"/>
                <w:color w:val="000000"/>
              </w:rPr>
              <w:t>13*^</w:t>
            </w:r>
          </w:p>
        </w:tc>
        <w:tc>
          <w:tcPr>
            <w:tcW w:w="879" w:type="dxa"/>
            <w:shd w:val="clear" w:color="auto" w:fill="auto"/>
          </w:tcPr>
          <w:p w14:paraId="43ACA13F" w14:textId="353B3E77" w:rsidR="009A7EC3" w:rsidRPr="00DE25AD" w:rsidRDefault="009A7EC3" w:rsidP="009A7EC3">
            <w:pPr>
              <w:pStyle w:val="ASSADACCESStablecentre"/>
            </w:pPr>
            <w:r w:rsidRPr="002E5727">
              <w:rPr>
                <w:bCs w:val="0"/>
                <w:color w:val="000000"/>
              </w:rPr>
              <w:t>9*^</w:t>
            </w:r>
          </w:p>
        </w:tc>
        <w:tc>
          <w:tcPr>
            <w:tcW w:w="879" w:type="dxa"/>
            <w:shd w:val="clear" w:color="auto" w:fill="auto"/>
          </w:tcPr>
          <w:p w14:paraId="50B2D7C2" w14:textId="3CD8236D" w:rsidR="009A7EC3" w:rsidRPr="00DE25AD" w:rsidRDefault="009A7EC3" w:rsidP="009A7EC3">
            <w:pPr>
              <w:pStyle w:val="ASSADACCESStablecentre"/>
            </w:pPr>
            <w:r w:rsidRPr="002E5727">
              <w:rPr>
                <w:bCs w:val="0"/>
                <w:color w:val="000000"/>
              </w:rPr>
              <w:t>7*^</w:t>
            </w:r>
          </w:p>
        </w:tc>
        <w:tc>
          <w:tcPr>
            <w:tcW w:w="879" w:type="dxa"/>
            <w:shd w:val="clear" w:color="auto" w:fill="auto"/>
          </w:tcPr>
          <w:p w14:paraId="780C2090" w14:textId="4AD3D3AB" w:rsidR="009A7EC3" w:rsidRPr="00DE25AD" w:rsidRDefault="009A7EC3" w:rsidP="009A7EC3">
            <w:pPr>
              <w:pStyle w:val="ASSADACCESStablecentre"/>
            </w:pPr>
            <w:r w:rsidRPr="002E5727">
              <w:rPr>
                <w:bCs w:val="0"/>
                <w:color w:val="000000"/>
              </w:rPr>
              <w:t>7*^</w:t>
            </w:r>
          </w:p>
        </w:tc>
        <w:tc>
          <w:tcPr>
            <w:tcW w:w="879" w:type="dxa"/>
            <w:shd w:val="clear" w:color="auto" w:fill="auto"/>
          </w:tcPr>
          <w:p w14:paraId="044A3485" w14:textId="3B6C18CB" w:rsidR="009A7EC3" w:rsidRPr="00DE25AD" w:rsidRDefault="009A7EC3" w:rsidP="009A7EC3">
            <w:pPr>
              <w:pStyle w:val="ASSADACCESStablecentre"/>
            </w:pPr>
            <w:r w:rsidRPr="002E5727">
              <w:rPr>
                <w:bCs w:val="0"/>
                <w:color w:val="000000"/>
              </w:rPr>
              <w:t>5^</w:t>
            </w:r>
          </w:p>
        </w:tc>
        <w:tc>
          <w:tcPr>
            <w:tcW w:w="879" w:type="dxa"/>
            <w:shd w:val="clear" w:color="auto" w:fill="auto"/>
          </w:tcPr>
          <w:p w14:paraId="2DCD7DB4" w14:textId="3CFFFD23" w:rsidR="009A7EC3" w:rsidRPr="00DE25AD" w:rsidRDefault="009A7EC3" w:rsidP="009A7EC3">
            <w:pPr>
              <w:pStyle w:val="ASSADACCESStablecentre"/>
            </w:pPr>
            <w:r w:rsidRPr="002E5727">
              <w:rPr>
                <w:bCs w:val="0"/>
                <w:color w:val="000000"/>
              </w:rPr>
              <w:t>5^</w:t>
            </w:r>
          </w:p>
        </w:tc>
      </w:tr>
      <w:tr w:rsidR="009A7EC3" w:rsidRPr="00DE25AD" w14:paraId="5040CCD2" w14:textId="77777777" w:rsidTr="005C5B03">
        <w:tc>
          <w:tcPr>
            <w:tcW w:w="1517" w:type="dxa"/>
            <w:tcMar>
              <w:left w:w="57" w:type="dxa"/>
            </w:tcMar>
          </w:tcPr>
          <w:p w14:paraId="4BB9CC12" w14:textId="77777777" w:rsidR="009A7EC3" w:rsidRPr="00DE25AD" w:rsidRDefault="009A7EC3" w:rsidP="009A7EC3">
            <w:pPr>
              <w:pStyle w:val="ACCESSTableHeaderRow"/>
            </w:pPr>
          </w:p>
        </w:tc>
        <w:tc>
          <w:tcPr>
            <w:tcW w:w="1068" w:type="dxa"/>
            <w:shd w:val="clear" w:color="auto" w:fill="auto"/>
            <w:tcMar>
              <w:left w:w="57" w:type="dxa"/>
            </w:tcMar>
            <w:vAlign w:val="bottom"/>
          </w:tcPr>
          <w:p w14:paraId="31D69AAB" w14:textId="77777777" w:rsidR="009A7EC3" w:rsidRPr="00DE25AD" w:rsidRDefault="009A7EC3" w:rsidP="009A7EC3">
            <w:pPr>
              <w:pStyle w:val="ASSAD2017ACCESSBody1"/>
            </w:pPr>
            <w:r w:rsidRPr="00DE25AD">
              <w:t>Female</w:t>
            </w:r>
          </w:p>
        </w:tc>
        <w:tc>
          <w:tcPr>
            <w:tcW w:w="878" w:type="dxa"/>
            <w:shd w:val="clear" w:color="auto" w:fill="auto"/>
          </w:tcPr>
          <w:p w14:paraId="10F85A94" w14:textId="439EF5F1" w:rsidR="009A7EC3" w:rsidRPr="00DE25AD" w:rsidRDefault="009A7EC3" w:rsidP="009A7EC3">
            <w:pPr>
              <w:pStyle w:val="ASSADACCESStablecentre"/>
            </w:pPr>
            <w:r w:rsidRPr="002E5727">
              <w:rPr>
                <w:bCs w:val="0"/>
                <w:color w:val="000000"/>
              </w:rPr>
              <w:t>22*</w:t>
            </w:r>
          </w:p>
        </w:tc>
        <w:tc>
          <w:tcPr>
            <w:tcW w:w="879" w:type="dxa"/>
            <w:shd w:val="clear" w:color="auto" w:fill="auto"/>
          </w:tcPr>
          <w:p w14:paraId="22B7AC0B" w14:textId="444DEA4E" w:rsidR="009A7EC3" w:rsidRPr="00DE25AD" w:rsidRDefault="009A7EC3" w:rsidP="009A7EC3">
            <w:pPr>
              <w:pStyle w:val="ASSADACCESStablecentre"/>
            </w:pPr>
            <w:r w:rsidRPr="002E5727">
              <w:rPr>
                <w:bCs w:val="0"/>
                <w:color w:val="000000"/>
              </w:rPr>
              <w:t>20*^</w:t>
            </w:r>
          </w:p>
        </w:tc>
        <w:tc>
          <w:tcPr>
            <w:tcW w:w="879" w:type="dxa"/>
            <w:shd w:val="clear" w:color="auto" w:fill="auto"/>
          </w:tcPr>
          <w:p w14:paraId="7B4FF863" w14:textId="7C227E4F" w:rsidR="009A7EC3" w:rsidRPr="00DE25AD" w:rsidRDefault="009A7EC3" w:rsidP="009A7EC3">
            <w:pPr>
              <w:pStyle w:val="ASSADACCESStablecentre"/>
            </w:pPr>
            <w:r w:rsidRPr="002E5727">
              <w:rPr>
                <w:bCs w:val="0"/>
                <w:color w:val="000000"/>
              </w:rPr>
              <w:t>16*^</w:t>
            </w:r>
          </w:p>
        </w:tc>
        <w:tc>
          <w:tcPr>
            <w:tcW w:w="879" w:type="dxa"/>
            <w:shd w:val="clear" w:color="auto" w:fill="auto"/>
          </w:tcPr>
          <w:p w14:paraId="45F8D85D" w14:textId="5254A3F2" w:rsidR="009A7EC3" w:rsidRPr="00DE25AD" w:rsidRDefault="009A7EC3" w:rsidP="009A7EC3">
            <w:pPr>
              <w:pStyle w:val="ASSADACCESStablecentre"/>
            </w:pPr>
            <w:r w:rsidRPr="002E5727">
              <w:rPr>
                <w:bCs w:val="0"/>
                <w:color w:val="000000"/>
              </w:rPr>
              <w:t>10*^</w:t>
            </w:r>
          </w:p>
        </w:tc>
        <w:tc>
          <w:tcPr>
            <w:tcW w:w="879" w:type="dxa"/>
            <w:shd w:val="clear" w:color="auto" w:fill="auto"/>
          </w:tcPr>
          <w:p w14:paraId="76913EEC" w14:textId="14224F83" w:rsidR="009A7EC3" w:rsidRPr="00DE25AD" w:rsidRDefault="009A7EC3" w:rsidP="009A7EC3">
            <w:pPr>
              <w:pStyle w:val="ASSADACCESStablecentre"/>
            </w:pPr>
            <w:r w:rsidRPr="002E5727">
              <w:rPr>
                <w:bCs w:val="0"/>
                <w:color w:val="000000"/>
              </w:rPr>
              <w:t>8*^</w:t>
            </w:r>
          </w:p>
        </w:tc>
        <w:tc>
          <w:tcPr>
            <w:tcW w:w="879" w:type="dxa"/>
            <w:shd w:val="clear" w:color="auto" w:fill="auto"/>
          </w:tcPr>
          <w:p w14:paraId="3D27ED74" w14:textId="03510AD8" w:rsidR="009A7EC3" w:rsidRPr="00DE25AD" w:rsidRDefault="009A7EC3" w:rsidP="009A7EC3">
            <w:pPr>
              <w:pStyle w:val="ASSADACCESStablecentre"/>
            </w:pPr>
            <w:r w:rsidRPr="002E5727">
              <w:rPr>
                <w:bCs w:val="0"/>
                <w:color w:val="000000"/>
              </w:rPr>
              <w:t>6*^</w:t>
            </w:r>
          </w:p>
        </w:tc>
        <w:tc>
          <w:tcPr>
            <w:tcW w:w="879" w:type="dxa"/>
            <w:shd w:val="clear" w:color="auto" w:fill="auto"/>
          </w:tcPr>
          <w:p w14:paraId="3FCD4F96" w14:textId="5719A110" w:rsidR="009A7EC3" w:rsidRPr="00DE25AD" w:rsidRDefault="009A7EC3" w:rsidP="009A7EC3">
            <w:pPr>
              <w:pStyle w:val="ASSADACCESStablecentre"/>
            </w:pPr>
            <w:r w:rsidRPr="002E5727">
              <w:rPr>
                <w:bCs w:val="0"/>
                <w:color w:val="000000"/>
              </w:rPr>
              <w:t>5^</w:t>
            </w:r>
          </w:p>
        </w:tc>
        <w:tc>
          <w:tcPr>
            <w:tcW w:w="879" w:type="dxa"/>
            <w:shd w:val="clear" w:color="auto" w:fill="auto"/>
          </w:tcPr>
          <w:p w14:paraId="4272FC2B" w14:textId="0D44BD2F" w:rsidR="009A7EC3" w:rsidRPr="00DE25AD" w:rsidRDefault="009A7EC3" w:rsidP="009A7EC3">
            <w:pPr>
              <w:pStyle w:val="ASSADACCESStablecentre"/>
            </w:pPr>
            <w:r w:rsidRPr="002E5727">
              <w:rPr>
                <w:bCs w:val="0"/>
                <w:color w:val="000000"/>
              </w:rPr>
              <w:t>4^</w:t>
            </w:r>
          </w:p>
        </w:tc>
      </w:tr>
      <w:tr w:rsidR="009A7EC3" w:rsidRPr="00DE25AD" w14:paraId="1ACC283F" w14:textId="77777777" w:rsidTr="005C5B03">
        <w:tc>
          <w:tcPr>
            <w:tcW w:w="1517" w:type="dxa"/>
            <w:tcMar>
              <w:left w:w="57" w:type="dxa"/>
            </w:tcMar>
          </w:tcPr>
          <w:p w14:paraId="60FE6DE7" w14:textId="77777777" w:rsidR="009A7EC3" w:rsidRPr="00DE25AD" w:rsidRDefault="009A7EC3" w:rsidP="009A7EC3">
            <w:pPr>
              <w:pStyle w:val="ACCESSTableHeaderRow"/>
            </w:pPr>
          </w:p>
        </w:tc>
        <w:tc>
          <w:tcPr>
            <w:tcW w:w="1068" w:type="dxa"/>
            <w:shd w:val="clear" w:color="auto" w:fill="auto"/>
            <w:tcMar>
              <w:left w:w="57" w:type="dxa"/>
            </w:tcMar>
            <w:vAlign w:val="bottom"/>
          </w:tcPr>
          <w:p w14:paraId="1BCB1A0D" w14:textId="77777777" w:rsidR="009A7EC3" w:rsidRPr="00DE25AD" w:rsidRDefault="009A7EC3" w:rsidP="009A7EC3">
            <w:pPr>
              <w:pStyle w:val="ASSAD2017ACCESSBody1"/>
            </w:pPr>
            <w:r w:rsidRPr="00DE25AD">
              <w:t>Total</w:t>
            </w:r>
          </w:p>
        </w:tc>
        <w:tc>
          <w:tcPr>
            <w:tcW w:w="878" w:type="dxa"/>
            <w:shd w:val="clear" w:color="auto" w:fill="auto"/>
          </w:tcPr>
          <w:p w14:paraId="59B3241C" w14:textId="211A5A71" w:rsidR="009A7EC3" w:rsidRPr="00DE25AD" w:rsidRDefault="009A7EC3" w:rsidP="009A7EC3">
            <w:pPr>
              <w:pStyle w:val="ASSADACCESStablecentre"/>
            </w:pPr>
            <w:r w:rsidRPr="002E5727">
              <w:rPr>
                <w:bCs w:val="0"/>
                <w:color w:val="000000"/>
              </w:rPr>
              <w:t>20*</w:t>
            </w:r>
          </w:p>
        </w:tc>
        <w:tc>
          <w:tcPr>
            <w:tcW w:w="879" w:type="dxa"/>
            <w:shd w:val="clear" w:color="auto" w:fill="auto"/>
          </w:tcPr>
          <w:p w14:paraId="487D39A3" w14:textId="0B0C5488" w:rsidR="009A7EC3" w:rsidRPr="00DE25AD" w:rsidRDefault="009A7EC3" w:rsidP="009A7EC3">
            <w:pPr>
              <w:pStyle w:val="ASSADACCESStablecentre"/>
            </w:pPr>
            <w:r w:rsidRPr="002E5727">
              <w:rPr>
                <w:bCs w:val="0"/>
                <w:color w:val="000000"/>
              </w:rPr>
              <w:t>19*</w:t>
            </w:r>
          </w:p>
        </w:tc>
        <w:tc>
          <w:tcPr>
            <w:tcW w:w="879" w:type="dxa"/>
            <w:shd w:val="clear" w:color="auto" w:fill="auto"/>
          </w:tcPr>
          <w:p w14:paraId="0718F889" w14:textId="731390B6" w:rsidR="009A7EC3" w:rsidRPr="00DE25AD" w:rsidRDefault="009A7EC3" w:rsidP="009A7EC3">
            <w:pPr>
              <w:pStyle w:val="ASSADACCESStablecentre"/>
            </w:pPr>
            <w:r w:rsidRPr="002E5727">
              <w:rPr>
                <w:bCs w:val="0"/>
                <w:color w:val="000000"/>
              </w:rPr>
              <w:t>14*^</w:t>
            </w:r>
          </w:p>
        </w:tc>
        <w:tc>
          <w:tcPr>
            <w:tcW w:w="879" w:type="dxa"/>
            <w:shd w:val="clear" w:color="auto" w:fill="auto"/>
          </w:tcPr>
          <w:p w14:paraId="64035CD6" w14:textId="50A395DF" w:rsidR="009A7EC3" w:rsidRPr="00DE25AD" w:rsidRDefault="009A7EC3" w:rsidP="009A7EC3">
            <w:pPr>
              <w:pStyle w:val="ASSADACCESStablecentre"/>
            </w:pPr>
            <w:r w:rsidRPr="002E5727">
              <w:rPr>
                <w:bCs w:val="0"/>
                <w:color w:val="000000"/>
              </w:rPr>
              <w:t>9*^</w:t>
            </w:r>
          </w:p>
        </w:tc>
        <w:tc>
          <w:tcPr>
            <w:tcW w:w="879" w:type="dxa"/>
            <w:shd w:val="clear" w:color="auto" w:fill="auto"/>
          </w:tcPr>
          <w:p w14:paraId="700D5901" w14:textId="2EB95A50" w:rsidR="009A7EC3" w:rsidRPr="00DE25AD" w:rsidRDefault="009A7EC3" w:rsidP="009A7EC3">
            <w:pPr>
              <w:pStyle w:val="ASSADACCESStablecentre"/>
            </w:pPr>
            <w:r w:rsidRPr="002E5727">
              <w:rPr>
                <w:bCs w:val="0"/>
                <w:color w:val="000000"/>
              </w:rPr>
              <w:t>7*^</w:t>
            </w:r>
          </w:p>
        </w:tc>
        <w:tc>
          <w:tcPr>
            <w:tcW w:w="879" w:type="dxa"/>
            <w:shd w:val="clear" w:color="auto" w:fill="auto"/>
          </w:tcPr>
          <w:p w14:paraId="4B1C5E58" w14:textId="17CA81C9" w:rsidR="009A7EC3" w:rsidRPr="00DE25AD" w:rsidRDefault="009A7EC3" w:rsidP="009A7EC3">
            <w:pPr>
              <w:pStyle w:val="ASSADACCESStablecentre"/>
            </w:pPr>
            <w:r w:rsidRPr="002E5727">
              <w:rPr>
                <w:bCs w:val="0"/>
                <w:color w:val="000000"/>
              </w:rPr>
              <w:t>7*^</w:t>
            </w:r>
          </w:p>
        </w:tc>
        <w:tc>
          <w:tcPr>
            <w:tcW w:w="879" w:type="dxa"/>
            <w:shd w:val="clear" w:color="auto" w:fill="auto"/>
          </w:tcPr>
          <w:p w14:paraId="1A5C2DDD" w14:textId="4EE1C3E0" w:rsidR="009A7EC3" w:rsidRPr="00DE25AD" w:rsidRDefault="009A7EC3" w:rsidP="009A7EC3">
            <w:pPr>
              <w:pStyle w:val="ASSADACCESStablecentre"/>
            </w:pPr>
            <w:r w:rsidRPr="002E5727">
              <w:rPr>
                <w:bCs w:val="0"/>
                <w:color w:val="000000"/>
              </w:rPr>
              <w:t>5^</w:t>
            </w:r>
          </w:p>
        </w:tc>
        <w:tc>
          <w:tcPr>
            <w:tcW w:w="879" w:type="dxa"/>
            <w:shd w:val="clear" w:color="auto" w:fill="auto"/>
          </w:tcPr>
          <w:p w14:paraId="5D582D3B" w14:textId="462449A2" w:rsidR="009A7EC3" w:rsidRPr="00DE25AD" w:rsidRDefault="009A7EC3" w:rsidP="009A7EC3">
            <w:pPr>
              <w:pStyle w:val="ASSADACCESStablecentre"/>
            </w:pPr>
            <w:r w:rsidRPr="002E5727">
              <w:rPr>
                <w:bCs w:val="0"/>
                <w:color w:val="000000"/>
              </w:rPr>
              <w:t>5^</w:t>
            </w:r>
          </w:p>
        </w:tc>
      </w:tr>
      <w:tr w:rsidR="009A7EC3" w:rsidRPr="00DE25AD" w14:paraId="15FCA458" w14:textId="77777777" w:rsidTr="00545FF4">
        <w:tc>
          <w:tcPr>
            <w:tcW w:w="1517" w:type="dxa"/>
            <w:tcMar>
              <w:left w:w="57" w:type="dxa"/>
            </w:tcMar>
          </w:tcPr>
          <w:p w14:paraId="2530BD60" w14:textId="77777777" w:rsidR="009A7EC3" w:rsidRPr="00DE25AD" w:rsidRDefault="009A7EC3" w:rsidP="009A7EC3">
            <w:pPr>
              <w:pStyle w:val="ACCESSTableHeaderRow"/>
            </w:pPr>
            <w:r>
              <w:t>Committed</w:t>
            </w:r>
          </w:p>
        </w:tc>
        <w:tc>
          <w:tcPr>
            <w:tcW w:w="1068" w:type="dxa"/>
            <w:shd w:val="clear" w:color="auto" w:fill="auto"/>
            <w:tcMar>
              <w:left w:w="57" w:type="dxa"/>
            </w:tcMar>
            <w:vAlign w:val="bottom"/>
          </w:tcPr>
          <w:p w14:paraId="59DDC019" w14:textId="77777777" w:rsidR="009A7EC3" w:rsidRPr="00DE25AD" w:rsidRDefault="009A7EC3" w:rsidP="009A7EC3">
            <w:pPr>
              <w:pStyle w:val="ASSAD2017ACCESSBody1"/>
            </w:pPr>
            <w:r w:rsidRPr="00DE25AD">
              <w:t>Male</w:t>
            </w:r>
          </w:p>
        </w:tc>
        <w:tc>
          <w:tcPr>
            <w:tcW w:w="878" w:type="dxa"/>
            <w:shd w:val="clear" w:color="auto" w:fill="auto"/>
          </w:tcPr>
          <w:p w14:paraId="2B1F7013" w14:textId="79299CD9" w:rsidR="009A7EC3" w:rsidRPr="00DE25AD" w:rsidRDefault="009A7EC3" w:rsidP="009A7EC3">
            <w:pPr>
              <w:pStyle w:val="ASSADACCESStablecentre"/>
            </w:pPr>
            <w:r w:rsidRPr="002E5727">
              <w:rPr>
                <w:bCs w:val="0"/>
                <w:color w:val="000000"/>
              </w:rPr>
              <w:t>13*</w:t>
            </w:r>
          </w:p>
        </w:tc>
        <w:tc>
          <w:tcPr>
            <w:tcW w:w="879" w:type="dxa"/>
            <w:shd w:val="clear" w:color="auto" w:fill="auto"/>
          </w:tcPr>
          <w:p w14:paraId="701B5F71" w14:textId="4C73183C" w:rsidR="009A7EC3" w:rsidRPr="00DE25AD" w:rsidRDefault="009A7EC3" w:rsidP="009A7EC3">
            <w:pPr>
              <w:pStyle w:val="ASSADACCESStablecentre"/>
            </w:pPr>
            <w:r w:rsidRPr="002E5727">
              <w:rPr>
                <w:bCs w:val="0"/>
                <w:color w:val="000000"/>
              </w:rPr>
              <w:t>12*</w:t>
            </w:r>
          </w:p>
        </w:tc>
        <w:tc>
          <w:tcPr>
            <w:tcW w:w="879" w:type="dxa"/>
            <w:shd w:val="clear" w:color="auto" w:fill="auto"/>
          </w:tcPr>
          <w:p w14:paraId="65296A62" w14:textId="767582BF" w:rsidR="009A7EC3" w:rsidRPr="00DE25AD" w:rsidRDefault="009A7EC3" w:rsidP="009A7EC3">
            <w:pPr>
              <w:pStyle w:val="ASSADACCESStablecentre"/>
            </w:pPr>
            <w:r w:rsidRPr="002E5727">
              <w:rPr>
                <w:bCs w:val="0"/>
                <w:color w:val="000000"/>
              </w:rPr>
              <w:t>8*^</w:t>
            </w:r>
          </w:p>
        </w:tc>
        <w:tc>
          <w:tcPr>
            <w:tcW w:w="879" w:type="dxa"/>
            <w:shd w:val="clear" w:color="auto" w:fill="auto"/>
          </w:tcPr>
          <w:p w14:paraId="00E32705" w14:textId="1525C822" w:rsidR="009A7EC3" w:rsidRPr="00DE25AD" w:rsidRDefault="009A7EC3" w:rsidP="009A7EC3">
            <w:pPr>
              <w:pStyle w:val="ASSADACCESStablecentre"/>
            </w:pPr>
            <w:r w:rsidRPr="002E5727">
              <w:rPr>
                <w:bCs w:val="0"/>
                <w:color w:val="000000"/>
              </w:rPr>
              <w:t>6*^</w:t>
            </w:r>
          </w:p>
        </w:tc>
        <w:tc>
          <w:tcPr>
            <w:tcW w:w="879" w:type="dxa"/>
            <w:shd w:val="clear" w:color="auto" w:fill="auto"/>
          </w:tcPr>
          <w:p w14:paraId="255C9022" w14:textId="657B85CF" w:rsidR="009A7EC3" w:rsidRPr="00DE25AD" w:rsidRDefault="009A7EC3" w:rsidP="009A7EC3">
            <w:pPr>
              <w:pStyle w:val="ASSADACCESStablecentre"/>
            </w:pPr>
            <w:r w:rsidRPr="002E5727">
              <w:rPr>
                <w:bCs w:val="0"/>
                <w:color w:val="000000"/>
              </w:rPr>
              <w:t>4*^</w:t>
            </w:r>
          </w:p>
        </w:tc>
        <w:tc>
          <w:tcPr>
            <w:tcW w:w="879" w:type="dxa"/>
            <w:shd w:val="clear" w:color="auto" w:fill="auto"/>
          </w:tcPr>
          <w:p w14:paraId="6B122D5C" w14:textId="4EC93EA6" w:rsidR="009A7EC3" w:rsidRPr="00DE25AD" w:rsidRDefault="009A7EC3" w:rsidP="009A7EC3">
            <w:pPr>
              <w:pStyle w:val="ASSADACCESStablecentre"/>
            </w:pPr>
            <w:r w:rsidRPr="002E5727">
              <w:rPr>
                <w:bCs w:val="0"/>
                <w:color w:val="000000"/>
              </w:rPr>
              <w:t>4^</w:t>
            </w:r>
          </w:p>
        </w:tc>
        <w:tc>
          <w:tcPr>
            <w:tcW w:w="879" w:type="dxa"/>
            <w:shd w:val="clear" w:color="auto" w:fill="auto"/>
          </w:tcPr>
          <w:p w14:paraId="336312EE" w14:textId="19754817" w:rsidR="009A7EC3" w:rsidRPr="00DE25AD" w:rsidRDefault="009A7EC3" w:rsidP="009A7EC3">
            <w:pPr>
              <w:pStyle w:val="ASSADACCESStablecentre"/>
            </w:pPr>
            <w:r w:rsidRPr="002E5727">
              <w:rPr>
                <w:bCs w:val="0"/>
                <w:color w:val="000000"/>
              </w:rPr>
              <w:t>3^</w:t>
            </w:r>
          </w:p>
        </w:tc>
        <w:tc>
          <w:tcPr>
            <w:tcW w:w="879" w:type="dxa"/>
            <w:shd w:val="clear" w:color="auto" w:fill="auto"/>
          </w:tcPr>
          <w:p w14:paraId="7AD9F0ED" w14:textId="435B4F68" w:rsidR="009A7EC3" w:rsidRPr="00DE25AD" w:rsidRDefault="009A7EC3" w:rsidP="009A7EC3">
            <w:pPr>
              <w:pStyle w:val="ASSADACCESStablecentre"/>
            </w:pPr>
            <w:r w:rsidRPr="002E5727">
              <w:rPr>
                <w:bCs w:val="0"/>
                <w:color w:val="000000"/>
              </w:rPr>
              <w:t>3^</w:t>
            </w:r>
          </w:p>
        </w:tc>
      </w:tr>
      <w:tr w:rsidR="009A7EC3" w:rsidRPr="00DE25AD" w14:paraId="03C43FD7" w14:textId="77777777" w:rsidTr="005C5B03">
        <w:trPr>
          <w:trHeight w:val="277"/>
        </w:trPr>
        <w:tc>
          <w:tcPr>
            <w:tcW w:w="1517" w:type="dxa"/>
            <w:tcMar>
              <w:left w:w="57" w:type="dxa"/>
            </w:tcMar>
          </w:tcPr>
          <w:p w14:paraId="18397B58" w14:textId="77777777" w:rsidR="009A7EC3" w:rsidRPr="00DE25AD" w:rsidRDefault="009A7EC3" w:rsidP="009A7EC3">
            <w:pPr>
              <w:pStyle w:val="ACCESSTableHeaderRow"/>
            </w:pPr>
          </w:p>
        </w:tc>
        <w:tc>
          <w:tcPr>
            <w:tcW w:w="1068" w:type="dxa"/>
            <w:shd w:val="clear" w:color="auto" w:fill="auto"/>
            <w:tcMar>
              <w:left w:w="57" w:type="dxa"/>
            </w:tcMar>
            <w:vAlign w:val="bottom"/>
          </w:tcPr>
          <w:p w14:paraId="703D9B5C" w14:textId="77777777" w:rsidR="009A7EC3" w:rsidRPr="00DE25AD" w:rsidRDefault="009A7EC3" w:rsidP="009A7EC3">
            <w:pPr>
              <w:pStyle w:val="ASSAD2017ACCESSBody1"/>
            </w:pPr>
            <w:r w:rsidRPr="00DE25AD">
              <w:t>Female</w:t>
            </w:r>
          </w:p>
        </w:tc>
        <w:tc>
          <w:tcPr>
            <w:tcW w:w="878" w:type="dxa"/>
            <w:shd w:val="clear" w:color="auto" w:fill="auto"/>
          </w:tcPr>
          <w:p w14:paraId="067E01B3" w14:textId="21021356" w:rsidR="009A7EC3" w:rsidRPr="00DE25AD" w:rsidRDefault="009A7EC3" w:rsidP="009A7EC3">
            <w:pPr>
              <w:pStyle w:val="ASSADACCESStablecentre"/>
            </w:pPr>
            <w:r w:rsidRPr="002E5727">
              <w:rPr>
                <w:bCs w:val="0"/>
                <w:color w:val="000000"/>
              </w:rPr>
              <w:t>15*</w:t>
            </w:r>
          </w:p>
        </w:tc>
        <w:tc>
          <w:tcPr>
            <w:tcW w:w="879" w:type="dxa"/>
            <w:shd w:val="clear" w:color="auto" w:fill="auto"/>
          </w:tcPr>
          <w:p w14:paraId="2B13EB72" w14:textId="67AC99D0" w:rsidR="009A7EC3" w:rsidRPr="00DE25AD" w:rsidRDefault="009A7EC3" w:rsidP="009A7EC3">
            <w:pPr>
              <w:pStyle w:val="ASSADACCESStablecentre"/>
            </w:pPr>
            <w:r w:rsidRPr="002E5727">
              <w:rPr>
                <w:bCs w:val="0"/>
                <w:color w:val="000000"/>
              </w:rPr>
              <w:t>13*</w:t>
            </w:r>
          </w:p>
        </w:tc>
        <w:tc>
          <w:tcPr>
            <w:tcW w:w="879" w:type="dxa"/>
            <w:shd w:val="clear" w:color="auto" w:fill="auto"/>
          </w:tcPr>
          <w:p w14:paraId="363C4FD4" w14:textId="6395BD04" w:rsidR="009A7EC3" w:rsidRPr="00DE25AD" w:rsidRDefault="009A7EC3" w:rsidP="009A7EC3">
            <w:pPr>
              <w:pStyle w:val="ASSADACCESStablecentre"/>
            </w:pPr>
            <w:r w:rsidRPr="002E5727">
              <w:rPr>
                <w:bCs w:val="0"/>
                <w:color w:val="000000"/>
              </w:rPr>
              <w:t>10*^</w:t>
            </w:r>
          </w:p>
        </w:tc>
        <w:tc>
          <w:tcPr>
            <w:tcW w:w="879" w:type="dxa"/>
            <w:shd w:val="clear" w:color="auto" w:fill="auto"/>
          </w:tcPr>
          <w:p w14:paraId="42CF4292" w14:textId="02813758" w:rsidR="009A7EC3" w:rsidRPr="00DE25AD" w:rsidRDefault="009A7EC3" w:rsidP="009A7EC3">
            <w:pPr>
              <w:pStyle w:val="ASSADACCESStablecentre"/>
            </w:pPr>
            <w:r w:rsidRPr="002E5727">
              <w:rPr>
                <w:bCs w:val="0"/>
                <w:color w:val="000000"/>
              </w:rPr>
              <w:t>6*^</w:t>
            </w:r>
          </w:p>
        </w:tc>
        <w:tc>
          <w:tcPr>
            <w:tcW w:w="879" w:type="dxa"/>
            <w:shd w:val="clear" w:color="auto" w:fill="auto"/>
          </w:tcPr>
          <w:p w14:paraId="2439AA9D" w14:textId="3234EC3C" w:rsidR="009A7EC3" w:rsidRPr="00DE25AD" w:rsidRDefault="009A7EC3" w:rsidP="009A7EC3">
            <w:pPr>
              <w:pStyle w:val="ASSADACCESStablecentre"/>
            </w:pPr>
            <w:r w:rsidRPr="002E5727">
              <w:rPr>
                <w:bCs w:val="0"/>
                <w:color w:val="000000"/>
              </w:rPr>
              <w:t>5*^</w:t>
            </w:r>
          </w:p>
        </w:tc>
        <w:tc>
          <w:tcPr>
            <w:tcW w:w="879" w:type="dxa"/>
            <w:shd w:val="clear" w:color="auto" w:fill="auto"/>
          </w:tcPr>
          <w:p w14:paraId="53531F20" w14:textId="3357754B" w:rsidR="009A7EC3" w:rsidRPr="00DE25AD" w:rsidRDefault="009A7EC3" w:rsidP="009A7EC3">
            <w:pPr>
              <w:pStyle w:val="ASSADACCESStablecentre"/>
            </w:pPr>
            <w:r w:rsidRPr="002E5727">
              <w:rPr>
                <w:bCs w:val="0"/>
                <w:color w:val="000000"/>
              </w:rPr>
              <w:t>4*^</w:t>
            </w:r>
          </w:p>
        </w:tc>
        <w:tc>
          <w:tcPr>
            <w:tcW w:w="879" w:type="dxa"/>
            <w:shd w:val="clear" w:color="auto" w:fill="auto"/>
          </w:tcPr>
          <w:p w14:paraId="36DE0384" w14:textId="3D3B9144" w:rsidR="009A7EC3" w:rsidRPr="00DE25AD" w:rsidRDefault="009A7EC3" w:rsidP="009A7EC3">
            <w:pPr>
              <w:pStyle w:val="ASSADACCESStablecentre"/>
            </w:pPr>
            <w:r w:rsidRPr="002E5727">
              <w:rPr>
                <w:bCs w:val="0"/>
                <w:color w:val="000000"/>
              </w:rPr>
              <w:t>2^</w:t>
            </w:r>
          </w:p>
        </w:tc>
        <w:tc>
          <w:tcPr>
            <w:tcW w:w="879" w:type="dxa"/>
            <w:shd w:val="clear" w:color="auto" w:fill="auto"/>
          </w:tcPr>
          <w:p w14:paraId="7E39A036" w14:textId="3140C16F" w:rsidR="009A7EC3" w:rsidRPr="00DE25AD" w:rsidRDefault="009A7EC3" w:rsidP="009A7EC3">
            <w:pPr>
              <w:pStyle w:val="ASSADACCESStablecentre"/>
            </w:pPr>
            <w:r w:rsidRPr="002E5727">
              <w:rPr>
                <w:bCs w:val="0"/>
                <w:color w:val="000000"/>
              </w:rPr>
              <w:t>2^</w:t>
            </w:r>
          </w:p>
        </w:tc>
      </w:tr>
      <w:tr w:rsidR="009A7EC3" w:rsidRPr="00DE25AD" w14:paraId="3D947696" w14:textId="77777777" w:rsidTr="005C5B03">
        <w:trPr>
          <w:trHeight w:val="84"/>
        </w:trPr>
        <w:tc>
          <w:tcPr>
            <w:tcW w:w="1517" w:type="dxa"/>
            <w:tcMar>
              <w:left w:w="57" w:type="dxa"/>
            </w:tcMar>
          </w:tcPr>
          <w:p w14:paraId="1AD1D747" w14:textId="77777777" w:rsidR="009A7EC3" w:rsidRPr="00DE25AD" w:rsidRDefault="009A7EC3" w:rsidP="009A7EC3">
            <w:pPr>
              <w:pStyle w:val="ACCESSTableHeaderRow"/>
            </w:pPr>
          </w:p>
        </w:tc>
        <w:tc>
          <w:tcPr>
            <w:tcW w:w="1068" w:type="dxa"/>
            <w:shd w:val="clear" w:color="auto" w:fill="auto"/>
            <w:tcMar>
              <w:left w:w="57" w:type="dxa"/>
            </w:tcMar>
            <w:vAlign w:val="bottom"/>
          </w:tcPr>
          <w:p w14:paraId="7F3C6CCC" w14:textId="77777777" w:rsidR="009A7EC3" w:rsidRPr="00DE25AD" w:rsidRDefault="009A7EC3" w:rsidP="009A7EC3">
            <w:pPr>
              <w:pStyle w:val="ASSAD2017ACCESSBody1"/>
            </w:pPr>
            <w:r w:rsidRPr="00DE25AD">
              <w:t>Total</w:t>
            </w:r>
          </w:p>
        </w:tc>
        <w:tc>
          <w:tcPr>
            <w:tcW w:w="878" w:type="dxa"/>
            <w:shd w:val="clear" w:color="auto" w:fill="auto"/>
          </w:tcPr>
          <w:p w14:paraId="4C26BC2E" w14:textId="1C499019" w:rsidR="009A7EC3" w:rsidRPr="00DE25AD" w:rsidRDefault="009A7EC3" w:rsidP="009A7EC3">
            <w:pPr>
              <w:pStyle w:val="ASSADACCESStablecentre"/>
            </w:pPr>
            <w:r w:rsidRPr="002E5727">
              <w:rPr>
                <w:bCs w:val="0"/>
                <w:color w:val="000000"/>
              </w:rPr>
              <w:t>14*</w:t>
            </w:r>
          </w:p>
        </w:tc>
        <w:tc>
          <w:tcPr>
            <w:tcW w:w="879" w:type="dxa"/>
            <w:shd w:val="clear" w:color="auto" w:fill="auto"/>
          </w:tcPr>
          <w:p w14:paraId="050E041C" w14:textId="4D29E194" w:rsidR="009A7EC3" w:rsidRPr="00DE25AD" w:rsidRDefault="009A7EC3" w:rsidP="009A7EC3">
            <w:pPr>
              <w:pStyle w:val="ASSADACCESStablecentre"/>
            </w:pPr>
            <w:r w:rsidRPr="002E5727">
              <w:rPr>
                <w:bCs w:val="0"/>
                <w:color w:val="000000"/>
              </w:rPr>
              <w:t>13*</w:t>
            </w:r>
          </w:p>
        </w:tc>
        <w:tc>
          <w:tcPr>
            <w:tcW w:w="879" w:type="dxa"/>
            <w:shd w:val="clear" w:color="auto" w:fill="auto"/>
          </w:tcPr>
          <w:p w14:paraId="05C06005" w14:textId="5ABFC414" w:rsidR="009A7EC3" w:rsidRPr="00DE25AD" w:rsidRDefault="009A7EC3" w:rsidP="009A7EC3">
            <w:pPr>
              <w:pStyle w:val="ASSADACCESStablecentre"/>
            </w:pPr>
            <w:r w:rsidRPr="002E5727">
              <w:rPr>
                <w:bCs w:val="0"/>
                <w:color w:val="000000"/>
              </w:rPr>
              <w:t>9*^</w:t>
            </w:r>
          </w:p>
        </w:tc>
        <w:tc>
          <w:tcPr>
            <w:tcW w:w="879" w:type="dxa"/>
            <w:shd w:val="clear" w:color="auto" w:fill="auto"/>
          </w:tcPr>
          <w:p w14:paraId="40305BFC" w14:textId="09D220E4" w:rsidR="009A7EC3" w:rsidRPr="00DE25AD" w:rsidRDefault="009A7EC3" w:rsidP="009A7EC3">
            <w:pPr>
              <w:pStyle w:val="ASSADACCESStablecentre"/>
            </w:pPr>
            <w:r w:rsidRPr="002E5727">
              <w:rPr>
                <w:bCs w:val="0"/>
                <w:color w:val="000000"/>
              </w:rPr>
              <w:t>6*^</w:t>
            </w:r>
          </w:p>
        </w:tc>
        <w:tc>
          <w:tcPr>
            <w:tcW w:w="879" w:type="dxa"/>
            <w:shd w:val="clear" w:color="auto" w:fill="auto"/>
          </w:tcPr>
          <w:p w14:paraId="1A45A6EB" w14:textId="5D447456" w:rsidR="009A7EC3" w:rsidRPr="00DE25AD" w:rsidRDefault="009A7EC3" w:rsidP="009A7EC3">
            <w:pPr>
              <w:pStyle w:val="ASSADACCESStablecentre"/>
            </w:pPr>
            <w:r w:rsidRPr="002E5727">
              <w:rPr>
                <w:bCs w:val="0"/>
                <w:color w:val="000000"/>
              </w:rPr>
              <w:t>4*^</w:t>
            </w:r>
          </w:p>
        </w:tc>
        <w:tc>
          <w:tcPr>
            <w:tcW w:w="879" w:type="dxa"/>
            <w:shd w:val="clear" w:color="auto" w:fill="auto"/>
          </w:tcPr>
          <w:p w14:paraId="7D214D13" w14:textId="262FF936" w:rsidR="009A7EC3" w:rsidRPr="00DE25AD" w:rsidRDefault="009A7EC3" w:rsidP="009A7EC3">
            <w:pPr>
              <w:pStyle w:val="ASSADACCESStablecentre"/>
            </w:pPr>
            <w:r w:rsidRPr="002E5727">
              <w:rPr>
                <w:bCs w:val="0"/>
                <w:color w:val="000000"/>
              </w:rPr>
              <w:t>4*^</w:t>
            </w:r>
          </w:p>
        </w:tc>
        <w:tc>
          <w:tcPr>
            <w:tcW w:w="879" w:type="dxa"/>
            <w:shd w:val="clear" w:color="auto" w:fill="auto"/>
          </w:tcPr>
          <w:p w14:paraId="0196CB97" w14:textId="19784AA9" w:rsidR="009A7EC3" w:rsidRPr="00DE25AD" w:rsidRDefault="009A7EC3" w:rsidP="009A7EC3">
            <w:pPr>
              <w:pStyle w:val="ASSADACCESStablecentre"/>
            </w:pPr>
            <w:r w:rsidRPr="002E5727">
              <w:rPr>
                <w:bCs w:val="0"/>
                <w:color w:val="000000"/>
              </w:rPr>
              <w:t>3^</w:t>
            </w:r>
          </w:p>
        </w:tc>
        <w:tc>
          <w:tcPr>
            <w:tcW w:w="879" w:type="dxa"/>
            <w:shd w:val="clear" w:color="auto" w:fill="auto"/>
          </w:tcPr>
          <w:p w14:paraId="110D12BC" w14:textId="36D4F828" w:rsidR="009A7EC3" w:rsidRPr="00DE25AD" w:rsidRDefault="009A7EC3" w:rsidP="009A7EC3">
            <w:pPr>
              <w:pStyle w:val="ASSADACCESStablecentre"/>
            </w:pPr>
            <w:r w:rsidRPr="002E5727">
              <w:rPr>
                <w:bCs w:val="0"/>
                <w:color w:val="000000"/>
              </w:rPr>
              <w:t>3^</w:t>
            </w:r>
          </w:p>
        </w:tc>
      </w:tr>
      <w:tr w:rsidR="009A7EC3" w:rsidRPr="00DE25AD" w14:paraId="6E0F44E6" w14:textId="77777777" w:rsidTr="00545FF4">
        <w:tc>
          <w:tcPr>
            <w:tcW w:w="1517" w:type="dxa"/>
            <w:tcMar>
              <w:left w:w="57" w:type="dxa"/>
            </w:tcMar>
          </w:tcPr>
          <w:p w14:paraId="039637FE" w14:textId="77777777" w:rsidR="009A7EC3" w:rsidRPr="00DE25AD" w:rsidRDefault="009A7EC3" w:rsidP="009A7EC3">
            <w:pPr>
              <w:pStyle w:val="ACCESSTableHeaderRow"/>
            </w:pPr>
            <w:r>
              <w:t>Daily</w:t>
            </w:r>
          </w:p>
        </w:tc>
        <w:tc>
          <w:tcPr>
            <w:tcW w:w="1068" w:type="dxa"/>
            <w:shd w:val="clear" w:color="auto" w:fill="auto"/>
            <w:tcMar>
              <w:left w:w="57" w:type="dxa"/>
            </w:tcMar>
            <w:vAlign w:val="bottom"/>
          </w:tcPr>
          <w:p w14:paraId="34EEBED3" w14:textId="77777777" w:rsidR="009A7EC3" w:rsidRPr="00DE25AD" w:rsidRDefault="009A7EC3" w:rsidP="009A7EC3">
            <w:pPr>
              <w:pStyle w:val="ASSAD2017ACCESSBody1"/>
            </w:pPr>
            <w:r w:rsidRPr="00DE25AD">
              <w:t>Male</w:t>
            </w:r>
          </w:p>
        </w:tc>
        <w:tc>
          <w:tcPr>
            <w:tcW w:w="878" w:type="dxa"/>
            <w:shd w:val="clear" w:color="auto" w:fill="auto"/>
          </w:tcPr>
          <w:p w14:paraId="461B7D4B" w14:textId="2340EA4E" w:rsidR="009A7EC3" w:rsidRPr="00DE25AD" w:rsidRDefault="009A7EC3" w:rsidP="009A7EC3">
            <w:pPr>
              <w:pStyle w:val="ASSADACCESStablecentre"/>
            </w:pPr>
            <w:r w:rsidRPr="002E5727">
              <w:rPr>
                <w:bCs w:val="0"/>
                <w:color w:val="000000"/>
              </w:rPr>
              <w:t>7*</w:t>
            </w:r>
          </w:p>
        </w:tc>
        <w:tc>
          <w:tcPr>
            <w:tcW w:w="879" w:type="dxa"/>
            <w:shd w:val="clear" w:color="auto" w:fill="auto"/>
          </w:tcPr>
          <w:p w14:paraId="27A27B84" w14:textId="0C6968AA" w:rsidR="009A7EC3" w:rsidRPr="00DE25AD" w:rsidRDefault="009A7EC3" w:rsidP="009A7EC3">
            <w:pPr>
              <w:pStyle w:val="ASSADACCESStablecentre"/>
            </w:pPr>
            <w:r w:rsidRPr="002E5727">
              <w:rPr>
                <w:bCs w:val="0"/>
                <w:color w:val="000000"/>
              </w:rPr>
              <w:t>7*</w:t>
            </w:r>
          </w:p>
        </w:tc>
        <w:tc>
          <w:tcPr>
            <w:tcW w:w="879" w:type="dxa"/>
            <w:shd w:val="clear" w:color="auto" w:fill="auto"/>
          </w:tcPr>
          <w:p w14:paraId="1F69458E" w14:textId="42E0E952" w:rsidR="009A7EC3" w:rsidRPr="00DE25AD" w:rsidRDefault="009A7EC3" w:rsidP="009A7EC3">
            <w:pPr>
              <w:pStyle w:val="ASSADACCESStablecentre"/>
            </w:pPr>
            <w:r w:rsidRPr="002E5727">
              <w:rPr>
                <w:bCs w:val="0"/>
                <w:color w:val="000000"/>
              </w:rPr>
              <w:t>5*^</w:t>
            </w:r>
          </w:p>
        </w:tc>
        <w:tc>
          <w:tcPr>
            <w:tcW w:w="879" w:type="dxa"/>
            <w:shd w:val="clear" w:color="auto" w:fill="auto"/>
          </w:tcPr>
          <w:p w14:paraId="249E20D2" w14:textId="4963C508" w:rsidR="009A7EC3" w:rsidRPr="00DE25AD" w:rsidRDefault="009A7EC3" w:rsidP="009A7EC3">
            <w:pPr>
              <w:pStyle w:val="ASSADACCESStablecentre"/>
            </w:pPr>
            <w:r w:rsidRPr="002E5727">
              <w:rPr>
                <w:bCs w:val="0"/>
                <w:color w:val="000000"/>
              </w:rPr>
              <w:t>3*^</w:t>
            </w:r>
          </w:p>
        </w:tc>
        <w:tc>
          <w:tcPr>
            <w:tcW w:w="879" w:type="dxa"/>
            <w:shd w:val="clear" w:color="auto" w:fill="auto"/>
          </w:tcPr>
          <w:p w14:paraId="615DCFA9" w14:textId="138AA05F" w:rsidR="009A7EC3" w:rsidRPr="00DE25AD" w:rsidRDefault="009A7EC3" w:rsidP="009A7EC3">
            <w:pPr>
              <w:pStyle w:val="ASSADACCESStablecentre"/>
            </w:pPr>
            <w:r w:rsidRPr="002E5727">
              <w:rPr>
                <w:bCs w:val="0"/>
                <w:color w:val="000000"/>
              </w:rPr>
              <w:t>2*^</w:t>
            </w:r>
          </w:p>
        </w:tc>
        <w:tc>
          <w:tcPr>
            <w:tcW w:w="879" w:type="dxa"/>
            <w:shd w:val="clear" w:color="auto" w:fill="auto"/>
          </w:tcPr>
          <w:p w14:paraId="66F46926" w14:textId="48371588" w:rsidR="009A7EC3" w:rsidRPr="00DE25AD" w:rsidRDefault="009A7EC3" w:rsidP="009A7EC3">
            <w:pPr>
              <w:pStyle w:val="ASSADACCESStablecentre"/>
            </w:pPr>
            <w:r w:rsidRPr="002E5727">
              <w:rPr>
                <w:bCs w:val="0"/>
                <w:color w:val="000000"/>
              </w:rPr>
              <w:t>2^</w:t>
            </w:r>
          </w:p>
        </w:tc>
        <w:tc>
          <w:tcPr>
            <w:tcW w:w="879" w:type="dxa"/>
            <w:shd w:val="clear" w:color="auto" w:fill="auto"/>
          </w:tcPr>
          <w:p w14:paraId="4972C014" w14:textId="0441E504" w:rsidR="009A7EC3" w:rsidRPr="00DE25AD" w:rsidRDefault="009A7EC3" w:rsidP="009A7EC3">
            <w:pPr>
              <w:pStyle w:val="ASSADACCESStablecentre"/>
            </w:pPr>
            <w:r w:rsidRPr="002E5727">
              <w:rPr>
                <w:bCs w:val="0"/>
                <w:color w:val="000000"/>
              </w:rPr>
              <w:t>1^</w:t>
            </w:r>
          </w:p>
        </w:tc>
        <w:tc>
          <w:tcPr>
            <w:tcW w:w="879" w:type="dxa"/>
            <w:shd w:val="clear" w:color="auto" w:fill="auto"/>
          </w:tcPr>
          <w:p w14:paraId="523FA0F9" w14:textId="6EFB7F6D" w:rsidR="009A7EC3" w:rsidRPr="00DE25AD" w:rsidRDefault="009A7EC3" w:rsidP="009A7EC3">
            <w:pPr>
              <w:pStyle w:val="ASSADACCESStablecentre"/>
            </w:pPr>
            <w:r w:rsidRPr="002E5727">
              <w:rPr>
                <w:bCs w:val="0"/>
                <w:color w:val="000000"/>
              </w:rPr>
              <w:t>1^</w:t>
            </w:r>
          </w:p>
        </w:tc>
      </w:tr>
      <w:tr w:rsidR="009A7EC3" w:rsidRPr="00DE25AD" w14:paraId="4C8E5FA8" w14:textId="77777777" w:rsidTr="005C5B03">
        <w:tc>
          <w:tcPr>
            <w:tcW w:w="1517" w:type="dxa"/>
            <w:tcMar>
              <w:left w:w="57" w:type="dxa"/>
            </w:tcMar>
          </w:tcPr>
          <w:p w14:paraId="5AD32097" w14:textId="77777777" w:rsidR="009A7EC3" w:rsidRPr="00DE25AD" w:rsidRDefault="009A7EC3" w:rsidP="009A7EC3">
            <w:pPr>
              <w:pStyle w:val="ACCESSTableHeaderRow"/>
            </w:pPr>
          </w:p>
        </w:tc>
        <w:tc>
          <w:tcPr>
            <w:tcW w:w="1068" w:type="dxa"/>
            <w:shd w:val="clear" w:color="auto" w:fill="auto"/>
            <w:tcMar>
              <w:left w:w="57" w:type="dxa"/>
            </w:tcMar>
            <w:vAlign w:val="bottom"/>
          </w:tcPr>
          <w:p w14:paraId="70963691" w14:textId="77777777" w:rsidR="009A7EC3" w:rsidRPr="00DE25AD" w:rsidRDefault="009A7EC3" w:rsidP="009A7EC3">
            <w:pPr>
              <w:pStyle w:val="ASSAD2017ACCESSBody1"/>
            </w:pPr>
            <w:r w:rsidRPr="00DE25AD">
              <w:t>Female</w:t>
            </w:r>
          </w:p>
        </w:tc>
        <w:tc>
          <w:tcPr>
            <w:tcW w:w="878" w:type="dxa"/>
            <w:shd w:val="clear" w:color="auto" w:fill="auto"/>
          </w:tcPr>
          <w:p w14:paraId="4DB8403A" w14:textId="4154628C" w:rsidR="009A7EC3" w:rsidRPr="00DE25AD" w:rsidRDefault="009A7EC3" w:rsidP="009A7EC3">
            <w:pPr>
              <w:pStyle w:val="ASSADACCESStablecentre"/>
            </w:pPr>
            <w:r w:rsidRPr="002E5727">
              <w:rPr>
                <w:bCs w:val="0"/>
                <w:color w:val="000000"/>
              </w:rPr>
              <w:t>7*</w:t>
            </w:r>
          </w:p>
        </w:tc>
        <w:tc>
          <w:tcPr>
            <w:tcW w:w="879" w:type="dxa"/>
            <w:shd w:val="clear" w:color="auto" w:fill="auto"/>
          </w:tcPr>
          <w:p w14:paraId="3084CC1C" w14:textId="5D5568B4" w:rsidR="009A7EC3" w:rsidRPr="00DE25AD" w:rsidRDefault="009A7EC3" w:rsidP="009A7EC3">
            <w:pPr>
              <w:pStyle w:val="ASSADACCESStablecentre"/>
            </w:pPr>
            <w:r w:rsidRPr="002E5727">
              <w:rPr>
                <w:bCs w:val="0"/>
                <w:color w:val="000000"/>
              </w:rPr>
              <w:t>6*^</w:t>
            </w:r>
          </w:p>
        </w:tc>
        <w:tc>
          <w:tcPr>
            <w:tcW w:w="879" w:type="dxa"/>
            <w:shd w:val="clear" w:color="auto" w:fill="auto"/>
          </w:tcPr>
          <w:p w14:paraId="71971C3F" w14:textId="309EA50C" w:rsidR="009A7EC3" w:rsidRPr="00DE25AD" w:rsidRDefault="009A7EC3" w:rsidP="009A7EC3">
            <w:pPr>
              <w:pStyle w:val="ASSADACCESStablecentre"/>
            </w:pPr>
            <w:r w:rsidRPr="002E5727">
              <w:rPr>
                <w:bCs w:val="0"/>
                <w:color w:val="000000"/>
              </w:rPr>
              <w:t>5*^</w:t>
            </w:r>
          </w:p>
        </w:tc>
        <w:tc>
          <w:tcPr>
            <w:tcW w:w="879" w:type="dxa"/>
            <w:shd w:val="clear" w:color="auto" w:fill="auto"/>
          </w:tcPr>
          <w:p w14:paraId="4D238111" w14:textId="512E872A" w:rsidR="009A7EC3" w:rsidRPr="00DE25AD" w:rsidRDefault="009A7EC3" w:rsidP="009A7EC3">
            <w:pPr>
              <w:pStyle w:val="ASSADACCESStablecentre"/>
            </w:pPr>
            <w:r w:rsidRPr="002E5727">
              <w:rPr>
                <w:bCs w:val="0"/>
                <w:color w:val="000000"/>
              </w:rPr>
              <w:t>3*^</w:t>
            </w:r>
          </w:p>
        </w:tc>
        <w:tc>
          <w:tcPr>
            <w:tcW w:w="879" w:type="dxa"/>
            <w:shd w:val="clear" w:color="auto" w:fill="auto"/>
          </w:tcPr>
          <w:p w14:paraId="661B3D78" w14:textId="01042CE1" w:rsidR="009A7EC3" w:rsidRPr="00DE25AD" w:rsidRDefault="009A7EC3" w:rsidP="009A7EC3">
            <w:pPr>
              <w:pStyle w:val="ASSADACCESStablecentre"/>
            </w:pPr>
            <w:r w:rsidRPr="002E5727">
              <w:rPr>
                <w:bCs w:val="0"/>
                <w:color w:val="000000"/>
              </w:rPr>
              <w:t>2*^</w:t>
            </w:r>
          </w:p>
        </w:tc>
        <w:tc>
          <w:tcPr>
            <w:tcW w:w="879" w:type="dxa"/>
            <w:shd w:val="clear" w:color="auto" w:fill="auto"/>
          </w:tcPr>
          <w:p w14:paraId="3E120BB2" w14:textId="183A6651" w:rsidR="009A7EC3" w:rsidRPr="00DE25AD" w:rsidRDefault="009A7EC3" w:rsidP="009A7EC3">
            <w:pPr>
              <w:pStyle w:val="ASSADACCESStablecentre"/>
            </w:pPr>
            <w:r w:rsidRPr="002E5727">
              <w:rPr>
                <w:bCs w:val="0"/>
                <w:color w:val="000000"/>
              </w:rPr>
              <w:t>2</w:t>
            </w:r>
            <w:r>
              <w:rPr>
                <w:bCs w:val="0"/>
                <w:color w:val="000000"/>
              </w:rPr>
              <w:t>*</w:t>
            </w:r>
            <w:r w:rsidRPr="002E5727">
              <w:rPr>
                <w:bCs w:val="0"/>
                <w:color w:val="000000"/>
              </w:rPr>
              <w:t>^</w:t>
            </w:r>
          </w:p>
        </w:tc>
        <w:tc>
          <w:tcPr>
            <w:tcW w:w="879" w:type="dxa"/>
            <w:shd w:val="clear" w:color="auto" w:fill="auto"/>
          </w:tcPr>
          <w:p w14:paraId="5557831B" w14:textId="1373FC35" w:rsidR="009A7EC3" w:rsidRPr="00DE25AD" w:rsidRDefault="009A7EC3" w:rsidP="009A7EC3">
            <w:pPr>
              <w:pStyle w:val="ASSADACCESStablecentre"/>
            </w:pPr>
            <w:r w:rsidRPr="002E5727">
              <w:rPr>
                <w:bCs w:val="0"/>
                <w:color w:val="000000"/>
              </w:rPr>
              <w:t>1</w:t>
            </w:r>
            <w:r>
              <w:rPr>
                <w:bCs w:val="0"/>
                <w:color w:val="000000"/>
              </w:rPr>
              <w:t>^</w:t>
            </w:r>
          </w:p>
        </w:tc>
        <w:tc>
          <w:tcPr>
            <w:tcW w:w="879" w:type="dxa"/>
            <w:shd w:val="clear" w:color="auto" w:fill="auto"/>
          </w:tcPr>
          <w:p w14:paraId="194D7BAD" w14:textId="639F46DE" w:rsidR="009A7EC3" w:rsidRPr="00DE25AD" w:rsidRDefault="009A7EC3" w:rsidP="009A7EC3">
            <w:pPr>
              <w:pStyle w:val="ASSADACCESStablecentre"/>
            </w:pPr>
            <w:r w:rsidRPr="002E5727">
              <w:rPr>
                <w:bCs w:val="0"/>
                <w:color w:val="000000"/>
              </w:rPr>
              <w:t>1</w:t>
            </w:r>
            <w:r>
              <w:rPr>
                <w:bCs w:val="0"/>
                <w:color w:val="000000"/>
              </w:rPr>
              <w:t>^</w:t>
            </w:r>
          </w:p>
        </w:tc>
      </w:tr>
      <w:tr w:rsidR="009A7EC3" w:rsidRPr="00DE25AD" w14:paraId="7E3D0CF4" w14:textId="77777777" w:rsidTr="005C5B03">
        <w:trPr>
          <w:trHeight w:val="247"/>
        </w:trPr>
        <w:tc>
          <w:tcPr>
            <w:tcW w:w="1517" w:type="dxa"/>
            <w:tcMar>
              <w:left w:w="57" w:type="dxa"/>
            </w:tcMar>
          </w:tcPr>
          <w:p w14:paraId="0CF898A2" w14:textId="77777777" w:rsidR="009A7EC3" w:rsidRPr="00DE25AD" w:rsidRDefault="009A7EC3" w:rsidP="009A7EC3">
            <w:pPr>
              <w:pStyle w:val="ACCESSTableHeaderRow"/>
            </w:pPr>
          </w:p>
        </w:tc>
        <w:tc>
          <w:tcPr>
            <w:tcW w:w="1068" w:type="dxa"/>
            <w:shd w:val="clear" w:color="auto" w:fill="auto"/>
            <w:tcMar>
              <w:left w:w="57" w:type="dxa"/>
            </w:tcMar>
            <w:vAlign w:val="bottom"/>
          </w:tcPr>
          <w:p w14:paraId="38044835" w14:textId="77777777" w:rsidR="009A7EC3" w:rsidRPr="00DE25AD" w:rsidRDefault="009A7EC3" w:rsidP="009A7EC3">
            <w:pPr>
              <w:pStyle w:val="ASSAD2017ACCESSBody1"/>
            </w:pPr>
            <w:r w:rsidRPr="00DE25AD">
              <w:t>Total</w:t>
            </w:r>
          </w:p>
        </w:tc>
        <w:tc>
          <w:tcPr>
            <w:tcW w:w="878" w:type="dxa"/>
            <w:shd w:val="clear" w:color="auto" w:fill="auto"/>
          </w:tcPr>
          <w:p w14:paraId="1752EC6D" w14:textId="706EB163" w:rsidR="009A7EC3" w:rsidRPr="00DE25AD" w:rsidRDefault="009A7EC3" w:rsidP="009A7EC3">
            <w:pPr>
              <w:pStyle w:val="ASSADACCESStablecentre"/>
            </w:pPr>
            <w:r w:rsidRPr="002E5727">
              <w:rPr>
                <w:bCs w:val="0"/>
                <w:color w:val="000000"/>
              </w:rPr>
              <w:t>7*</w:t>
            </w:r>
          </w:p>
        </w:tc>
        <w:tc>
          <w:tcPr>
            <w:tcW w:w="879" w:type="dxa"/>
            <w:shd w:val="clear" w:color="auto" w:fill="auto"/>
          </w:tcPr>
          <w:p w14:paraId="6344DCE6" w14:textId="6198195A" w:rsidR="009A7EC3" w:rsidRPr="00DE25AD" w:rsidRDefault="009A7EC3" w:rsidP="009A7EC3">
            <w:pPr>
              <w:pStyle w:val="ASSADACCESStablecentre"/>
            </w:pPr>
            <w:r w:rsidRPr="002E5727">
              <w:rPr>
                <w:bCs w:val="0"/>
                <w:color w:val="000000"/>
              </w:rPr>
              <w:t>7*</w:t>
            </w:r>
          </w:p>
        </w:tc>
        <w:tc>
          <w:tcPr>
            <w:tcW w:w="879" w:type="dxa"/>
            <w:shd w:val="clear" w:color="auto" w:fill="auto"/>
          </w:tcPr>
          <w:p w14:paraId="63DB5272" w14:textId="23116B3D" w:rsidR="009A7EC3" w:rsidRPr="00DE25AD" w:rsidRDefault="009A7EC3" w:rsidP="009A7EC3">
            <w:pPr>
              <w:pStyle w:val="ASSADACCESStablecentre"/>
            </w:pPr>
            <w:r w:rsidRPr="002E5727">
              <w:rPr>
                <w:bCs w:val="0"/>
                <w:color w:val="000000"/>
              </w:rPr>
              <w:t>5*^</w:t>
            </w:r>
          </w:p>
        </w:tc>
        <w:tc>
          <w:tcPr>
            <w:tcW w:w="879" w:type="dxa"/>
            <w:shd w:val="clear" w:color="auto" w:fill="auto"/>
          </w:tcPr>
          <w:p w14:paraId="6FF6D905" w14:textId="6E4BB8F5" w:rsidR="009A7EC3" w:rsidRPr="00DE25AD" w:rsidRDefault="009A7EC3" w:rsidP="009A7EC3">
            <w:pPr>
              <w:pStyle w:val="ASSADACCESStablecentre"/>
            </w:pPr>
            <w:r w:rsidRPr="002E5727">
              <w:rPr>
                <w:bCs w:val="0"/>
                <w:color w:val="000000"/>
              </w:rPr>
              <w:t>3*^</w:t>
            </w:r>
          </w:p>
        </w:tc>
        <w:tc>
          <w:tcPr>
            <w:tcW w:w="879" w:type="dxa"/>
            <w:shd w:val="clear" w:color="auto" w:fill="auto"/>
          </w:tcPr>
          <w:p w14:paraId="6BF08D73" w14:textId="6A0378E0" w:rsidR="009A7EC3" w:rsidRPr="00DE25AD" w:rsidRDefault="009A7EC3" w:rsidP="009A7EC3">
            <w:pPr>
              <w:pStyle w:val="ASSADACCESStablecentre"/>
            </w:pPr>
            <w:r w:rsidRPr="002E5727">
              <w:rPr>
                <w:bCs w:val="0"/>
                <w:color w:val="000000"/>
              </w:rPr>
              <w:t>2*^</w:t>
            </w:r>
          </w:p>
        </w:tc>
        <w:tc>
          <w:tcPr>
            <w:tcW w:w="879" w:type="dxa"/>
            <w:shd w:val="clear" w:color="auto" w:fill="auto"/>
          </w:tcPr>
          <w:p w14:paraId="066F5FB4" w14:textId="22411C8B" w:rsidR="009A7EC3" w:rsidRPr="00DE25AD" w:rsidRDefault="009A7EC3" w:rsidP="009A7EC3">
            <w:pPr>
              <w:pStyle w:val="ASSADACCESStablecentre"/>
            </w:pPr>
            <w:r w:rsidRPr="002E5727">
              <w:rPr>
                <w:bCs w:val="0"/>
                <w:color w:val="000000"/>
              </w:rPr>
              <w:t>2*^</w:t>
            </w:r>
          </w:p>
        </w:tc>
        <w:tc>
          <w:tcPr>
            <w:tcW w:w="879" w:type="dxa"/>
            <w:shd w:val="clear" w:color="auto" w:fill="auto"/>
          </w:tcPr>
          <w:p w14:paraId="79B737A8" w14:textId="36F0BAF1" w:rsidR="009A7EC3" w:rsidRPr="00DE25AD" w:rsidRDefault="009A7EC3" w:rsidP="009A7EC3">
            <w:pPr>
              <w:pStyle w:val="ASSADACCESStablecentre"/>
            </w:pPr>
            <w:r w:rsidRPr="002E5727">
              <w:rPr>
                <w:bCs w:val="0"/>
                <w:color w:val="000000"/>
              </w:rPr>
              <w:t>1^</w:t>
            </w:r>
          </w:p>
        </w:tc>
        <w:tc>
          <w:tcPr>
            <w:tcW w:w="879" w:type="dxa"/>
            <w:shd w:val="clear" w:color="auto" w:fill="auto"/>
          </w:tcPr>
          <w:p w14:paraId="04DF1BE0" w14:textId="4C407D1A" w:rsidR="009A7EC3" w:rsidRPr="00DE25AD" w:rsidRDefault="009A7EC3" w:rsidP="009A7EC3">
            <w:pPr>
              <w:pStyle w:val="ASSADACCESStablecentre"/>
            </w:pPr>
            <w:r w:rsidRPr="002E5727">
              <w:rPr>
                <w:bCs w:val="0"/>
                <w:color w:val="000000"/>
              </w:rPr>
              <w:t>1^</w:t>
            </w:r>
          </w:p>
        </w:tc>
      </w:tr>
      <w:tr w:rsidR="009A7EC3" w:rsidRPr="00DE25AD" w14:paraId="27684922" w14:textId="77777777" w:rsidTr="00545FF4">
        <w:trPr>
          <w:trHeight w:val="247"/>
        </w:trPr>
        <w:tc>
          <w:tcPr>
            <w:tcW w:w="1517" w:type="dxa"/>
            <w:tcMar>
              <w:left w:w="57" w:type="dxa"/>
            </w:tcMar>
          </w:tcPr>
          <w:p w14:paraId="0726EFC5" w14:textId="77777777" w:rsidR="009A7EC3" w:rsidRPr="00DE25AD" w:rsidRDefault="009A7EC3" w:rsidP="009A7EC3">
            <w:pPr>
              <w:pStyle w:val="ACCESSTableHeaderRow"/>
              <w:rPr>
                <w:vertAlign w:val="superscript"/>
              </w:rPr>
            </w:pPr>
            <w:r>
              <w:t>&gt; 100 cigs</w:t>
            </w:r>
          </w:p>
        </w:tc>
        <w:tc>
          <w:tcPr>
            <w:tcW w:w="1068" w:type="dxa"/>
            <w:shd w:val="clear" w:color="auto" w:fill="auto"/>
            <w:tcMar>
              <w:left w:w="57" w:type="dxa"/>
            </w:tcMar>
            <w:vAlign w:val="bottom"/>
          </w:tcPr>
          <w:p w14:paraId="7BC9073E" w14:textId="77777777" w:rsidR="009A7EC3" w:rsidRPr="00DE25AD" w:rsidRDefault="009A7EC3" w:rsidP="009A7EC3">
            <w:pPr>
              <w:pStyle w:val="ASSAD2017ACCESSBody1"/>
            </w:pPr>
            <w:r w:rsidRPr="00DE25AD">
              <w:t>Male</w:t>
            </w:r>
          </w:p>
        </w:tc>
        <w:tc>
          <w:tcPr>
            <w:tcW w:w="878" w:type="dxa"/>
            <w:shd w:val="clear" w:color="auto" w:fill="auto"/>
          </w:tcPr>
          <w:p w14:paraId="6A27DBF1" w14:textId="610C2835" w:rsidR="009A7EC3" w:rsidRPr="00DE25AD" w:rsidRDefault="009A7EC3" w:rsidP="009A7EC3">
            <w:pPr>
              <w:pStyle w:val="ASSADACCESStablecentre"/>
            </w:pPr>
            <w:r w:rsidRPr="002E5727">
              <w:rPr>
                <w:bCs w:val="0"/>
                <w:color w:val="000000"/>
              </w:rPr>
              <w:t>-</w:t>
            </w:r>
          </w:p>
        </w:tc>
        <w:tc>
          <w:tcPr>
            <w:tcW w:w="879" w:type="dxa"/>
            <w:shd w:val="clear" w:color="auto" w:fill="auto"/>
          </w:tcPr>
          <w:p w14:paraId="162DA7A9" w14:textId="2A6F6A53" w:rsidR="009A7EC3" w:rsidRPr="00DE25AD" w:rsidRDefault="009A7EC3" w:rsidP="009A7EC3">
            <w:pPr>
              <w:pStyle w:val="ASSADACCESStablecentre"/>
            </w:pPr>
            <w:r w:rsidRPr="002E5727">
              <w:rPr>
                <w:bCs w:val="0"/>
                <w:color w:val="000000"/>
              </w:rPr>
              <w:t>12*</w:t>
            </w:r>
          </w:p>
        </w:tc>
        <w:tc>
          <w:tcPr>
            <w:tcW w:w="879" w:type="dxa"/>
            <w:shd w:val="clear" w:color="auto" w:fill="auto"/>
          </w:tcPr>
          <w:p w14:paraId="7085C294" w14:textId="0F4EA94E" w:rsidR="009A7EC3" w:rsidRPr="00DE25AD" w:rsidRDefault="009A7EC3" w:rsidP="009A7EC3">
            <w:pPr>
              <w:pStyle w:val="ASSADACCESStablecentre"/>
            </w:pPr>
            <w:r w:rsidRPr="002E5727">
              <w:rPr>
                <w:bCs w:val="0"/>
                <w:color w:val="000000"/>
              </w:rPr>
              <w:t>8*</w:t>
            </w:r>
            <w:r w:rsidRPr="002E5727">
              <w:rPr>
                <w:bCs w:val="0"/>
                <w:color w:val="000000"/>
                <w:vertAlign w:val="superscript"/>
              </w:rPr>
              <w:t>#</w:t>
            </w:r>
          </w:p>
        </w:tc>
        <w:tc>
          <w:tcPr>
            <w:tcW w:w="879" w:type="dxa"/>
            <w:shd w:val="clear" w:color="auto" w:fill="auto"/>
          </w:tcPr>
          <w:p w14:paraId="56868CD8" w14:textId="57C1BCD2"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02D615A9" w14:textId="3E75B9ED" w:rsidR="009A7EC3" w:rsidRPr="00DE25AD" w:rsidRDefault="009A7EC3" w:rsidP="009A7EC3">
            <w:pPr>
              <w:pStyle w:val="ASSADACCESStablecentre"/>
            </w:pPr>
            <w:r w:rsidRPr="002E5727">
              <w:rPr>
                <w:bCs w:val="0"/>
                <w:color w:val="000000"/>
              </w:rPr>
              <w:t>4</w:t>
            </w:r>
            <w:r>
              <w:rPr>
                <w:bCs w:val="0"/>
                <w:color w:val="000000"/>
              </w:rPr>
              <w:t>*</w:t>
            </w:r>
            <w:r w:rsidRPr="002E5727">
              <w:rPr>
                <w:bCs w:val="0"/>
                <w:color w:val="000000"/>
                <w:vertAlign w:val="superscript"/>
              </w:rPr>
              <w:t>#</w:t>
            </w:r>
          </w:p>
        </w:tc>
        <w:tc>
          <w:tcPr>
            <w:tcW w:w="879" w:type="dxa"/>
            <w:shd w:val="clear" w:color="auto" w:fill="auto"/>
          </w:tcPr>
          <w:p w14:paraId="6A09AA0A" w14:textId="456A99AE" w:rsidR="009A7EC3" w:rsidRPr="00DE25AD" w:rsidRDefault="009A7EC3" w:rsidP="009A7EC3">
            <w:pPr>
              <w:pStyle w:val="ASSADACCESStablecentre"/>
            </w:pPr>
            <w:r w:rsidRPr="002E5727">
              <w:rPr>
                <w:bCs w:val="0"/>
                <w:color w:val="000000"/>
              </w:rPr>
              <w:t>4</w:t>
            </w:r>
            <w:r w:rsidRPr="002E5727">
              <w:rPr>
                <w:bCs w:val="0"/>
                <w:color w:val="000000"/>
                <w:vertAlign w:val="superscript"/>
              </w:rPr>
              <w:t>#</w:t>
            </w:r>
          </w:p>
        </w:tc>
        <w:tc>
          <w:tcPr>
            <w:tcW w:w="879" w:type="dxa"/>
            <w:shd w:val="clear" w:color="auto" w:fill="auto"/>
          </w:tcPr>
          <w:p w14:paraId="0FCD43F0" w14:textId="25968739" w:rsidR="009A7EC3" w:rsidRPr="00DE25AD" w:rsidRDefault="009A7EC3" w:rsidP="009A7EC3">
            <w:pPr>
              <w:pStyle w:val="ASSADACCESStablecentre"/>
            </w:pPr>
            <w:r w:rsidRPr="002E5727">
              <w:rPr>
                <w:bCs w:val="0"/>
                <w:color w:val="000000"/>
              </w:rPr>
              <w:t>3</w:t>
            </w:r>
            <w:r w:rsidRPr="002E5727">
              <w:rPr>
                <w:bCs w:val="0"/>
                <w:color w:val="000000"/>
                <w:vertAlign w:val="superscript"/>
              </w:rPr>
              <w:t>#</w:t>
            </w:r>
          </w:p>
        </w:tc>
        <w:tc>
          <w:tcPr>
            <w:tcW w:w="879" w:type="dxa"/>
            <w:shd w:val="clear" w:color="auto" w:fill="auto"/>
          </w:tcPr>
          <w:p w14:paraId="50B413CC" w14:textId="1ACE5579" w:rsidR="009A7EC3" w:rsidRPr="00DE25AD" w:rsidRDefault="009A7EC3" w:rsidP="009A7EC3">
            <w:pPr>
              <w:pStyle w:val="ASSADACCESStablecentre"/>
            </w:pPr>
            <w:r w:rsidRPr="002E5727">
              <w:rPr>
                <w:bCs w:val="0"/>
                <w:color w:val="000000"/>
              </w:rPr>
              <w:t>3</w:t>
            </w:r>
            <w:r w:rsidRPr="002E5727">
              <w:rPr>
                <w:bCs w:val="0"/>
                <w:color w:val="000000"/>
                <w:vertAlign w:val="superscript"/>
              </w:rPr>
              <w:t>#</w:t>
            </w:r>
          </w:p>
        </w:tc>
      </w:tr>
      <w:tr w:rsidR="009A7EC3" w:rsidRPr="00DE25AD" w14:paraId="0CFACD2D" w14:textId="77777777" w:rsidTr="005C5B03">
        <w:trPr>
          <w:trHeight w:val="247"/>
        </w:trPr>
        <w:tc>
          <w:tcPr>
            <w:tcW w:w="1517" w:type="dxa"/>
            <w:tcMar>
              <w:left w:w="57" w:type="dxa"/>
            </w:tcMar>
          </w:tcPr>
          <w:p w14:paraId="66CA76E4" w14:textId="77777777" w:rsidR="009A7EC3" w:rsidRPr="00DE25AD" w:rsidRDefault="009A7EC3" w:rsidP="009A7EC3">
            <w:pPr>
              <w:pStyle w:val="ACCESSTableHeaderRow"/>
            </w:pPr>
          </w:p>
        </w:tc>
        <w:tc>
          <w:tcPr>
            <w:tcW w:w="1068" w:type="dxa"/>
            <w:shd w:val="clear" w:color="auto" w:fill="auto"/>
            <w:tcMar>
              <w:left w:w="57" w:type="dxa"/>
            </w:tcMar>
            <w:vAlign w:val="bottom"/>
          </w:tcPr>
          <w:p w14:paraId="003FE4FF" w14:textId="77777777" w:rsidR="009A7EC3" w:rsidRPr="00DE25AD" w:rsidRDefault="009A7EC3" w:rsidP="009A7EC3">
            <w:pPr>
              <w:pStyle w:val="ASSAD2017ACCESSBody1"/>
            </w:pPr>
            <w:r w:rsidRPr="00DE25AD">
              <w:t>Female</w:t>
            </w:r>
          </w:p>
        </w:tc>
        <w:tc>
          <w:tcPr>
            <w:tcW w:w="878" w:type="dxa"/>
            <w:shd w:val="clear" w:color="auto" w:fill="auto"/>
          </w:tcPr>
          <w:p w14:paraId="2E40A7C9" w14:textId="78B1CC89" w:rsidR="009A7EC3" w:rsidRPr="00DE25AD" w:rsidRDefault="009A7EC3" w:rsidP="009A7EC3">
            <w:pPr>
              <w:pStyle w:val="ASSADACCESStablecentre"/>
            </w:pPr>
            <w:r w:rsidRPr="002E5727">
              <w:rPr>
                <w:bCs w:val="0"/>
                <w:color w:val="000000"/>
              </w:rPr>
              <w:t>-</w:t>
            </w:r>
          </w:p>
        </w:tc>
        <w:tc>
          <w:tcPr>
            <w:tcW w:w="879" w:type="dxa"/>
            <w:shd w:val="clear" w:color="auto" w:fill="auto"/>
          </w:tcPr>
          <w:p w14:paraId="017196C0" w14:textId="58008BD8" w:rsidR="009A7EC3" w:rsidRPr="00DE25AD" w:rsidRDefault="009A7EC3" w:rsidP="009A7EC3">
            <w:pPr>
              <w:pStyle w:val="ASSADACCESStablecentre"/>
            </w:pPr>
            <w:r w:rsidRPr="002E5727">
              <w:rPr>
                <w:bCs w:val="0"/>
                <w:color w:val="000000"/>
              </w:rPr>
              <w:t>11*</w:t>
            </w:r>
          </w:p>
        </w:tc>
        <w:tc>
          <w:tcPr>
            <w:tcW w:w="879" w:type="dxa"/>
            <w:shd w:val="clear" w:color="auto" w:fill="auto"/>
          </w:tcPr>
          <w:p w14:paraId="7DB1059C" w14:textId="2801C2D9" w:rsidR="009A7EC3" w:rsidRPr="00DE25AD" w:rsidRDefault="009A7EC3" w:rsidP="009A7EC3">
            <w:pPr>
              <w:pStyle w:val="ASSADACCESStablecentre"/>
            </w:pPr>
            <w:r w:rsidRPr="002E5727">
              <w:rPr>
                <w:bCs w:val="0"/>
                <w:color w:val="000000"/>
              </w:rPr>
              <w:t>8*</w:t>
            </w:r>
            <w:r w:rsidRPr="002E5727">
              <w:rPr>
                <w:bCs w:val="0"/>
                <w:color w:val="000000"/>
                <w:vertAlign w:val="superscript"/>
              </w:rPr>
              <w:t>#</w:t>
            </w:r>
          </w:p>
        </w:tc>
        <w:tc>
          <w:tcPr>
            <w:tcW w:w="879" w:type="dxa"/>
            <w:shd w:val="clear" w:color="auto" w:fill="auto"/>
          </w:tcPr>
          <w:p w14:paraId="0B3124EB" w14:textId="669CCF74"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7761F1F5" w14:textId="28CF8011" w:rsidR="009A7EC3" w:rsidRPr="00DE25AD" w:rsidRDefault="009A7EC3" w:rsidP="009A7EC3">
            <w:pPr>
              <w:pStyle w:val="ASSADACCESStablecentre"/>
            </w:pPr>
            <w:r w:rsidRPr="002E5727">
              <w:rPr>
                <w:bCs w:val="0"/>
                <w:color w:val="000000"/>
              </w:rPr>
              <w:t>4*</w:t>
            </w:r>
            <w:r w:rsidRPr="002E5727">
              <w:rPr>
                <w:bCs w:val="0"/>
                <w:color w:val="000000"/>
                <w:vertAlign w:val="superscript"/>
              </w:rPr>
              <w:t>#</w:t>
            </w:r>
          </w:p>
        </w:tc>
        <w:tc>
          <w:tcPr>
            <w:tcW w:w="879" w:type="dxa"/>
            <w:shd w:val="clear" w:color="auto" w:fill="auto"/>
          </w:tcPr>
          <w:p w14:paraId="038C32C0" w14:textId="3B70C75F" w:rsidR="009A7EC3" w:rsidRPr="00DE25AD" w:rsidRDefault="009A7EC3" w:rsidP="009A7EC3">
            <w:pPr>
              <w:pStyle w:val="ASSADACCESStablecentre"/>
            </w:pPr>
            <w:r w:rsidRPr="002E5727">
              <w:rPr>
                <w:bCs w:val="0"/>
                <w:color w:val="000000"/>
              </w:rPr>
              <w:t>3</w:t>
            </w:r>
            <w:r>
              <w:rPr>
                <w:bCs w:val="0"/>
                <w:color w:val="000000"/>
              </w:rPr>
              <w:t>*</w:t>
            </w:r>
            <w:r w:rsidRPr="002E5727">
              <w:rPr>
                <w:bCs w:val="0"/>
                <w:color w:val="000000"/>
                <w:vertAlign w:val="superscript"/>
              </w:rPr>
              <w:t>#</w:t>
            </w:r>
          </w:p>
        </w:tc>
        <w:tc>
          <w:tcPr>
            <w:tcW w:w="879" w:type="dxa"/>
            <w:shd w:val="clear" w:color="auto" w:fill="auto"/>
          </w:tcPr>
          <w:p w14:paraId="3483B536" w14:textId="709D4E04"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c>
          <w:tcPr>
            <w:tcW w:w="879" w:type="dxa"/>
            <w:shd w:val="clear" w:color="auto" w:fill="auto"/>
          </w:tcPr>
          <w:p w14:paraId="3BCB9AB4" w14:textId="5DC6ECBB"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r>
      <w:tr w:rsidR="009A7EC3" w:rsidRPr="00DE25AD" w14:paraId="57167B45" w14:textId="77777777" w:rsidTr="005C5B03">
        <w:trPr>
          <w:trHeight w:val="247"/>
        </w:trPr>
        <w:tc>
          <w:tcPr>
            <w:tcW w:w="1517" w:type="dxa"/>
            <w:tcMar>
              <w:left w:w="57" w:type="dxa"/>
            </w:tcMar>
          </w:tcPr>
          <w:p w14:paraId="0C9DEC66" w14:textId="77777777" w:rsidR="009A7EC3" w:rsidRPr="00DE25AD" w:rsidRDefault="009A7EC3" w:rsidP="009A7EC3">
            <w:pPr>
              <w:pStyle w:val="ACCESSTableHeaderRow"/>
            </w:pPr>
          </w:p>
        </w:tc>
        <w:tc>
          <w:tcPr>
            <w:tcW w:w="1068" w:type="dxa"/>
            <w:shd w:val="clear" w:color="auto" w:fill="auto"/>
            <w:tcMar>
              <w:left w:w="57" w:type="dxa"/>
            </w:tcMar>
            <w:vAlign w:val="bottom"/>
          </w:tcPr>
          <w:p w14:paraId="2182CF9C" w14:textId="77777777" w:rsidR="009A7EC3" w:rsidRPr="00DE25AD" w:rsidRDefault="009A7EC3" w:rsidP="009A7EC3">
            <w:pPr>
              <w:pStyle w:val="ASSAD2017ACCESSBody1"/>
            </w:pPr>
            <w:r w:rsidRPr="00DE25AD">
              <w:t>Total</w:t>
            </w:r>
          </w:p>
        </w:tc>
        <w:tc>
          <w:tcPr>
            <w:tcW w:w="878" w:type="dxa"/>
            <w:shd w:val="clear" w:color="auto" w:fill="auto"/>
          </w:tcPr>
          <w:p w14:paraId="3263633F" w14:textId="3374B6BF" w:rsidR="009A7EC3" w:rsidRPr="00DE25AD" w:rsidRDefault="009A7EC3" w:rsidP="009A7EC3">
            <w:pPr>
              <w:pStyle w:val="ASSADACCESStablecentre"/>
            </w:pPr>
            <w:r w:rsidRPr="002E5727">
              <w:rPr>
                <w:bCs w:val="0"/>
                <w:color w:val="000000"/>
              </w:rPr>
              <w:t>-</w:t>
            </w:r>
          </w:p>
        </w:tc>
        <w:tc>
          <w:tcPr>
            <w:tcW w:w="879" w:type="dxa"/>
            <w:shd w:val="clear" w:color="auto" w:fill="auto"/>
          </w:tcPr>
          <w:p w14:paraId="29E33DFB" w14:textId="1F939E0C" w:rsidR="009A7EC3" w:rsidRPr="00DE25AD" w:rsidRDefault="009A7EC3" w:rsidP="009A7EC3">
            <w:pPr>
              <w:pStyle w:val="ASSADACCESStablecentre"/>
            </w:pPr>
            <w:r w:rsidRPr="002E5727">
              <w:rPr>
                <w:bCs w:val="0"/>
                <w:color w:val="000000"/>
              </w:rPr>
              <w:t>11*</w:t>
            </w:r>
          </w:p>
        </w:tc>
        <w:tc>
          <w:tcPr>
            <w:tcW w:w="879" w:type="dxa"/>
            <w:shd w:val="clear" w:color="auto" w:fill="auto"/>
          </w:tcPr>
          <w:p w14:paraId="0DCD94B6" w14:textId="7D22F1F8" w:rsidR="009A7EC3" w:rsidRPr="00DE25AD" w:rsidRDefault="009A7EC3" w:rsidP="009A7EC3">
            <w:pPr>
              <w:pStyle w:val="ASSADACCESStablecentre"/>
            </w:pPr>
            <w:r w:rsidRPr="002E5727">
              <w:rPr>
                <w:bCs w:val="0"/>
                <w:color w:val="000000"/>
              </w:rPr>
              <w:t>8*</w:t>
            </w:r>
            <w:r w:rsidRPr="002E5727">
              <w:rPr>
                <w:bCs w:val="0"/>
                <w:color w:val="000000"/>
                <w:vertAlign w:val="superscript"/>
              </w:rPr>
              <w:t>#</w:t>
            </w:r>
          </w:p>
        </w:tc>
        <w:tc>
          <w:tcPr>
            <w:tcW w:w="879" w:type="dxa"/>
            <w:shd w:val="clear" w:color="auto" w:fill="auto"/>
          </w:tcPr>
          <w:p w14:paraId="22CECB62" w14:textId="40A9BF77" w:rsidR="009A7EC3" w:rsidRPr="00DE25AD" w:rsidRDefault="009A7EC3" w:rsidP="009A7EC3">
            <w:pPr>
              <w:pStyle w:val="ASSADACCESStablecentre"/>
            </w:pPr>
            <w:r w:rsidRPr="002E5727">
              <w:rPr>
                <w:bCs w:val="0"/>
                <w:color w:val="000000"/>
              </w:rPr>
              <w:t>5*</w:t>
            </w:r>
            <w:r w:rsidRPr="002E5727">
              <w:rPr>
                <w:bCs w:val="0"/>
                <w:color w:val="000000"/>
                <w:vertAlign w:val="superscript"/>
              </w:rPr>
              <w:t>#</w:t>
            </w:r>
          </w:p>
        </w:tc>
        <w:tc>
          <w:tcPr>
            <w:tcW w:w="879" w:type="dxa"/>
            <w:shd w:val="clear" w:color="auto" w:fill="auto"/>
          </w:tcPr>
          <w:p w14:paraId="725D2A18" w14:textId="4B23022F" w:rsidR="009A7EC3" w:rsidRPr="00DE25AD" w:rsidRDefault="009A7EC3" w:rsidP="009A7EC3">
            <w:pPr>
              <w:pStyle w:val="ASSADACCESStablecentre"/>
            </w:pPr>
            <w:r w:rsidRPr="002E5727">
              <w:rPr>
                <w:bCs w:val="0"/>
                <w:color w:val="000000"/>
              </w:rPr>
              <w:t>4*</w:t>
            </w:r>
            <w:r w:rsidRPr="002E5727">
              <w:rPr>
                <w:bCs w:val="0"/>
                <w:color w:val="000000"/>
                <w:vertAlign w:val="superscript"/>
              </w:rPr>
              <w:t>#</w:t>
            </w:r>
          </w:p>
        </w:tc>
        <w:tc>
          <w:tcPr>
            <w:tcW w:w="879" w:type="dxa"/>
            <w:shd w:val="clear" w:color="auto" w:fill="auto"/>
          </w:tcPr>
          <w:p w14:paraId="7B24BD19" w14:textId="1917A9A1" w:rsidR="009A7EC3" w:rsidRPr="00DE25AD" w:rsidRDefault="009A7EC3" w:rsidP="009A7EC3">
            <w:pPr>
              <w:pStyle w:val="ASSADACCESStablecentre"/>
            </w:pPr>
            <w:r w:rsidRPr="002E5727">
              <w:rPr>
                <w:bCs w:val="0"/>
                <w:color w:val="000000"/>
              </w:rPr>
              <w:t>3*</w:t>
            </w:r>
            <w:r w:rsidRPr="002E5727">
              <w:rPr>
                <w:bCs w:val="0"/>
                <w:color w:val="000000"/>
                <w:vertAlign w:val="superscript"/>
              </w:rPr>
              <w:t>#</w:t>
            </w:r>
          </w:p>
        </w:tc>
        <w:tc>
          <w:tcPr>
            <w:tcW w:w="879" w:type="dxa"/>
            <w:shd w:val="clear" w:color="auto" w:fill="auto"/>
          </w:tcPr>
          <w:p w14:paraId="4B7754F4" w14:textId="3BD35630" w:rsidR="009A7EC3" w:rsidRPr="00DE25AD" w:rsidRDefault="009A7EC3" w:rsidP="009A7EC3">
            <w:pPr>
              <w:pStyle w:val="ASSADACCESStablecentre"/>
            </w:pPr>
            <w:r w:rsidRPr="002E5727">
              <w:rPr>
                <w:bCs w:val="0"/>
                <w:color w:val="000000"/>
              </w:rPr>
              <w:t>3</w:t>
            </w:r>
            <w:r w:rsidRPr="002E5727">
              <w:rPr>
                <w:bCs w:val="0"/>
                <w:color w:val="000000"/>
                <w:vertAlign w:val="superscript"/>
              </w:rPr>
              <w:t>#</w:t>
            </w:r>
          </w:p>
        </w:tc>
        <w:tc>
          <w:tcPr>
            <w:tcW w:w="879" w:type="dxa"/>
            <w:shd w:val="clear" w:color="auto" w:fill="auto"/>
          </w:tcPr>
          <w:p w14:paraId="3C02EBA2" w14:textId="359E3AF7" w:rsidR="009A7EC3" w:rsidRPr="00DE25AD" w:rsidRDefault="009A7EC3" w:rsidP="009A7EC3">
            <w:pPr>
              <w:pStyle w:val="ASSADACCESStablecentre"/>
            </w:pPr>
            <w:r w:rsidRPr="002E5727">
              <w:rPr>
                <w:bCs w:val="0"/>
                <w:color w:val="000000"/>
              </w:rPr>
              <w:t>2</w:t>
            </w:r>
            <w:r w:rsidRPr="002E5727">
              <w:rPr>
                <w:bCs w:val="0"/>
                <w:color w:val="000000"/>
                <w:vertAlign w:val="superscript"/>
              </w:rPr>
              <w:t>#</w:t>
            </w:r>
          </w:p>
        </w:tc>
      </w:tr>
    </w:tbl>
    <w:p w14:paraId="1483E29B" w14:textId="77777777" w:rsidR="0046446A" w:rsidRPr="00DE25AD" w:rsidRDefault="0046446A" w:rsidP="0046446A">
      <w:pPr>
        <w:pStyle w:val="ASSAD2017CWTablenote1"/>
        <w:rPr>
          <w:bCs/>
          <w:sz w:val="20"/>
          <w:szCs w:val="28"/>
        </w:rPr>
      </w:pPr>
      <w:r>
        <w:t xml:space="preserve">* Significantly different than 2017, p&lt;.01; ^ Significantly different than 1996, p&lt;.01; </w:t>
      </w:r>
      <w:r>
        <w:rPr>
          <w:vertAlign w:val="superscript"/>
        </w:rPr>
        <w:t>#</w:t>
      </w:r>
      <w:r>
        <w:t xml:space="preserve"> Significantly different than 1999, p&lt;.01.</w:t>
      </w:r>
      <w:r w:rsidRPr="00DE25AD">
        <w:br w:type="page"/>
      </w:r>
    </w:p>
    <w:p w14:paraId="10B49202" w14:textId="38166040" w:rsidR="003E2E19" w:rsidRPr="0046446A" w:rsidRDefault="003E2E19" w:rsidP="003E2E19">
      <w:pPr>
        <w:pStyle w:val="ASSAD2017TableHeading"/>
      </w:pPr>
      <w:bookmarkStart w:id="75" w:name="_Toc44060491"/>
      <w:r w:rsidRPr="0046446A">
        <w:lastRenderedPageBreak/>
        <w:t xml:space="preserve">Table </w:t>
      </w:r>
      <w:r>
        <w:t>4</w:t>
      </w:r>
      <w:r w:rsidRPr="0046446A">
        <w:t xml:space="preserve"> </w:t>
      </w:r>
      <w:r>
        <w:t>Prevalence</w:t>
      </w:r>
      <w:r w:rsidRPr="0046446A">
        <w:t xml:space="preserve"> of </w:t>
      </w:r>
      <w:r>
        <w:t>alcohol</w:t>
      </w:r>
      <w:r w:rsidRPr="0046446A">
        <w:t xml:space="preserve"> use among secondary students aged 12-1</w:t>
      </w:r>
      <w:r>
        <w:t>5 &amp; 16-17</w:t>
      </w:r>
      <w:r w:rsidRPr="0046446A">
        <w:t xml:space="preserve"> in Australia, ASSAD 1996-2017</w:t>
      </w:r>
      <w:bookmarkEnd w:id="75"/>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3E2E19" w:rsidRPr="00DE25AD" w14:paraId="7914EA05" w14:textId="77777777" w:rsidTr="005C5B03">
        <w:trPr>
          <w:tblHeader/>
        </w:trPr>
        <w:tc>
          <w:tcPr>
            <w:tcW w:w="1517" w:type="dxa"/>
            <w:tcMar>
              <w:left w:w="57" w:type="dxa"/>
            </w:tcMar>
          </w:tcPr>
          <w:p w14:paraId="7A522180" w14:textId="77777777" w:rsidR="003E2E19" w:rsidRPr="00DE25AD" w:rsidRDefault="003E2E19"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3BDC3658" w14:textId="77777777" w:rsidR="003E2E19" w:rsidRPr="00DE25AD" w:rsidRDefault="003E2E19" w:rsidP="005C5B03">
            <w:pPr>
              <w:pStyle w:val="ACCESSTableHeaderRow"/>
            </w:pPr>
          </w:p>
        </w:tc>
        <w:tc>
          <w:tcPr>
            <w:tcW w:w="878" w:type="dxa"/>
            <w:shd w:val="clear" w:color="auto" w:fill="auto"/>
            <w:vAlign w:val="bottom"/>
          </w:tcPr>
          <w:p w14:paraId="0A1D97C7" w14:textId="77777777" w:rsidR="003E2E19" w:rsidRPr="00DE25AD" w:rsidRDefault="003E2E19" w:rsidP="005C5B03">
            <w:pPr>
              <w:pStyle w:val="ACCESSTableHeaderRow"/>
              <w:jc w:val="center"/>
            </w:pPr>
            <w:r>
              <w:t>1996</w:t>
            </w:r>
          </w:p>
          <w:p w14:paraId="2C545D8C" w14:textId="77777777" w:rsidR="003E2E19" w:rsidRPr="00DE25AD" w:rsidRDefault="003E2E19" w:rsidP="005C5B03">
            <w:pPr>
              <w:pStyle w:val="ACCESSTableHeaderRow"/>
              <w:jc w:val="center"/>
            </w:pPr>
            <w:r w:rsidRPr="00DE25AD">
              <w:t>(%)</w:t>
            </w:r>
          </w:p>
        </w:tc>
        <w:tc>
          <w:tcPr>
            <w:tcW w:w="879" w:type="dxa"/>
            <w:shd w:val="clear" w:color="auto" w:fill="auto"/>
            <w:vAlign w:val="bottom"/>
          </w:tcPr>
          <w:p w14:paraId="3B959CCD" w14:textId="77777777" w:rsidR="003E2E19" w:rsidRPr="00DE25AD" w:rsidRDefault="003E2E19" w:rsidP="005C5B03">
            <w:pPr>
              <w:pStyle w:val="ACCESSTableHeaderRow"/>
              <w:jc w:val="center"/>
            </w:pPr>
            <w:r w:rsidRPr="00DE25AD">
              <w:t>1</w:t>
            </w:r>
            <w:r>
              <w:t>999</w:t>
            </w:r>
          </w:p>
          <w:p w14:paraId="75AD2F40" w14:textId="77777777" w:rsidR="003E2E19" w:rsidRPr="00DE25AD" w:rsidRDefault="003E2E19" w:rsidP="005C5B03">
            <w:pPr>
              <w:pStyle w:val="ACCESSTableHeaderRow"/>
              <w:jc w:val="center"/>
            </w:pPr>
            <w:r w:rsidRPr="00DE25AD">
              <w:t>(%)</w:t>
            </w:r>
          </w:p>
        </w:tc>
        <w:tc>
          <w:tcPr>
            <w:tcW w:w="879" w:type="dxa"/>
            <w:shd w:val="clear" w:color="auto" w:fill="auto"/>
            <w:vAlign w:val="bottom"/>
          </w:tcPr>
          <w:p w14:paraId="0FFA8EBB" w14:textId="77777777" w:rsidR="003E2E19" w:rsidRPr="00DE25AD" w:rsidRDefault="003E2E19" w:rsidP="005C5B03">
            <w:pPr>
              <w:pStyle w:val="ACCESSTableHeaderRow"/>
              <w:jc w:val="center"/>
            </w:pPr>
            <w:r>
              <w:t>2002</w:t>
            </w:r>
          </w:p>
          <w:p w14:paraId="1A4265BE" w14:textId="77777777" w:rsidR="003E2E19" w:rsidRPr="00DE25AD" w:rsidRDefault="003E2E19" w:rsidP="005C5B03">
            <w:pPr>
              <w:pStyle w:val="ACCESSTableHeaderRow"/>
              <w:jc w:val="center"/>
            </w:pPr>
            <w:r w:rsidRPr="00DE25AD">
              <w:t>(%)</w:t>
            </w:r>
          </w:p>
        </w:tc>
        <w:tc>
          <w:tcPr>
            <w:tcW w:w="879" w:type="dxa"/>
            <w:shd w:val="clear" w:color="auto" w:fill="auto"/>
            <w:vAlign w:val="bottom"/>
          </w:tcPr>
          <w:p w14:paraId="0045DA48" w14:textId="77777777" w:rsidR="003E2E19" w:rsidRPr="00DE25AD" w:rsidRDefault="003E2E19" w:rsidP="005C5B03">
            <w:pPr>
              <w:pStyle w:val="ACCESSTableHeaderRow"/>
              <w:jc w:val="center"/>
            </w:pPr>
            <w:r>
              <w:t>200</w:t>
            </w:r>
            <w:r w:rsidRPr="00DE25AD">
              <w:t>5</w:t>
            </w:r>
          </w:p>
          <w:p w14:paraId="12D3AEBC" w14:textId="77777777" w:rsidR="003E2E19" w:rsidRPr="00DE25AD" w:rsidRDefault="003E2E19" w:rsidP="005C5B03">
            <w:pPr>
              <w:pStyle w:val="ACCESSTableHeaderRow"/>
              <w:jc w:val="center"/>
            </w:pPr>
            <w:r w:rsidRPr="00DE25AD">
              <w:t>(%)</w:t>
            </w:r>
          </w:p>
        </w:tc>
        <w:tc>
          <w:tcPr>
            <w:tcW w:w="879" w:type="dxa"/>
            <w:shd w:val="clear" w:color="auto" w:fill="auto"/>
            <w:vAlign w:val="bottom"/>
          </w:tcPr>
          <w:p w14:paraId="5DE32D13" w14:textId="77777777" w:rsidR="003E2E19" w:rsidRPr="00DE25AD" w:rsidRDefault="003E2E19" w:rsidP="005C5B03">
            <w:pPr>
              <w:pStyle w:val="ACCESSTableHeaderRow"/>
              <w:jc w:val="center"/>
            </w:pPr>
            <w:r>
              <w:t>2008</w:t>
            </w:r>
          </w:p>
          <w:p w14:paraId="6F4524BF" w14:textId="77777777" w:rsidR="003E2E19" w:rsidRPr="00DE25AD" w:rsidRDefault="003E2E19" w:rsidP="005C5B03">
            <w:pPr>
              <w:pStyle w:val="ACCESSTableHeaderRow"/>
              <w:jc w:val="center"/>
            </w:pPr>
            <w:r w:rsidRPr="00DE25AD">
              <w:t>(%)</w:t>
            </w:r>
          </w:p>
        </w:tc>
        <w:tc>
          <w:tcPr>
            <w:tcW w:w="879" w:type="dxa"/>
            <w:shd w:val="clear" w:color="auto" w:fill="auto"/>
            <w:vAlign w:val="bottom"/>
          </w:tcPr>
          <w:p w14:paraId="4A9FA68D" w14:textId="77777777" w:rsidR="003E2E19" w:rsidRPr="00DE25AD" w:rsidRDefault="003E2E19" w:rsidP="005C5B03">
            <w:pPr>
              <w:pStyle w:val="ACCESSTableHeaderRow"/>
              <w:jc w:val="center"/>
            </w:pPr>
            <w:r>
              <w:t>2011</w:t>
            </w:r>
          </w:p>
          <w:p w14:paraId="69C5501A" w14:textId="77777777" w:rsidR="003E2E19" w:rsidRPr="00DE25AD" w:rsidRDefault="003E2E19" w:rsidP="005C5B03">
            <w:pPr>
              <w:pStyle w:val="ACCESSTableHeaderRow"/>
              <w:jc w:val="center"/>
            </w:pPr>
            <w:r w:rsidRPr="00DE25AD">
              <w:t>(%)</w:t>
            </w:r>
          </w:p>
        </w:tc>
        <w:tc>
          <w:tcPr>
            <w:tcW w:w="879" w:type="dxa"/>
            <w:shd w:val="clear" w:color="auto" w:fill="auto"/>
            <w:vAlign w:val="bottom"/>
          </w:tcPr>
          <w:p w14:paraId="519EF054" w14:textId="77777777" w:rsidR="003E2E19" w:rsidRDefault="003E2E19" w:rsidP="005C5B03">
            <w:pPr>
              <w:pStyle w:val="ACCESSTableHeaderRow"/>
              <w:jc w:val="center"/>
            </w:pPr>
            <w:r>
              <w:t>2014</w:t>
            </w:r>
          </w:p>
          <w:p w14:paraId="59769C28" w14:textId="77777777" w:rsidR="003E2E19" w:rsidRPr="00DE25AD" w:rsidRDefault="003E2E19" w:rsidP="005C5B03">
            <w:pPr>
              <w:pStyle w:val="ACCESSTableHeaderRow"/>
              <w:jc w:val="center"/>
            </w:pPr>
            <w:r>
              <w:t>(%)</w:t>
            </w:r>
          </w:p>
        </w:tc>
        <w:tc>
          <w:tcPr>
            <w:tcW w:w="879" w:type="dxa"/>
            <w:shd w:val="clear" w:color="auto" w:fill="auto"/>
            <w:vAlign w:val="bottom"/>
          </w:tcPr>
          <w:p w14:paraId="36519BF9" w14:textId="77777777" w:rsidR="003E2E19" w:rsidRDefault="003E2E19" w:rsidP="005C5B03">
            <w:pPr>
              <w:pStyle w:val="ACCESSTableHeaderRow"/>
              <w:jc w:val="center"/>
            </w:pPr>
            <w:r>
              <w:t>2017</w:t>
            </w:r>
          </w:p>
          <w:p w14:paraId="73D97971" w14:textId="77777777" w:rsidR="003E2E19" w:rsidRPr="00DE25AD" w:rsidRDefault="003E2E19" w:rsidP="005C5B03">
            <w:pPr>
              <w:pStyle w:val="ACCESSTableHeaderRow"/>
              <w:jc w:val="center"/>
            </w:pPr>
            <w:r w:rsidRPr="00DE25AD">
              <w:t>(%)</w:t>
            </w:r>
          </w:p>
        </w:tc>
      </w:tr>
      <w:tr w:rsidR="005C5B03" w:rsidRPr="00DE25AD" w14:paraId="6BDF15A6" w14:textId="77777777" w:rsidTr="005C5B03">
        <w:trPr>
          <w:tblHeader/>
        </w:trPr>
        <w:tc>
          <w:tcPr>
            <w:tcW w:w="1517" w:type="dxa"/>
            <w:tcMar>
              <w:left w:w="57" w:type="dxa"/>
            </w:tcMar>
          </w:tcPr>
          <w:p w14:paraId="3262B954" w14:textId="6B131ED2" w:rsidR="005C5B03" w:rsidRPr="00DE25AD" w:rsidRDefault="005C5B03" w:rsidP="005C5B03">
            <w:pPr>
              <w:pStyle w:val="ACCESSTableHeaderRow"/>
            </w:pPr>
            <w:r>
              <w:t>Aged 12-15</w:t>
            </w:r>
          </w:p>
        </w:tc>
        <w:tc>
          <w:tcPr>
            <w:tcW w:w="1068" w:type="dxa"/>
            <w:shd w:val="clear" w:color="auto" w:fill="auto"/>
            <w:tcMar>
              <w:left w:w="57" w:type="dxa"/>
            </w:tcMar>
            <w:vAlign w:val="center"/>
          </w:tcPr>
          <w:p w14:paraId="106C9A91" w14:textId="57924F5B" w:rsidR="005C5B03" w:rsidRPr="00DE25AD" w:rsidRDefault="005C5B03" w:rsidP="005C5B03">
            <w:pPr>
              <w:pStyle w:val="ACCESSTableHeaderRow"/>
            </w:pPr>
          </w:p>
        </w:tc>
        <w:tc>
          <w:tcPr>
            <w:tcW w:w="878" w:type="dxa"/>
            <w:shd w:val="clear" w:color="auto" w:fill="auto"/>
            <w:vAlign w:val="bottom"/>
          </w:tcPr>
          <w:p w14:paraId="3172785B" w14:textId="77777777" w:rsidR="005C5B03" w:rsidRPr="00DE25AD" w:rsidRDefault="005C5B03" w:rsidP="005C5B03">
            <w:pPr>
              <w:pStyle w:val="ACCESSTableHeaderRow"/>
            </w:pPr>
          </w:p>
        </w:tc>
        <w:tc>
          <w:tcPr>
            <w:tcW w:w="879" w:type="dxa"/>
            <w:shd w:val="clear" w:color="auto" w:fill="auto"/>
            <w:vAlign w:val="bottom"/>
          </w:tcPr>
          <w:p w14:paraId="0F800012" w14:textId="77777777" w:rsidR="005C5B03" w:rsidRPr="00DE25AD" w:rsidRDefault="005C5B03" w:rsidP="005C5B03">
            <w:pPr>
              <w:pStyle w:val="ACCESSTableHeaderRow"/>
            </w:pPr>
          </w:p>
        </w:tc>
        <w:tc>
          <w:tcPr>
            <w:tcW w:w="879" w:type="dxa"/>
            <w:shd w:val="clear" w:color="auto" w:fill="auto"/>
            <w:vAlign w:val="bottom"/>
          </w:tcPr>
          <w:p w14:paraId="3C8F712E" w14:textId="77777777" w:rsidR="005C5B03" w:rsidRPr="00DE25AD" w:rsidRDefault="005C5B03" w:rsidP="005C5B03">
            <w:pPr>
              <w:pStyle w:val="ACCESSTableHeaderRow"/>
            </w:pPr>
          </w:p>
        </w:tc>
        <w:tc>
          <w:tcPr>
            <w:tcW w:w="879" w:type="dxa"/>
            <w:shd w:val="clear" w:color="auto" w:fill="auto"/>
            <w:vAlign w:val="bottom"/>
          </w:tcPr>
          <w:p w14:paraId="65F5C5DA" w14:textId="77777777" w:rsidR="005C5B03" w:rsidRPr="00DE25AD" w:rsidRDefault="005C5B03" w:rsidP="005C5B03">
            <w:pPr>
              <w:pStyle w:val="ACCESSTableHeaderRow"/>
            </w:pPr>
          </w:p>
        </w:tc>
        <w:tc>
          <w:tcPr>
            <w:tcW w:w="879" w:type="dxa"/>
            <w:shd w:val="clear" w:color="auto" w:fill="auto"/>
            <w:vAlign w:val="bottom"/>
          </w:tcPr>
          <w:p w14:paraId="20B43BBA" w14:textId="77777777" w:rsidR="005C5B03" w:rsidRPr="00DE25AD" w:rsidRDefault="005C5B03" w:rsidP="005C5B03">
            <w:pPr>
              <w:pStyle w:val="ACCESSTableHeaderRow"/>
            </w:pPr>
          </w:p>
        </w:tc>
        <w:tc>
          <w:tcPr>
            <w:tcW w:w="879" w:type="dxa"/>
            <w:shd w:val="clear" w:color="auto" w:fill="auto"/>
            <w:vAlign w:val="bottom"/>
          </w:tcPr>
          <w:p w14:paraId="3D6407E4" w14:textId="77777777" w:rsidR="005C5B03" w:rsidRPr="00DE25AD" w:rsidRDefault="005C5B03" w:rsidP="005C5B03">
            <w:pPr>
              <w:pStyle w:val="ACCESSTableHeaderRow"/>
            </w:pPr>
          </w:p>
        </w:tc>
        <w:tc>
          <w:tcPr>
            <w:tcW w:w="879" w:type="dxa"/>
            <w:shd w:val="clear" w:color="auto" w:fill="auto"/>
            <w:vAlign w:val="bottom"/>
          </w:tcPr>
          <w:p w14:paraId="418F8DF2" w14:textId="77777777" w:rsidR="005C5B03" w:rsidRPr="00DE25AD" w:rsidRDefault="005C5B03" w:rsidP="005C5B03">
            <w:pPr>
              <w:pStyle w:val="ACCESSTableHeaderRow"/>
            </w:pPr>
          </w:p>
        </w:tc>
        <w:tc>
          <w:tcPr>
            <w:tcW w:w="879" w:type="dxa"/>
            <w:shd w:val="clear" w:color="auto" w:fill="auto"/>
            <w:vAlign w:val="bottom"/>
          </w:tcPr>
          <w:p w14:paraId="3B4547C5" w14:textId="77777777" w:rsidR="005C5B03" w:rsidRPr="00DE25AD" w:rsidRDefault="005C5B03" w:rsidP="005C5B03">
            <w:pPr>
              <w:pStyle w:val="ACCESSTableHeaderRow"/>
            </w:pPr>
          </w:p>
        </w:tc>
      </w:tr>
      <w:tr w:rsidR="005C5B03" w:rsidRPr="00DE25AD" w14:paraId="5F3B0F4F" w14:textId="77777777" w:rsidTr="005C5B03">
        <w:tc>
          <w:tcPr>
            <w:tcW w:w="1517" w:type="dxa"/>
            <w:tcMar>
              <w:left w:w="57" w:type="dxa"/>
            </w:tcMar>
          </w:tcPr>
          <w:p w14:paraId="40E2F1A5" w14:textId="19F915C3" w:rsidR="005C5B03" w:rsidRDefault="005C5B03" w:rsidP="005C5B03">
            <w:pPr>
              <w:pStyle w:val="ACCESSTableHeaderRow"/>
            </w:pPr>
            <w:r w:rsidRPr="00DE25AD">
              <w:t>Recency</w:t>
            </w:r>
          </w:p>
        </w:tc>
        <w:tc>
          <w:tcPr>
            <w:tcW w:w="1068" w:type="dxa"/>
            <w:shd w:val="clear" w:color="auto" w:fill="auto"/>
            <w:tcMar>
              <w:left w:w="57" w:type="dxa"/>
            </w:tcMar>
            <w:vAlign w:val="center"/>
          </w:tcPr>
          <w:p w14:paraId="5D5D1C22" w14:textId="03C4A4FF" w:rsidR="005C5B03" w:rsidRPr="00DE25AD" w:rsidRDefault="005C5B03" w:rsidP="005C5B03">
            <w:pPr>
              <w:pStyle w:val="ASSAD2017ACCESSBody1"/>
            </w:pPr>
            <w:r w:rsidRPr="005C5B03">
              <w:rPr>
                <w:b/>
                <w:bCs w:val="0"/>
              </w:rPr>
              <w:t>Sex</w:t>
            </w:r>
          </w:p>
        </w:tc>
        <w:tc>
          <w:tcPr>
            <w:tcW w:w="878" w:type="dxa"/>
            <w:shd w:val="clear" w:color="auto" w:fill="auto"/>
          </w:tcPr>
          <w:p w14:paraId="580D3258" w14:textId="77777777" w:rsidR="005C5B03" w:rsidRPr="00DE25AD" w:rsidRDefault="005C5B03" w:rsidP="005C5B03">
            <w:pPr>
              <w:pStyle w:val="ASSADACCESStablecentre"/>
            </w:pPr>
          </w:p>
        </w:tc>
        <w:tc>
          <w:tcPr>
            <w:tcW w:w="879" w:type="dxa"/>
            <w:shd w:val="clear" w:color="auto" w:fill="auto"/>
          </w:tcPr>
          <w:p w14:paraId="0D514CB0" w14:textId="77777777" w:rsidR="005C5B03" w:rsidRPr="00DE25AD" w:rsidRDefault="005C5B03" w:rsidP="005C5B03">
            <w:pPr>
              <w:pStyle w:val="ASSADACCESStablecentre"/>
            </w:pPr>
          </w:p>
        </w:tc>
        <w:tc>
          <w:tcPr>
            <w:tcW w:w="879" w:type="dxa"/>
            <w:shd w:val="clear" w:color="auto" w:fill="auto"/>
          </w:tcPr>
          <w:p w14:paraId="02F7B2F0" w14:textId="77777777" w:rsidR="005C5B03" w:rsidRPr="00DE25AD" w:rsidRDefault="005C5B03" w:rsidP="005C5B03">
            <w:pPr>
              <w:pStyle w:val="ASSADACCESStablecentre"/>
            </w:pPr>
          </w:p>
        </w:tc>
        <w:tc>
          <w:tcPr>
            <w:tcW w:w="879" w:type="dxa"/>
            <w:shd w:val="clear" w:color="auto" w:fill="auto"/>
          </w:tcPr>
          <w:p w14:paraId="73986119" w14:textId="77777777" w:rsidR="005C5B03" w:rsidRPr="00DE25AD" w:rsidRDefault="005C5B03" w:rsidP="005C5B03">
            <w:pPr>
              <w:pStyle w:val="ASSADACCESStablecentre"/>
            </w:pPr>
          </w:p>
        </w:tc>
        <w:tc>
          <w:tcPr>
            <w:tcW w:w="879" w:type="dxa"/>
            <w:shd w:val="clear" w:color="auto" w:fill="auto"/>
          </w:tcPr>
          <w:p w14:paraId="37D1F9F7" w14:textId="77777777" w:rsidR="005C5B03" w:rsidRPr="00DE25AD" w:rsidRDefault="005C5B03" w:rsidP="005C5B03">
            <w:pPr>
              <w:pStyle w:val="ASSADACCESStablecentre"/>
            </w:pPr>
          </w:p>
        </w:tc>
        <w:tc>
          <w:tcPr>
            <w:tcW w:w="879" w:type="dxa"/>
            <w:shd w:val="clear" w:color="auto" w:fill="auto"/>
          </w:tcPr>
          <w:p w14:paraId="0D6F4948" w14:textId="77777777" w:rsidR="005C5B03" w:rsidRPr="00DE25AD" w:rsidRDefault="005C5B03" w:rsidP="005C5B03">
            <w:pPr>
              <w:pStyle w:val="ASSADACCESStablecentre"/>
            </w:pPr>
          </w:p>
        </w:tc>
        <w:tc>
          <w:tcPr>
            <w:tcW w:w="879" w:type="dxa"/>
            <w:shd w:val="clear" w:color="auto" w:fill="auto"/>
          </w:tcPr>
          <w:p w14:paraId="015B0CC0" w14:textId="77777777" w:rsidR="005C5B03" w:rsidRPr="00DE25AD" w:rsidRDefault="005C5B03" w:rsidP="005C5B03">
            <w:pPr>
              <w:pStyle w:val="ASSADACCESStablecentre"/>
            </w:pPr>
          </w:p>
        </w:tc>
        <w:tc>
          <w:tcPr>
            <w:tcW w:w="879" w:type="dxa"/>
            <w:shd w:val="clear" w:color="auto" w:fill="auto"/>
          </w:tcPr>
          <w:p w14:paraId="1D04E111" w14:textId="77777777" w:rsidR="005C5B03" w:rsidRPr="00DE25AD" w:rsidRDefault="005C5B03" w:rsidP="005C5B03">
            <w:pPr>
              <w:pStyle w:val="ASSADACCESStablecentre"/>
            </w:pPr>
          </w:p>
        </w:tc>
      </w:tr>
      <w:tr w:rsidR="009A7EC3" w:rsidRPr="00DE25AD" w14:paraId="47BBABAD" w14:textId="77777777" w:rsidTr="005C5B03">
        <w:tc>
          <w:tcPr>
            <w:tcW w:w="1517" w:type="dxa"/>
            <w:tcMar>
              <w:left w:w="57" w:type="dxa"/>
            </w:tcMar>
          </w:tcPr>
          <w:p w14:paraId="684E6D4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23C30CE5" w14:textId="77777777" w:rsidR="009A7EC3" w:rsidRPr="00DE25AD" w:rsidRDefault="009A7EC3" w:rsidP="009A7EC3">
            <w:pPr>
              <w:pStyle w:val="ASSAD2017ACCESSBody1"/>
            </w:pPr>
            <w:r w:rsidRPr="00DE25AD">
              <w:t>Male</w:t>
            </w:r>
          </w:p>
        </w:tc>
        <w:tc>
          <w:tcPr>
            <w:tcW w:w="878" w:type="dxa"/>
            <w:shd w:val="clear" w:color="auto" w:fill="auto"/>
          </w:tcPr>
          <w:p w14:paraId="0CD26757" w14:textId="403E5B31" w:rsidR="009A7EC3" w:rsidRPr="00DE25AD" w:rsidRDefault="009A7EC3" w:rsidP="009A7EC3">
            <w:pPr>
              <w:pStyle w:val="ASSADACCESStablecentre"/>
            </w:pPr>
            <w:r w:rsidRPr="002E5727">
              <w:rPr>
                <w:bCs w:val="0"/>
                <w:color w:val="000000"/>
              </w:rPr>
              <w:t>88*</w:t>
            </w:r>
          </w:p>
        </w:tc>
        <w:tc>
          <w:tcPr>
            <w:tcW w:w="879" w:type="dxa"/>
            <w:shd w:val="clear" w:color="auto" w:fill="auto"/>
          </w:tcPr>
          <w:p w14:paraId="7ED32648" w14:textId="333D436A" w:rsidR="009A7EC3" w:rsidRPr="00DE25AD" w:rsidRDefault="009A7EC3" w:rsidP="009A7EC3">
            <w:pPr>
              <w:pStyle w:val="ASSADACCESStablecentre"/>
            </w:pPr>
            <w:r w:rsidRPr="002E5727">
              <w:rPr>
                <w:bCs w:val="0"/>
                <w:color w:val="000000"/>
              </w:rPr>
              <w:t>88*</w:t>
            </w:r>
          </w:p>
        </w:tc>
        <w:tc>
          <w:tcPr>
            <w:tcW w:w="879" w:type="dxa"/>
            <w:shd w:val="clear" w:color="auto" w:fill="auto"/>
          </w:tcPr>
          <w:p w14:paraId="05708269" w14:textId="50500077" w:rsidR="009A7EC3" w:rsidRPr="00DE25AD" w:rsidRDefault="009A7EC3" w:rsidP="009A7EC3">
            <w:pPr>
              <w:pStyle w:val="ASSADACCESStablecentre"/>
            </w:pPr>
            <w:r w:rsidRPr="002E5727">
              <w:rPr>
                <w:bCs w:val="0"/>
                <w:color w:val="000000"/>
              </w:rPr>
              <w:t>88*</w:t>
            </w:r>
          </w:p>
        </w:tc>
        <w:tc>
          <w:tcPr>
            <w:tcW w:w="879" w:type="dxa"/>
            <w:shd w:val="clear" w:color="auto" w:fill="auto"/>
          </w:tcPr>
          <w:p w14:paraId="48479923" w14:textId="282EAF99" w:rsidR="009A7EC3" w:rsidRPr="00DE25AD" w:rsidRDefault="009A7EC3" w:rsidP="009A7EC3">
            <w:pPr>
              <w:pStyle w:val="ASSADACCESStablecentre"/>
            </w:pPr>
            <w:r w:rsidRPr="002E5727">
              <w:rPr>
                <w:bCs w:val="0"/>
                <w:color w:val="000000"/>
              </w:rPr>
              <w:t>83*^</w:t>
            </w:r>
          </w:p>
        </w:tc>
        <w:tc>
          <w:tcPr>
            <w:tcW w:w="879" w:type="dxa"/>
            <w:shd w:val="clear" w:color="auto" w:fill="auto"/>
          </w:tcPr>
          <w:p w14:paraId="7DCAA6E2" w14:textId="2213364F" w:rsidR="009A7EC3" w:rsidRPr="00DE25AD" w:rsidRDefault="009A7EC3" w:rsidP="009A7EC3">
            <w:pPr>
              <w:pStyle w:val="ASSADACCESStablecentre"/>
            </w:pPr>
            <w:r w:rsidRPr="002E5727">
              <w:rPr>
                <w:bCs w:val="0"/>
                <w:color w:val="000000"/>
              </w:rPr>
              <w:t>79*^</w:t>
            </w:r>
          </w:p>
        </w:tc>
        <w:tc>
          <w:tcPr>
            <w:tcW w:w="879" w:type="dxa"/>
            <w:shd w:val="clear" w:color="auto" w:fill="auto"/>
          </w:tcPr>
          <w:p w14:paraId="62711DC4" w14:textId="5617313E" w:rsidR="009A7EC3" w:rsidRPr="00DE25AD" w:rsidRDefault="009A7EC3" w:rsidP="009A7EC3">
            <w:pPr>
              <w:pStyle w:val="ASSADACCESStablecentre"/>
            </w:pPr>
            <w:r w:rsidRPr="002E5727">
              <w:rPr>
                <w:bCs w:val="0"/>
                <w:color w:val="000000"/>
              </w:rPr>
              <w:t>70*^</w:t>
            </w:r>
          </w:p>
        </w:tc>
        <w:tc>
          <w:tcPr>
            <w:tcW w:w="879" w:type="dxa"/>
            <w:shd w:val="clear" w:color="auto" w:fill="auto"/>
          </w:tcPr>
          <w:p w14:paraId="288FD72C" w14:textId="52C8E85F" w:rsidR="009A7EC3" w:rsidRPr="00DE25AD" w:rsidRDefault="009A7EC3" w:rsidP="009A7EC3">
            <w:pPr>
              <w:pStyle w:val="ASSADACCESStablecentre"/>
            </w:pPr>
            <w:r w:rsidRPr="002E5727">
              <w:rPr>
                <w:bCs w:val="0"/>
                <w:color w:val="000000"/>
              </w:rPr>
              <w:t>62^</w:t>
            </w:r>
          </w:p>
        </w:tc>
        <w:tc>
          <w:tcPr>
            <w:tcW w:w="879" w:type="dxa"/>
            <w:shd w:val="clear" w:color="auto" w:fill="auto"/>
          </w:tcPr>
          <w:p w14:paraId="313E8D33" w14:textId="00875DFB" w:rsidR="009A7EC3" w:rsidRPr="00DE25AD" w:rsidRDefault="009A7EC3" w:rsidP="009A7EC3">
            <w:pPr>
              <w:pStyle w:val="ASSADACCESStablecentre"/>
            </w:pPr>
            <w:r w:rsidRPr="002E5727">
              <w:rPr>
                <w:bCs w:val="0"/>
                <w:color w:val="000000"/>
              </w:rPr>
              <w:t>61^</w:t>
            </w:r>
          </w:p>
        </w:tc>
      </w:tr>
      <w:tr w:rsidR="009A7EC3" w:rsidRPr="00DE25AD" w14:paraId="5CB2CED8" w14:textId="77777777" w:rsidTr="005C5B03">
        <w:tc>
          <w:tcPr>
            <w:tcW w:w="1517" w:type="dxa"/>
            <w:tcMar>
              <w:left w:w="57" w:type="dxa"/>
            </w:tcMar>
          </w:tcPr>
          <w:p w14:paraId="05B5F700" w14:textId="77777777" w:rsidR="009A7EC3" w:rsidRPr="00DE25AD" w:rsidRDefault="009A7EC3" w:rsidP="009A7EC3">
            <w:pPr>
              <w:pStyle w:val="ACCESSTableHeaderRow"/>
            </w:pPr>
          </w:p>
        </w:tc>
        <w:tc>
          <w:tcPr>
            <w:tcW w:w="1068" w:type="dxa"/>
            <w:shd w:val="clear" w:color="auto" w:fill="auto"/>
            <w:tcMar>
              <w:left w:w="57" w:type="dxa"/>
            </w:tcMar>
            <w:vAlign w:val="bottom"/>
          </w:tcPr>
          <w:p w14:paraId="30D164BC" w14:textId="77777777" w:rsidR="009A7EC3" w:rsidRPr="00DE25AD" w:rsidRDefault="009A7EC3" w:rsidP="009A7EC3">
            <w:pPr>
              <w:pStyle w:val="ASSAD2017ACCESSBody1"/>
            </w:pPr>
            <w:r w:rsidRPr="00DE25AD">
              <w:t>Female</w:t>
            </w:r>
          </w:p>
        </w:tc>
        <w:tc>
          <w:tcPr>
            <w:tcW w:w="878" w:type="dxa"/>
            <w:shd w:val="clear" w:color="auto" w:fill="auto"/>
          </w:tcPr>
          <w:p w14:paraId="6C1260CD" w14:textId="642D1503" w:rsidR="009A7EC3" w:rsidRPr="00DE25AD" w:rsidRDefault="009A7EC3" w:rsidP="009A7EC3">
            <w:pPr>
              <w:pStyle w:val="ASSADACCESStablecentre"/>
            </w:pPr>
            <w:r w:rsidRPr="002E5727">
              <w:rPr>
                <w:bCs w:val="0"/>
                <w:color w:val="000000"/>
              </w:rPr>
              <w:t>85*</w:t>
            </w:r>
          </w:p>
        </w:tc>
        <w:tc>
          <w:tcPr>
            <w:tcW w:w="879" w:type="dxa"/>
            <w:shd w:val="clear" w:color="auto" w:fill="auto"/>
          </w:tcPr>
          <w:p w14:paraId="181896E1" w14:textId="308C0216" w:rsidR="009A7EC3" w:rsidRPr="00DE25AD" w:rsidRDefault="009A7EC3" w:rsidP="009A7EC3">
            <w:pPr>
              <w:pStyle w:val="ASSADACCESStablecentre"/>
            </w:pPr>
            <w:r w:rsidRPr="002E5727">
              <w:rPr>
                <w:bCs w:val="0"/>
                <w:color w:val="000000"/>
              </w:rPr>
              <w:t>85*</w:t>
            </w:r>
          </w:p>
        </w:tc>
        <w:tc>
          <w:tcPr>
            <w:tcW w:w="879" w:type="dxa"/>
            <w:shd w:val="clear" w:color="auto" w:fill="auto"/>
          </w:tcPr>
          <w:p w14:paraId="0260F9B4" w14:textId="0638DDD0" w:rsidR="009A7EC3" w:rsidRPr="00DE25AD" w:rsidRDefault="009A7EC3" w:rsidP="009A7EC3">
            <w:pPr>
              <w:pStyle w:val="ASSADACCESStablecentre"/>
            </w:pPr>
            <w:r w:rsidRPr="002E5727">
              <w:rPr>
                <w:bCs w:val="0"/>
                <w:color w:val="000000"/>
              </w:rPr>
              <w:t>85*</w:t>
            </w:r>
          </w:p>
        </w:tc>
        <w:tc>
          <w:tcPr>
            <w:tcW w:w="879" w:type="dxa"/>
            <w:shd w:val="clear" w:color="auto" w:fill="auto"/>
          </w:tcPr>
          <w:p w14:paraId="5D581833" w14:textId="4EA2238B" w:rsidR="009A7EC3" w:rsidRPr="00DE25AD" w:rsidRDefault="009A7EC3" w:rsidP="009A7EC3">
            <w:pPr>
              <w:pStyle w:val="ASSADACCESStablecentre"/>
            </w:pPr>
            <w:r w:rsidRPr="002E5727">
              <w:rPr>
                <w:bCs w:val="0"/>
                <w:color w:val="000000"/>
              </w:rPr>
              <w:t>81*</w:t>
            </w:r>
            <w:r>
              <w:rPr>
                <w:bCs w:val="0"/>
                <w:color w:val="000000"/>
              </w:rPr>
              <w:t>^</w:t>
            </w:r>
          </w:p>
        </w:tc>
        <w:tc>
          <w:tcPr>
            <w:tcW w:w="879" w:type="dxa"/>
            <w:shd w:val="clear" w:color="auto" w:fill="auto"/>
          </w:tcPr>
          <w:p w14:paraId="17A54402" w14:textId="3D3A6111" w:rsidR="009A7EC3" w:rsidRPr="00DE25AD" w:rsidRDefault="009A7EC3" w:rsidP="009A7EC3">
            <w:pPr>
              <w:pStyle w:val="ASSADACCESStablecentre"/>
            </w:pPr>
            <w:r w:rsidRPr="002E5727">
              <w:rPr>
                <w:bCs w:val="0"/>
                <w:color w:val="000000"/>
              </w:rPr>
              <w:t>78*^</w:t>
            </w:r>
          </w:p>
        </w:tc>
        <w:tc>
          <w:tcPr>
            <w:tcW w:w="879" w:type="dxa"/>
            <w:shd w:val="clear" w:color="auto" w:fill="auto"/>
          </w:tcPr>
          <w:p w14:paraId="3A2EC549" w14:textId="03AA8D4A" w:rsidR="009A7EC3" w:rsidRPr="00DE25AD" w:rsidRDefault="009A7EC3" w:rsidP="009A7EC3">
            <w:pPr>
              <w:pStyle w:val="ASSADACCESStablecentre"/>
            </w:pPr>
            <w:r w:rsidRPr="002E5727">
              <w:rPr>
                <w:bCs w:val="0"/>
                <w:color w:val="000000"/>
              </w:rPr>
              <w:t>65*^</w:t>
            </w:r>
          </w:p>
        </w:tc>
        <w:tc>
          <w:tcPr>
            <w:tcW w:w="879" w:type="dxa"/>
            <w:shd w:val="clear" w:color="auto" w:fill="auto"/>
          </w:tcPr>
          <w:p w14:paraId="2F536314" w14:textId="40FB07A1" w:rsidR="009A7EC3" w:rsidRPr="00DE25AD" w:rsidRDefault="009A7EC3" w:rsidP="009A7EC3">
            <w:pPr>
              <w:pStyle w:val="ASSADACCESStablecentre"/>
            </w:pPr>
            <w:r w:rsidRPr="002E5727">
              <w:rPr>
                <w:bCs w:val="0"/>
                <w:color w:val="000000"/>
              </w:rPr>
              <w:t>60^</w:t>
            </w:r>
          </w:p>
        </w:tc>
        <w:tc>
          <w:tcPr>
            <w:tcW w:w="879" w:type="dxa"/>
            <w:shd w:val="clear" w:color="auto" w:fill="auto"/>
          </w:tcPr>
          <w:p w14:paraId="2D0CBCC6" w14:textId="79608AB8" w:rsidR="009A7EC3" w:rsidRPr="00DE25AD" w:rsidRDefault="009A7EC3" w:rsidP="009A7EC3">
            <w:pPr>
              <w:pStyle w:val="ASSADACCESStablecentre"/>
            </w:pPr>
            <w:r w:rsidRPr="002E5727">
              <w:rPr>
                <w:bCs w:val="0"/>
                <w:color w:val="000000"/>
              </w:rPr>
              <w:t>55^</w:t>
            </w:r>
          </w:p>
        </w:tc>
      </w:tr>
      <w:tr w:rsidR="009A7EC3" w:rsidRPr="00DE25AD" w14:paraId="31015073" w14:textId="77777777" w:rsidTr="005C5B03">
        <w:tc>
          <w:tcPr>
            <w:tcW w:w="1517" w:type="dxa"/>
            <w:tcMar>
              <w:left w:w="57" w:type="dxa"/>
            </w:tcMar>
          </w:tcPr>
          <w:p w14:paraId="52B62948" w14:textId="77777777" w:rsidR="009A7EC3" w:rsidRPr="00DE25AD" w:rsidRDefault="009A7EC3" w:rsidP="009A7EC3">
            <w:pPr>
              <w:pStyle w:val="ACCESSTableHeaderRow"/>
            </w:pPr>
          </w:p>
        </w:tc>
        <w:tc>
          <w:tcPr>
            <w:tcW w:w="1068" w:type="dxa"/>
            <w:shd w:val="clear" w:color="auto" w:fill="auto"/>
            <w:tcMar>
              <w:left w:w="57" w:type="dxa"/>
            </w:tcMar>
            <w:vAlign w:val="bottom"/>
          </w:tcPr>
          <w:p w14:paraId="315A8FD1" w14:textId="77777777" w:rsidR="009A7EC3" w:rsidRPr="00DE25AD" w:rsidRDefault="009A7EC3" w:rsidP="009A7EC3">
            <w:pPr>
              <w:pStyle w:val="ASSAD2017ACCESSBody1"/>
            </w:pPr>
            <w:r w:rsidRPr="00DE25AD">
              <w:t>Total</w:t>
            </w:r>
          </w:p>
        </w:tc>
        <w:tc>
          <w:tcPr>
            <w:tcW w:w="878" w:type="dxa"/>
            <w:shd w:val="clear" w:color="auto" w:fill="auto"/>
          </w:tcPr>
          <w:p w14:paraId="7A4C0489" w14:textId="07B6AFE1" w:rsidR="009A7EC3" w:rsidRPr="00DE25AD" w:rsidRDefault="009A7EC3" w:rsidP="009A7EC3">
            <w:pPr>
              <w:pStyle w:val="ASSADACCESStablecentre"/>
            </w:pPr>
            <w:r w:rsidRPr="002E5727">
              <w:rPr>
                <w:bCs w:val="0"/>
                <w:color w:val="000000"/>
              </w:rPr>
              <w:t>86*</w:t>
            </w:r>
          </w:p>
        </w:tc>
        <w:tc>
          <w:tcPr>
            <w:tcW w:w="879" w:type="dxa"/>
            <w:shd w:val="clear" w:color="auto" w:fill="auto"/>
          </w:tcPr>
          <w:p w14:paraId="51570423" w14:textId="0686081C" w:rsidR="009A7EC3" w:rsidRPr="00DE25AD" w:rsidRDefault="009A7EC3" w:rsidP="009A7EC3">
            <w:pPr>
              <w:pStyle w:val="ASSADACCESStablecentre"/>
            </w:pPr>
            <w:r w:rsidRPr="002E5727">
              <w:rPr>
                <w:bCs w:val="0"/>
                <w:color w:val="000000"/>
              </w:rPr>
              <w:t>86*</w:t>
            </w:r>
          </w:p>
        </w:tc>
        <w:tc>
          <w:tcPr>
            <w:tcW w:w="879" w:type="dxa"/>
            <w:shd w:val="clear" w:color="auto" w:fill="auto"/>
          </w:tcPr>
          <w:p w14:paraId="1246A309" w14:textId="5EF1C494" w:rsidR="009A7EC3" w:rsidRPr="00DE25AD" w:rsidRDefault="009A7EC3" w:rsidP="009A7EC3">
            <w:pPr>
              <w:pStyle w:val="ASSADACCESStablecentre"/>
            </w:pPr>
            <w:r w:rsidRPr="002E5727">
              <w:rPr>
                <w:bCs w:val="0"/>
                <w:color w:val="000000"/>
              </w:rPr>
              <w:t>86*</w:t>
            </w:r>
          </w:p>
        </w:tc>
        <w:tc>
          <w:tcPr>
            <w:tcW w:w="879" w:type="dxa"/>
            <w:shd w:val="clear" w:color="auto" w:fill="auto"/>
          </w:tcPr>
          <w:p w14:paraId="3AE94E76" w14:textId="7C0F5A9F" w:rsidR="009A7EC3" w:rsidRPr="00DE25AD" w:rsidRDefault="009A7EC3" w:rsidP="009A7EC3">
            <w:pPr>
              <w:pStyle w:val="ASSADACCESStablecentre"/>
            </w:pPr>
            <w:r w:rsidRPr="002E5727">
              <w:rPr>
                <w:bCs w:val="0"/>
                <w:color w:val="000000"/>
              </w:rPr>
              <w:t>82*^</w:t>
            </w:r>
          </w:p>
        </w:tc>
        <w:tc>
          <w:tcPr>
            <w:tcW w:w="879" w:type="dxa"/>
            <w:shd w:val="clear" w:color="auto" w:fill="auto"/>
          </w:tcPr>
          <w:p w14:paraId="2373D591" w14:textId="74148570" w:rsidR="009A7EC3" w:rsidRPr="00DE25AD" w:rsidRDefault="009A7EC3" w:rsidP="009A7EC3">
            <w:pPr>
              <w:pStyle w:val="ASSADACCESStablecentre"/>
            </w:pPr>
            <w:r w:rsidRPr="002E5727">
              <w:rPr>
                <w:bCs w:val="0"/>
                <w:color w:val="000000"/>
              </w:rPr>
              <w:t>78*^</w:t>
            </w:r>
          </w:p>
        </w:tc>
        <w:tc>
          <w:tcPr>
            <w:tcW w:w="879" w:type="dxa"/>
            <w:shd w:val="clear" w:color="auto" w:fill="auto"/>
          </w:tcPr>
          <w:p w14:paraId="2DD4E734" w14:textId="5250074F" w:rsidR="009A7EC3" w:rsidRPr="00DE25AD" w:rsidRDefault="009A7EC3" w:rsidP="009A7EC3">
            <w:pPr>
              <w:pStyle w:val="ASSADACCESStablecentre"/>
            </w:pPr>
            <w:r w:rsidRPr="002E5727">
              <w:rPr>
                <w:bCs w:val="0"/>
                <w:color w:val="000000"/>
              </w:rPr>
              <w:t>68*^</w:t>
            </w:r>
          </w:p>
        </w:tc>
        <w:tc>
          <w:tcPr>
            <w:tcW w:w="879" w:type="dxa"/>
            <w:shd w:val="clear" w:color="auto" w:fill="auto"/>
          </w:tcPr>
          <w:p w14:paraId="5BB69353" w14:textId="633531A5" w:rsidR="009A7EC3" w:rsidRPr="00DE25AD" w:rsidRDefault="009A7EC3" w:rsidP="009A7EC3">
            <w:pPr>
              <w:pStyle w:val="ASSADACCESStablecentre"/>
            </w:pPr>
            <w:r w:rsidRPr="002E5727">
              <w:rPr>
                <w:bCs w:val="0"/>
                <w:color w:val="000000"/>
              </w:rPr>
              <w:t>61^</w:t>
            </w:r>
          </w:p>
        </w:tc>
        <w:tc>
          <w:tcPr>
            <w:tcW w:w="879" w:type="dxa"/>
            <w:shd w:val="clear" w:color="auto" w:fill="auto"/>
          </w:tcPr>
          <w:p w14:paraId="063EC467" w14:textId="0ABE7FE1" w:rsidR="009A7EC3" w:rsidRPr="00DE25AD" w:rsidRDefault="009A7EC3" w:rsidP="009A7EC3">
            <w:pPr>
              <w:pStyle w:val="ASSADACCESStablecentre"/>
            </w:pPr>
            <w:r w:rsidRPr="002E5727">
              <w:rPr>
                <w:bCs w:val="0"/>
                <w:color w:val="000000"/>
              </w:rPr>
              <w:t>58^</w:t>
            </w:r>
          </w:p>
        </w:tc>
      </w:tr>
      <w:tr w:rsidR="009A7EC3" w:rsidRPr="00DE25AD" w14:paraId="0F7C402B" w14:textId="77777777" w:rsidTr="00545FF4">
        <w:tc>
          <w:tcPr>
            <w:tcW w:w="1517" w:type="dxa"/>
            <w:tcMar>
              <w:left w:w="57" w:type="dxa"/>
            </w:tcMar>
          </w:tcPr>
          <w:p w14:paraId="1A782BFD"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0F3C4515" w14:textId="77777777" w:rsidR="009A7EC3" w:rsidRPr="00DE25AD" w:rsidRDefault="009A7EC3" w:rsidP="009A7EC3">
            <w:pPr>
              <w:pStyle w:val="ASSAD2017ACCESSBody1"/>
            </w:pPr>
            <w:r w:rsidRPr="00DE25AD">
              <w:t>Male</w:t>
            </w:r>
          </w:p>
        </w:tc>
        <w:tc>
          <w:tcPr>
            <w:tcW w:w="878" w:type="dxa"/>
            <w:shd w:val="clear" w:color="auto" w:fill="auto"/>
          </w:tcPr>
          <w:p w14:paraId="1632E4A3" w14:textId="493C94A8" w:rsidR="009A7EC3" w:rsidRPr="00DE25AD" w:rsidRDefault="009A7EC3" w:rsidP="009A7EC3">
            <w:pPr>
              <w:pStyle w:val="ASSADACCESStablecentre"/>
            </w:pPr>
            <w:r w:rsidRPr="002E5727">
              <w:rPr>
                <w:bCs w:val="0"/>
                <w:color w:val="000000"/>
              </w:rPr>
              <w:t>69*</w:t>
            </w:r>
          </w:p>
        </w:tc>
        <w:tc>
          <w:tcPr>
            <w:tcW w:w="879" w:type="dxa"/>
            <w:shd w:val="clear" w:color="auto" w:fill="auto"/>
          </w:tcPr>
          <w:p w14:paraId="397A08EC" w14:textId="341FDA88" w:rsidR="009A7EC3" w:rsidRPr="00DE25AD" w:rsidRDefault="009A7EC3" w:rsidP="009A7EC3">
            <w:pPr>
              <w:pStyle w:val="ASSADACCESStablecentre"/>
            </w:pPr>
            <w:r w:rsidRPr="002E5727">
              <w:rPr>
                <w:bCs w:val="0"/>
                <w:color w:val="000000"/>
              </w:rPr>
              <w:t>71*</w:t>
            </w:r>
          </w:p>
        </w:tc>
        <w:tc>
          <w:tcPr>
            <w:tcW w:w="879" w:type="dxa"/>
            <w:shd w:val="clear" w:color="auto" w:fill="auto"/>
          </w:tcPr>
          <w:p w14:paraId="19B5190F" w14:textId="450F63A8" w:rsidR="009A7EC3" w:rsidRPr="00DE25AD" w:rsidRDefault="009A7EC3" w:rsidP="009A7EC3">
            <w:pPr>
              <w:pStyle w:val="ASSADACCESStablecentre"/>
            </w:pPr>
            <w:r w:rsidRPr="002E5727">
              <w:rPr>
                <w:bCs w:val="0"/>
                <w:color w:val="000000"/>
              </w:rPr>
              <w:t>70*</w:t>
            </w:r>
          </w:p>
        </w:tc>
        <w:tc>
          <w:tcPr>
            <w:tcW w:w="879" w:type="dxa"/>
            <w:shd w:val="clear" w:color="auto" w:fill="auto"/>
          </w:tcPr>
          <w:p w14:paraId="538F0753" w14:textId="7A6EEC1C" w:rsidR="009A7EC3" w:rsidRPr="00DE25AD" w:rsidRDefault="009A7EC3" w:rsidP="009A7EC3">
            <w:pPr>
              <w:pStyle w:val="ASSADACCESStablecentre"/>
            </w:pPr>
            <w:r w:rsidRPr="002E5727">
              <w:rPr>
                <w:bCs w:val="0"/>
                <w:color w:val="000000"/>
              </w:rPr>
              <w:t>61*^</w:t>
            </w:r>
          </w:p>
        </w:tc>
        <w:tc>
          <w:tcPr>
            <w:tcW w:w="879" w:type="dxa"/>
            <w:shd w:val="clear" w:color="auto" w:fill="auto"/>
          </w:tcPr>
          <w:p w14:paraId="3118E1CE" w14:textId="0C64E456" w:rsidR="009A7EC3" w:rsidRPr="00DE25AD" w:rsidRDefault="009A7EC3" w:rsidP="009A7EC3">
            <w:pPr>
              <w:pStyle w:val="ASSADACCESStablecentre"/>
            </w:pPr>
            <w:r w:rsidRPr="002E5727">
              <w:rPr>
                <w:bCs w:val="0"/>
                <w:color w:val="000000"/>
              </w:rPr>
              <w:t>53*^</w:t>
            </w:r>
          </w:p>
        </w:tc>
        <w:tc>
          <w:tcPr>
            <w:tcW w:w="879" w:type="dxa"/>
            <w:shd w:val="clear" w:color="auto" w:fill="auto"/>
          </w:tcPr>
          <w:p w14:paraId="229B6FD5" w14:textId="15987BF4" w:rsidR="009A7EC3" w:rsidRPr="00DE25AD" w:rsidRDefault="009A7EC3" w:rsidP="009A7EC3">
            <w:pPr>
              <w:pStyle w:val="ASSADACCESStablecentre"/>
            </w:pPr>
            <w:r w:rsidRPr="002E5727">
              <w:rPr>
                <w:bCs w:val="0"/>
                <w:color w:val="000000"/>
              </w:rPr>
              <w:t>42</w:t>
            </w:r>
            <w:r>
              <w:rPr>
                <w:bCs w:val="0"/>
                <w:color w:val="000000"/>
              </w:rPr>
              <w:t>*</w:t>
            </w:r>
            <w:r w:rsidRPr="002E5727">
              <w:rPr>
                <w:bCs w:val="0"/>
                <w:color w:val="000000"/>
              </w:rPr>
              <w:t>^</w:t>
            </w:r>
          </w:p>
        </w:tc>
        <w:tc>
          <w:tcPr>
            <w:tcW w:w="879" w:type="dxa"/>
            <w:shd w:val="clear" w:color="auto" w:fill="auto"/>
          </w:tcPr>
          <w:p w14:paraId="401E099B" w14:textId="15D808C6" w:rsidR="009A7EC3" w:rsidRPr="00DE25AD" w:rsidRDefault="009A7EC3" w:rsidP="009A7EC3">
            <w:pPr>
              <w:pStyle w:val="ASSADACCESStablecentre"/>
            </w:pPr>
            <w:r w:rsidRPr="002E5727">
              <w:rPr>
                <w:bCs w:val="0"/>
                <w:color w:val="000000"/>
              </w:rPr>
              <w:t>35^</w:t>
            </w:r>
          </w:p>
        </w:tc>
        <w:tc>
          <w:tcPr>
            <w:tcW w:w="879" w:type="dxa"/>
            <w:shd w:val="clear" w:color="auto" w:fill="auto"/>
          </w:tcPr>
          <w:p w14:paraId="5B63673C" w14:textId="1BD55233" w:rsidR="009A7EC3" w:rsidRPr="00DE25AD" w:rsidRDefault="009A7EC3" w:rsidP="009A7EC3">
            <w:pPr>
              <w:pStyle w:val="ASSADACCESStablecentre"/>
            </w:pPr>
            <w:r w:rsidRPr="002E5727">
              <w:rPr>
                <w:bCs w:val="0"/>
                <w:color w:val="000000"/>
              </w:rPr>
              <w:t>36^</w:t>
            </w:r>
          </w:p>
        </w:tc>
      </w:tr>
      <w:tr w:rsidR="009A7EC3" w:rsidRPr="00DE25AD" w14:paraId="4B0E4F5D" w14:textId="77777777" w:rsidTr="005C5B03">
        <w:tc>
          <w:tcPr>
            <w:tcW w:w="1517" w:type="dxa"/>
            <w:tcMar>
              <w:left w:w="57" w:type="dxa"/>
            </w:tcMar>
          </w:tcPr>
          <w:p w14:paraId="2CB65D28" w14:textId="77777777" w:rsidR="009A7EC3" w:rsidRPr="00DE25AD" w:rsidRDefault="009A7EC3" w:rsidP="009A7EC3">
            <w:pPr>
              <w:pStyle w:val="ACCESSTableHeaderRow"/>
            </w:pPr>
          </w:p>
        </w:tc>
        <w:tc>
          <w:tcPr>
            <w:tcW w:w="1068" w:type="dxa"/>
            <w:shd w:val="clear" w:color="auto" w:fill="auto"/>
            <w:tcMar>
              <w:left w:w="57" w:type="dxa"/>
            </w:tcMar>
            <w:vAlign w:val="bottom"/>
          </w:tcPr>
          <w:p w14:paraId="6B208F76" w14:textId="77777777" w:rsidR="009A7EC3" w:rsidRPr="00DE25AD" w:rsidRDefault="009A7EC3" w:rsidP="009A7EC3">
            <w:pPr>
              <w:pStyle w:val="ASSAD2017ACCESSBody1"/>
            </w:pPr>
            <w:r w:rsidRPr="00DE25AD">
              <w:t>Female</w:t>
            </w:r>
          </w:p>
        </w:tc>
        <w:tc>
          <w:tcPr>
            <w:tcW w:w="878" w:type="dxa"/>
            <w:shd w:val="clear" w:color="auto" w:fill="auto"/>
          </w:tcPr>
          <w:p w14:paraId="5B2C8A17" w14:textId="61BF1FD4" w:rsidR="009A7EC3" w:rsidRPr="00DE25AD" w:rsidRDefault="009A7EC3" w:rsidP="009A7EC3">
            <w:pPr>
              <w:pStyle w:val="ASSADACCESStablecentre"/>
            </w:pPr>
            <w:r w:rsidRPr="002E5727">
              <w:rPr>
                <w:bCs w:val="0"/>
                <w:color w:val="000000"/>
              </w:rPr>
              <w:t>63*</w:t>
            </w:r>
          </w:p>
        </w:tc>
        <w:tc>
          <w:tcPr>
            <w:tcW w:w="879" w:type="dxa"/>
            <w:shd w:val="clear" w:color="auto" w:fill="auto"/>
          </w:tcPr>
          <w:p w14:paraId="56BA87AB" w14:textId="7C34F5C8" w:rsidR="009A7EC3" w:rsidRPr="00DE25AD" w:rsidRDefault="009A7EC3" w:rsidP="009A7EC3">
            <w:pPr>
              <w:pStyle w:val="ASSADACCESStablecentre"/>
            </w:pPr>
            <w:r w:rsidRPr="002E5727">
              <w:rPr>
                <w:bCs w:val="0"/>
                <w:color w:val="000000"/>
              </w:rPr>
              <w:t>66*</w:t>
            </w:r>
          </w:p>
        </w:tc>
        <w:tc>
          <w:tcPr>
            <w:tcW w:w="879" w:type="dxa"/>
            <w:shd w:val="clear" w:color="auto" w:fill="auto"/>
          </w:tcPr>
          <w:p w14:paraId="4CF399DD" w14:textId="16C5FDD5" w:rsidR="009A7EC3" w:rsidRPr="00DE25AD" w:rsidRDefault="009A7EC3" w:rsidP="009A7EC3">
            <w:pPr>
              <w:pStyle w:val="ASSADACCESStablecentre"/>
            </w:pPr>
            <w:r w:rsidRPr="002E5727">
              <w:rPr>
                <w:bCs w:val="0"/>
                <w:color w:val="000000"/>
              </w:rPr>
              <w:t>65*</w:t>
            </w:r>
          </w:p>
        </w:tc>
        <w:tc>
          <w:tcPr>
            <w:tcW w:w="879" w:type="dxa"/>
            <w:shd w:val="clear" w:color="auto" w:fill="auto"/>
          </w:tcPr>
          <w:p w14:paraId="38629EF5" w14:textId="44A797BD" w:rsidR="009A7EC3" w:rsidRPr="00DE25AD" w:rsidRDefault="009A7EC3" w:rsidP="009A7EC3">
            <w:pPr>
              <w:pStyle w:val="ASSADACCESStablecentre"/>
            </w:pPr>
            <w:r w:rsidRPr="002E5727">
              <w:rPr>
                <w:bCs w:val="0"/>
                <w:color w:val="000000"/>
              </w:rPr>
              <w:t>58*^</w:t>
            </w:r>
          </w:p>
        </w:tc>
        <w:tc>
          <w:tcPr>
            <w:tcW w:w="879" w:type="dxa"/>
            <w:shd w:val="clear" w:color="auto" w:fill="auto"/>
          </w:tcPr>
          <w:p w14:paraId="3A78F785" w14:textId="6C7512D0" w:rsidR="009A7EC3" w:rsidRPr="00DE25AD" w:rsidRDefault="009A7EC3" w:rsidP="009A7EC3">
            <w:pPr>
              <w:pStyle w:val="ASSADACCESStablecentre"/>
            </w:pPr>
            <w:r w:rsidRPr="002E5727">
              <w:rPr>
                <w:bCs w:val="0"/>
                <w:color w:val="000000"/>
              </w:rPr>
              <w:t>51*^</w:t>
            </w:r>
          </w:p>
        </w:tc>
        <w:tc>
          <w:tcPr>
            <w:tcW w:w="879" w:type="dxa"/>
            <w:shd w:val="clear" w:color="auto" w:fill="auto"/>
          </w:tcPr>
          <w:p w14:paraId="4DBC6CFA" w14:textId="625F97A4" w:rsidR="009A7EC3" w:rsidRPr="00DE25AD" w:rsidRDefault="009A7EC3" w:rsidP="009A7EC3">
            <w:pPr>
              <w:pStyle w:val="ASSADACCESStablecentre"/>
            </w:pPr>
            <w:r w:rsidRPr="002E5727">
              <w:rPr>
                <w:bCs w:val="0"/>
                <w:color w:val="000000"/>
              </w:rPr>
              <w:t>38*^</w:t>
            </w:r>
          </w:p>
        </w:tc>
        <w:tc>
          <w:tcPr>
            <w:tcW w:w="879" w:type="dxa"/>
            <w:shd w:val="clear" w:color="auto" w:fill="auto"/>
          </w:tcPr>
          <w:p w14:paraId="50AD8D7C" w14:textId="084965F1" w:rsidR="009A7EC3" w:rsidRPr="00DE25AD" w:rsidRDefault="009A7EC3" w:rsidP="009A7EC3">
            <w:pPr>
              <w:pStyle w:val="ASSADACCESStablecentre"/>
            </w:pPr>
            <w:r w:rsidRPr="002E5727">
              <w:rPr>
                <w:bCs w:val="0"/>
                <w:color w:val="000000"/>
              </w:rPr>
              <w:t>33^</w:t>
            </w:r>
          </w:p>
        </w:tc>
        <w:tc>
          <w:tcPr>
            <w:tcW w:w="879" w:type="dxa"/>
            <w:shd w:val="clear" w:color="auto" w:fill="auto"/>
          </w:tcPr>
          <w:p w14:paraId="2D199FA5" w14:textId="02D88F98" w:rsidR="009A7EC3" w:rsidRPr="00DE25AD" w:rsidRDefault="009A7EC3" w:rsidP="009A7EC3">
            <w:pPr>
              <w:pStyle w:val="ASSADACCESStablecentre"/>
            </w:pPr>
            <w:r w:rsidRPr="002E5727">
              <w:rPr>
                <w:bCs w:val="0"/>
                <w:color w:val="000000"/>
              </w:rPr>
              <w:t>33^</w:t>
            </w:r>
          </w:p>
        </w:tc>
      </w:tr>
      <w:tr w:rsidR="009A7EC3" w:rsidRPr="00DE25AD" w14:paraId="4C6C8BF5" w14:textId="77777777" w:rsidTr="005C5B03">
        <w:tc>
          <w:tcPr>
            <w:tcW w:w="1517" w:type="dxa"/>
            <w:tcMar>
              <w:left w:w="57" w:type="dxa"/>
            </w:tcMar>
          </w:tcPr>
          <w:p w14:paraId="7F077521" w14:textId="77777777" w:rsidR="009A7EC3" w:rsidRPr="00DE25AD" w:rsidRDefault="009A7EC3" w:rsidP="009A7EC3">
            <w:pPr>
              <w:pStyle w:val="ACCESSTableHeaderRow"/>
            </w:pPr>
          </w:p>
        </w:tc>
        <w:tc>
          <w:tcPr>
            <w:tcW w:w="1068" w:type="dxa"/>
            <w:shd w:val="clear" w:color="auto" w:fill="auto"/>
            <w:tcMar>
              <w:left w:w="57" w:type="dxa"/>
            </w:tcMar>
            <w:vAlign w:val="bottom"/>
          </w:tcPr>
          <w:p w14:paraId="5C2564BA" w14:textId="77777777" w:rsidR="009A7EC3" w:rsidRPr="00DE25AD" w:rsidRDefault="009A7EC3" w:rsidP="009A7EC3">
            <w:pPr>
              <w:pStyle w:val="ASSAD2017ACCESSBody1"/>
            </w:pPr>
            <w:r w:rsidRPr="00DE25AD">
              <w:t>Total</w:t>
            </w:r>
          </w:p>
        </w:tc>
        <w:tc>
          <w:tcPr>
            <w:tcW w:w="878" w:type="dxa"/>
            <w:shd w:val="clear" w:color="auto" w:fill="auto"/>
          </w:tcPr>
          <w:p w14:paraId="21962996" w14:textId="490960CE" w:rsidR="009A7EC3" w:rsidRPr="00DE25AD" w:rsidRDefault="009A7EC3" w:rsidP="009A7EC3">
            <w:pPr>
              <w:pStyle w:val="ASSADACCESStablecentre"/>
            </w:pPr>
            <w:r w:rsidRPr="002E5727">
              <w:rPr>
                <w:bCs w:val="0"/>
                <w:color w:val="000000"/>
              </w:rPr>
              <w:t>66*</w:t>
            </w:r>
          </w:p>
        </w:tc>
        <w:tc>
          <w:tcPr>
            <w:tcW w:w="879" w:type="dxa"/>
            <w:shd w:val="clear" w:color="auto" w:fill="auto"/>
          </w:tcPr>
          <w:p w14:paraId="18C61631" w14:textId="07D3AD96" w:rsidR="009A7EC3" w:rsidRPr="00DE25AD" w:rsidRDefault="009A7EC3" w:rsidP="009A7EC3">
            <w:pPr>
              <w:pStyle w:val="ASSADACCESStablecentre"/>
            </w:pPr>
            <w:r w:rsidRPr="002E5727">
              <w:rPr>
                <w:bCs w:val="0"/>
                <w:color w:val="000000"/>
              </w:rPr>
              <w:t>68*</w:t>
            </w:r>
          </w:p>
        </w:tc>
        <w:tc>
          <w:tcPr>
            <w:tcW w:w="879" w:type="dxa"/>
            <w:shd w:val="clear" w:color="auto" w:fill="auto"/>
          </w:tcPr>
          <w:p w14:paraId="024E2035" w14:textId="5EB70970" w:rsidR="009A7EC3" w:rsidRPr="00DE25AD" w:rsidRDefault="009A7EC3" w:rsidP="009A7EC3">
            <w:pPr>
              <w:pStyle w:val="ASSADACCESStablecentre"/>
            </w:pPr>
            <w:r w:rsidRPr="002E5727">
              <w:rPr>
                <w:bCs w:val="0"/>
                <w:color w:val="000000"/>
              </w:rPr>
              <w:t>68*</w:t>
            </w:r>
          </w:p>
        </w:tc>
        <w:tc>
          <w:tcPr>
            <w:tcW w:w="879" w:type="dxa"/>
            <w:shd w:val="clear" w:color="auto" w:fill="auto"/>
          </w:tcPr>
          <w:p w14:paraId="0A3652E5" w14:textId="2EF20580" w:rsidR="009A7EC3" w:rsidRPr="00DE25AD" w:rsidRDefault="009A7EC3" w:rsidP="009A7EC3">
            <w:pPr>
              <w:pStyle w:val="ASSADACCESStablecentre"/>
            </w:pPr>
            <w:r w:rsidRPr="002E5727">
              <w:rPr>
                <w:bCs w:val="0"/>
                <w:color w:val="000000"/>
              </w:rPr>
              <w:t>60*^</w:t>
            </w:r>
          </w:p>
        </w:tc>
        <w:tc>
          <w:tcPr>
            <w:tcW w:w="879" w:type="dxa"/>
            <w:shd w:val="clear" w:color="auto" w:fill="auto"/>
          </w:tcPr>
          <w:p w14:paraId="6116D32A" w14:textId="15C9C3FD" w:rsidR="009A7EC3" w:rsidRPr="00DE25AD" w:rsidRDefault="009A7EC3" w:rsidP="009A7EC3">
            <w:pPr>
              <w:pStyle w:val="ASSADACCESStablecentre"/>
            </w:pPr>
            <w:r w:rsidRPr="002E5727">
              <w:rPr>
                <w:bCs w:val="0"/>
                <w:color w:val="000000"/>
              </w:rPr>
              <w:t>52*^</w:t>
            </w:r>
          </w:p>
        </w:tc>
        <w:tc>
          <w:tcPr>
            <w:tcW w:w="879" w:type="dxa"/>
            <w:shd w:val="clear" w:color="auto" w:fill="auto"/>
          </w:tcPr>
          <w:p w14:paraId="43AFD707" w14:textId="78707522" w:rsidR="009A7EC3" w:rsidRPr="00DE25AD" w:rsidRDefault="009A7EC3" w:rsidP="009A7EC3">
            <w:pPr>
              <w:pStyle w:val="ASSADACCESStablecentre"/>
            </w:pPr>
            <w:r w:rsidRPr="002E5727">
              <w:rPr>
                <w:bCs w:val="0"/>
                <w:color w:val="000000"/>
              </w:rPr>
              <w:t>40*^</w:t>
            </w:r>
          </w:p>
        </w:tc>
        <w:tc>
          <w:tcPr>
            <w:tcW w:w="879" w:type="dxa"/>
            <w:shd w:val="clear" w:color="auto" w:fill="auto"/>
          </w:tcPr>
          <w:p w14:paraId="4BD8FDDC" w14:textId="0D4A8A59" w:rsidR="009A7EC3" w:rsidRPr="00DE25AD" w:rsidRDefault="009A7EC3" w:rsidP="009A7EC3">
            <w:pPr>
              <w:pStyle w:val="ASSADACCESStablecentre"/>
            </w:pPr>
            <w:r w:rsidRPr="002E5727">
              <w:rPr>
                <w:bCs w:val="0"/>
                <w:color w:val="000000"/>
              </w:rPr>
              <w:t>34^</w:t>
            </w:r>
          </w:p>
        </w:tc>
        <w:tc>
          <w:tcPr>
            <w:tcW w:w="879" w:type="dxa"/>
            <w:shd w:val="clear" w:color="auto" w:fill="auto"/>
          </w:tcPr>
          <w:p w14:paraId="5E8FC45A" w14:textId="7FAA2882" w:rsidR="009A7EC3" w:rsidRPr="00DE25AD" w:rsidRDefault="009A7EC3" w:rsidP="009A7EC3">
            <w:pPr>
              <w:pStyle w:val="ASSADACCESStablecentre"/>
            </w:pPr>
            <w:r w:rsidRPr="002E5727">
              <w:rPr>
                <w:bCs w:val="0"/>
                <w:color w:val="000000"/>
              </w:rPr>
              <w:t>35^</w:t>
            </w:r>
          </w:p>
        </w:tc>
      </w:tr>
      <w:tr w:rsidR="009A7EC3" w:rsidRPr="00DE25AD" w14:paraId="14A7BD7E" w14:textId="77777777" w:rsidTr="005C5B03">
        <w:tc>
          <w:tcPr>
            <w:tcW w:w="1517" w:type="dxa"/>
            <w:tcMar>
              <w:left w:w="57" w:type="dxa"/>
            </w:tcMar>
          </w:tcPr>
          <w:p w14:paraId="7B4218FB"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31C5535D" w14:textId="77777777" w:rsidR="009A7EC3" w:rsidRPr="00DE25AD" w:rsidRDefault="009A7EC3" w:rsidP="009A7EC3">
            <w:pPr>
              <w:pStyle w:val="ASSAD2017ACCESSBody1"/>
            </w:pPr>
            <w:r w:rsidRPr="00DE25AD">
              <w:t>Male</w:t>
            </w:r>
          </w:p>
        </w:tc>
        <w:tc>
          <w:tcPr>
            <w:tcW w:w="878" w:type="dxa"/>
            <w:shd w:val="clear" w:color="auto" w:fill="auto"/>
          </w:tcPr>
          <w:p w14:paraId="7A1BEC20" w14:textId="3DE0FB90" w:rsidR="009A7EC3" w:rsidRPr="00DE25AD" w:rsidRDefault="009A7EC3" w:rsidP="009A7EC3">
            <w:pPr>
              <w:pStyle w:val="ASSADACCESStablecentre"/>
            </w:pPr>
            <w:r w:rsidRPr="002E5727">
              <w:rPr>
                <w:bCs w:val="0"/>
                <w:color w:val="000000"/>
              </w:rPr>
              <w:t>41*</w:t>
            </w:r>
          </w:p>
        </w:tc>
        <w:tc>
          <w:tcPr>
            <w:tcW w:w="879" w:type="dxa"/>
            <w:shd w:val="clear" w:color="auto" w:fill="auto"/>
          </w:tcPr>
          <w:p w14:paraId="1C3E838F" w14:textId="7B1F925C" w:rsidR="009A7EC3" w:rsidRPr="00DE25AD" w:rsidRDefault="009A7EC3" w:rsidP="009A7EC3">
            <w:pPr>
              <w:pStyle w:val="ASSADACCESStablecentre"/>
            </w:pPr>
            <w:r w:rsidRPr="002E5727">
              <w:rPr>
                <w:bCs w:val="0"/>
                <w:color w:val="000000"/>
              </w:rPr>
              <w:t>45*</w:t>
            </w:r>
            <w:r>
              <w:rPr>
                <w:bCs w:val="0"/>
                <w:color w:val="000000"/>
              </w:rPr>
              <w:t>^</w:t>
            </w:r>
          </w:p>
        </w:tc>
        <w:tc>
          <w:tcPr>
            <w:tcW w:w="879" w:type="dxa"/>
            <w:shd w:val="clear" w:color="auto" w:fill="auto"/>
          </w:tcPr>
          <w:p w14:paraId="2549C936" w14:textId="053EC577" w:rsidR="009A7EC3" w:rsidRPr="00DE25AD" w:rsidRDefault="009A7EC3" w:rsidP="009A7EC3">
            <w:pPr>
              <w:pStyle w:val="ASSADACCESStablecentre"/>
            </w:pPr>
            <w:r w:rsidRPr="002E5727">
              <w:rPr>
                <w:bCs w:val="0"/>
                <w:color w:val="000000"/>
              </w:rPr>
              <w:t>46*</w:t>
            </w:r>
            <w:r>
              <w:rPr>
                <w:bCs w:val="0"/>
                <w:color w:val="000000"/>
              </w:rPr>
              <w:t>^</w:t>
            </w:r>
          </w:p>
        </w:tc>
        <w:tc>
          <w:tcPr>
            <w:tcW w:w="879" w:type="dxa"/>
            <w:shd w:val="clear" w:color="auto" w:fill="auto"/>
          </w:tcPr>
          <w:p w14:paraId="1AB8E24E" w14:textId="542A2B63" w:rsidR="009A7EC3" w:rsidRPr="00DE25AD" w:rsidRDefault="009A7EC3" w:rsidP="009A7EC3">
            <w:pPr>
              <w:pStyle w:val="ASSADACCESStablecentre"/>
            </w:pPr>
            <w:r w:rsidRPr="002E5727">
              <w:rPr>
                <w:bCs w:val="0"/>
                <w:color w:val="000000"/>
              </w:rPr>
              <w:t>36*^</w:t>
            </w:r>
          </w:p>
        </w:tc>
        <w:tc>
          <w:tcPr>
            <w:tcW w:w="879" w:type="dxa"/>
            <w:shd w:val="clear" w:color="auto" w:fill="auto"/>
          </w:tcPr>
          <w:p w14:paraId="41CE7AF7" w14:textId="70CF67E7" w:rsidR="009A7EC3" w:rsidRPr="00DE25AD" w:rsidRDefault="009A7EC3" w:rsidP="009A7EC3">
            <w:pPr>
              <w:pStyle w:val="ASSADACCESStablecentre"/>
            </w:pPr>
            <w:r w:rsidRPr="002E5727">
              <w:rPr>
                <w:bCs w:val="0"/>
                <w:color w:val="000000"/>
              </w:rPr>
              <w:t>29*^</w:t>
            </w:r>
          </w:p>
        </w:tc>
        <w:tc>
          <w:tcPr>
            <w:tcW w:w="879" w:type="dxa"/>
            <w:shd w:val="clear" w:color="auto" w:fill="auto"/>
          </w:tcPr>
          <w:p w14:paraId="29502B27" w14:textId="5FD1FB2F" w:rsidR="009A7EC3" w:rsidRPr="00DE25AD" w:rsidRDefault="009A7EC3" w:rsidP="009A7EC3">
            <w:pPr>
              <w:pStyle w:val="ASSADACCESStablecentre"/>
            </w:pPr>
            <w:r w:rsidRPr="002E5727">
              <w:rPr>
                <w:bCs w:val="0"/>
                <w:color w:val="000000"/>
              </w:rPr>
              <w:t>21^</w:t>
            </w:r>
          </w:p>
        </w:tc>
        <w:tc>
          <w:tcPr>
            <w:tcW w:w="879" w:type="dxa"/>
            <w:shd w:val="clear" w:color="auto" w:fill="auto"/>
          </w:tcPr>
          <w:p w14:paraId="03942D58" w14:textId="159E1411" w:rsidR="009A7EC3" w:rsidRPr="00DE25AD" w:rsidRDefault="009A7EC3" w:rsidP="009A7EC3">
            <w:pPr>
              <w:pStyle w:val="ASSADACCESStablecentre"/>
            </w:pPr>
            <w:r w:rsidRPr="002E5727">
              <w:rPr>
                <w:bCs w:val="0"/>
                <w:color w:val="000000"/>
              </w:rPr>
              <w:t>16^</w:t>
            </w:r>
          </w:p>
        </w:tc>
        <w:tc>
          <w:tcPr>
            <w:tcW w:w="879" w:type="dxa"/>
            <w:shd w:val="clear" w:color="auto" w:fill="auto"/>
          </w:tcPr>
          <w:p w14:paraId="669C48F5" w14:textId="6C74896B" w:rsidR="009A7EC3" w:rsidRPr="00DE25AD" w:rsidRDefault="009A7EC3" w:rsidP="009A7EC3">
            <w:pPr>
              <w:pStyle w:val="ASSADACCESStablecentre"/>
            </w:pPr>
            <w:r w:rsidRPr="002E5727">
              <w:rPr>
                <w:bCs w:val="0"/>
                <w:color w:val="000000"/>
              </w:rPr>
              <w:t>18^</w:t>
            </w:r>
          </w:p>
        </w:tc>
      </w:tr>
      <w:tr w:rsidR="009A7EC3" w:rsidRPr="00DE25AD" w14:paraId="0A88A3A3" w14:textId="77777777" w:rsidTr="005C5B03">
        <w:tc>
          <w:tcPr>
            <w:tcW w:w="1517" w:type="dxa"/>
            <w:tcMar>
              <w:left w:w="57" w:type="dxa"/>
            </w:tcMar>
          </w:tcPr>
          <w:p w14:paraId="021D4020" w14:textId="77777777" w:rsidR="009A7EC3" w:rsidRPr="00DE25AD" w:rsidRDefault="009A7EC3" w:rsidP="009A7EC3">
            <w:pPr>
              <w:pStyle w:val="ACCESSTableHeaderRow"/>
            </w:pPr>
          </w:p>
        </w:tc>
        <w:tc>
          <w:tcPr>
            <w:tcW w:w="1068" w:type="dxa"/>
            <w:shd w:val="clear" w:color="auto" w:fill="auto"/>
            <w:tcMar>
              <w:left w:w="57" w:type="dxa"/>
            </w:tcMar>
            <w:vAlign w:val="bottom"/>
          </w:tcPr>
          <w:p w14:paraId="3731CBB1" w14:textId="77777777" w:rsidR="009A7EC3" w:rsidRPr="00DE25AD" w:rsidRDefault="009A7EC3" w:rsidP="009A7EC3">
            <w:pPr>
              <w:pStyle w:val="ASSAD2017ACCESSBody1"/>
            </w:pPr>
            <w:r w:rsidRPr="00DE25AD">
              <w:t>Female</w:t>
            </w:r>
          </w:p>
        </w:tc>
        <w:tc>
          <w:tcPr>
            <w:tcW w:w="878" w:type="dxa"/>
            <w:shd w:val="clear" w:color="auto" w:fill="auto"/>
          </w:tcPr>
          <w:p w14:paraId="0C600465" w14:textId="4DC8C562" w:rsidR="009A7EC3" w:rsidRPr="00DE25AD" w:rsidRDefault="009A7EC3" w:rsidP="009A7EC3">
            <w:pPr>
              <w:pStyle w:val="ASSADACCESStablecentre"/>
            </w:pPr>
            <w:r w:rsidRPr="002E5727">
              <w:rPr>
                <w:bCs w:val="0"/>
                <w:color w:val="000000"/>
              </w:rPr>
              <w:t>36*</w:t>
            </w:r>
          </w:p>
        </w:tc>
        <w:tc>
          <w:tcPr>
            <w:tcW w:w="879" w:type="dxa"/>
            <w:shd w:val="clear" w:color="auto" w:fill="auto"/>
          </w:tcPr>
          <w:p w14:paraId="5A955EEC" w14:textId="2A490FA7" w:rsidR="009A7EC3" w:rsidRPr="00DE25AD" w:rsidRDefault="009A7EC3" w:rsidP="009A7EC3">
            <w:pPr>
              <w:pStyle w:val="ASSADACCESStablecentre"/>
            </w:pPr>
            <w:r w:rsidRPr="002E5727">
              <w:rPr>
                <w:bCs w:val="0"/>
                <w:color w:val="000000"/>
              </w:rPr>
              <w:t>38*</w:t>
            </w:r>
          </w:p>
        </w:tc>
        <w:tc>
          <w:tcPr>
            <w:tcW w:w="879" w:type="dxa"/>
            <w:shd w:val="clear" w:color="auto" w:fill="auto"/>
          </w:tcPr>
          <w:p w14:paraId="2F676179" w14:textId="4FEA4558" w:rsidR="009A7EC3" w:rsidRPr="00DE25AD" w:rsidRDefault="009A7EC3" w:rsidP="009A7EC3">
            <w:pPr>
              <w:pStyle w:val="ASSADACCESStablecentre"/>
            </w:pPr>
            <w:r w:rsidRPr="002E5727">
              <w:rPr>
                <w:bCs w:val="0"/>
                <w:color w:val="000000"/>
              </w:rPr>
              <w:t>39*</w:t>
            </w:r>
          </w:p>
        </w:tc>
        <w:tc>
          <w:tcPr>
            <w:tcW w:w="879" w:type="dxa"/>
            <w:shd w:val="clear" w:color="auto" w:fill="auto"/>
          </w:tcPr>
          <w:p w14:paraId="2C131B5A" w14:textId="69732C57" w:rsidR="009A7EC3" w:rsidRPr="00DE25AD" w:rsidRDefault="009A7EC3" w:rsidP="009A7EC3">
            <w:pPr>
              <w:pStyle w:val="ASSADACCESStablecentre"/>
            </w:pPr>
            <w:r w:rsidRPr="002E5727">
              <w:rPr>
                <w:bCs w:val="0"/>
                <w:color w:val="000000"/>
              </w:rPr>
              <w:t>33*</w:t>
            </w:r>
            <w:r>
              <w:rPr>
                <w:bCs w:val="0"/>
                <w:color w:val="000000"/>
              </w:rPr>
              <w:t>^</w:t>
            </w:r>
          </w:p>
        </w:tc>
        <w:tc>
          <w:tcPr>
            <w:tcW w:w="879" w:type="dxa"/>
            <w:shd w:val="clear" w:color="auto" w:fill="auto"/>
          </w:tcPr>
          <w:p w14:paraId="740D0E9A" w14:textId="0278EA9D" w:rsidR="009A7EC3" w:rsidRPr="00DE25AD" w:rsidRDefault="009A7EC3" w:rsidP="009A7EC3">
            <w:pPr>
              <w:pStyle w:val="ASSADACCESStablecentre"/>
            </w:pPr>
            <w:r w:rsidRPr="002E5727">
              <w:rPr>
                <w:bCs w:val="0"/>
                <w:color w:val="000000"/>
              </w:rPr>
              <w:t>27*^</w:t>
            </w:r>
          </w:p>
        </w:tc>
        <w:tc>
          <w:tcPr>
            <w:tcW w:w="879" w:type="dxa"/>
            <w:shd w:val="clear" w:color="auto" w:fill="auto"/>
          </w:tcPr>
          <w:p w14:paraId="33F63204" w14:textId="73CD36D0" w:rsidR="009A7EC3" w:rsidRPr="00DE25AD" w:rsidRDefault="009A7EC3" w:rsidP="009A7EC3">
            <w:pPr>
              <w:pStyle w:val="ASSADACCESStablecentre"/>
            </w:pPr>
            <w:r w:rsidRPr="002E5727">
              <w:rPr>
                <w:bCs w:val="0"/>
                <w:color w:val="000000"/>
              </w:rPr>
              <w:t>18^</w:t>
            </w:r>
          </w:p>
        </w:tc>
        <w:tc>
          <w:tcPr>
            <w:tcW w:w="879" w:type="dxa"/>
            <w:shd w:val="clear" w:color="auto" w:fill="auto"/>
          </w:tcPr>
          <w:p w14:paraId="06E997E7" w14:textId="22BCC918" w:rsidR="009A7EC3" w:rsidRPr="00DE25AD" w:rsidRDefault="009A7EC3" w:rsidP="009A7EC3">
            <w:pPr>
              <w:pStyle w:val="ASSADACCESStablecentre"/>
            </w:pPr>
            <w:r w:rsidRPr="002E5727">
              <w:rPr>
                <w:bCs w:val="0"/>
                <w:color w:val="000000"/>
              </w:rPr>
              <w:t>15^</w:t>
            </w:r>
          </w:p>
        </w:tc>
        <w:tc>
          <w:tcPr>
            <w:tcW w:w="879" w:type="dxa"/>
            <w:shd w:val="clear" w:color="auto" w:fill="auto"/>
          </w:tcPr>
          <w:p w14:paraId="4A75213B" w14:textId="3F7B6E1E" w:rsidR="009A7EC3" w:rsidRPr="00DE25AD" w:rsidRDefault="009A7EC3" w:rsidP="009A7EC3">
            <w:pPr>
              <w:pStyle w:val="ASSADACCESStablecentre"/>
            </w:pPr>
            <w:r w:rsidRPr="002E5727">
              <w:rPr>
                <w:bCs w:val="0"/>
                <w:color w:val="000000"/>
              </w:rPr>
              <w:t>16^</w:t>
            </w:r>
          </w:p>
        </w:tc>
      </w:tr>
      <w:tr w:rsidR="009A7EC3" w:rsidRPr="00DE25AD" w14:paraId="2D0C3A6B" w14:textId="77777777" w:rsidTr="005C5B03">
        <w:tc>
          <w:tcPr>
            <w:tcW w:w="1517" w:type="dxa"/>
            <w:tcMar>
              <w:left w:w="57" w:type="dxa"/>
            </w:tcMar>
          </w:tcPr>
          <w:p w14:paraId="36FA5777" w14:textId="77777777" w:rsidR="009A7EC3" w:rsidRPr="00DE25AD" w:rsidRDefault="009A7EC3" w:rsidP="009A7EC3">
            <w:pPr>
              <w:pStyle w:val="ACCESSTableHeaderRow"/>
            </w:pPr>
          </w:p>
        </w:tc>
        <w:tc>
          <w:tcPr>
            <w:tcW w:w="1068" w:type="dxa"/>
            <w:shd w:val="clear" w:color="auto" w:fill="auto"/>
            <w:tcMar>
              <w:left w:w="57" w:type="dxa"/>
            </w:tcMar>
            <w:vAlign w:val="bottom"/>
          </w:tcPr>
          <w:p w14:paraId="3CFA535C" w14:textId="77777777" w:rsidR="009A7EC3" w:rsidRPr="00DE25AD" w:rsidRDefault="009A7EC3" w:rsidP="009A7EC3">
            <w:pPr>
              <w:pStyle w:val="ASSAD2017ACCESSBody1"/>
            </w:pPr>
            <w:r w:rsidRPr="00DE25AD">
              <w:t>Total</w:t>
            </w:r>
          </w:p>
        </w:tc>
        <w:tc>
          <w:tcPr>
            <w:tcW w:w="878" w:type="dxa"/>
            <w:shd w:val="clear" w:color="auto" w:fill="auto"/>
          </w:tcPr>
          <w:p w14:paraId="6A5CD62C" w14:textId="7D3C4AEA" w:rsidR="009A7EC3" w:rsidRPr="00DE25AD" w:rsidRDefault="009A7EC3" w:rsidP="009A7EC3">
            <w:pPr>
              <w:pStyle w:val="ASSADACCESStablecentre"/>
            </w:pPr>
            <w:r w:rsidRPr="002E5727">
              <w:rPr>
                <w:bCs w:val="0"/>
                <w:color w:val="000000"/>
              </w:rPr>
              <w:t>39*</w:t>
            </w:r>
          </w:p>
        </w:tc>
        <w:tc>
          <w:tcPr>
            <w:tcW w:w="879" w:type="dxa"/>
            <w:shd w:val="clear" w:color="auto" w:fill="auto"/>
          </w:tcPr>
          <w:p w14:paraId="06914974" w14:textId="0D12E0EE" w:rsidR="009A7EC3" w:rsidRPr="00DE25AD" w:rsidRDefault="009A7EC3" w:rsidP="009A7EC3">
            <w:pPr>
              <w:pStyle w:val="ASSADACCESStablecentre"/>
            </w:pPr>
            <w:r w:rsidRPr="002E5727">
              <w:rPr>
                <w:bCs w:val="0"/>
                <w:color w:val="000000"/>
              </w:rPr>
              <w:t>41*</w:t>
            </w:r>
          </w:p>
        </w:tc>
        <w:tc>
          <w:tcPr>
            <w:tcW w:w="879" w:type="dxa"/>
            <w:shd w:val="clear" w:color="auto" w:fill="auto"/>
          </w:tcPr>
          <w:p w14:paraId="0EBB9719" w14:textId="284BCFEC" w:rsidR="009A7EC3" w:rsidRPr="00DE25AD" w:rsidRDefault="009A7EC3" w:rsidP="009A7EC3">
            <w:pPr>
              <w:pStyle w:val="ASSADACCESStablecentre"/>
            </w:pPr>
            <w:r w:rsidRPr="002E5727">
              <w:rPr>
                <w:bCs w:val="0"/>
                <w:color w:val="000000"/>
              </w:rPr>
              <w:t>43*</w:t>
            </w:r>
            <w:r>
              <w:rPr>
                <w:bCs w:val="0"/>
                <w:color w:val="000000"/>
              </w:rPr>
              <w:t>^</w:t>
            </w:r>
          </w:p>
        </w:tc>
        <w:tc>
          <w:tcPr>
            <w:tcW w:w="879" w:type="dxa"/>
            <w:shd w:val="clear" w:color="auto" w:fill="auto"/>
          </w:tcPr>
          <w:p w14:paraId="4DA05726" w14:textId="7F7452D1" w:rsidR="009A7EC3" w:rsidRPr="00DE25AD" w:rsidRDefault="009A7EC3" w:rsidP="009A7EC3">
            <w:pPr>
              <w:pStyle w:val="ASSADACCESStablecentre"/>
            </w:pPr>
            <w:r w:rsidRPr="002E5727">
              <w:rPr>
                <w:bCs w:val="0"/>
                <w:color w:val="000000"/>
              </w:rPr>
              <w:t>34*^</w:t>
            </w:r>
          </w:p>
        </w:tc>
        <w:tc>
          <w:tcPr>
            <w:tcW w:w="879" w:type="dxa"/>
            <w:shd w:val="clear" w:color="auto" w:fill="auto"/>
          </w:tcPr>
          <w:p w14:paraId="1B3C2812" w14:textId="2C9A2412" w:rsidR="009A7EC3" w:rsidRPr="00DE25AD" w:rsidRDefault="009A7EC3" w:rsidP="009A7EC3">
            <w:pPr>
              <w:pStyle w:val="ASSADACCESStablecentre"/>
            </w:pPr>
            <w:r w:rsidRPr="002E5727">
              <w:rPr>
                <w:bCs w:val="0"/>
                <w:color w:val="000000"/>
              </w:rPr>
              <w:t>28*^</w:t>
            </w:r>
          </w:p>
        </w:tc>
        <w:tc>
          <w:tcPr>
            <w:tcW w:w="879" w:type="dxa"/>
            <w:shd w:val="clear" w:color="auto" w:fill="auto"/>
          </w:tcPr>
          <w:p w14:paraId="6DD9F727" w14:textId="3066A207" w:rsidR="009A7EC3" w:rsidRPr="00DE25AD" w:rsidRDefault="009A7EC3" w:rsidP="009A7EC3">
            <w:pPr>
              <w:pStyle w:val="ASSADACCESStablecentre"/>
            </w:pPr>
            <w:r w:rsidRPr="002E5727">
              <w:rPr>
                <w:bCs w:val="0"/>
                <w:color w:val="000000"/>
              </w:rPr>
              <w:t>19^</w:t>
            </w:r>
          </w:p>
        </w:tc>
        <w:tc>
          <w:tcPr>
            <w:tcW w:w="879" w:type="dxa"/>
            <w:shd w:val="clear" w:color="auto" w:fill="auto"/>
          </w:tcPr>
          <w:p w14:paraId="5DEB9159" w14:textId="6C62B810" w:rsidR="009A7EC3" w:rsidRPr="00DE25AD" w:rsidRDefault="009A7EC3" w:rsidP="009A7EC3">
            <w:pPr>
              <w:pStyle w:val="ASSADACCESStablecentre"/>
            </w:pPr>
            <w:r w:rsidRPr="002E5727">
              <w:rPr>
                <w:bCs w:val="0"/>
                <w:color w:val="000000"/>
              </w:rPr>
              <w:t>15^</w:t>
            </w:r>
          </w:p>
        </w:tc>
        <w:tc>
          <w:tcPr>
            <w:tcW w:w="879" w:type="dxa"/>
            <w:shd w:val="clear" w:color="auto" w:fill="auto"/>
          </w:tcPr>
          <w:p w14:paraId="3133D8AD" w14:textId="223C2FA1" w:rsidR="009A7EC3" w:rsidRPr="00DE25AD" w:rsidRDefault="009A7EC3" w:rsidP="009A7EC3">
            <w:pPr>
              <w:pStyle w:val="ASSADACCESStablecentre"/>
            </w:pPr>
            <w:r w:rsidRPr="002E5727">
              <w:rPr>
                <w:bCs w:val="0"/>
                <w:color w:val="000000"/>
              </w:rPr>
              <w:t>17^</w:t>
            </w:r>
          </w:p>
        </w:tc>
      </w:tr>
      <w:tr w:rsidR="009A7EC3" w:rsidRPr="00DE25AD" w14:paraId="2B34346E" w14:textId="77777777" w:rsidTr="005C5B03">
        <w:tc>
          <w:tcPr>
            <w:tcW w:w="1517" w:type="dxa"/>
            <w:tcMar>
              <w:left w:w="57" w:type="dxa"/>
            </w:tcMar>
          </w:tcPr>
          <w:p w14:paraId="4929DEFB" w14:textId="77777777" w:rsidR="009A7EC3" w:rsidRPr="00DE25AD" w:rsidRDefault="009A7EC3" w:rsidP="009A7EC3">
            <w:pPr>
              <w:pStyle w:val="ACCESSTableHeaderRow"/>
            </w:pPr>
            <w:r>
              <w:t>Current</w:t>
            </w:r>
          </w:p>
        </w:tc>
        <w:tc>
          <w:tcPr>
            <w:tcW w:w="1068" w:type="dxa"/>
            <w:shd w:val="clear" w:color="auto" w:fill="auto"/>
            <w:tcMar>
              <w:left w:w="57" w:type="dxa"/>
            </w:tcMar>
            <w:vAlign w:val="bottom"/>
          </w:tcPr>
          <w:p w14:paraId="665C214B" w14:textId="77777777" w:rsidR="009A7EC3" w:rsidRPr="00DE25AD" w:rsidRDefault="009A7EC3" w:rsidP="009A7EC3">
            <w:pPr>
              <w:pStyle w:val="ASSAD2017ACCESSBody1"/>
            </w:pPr>
            <w:r w:rsidRPr="00DE25AD">
              <w:t>Male</w:t>
            </w:r>
          </w:p>
        </w:tc>
        <w:tc>
          <w:tcPr>
            <w:tcW w:w="878" w:type="dxa"/>
            <w:shd w:val="clear" w:color="auto" w:fill="auto"/>
          </w:tcPr>
          <w:p w14:paraId="7776197A" w14:textId="79FC0A07" w:rsidR="009A7EC3" w:rsidRPr="00DE25AD" w:rsidRDefault="009A7EC3" w:rsidP="009A7EC3">
            <w:pPr>
              <w:pStyle w:val="ASSADACCESStablecentre"/>
            </w:pPr>
            <w:r w:rsidRPr="002E5727">
              <w:rPr>
                <w:bCs w:val="0"/>
                <w:color w:val="000000"/>
              </w:rPr>
              <w:t>27*</w:t>
            </w:r>
          </w:p>
        </w:tc>
        <w:tc>
          <w:tcPr>
            <w:tcW w:w="879" w:type="dxa"/>
            <w:shd w:val="clear" w:color="auto" w:fill="auto"/>
          </w:tcPr>
          <w:p w14:paraId="08BC585B" w14:textId="5519A6E0" w:rsidR="009A7EC3" w:rsidRPr="00DE25AD" w:rsidRDefault="009A7EC3" w:rsidP="009A7EC3">
            <w:pPr>
              <w:pStyle w:val="ASSADACCESStablecentre"/>
            </w:pPr>
            <w:r w:rsidRPr="002E5727">
              <w:rPr>
                <w:bCs w:val="0"/>
                <w:color w:val="000000"/>
              </w:rPr>
              <w:t>30*</w:t>
            </w:r>
            <w:r>
              <w:rPr>
                <w:bCs w:val="0"/>
                <w:color w:val="000000"/>
              </w:rPr>
              <w:t>^</w:t>
            </w:r>
          </w:p>
        </w:tc>
        <w:tc>
          <w:tcPr>
            <w:tcW w:w="879" w:type="dxa"/>
            <w:shd w:val="clear" w:color="auto" w:fill="auto"/>
          </w:tcPr>
          <w:p w14:paraId="3C96586D" w14:textId="5423D4C9" w:rsidR="009A7EC3" w:rsidRPr="00DE25AD" w:rsidRDefault="009A7EC3" w:rsidP="009A7EC3">
            <w:pPr>
              <w:pStyle w:val="ASSADACCESStablecentre"/>
            </w:pPr>
            <w:r w:rsidRPr="002E5727">
              <w:rPr>
                <w:bCs w:val="0"/>
                <w:color w:val="000000"/>
              </w:rPr>
              <w:t>31*</w:t>
            </w:r>
            <w:r>
              <w:rPr>
                <w:bCs w:val="0"/>
                <w:color w:val="000000"/>
              </w:rPr>
              <w:t>^</w:t>
            </w:r>
          </w:p>
        </w:tc>
        <w:tc>
          <w:tcPr>
            <w:tcW w:w="879" w:type="dxa"/>
            <w:shd w:val="clear" w:color="auto" w:fill="auto"/>
          </w:tcPr>
          <w:p w14:paraId="6ECB1E5E" w14:textId="7DA7150F" w:rsidR="009A7EC3" w:rsidRPr="00DE25AD" w:rsidRDefault="009A7EC3" w:rsidP="009A7EC3">
            <w:pPr>
              <w:pStyle w:val="ASSADACCESStablecentre"/>
            </w:pPr>
            <w:r w:rsidRPr="002E5727">
              <w:rPr>
                <w:bCs w:val="0"/>
                <w:color w:val="000000"/>
              </w:rPr>
              <w:t>23*^</w:t>
            </w:r>
          </w:p>
        </w:tc>
        <w:tc>
          <w:tcPr>
            <w:tcW w:w="879" w:type="dxa"/>
            <w:shd w:val="clear" w:color="auto" w:fill="auto"/>
          </w:tcPr>
          <w:p w14:paraId="0158F503" w14:textId="0DDFCBD3" w:rsidR="009A7EC3" w:rsidRPr="00DE25AD" w:rsidRDefault="009A7EC3" w:rsidP="009A7EC3">
            <w:pPr>
              <w:pStyle w:val="ASSADACCESStablecentre"/>
            </w:pPr>
            <w:r w:rsidRPr="002E5727">
              <w:rPr>
                <w:bCs w:val="0"/>
                <w:color w:val="000000"/>
              </w:rPr>
              <w:t>17*^</w:t>
            </w:r>
          </w:p>
        </w:tc>
        <w:tc>
          <w:tcPr>
            <w:tcW w:w="879" w:type="dxa"/>
            <w:shd w:val="clear" w:color="auto" w:fill="auto"/>
          </w:tcPr>
          <w:p w14:paraId="4CBC271E" w14:textId="5D9B1C5E" w:rsidR="009A7EC3" w:rsidRPr="00DE25AD" w:rsidRDefault="009A7EC3" w:rsidP="009A7EC3">
            <w:pPr>
              <w:pStyle w:val="ASSADACCESStablecentre"/>
            </w:pPr>
            <w:r w:rsidRPr="002E5727">
              <w:rPr>
                <w:bCs w:val="0"/>
                <w:color w:val="000000"/>
              </w:rPr>
              <w:t>12^</w:t>
            </w:r>
          </w:p>
        </w:tc>
        <w:tc>
          <w:tcPr>
            <w:tcW w:w="879" w:type="dxa"/>
            <w:shd w:val="clear" w:color="auto" w:fill="auto"/>
          </w:tcPr>
          <w:p w14:paraId="6935781F" w14:textId="229C1D43" w:rsidR="009A7EC3" w:rsidRPr="00DE25AD" w:rsidRDefault="009A7EC3" w:rsidP="009A7EC3">
            <w:pPr>
              <w:pStyle w:val="ASSADACCESStablecentre"/>
            </w:pPr>
            <w:r w:rsidRPr="002E5727">
              <w:rPr>
                <w:bCs w:val="0"/>
                <w:color w:val="000000"/>
              </w:rPr>
              <w:t>9^</w:t>
            </w:r>
          </w:p>
        </w:tc>
        <w:tc>
          <w:tcPr>
            <w:tcW w:w="879" w:type="dxa"/>
            <w:shd w:val="clear" w:color="auto" w:fill="auto"/>
          </w:tcPr>
          <w:p w14:paraId="434E3AD7" w14:textId="5A1B6862" w:rsidR="009A7EC3" w:rsidRPr="00DE25AD" w:rsidRDefault="009A7EC3" w:rsidP="009A7EC3">
            <w:pPr>
              <w:pStyle w:val="ASSADACCESStablecentre"/>
            </w:pPr>
            <w:r w:rsidRPr="002E5727">
              <w:rPr>
                <w:bCs w:val="0"/>
                <w:color w:val="000000"/>
              </w:rPr>
              <w:t>10^</w:t>
            </w:r>
          </w:p>
        </w:tc>
      </w:tr>
      <w:tr w:rsidR="009A7EC3" w:rsidRPr="00DE25AD" w14:paraId="131CBD34" w14:textId="77777777" w:rsidTr="005C5B03">
        <w:tc>
          <w:tcPr>
            <w:tcW w:w="1517" w:type="dxa"/>
            <w:tcMar>
              <w:left w:w="57" w:type="dxa"/>
            </w:tcMar>
          </w:tcPr>
          <w:p w14:paraId="0CCC3023" w14:textId="77777777" w:rsidR="009A7EC3" w:rsidRPr="00DE25AD" w:rsidRDefault="009A7EC3" w:rsidP="009A7EC3">
            <w:pPr>
              <w:pStyle w:val="ACCESSTableHeaderRow"/>
            </w:pPr>
          </w:p>
        </w:tc>
        <w:tc>
          <w:tcPr>
            <w:tcW w:w="1068" w:type="dxa"/>
            <w:shd w:val="clear" w:color="auto" w:fill="auto"/>
            <w:tcMar>
              <w:left w:w="57" w:type="dxa"/>
            </w:tcMar>
            <w:vAlign w:val="bottom"/>
          </w:tcPr>
          <w:p w14:paraId="105F6FD5" w14:textId="77777777" w:rsidR="009A7EC3" w:rsidRPr="00DE25AD" w:rsidRDefault="009A7EC3" w:rsidP="009A7EC3">
            <w:pPr>
              <w:pStyle w:val="ASSAD2017ACCESSBody1"/>
            </w:pPr>
            <w:r w:rsidRPr="00DE25AD">
              <w:t>Female</w:t>
            </w:r>
          </w:p>
        </w:tc>
        <w:tc>
          <w:tcPr>
            <w:tcW w:w="878" w:type="dxa"/>
            <w:shd w:val="clear" w:color="auto" w:fill="auto"/>
          </w:tcPr>
          <w:p w14:paraId="3851EBF0" w14:textId="688057A8" w:rsidR="009A7EC3" w:rsidRPr="00DE25AD" w:rsidRDefault="009A7EC3" w:rsidP="009A7EC3">
            <w:pPr>
              <w:pStyle w:val="ASSADACCESStablecentre"/>
            </w:pPr>
            <w:r w:rsidRPr="002E5727">
              <w:rPr>
                <w:bCs w:val="0"/>
                <w:color w:val="000000"/>
              </w:rPr>
              <w:t>23*</w:t>
            </w:r>
          </w:p>
        </w:tc>
        <w:tc>
          <w:tcPr>
            <w:tcW w:w="879" w:type="dxa"/>
            <w:shd w:val="clear" w:color="auto" w:fill="auto"/>
          </w:tcPr>
          <w:p w14:paraId="39D51A73" w14:textId="1EAFC2FE" w:rsidR="009A7EC3" w:rsidRPr="00DE25AD" w:rsidRDefault="009A7EC3" w:rsidP="009A7EC3">
            <w:pPr>
              <w:pStyle w:val="ASSADACCESStablecentre"/>
            </w:pPr>
            <w:r w:rsidRPr="002E5727">
              <w:rPr>
                <w:bCs w:val="0"/>
                <w:color w:val="000000"/>
              </w:rPr>
              <w:t>25*</w:t>
            </w:r>
          </w:p>
        </w:tc>
        <w:tc>
          <w:tcPr>
            <w:tcW w:w="879" w:type="dxa"/>
            <w:shd w:val="clear" w:color="auto" w:fill="auto"/>
          </w:tcPr>
          <w:p w14:paraId="3F647376" w14:textId="57D84085" w:rsidR="009A7EC3" w:rsidRPr="00DE25AD" w:rsidRDefault="009A7EC3" w:rsidP="009A7EC3">
            <w:pPr>
              <w:pStyle w:val="ASSADACCESStablecentre"/>
            </w:pPr>
            <w:r w:rsidRPr="002E5727">
              <w:rPr>
                <w:bCs w:val="0"/>
                <w:color w:val="000000"/>
              </w:rPr>
              <w:t>26*</w:t>
            </w:r>
          </w:p>
        </w:tc>
        <w:tc>
          <w:tcPr>
            <w:tcW w:w="879" w:type="dxa"/>
            <w:shd w:val="clear" w:color="auto" w:fill="auto"/>
          </w:tcPr>
          <w:p w14:paraId="0BAE4CDD" w14:textId="1E301BA4" w:rsidR="009A7EC3" w:rsidRPr="00DE25AD" w:rsidRDefault="009A7EC3" w:rsidP="009A7EC3">
            <w:pPr>
              <w:pStyle w:val="ASSADACCESStablecentre"/>
            </w:pPr>
            <w:r w:rsidRPr="002E5727">
              <w:rPr>
                <w:bCs w:val="0"/>
                <w:color w:val="000000"/>
              </w:rPr>
              <w:t>20*^</w:t>
            </w:r>
          </w:p>
        </w:tc>
        <w:tc>
          <w:tcPr>
            <w:tcW w:w="879" w:type="dxa"/>
            <w:shd w:val="clear" w:color="auto" w:fill="auto"/>
          </w:tcPr>
          <w:p w14:paraId="38C76957" w14:textId="36A11694" w:rsidR="009A7EC3" w:rsidRPr="00DE25AD" w:rsidRDefault="009A7EC3" w:rsidP="009A7EC3">
            <w:pPr>
              <w:pStyle w:val="ASSADACCESStablecentre"/>
            </w:pPr>
            <w:r w:rsidRPr="002E5727">
              <w:rPr>
                <w:bCs w:val="0"/>
                <w:color w:val="000000"/>
              </w:rPr>
              <w:t>16*^</w:t>
            </w:r>
          </w:p>
        </w:tc>
        <w:tc>
          <w:tcPr>
            <w:tcW w:w="879" w:type="dxa"/>
            <w:shd w:val="clear" w:color="auto" w:fill="auto"/>
          </w:tcPr>
          <w:p w14:paraId="55210B24" w14:textId="5CEC07DA" w:rsidR="009A7EC3" w:rsidRPr="00DE25AD" w:rsidRDefault="009A7EC3" w:rsidP="009A7EC3">
            <w:pPr>
              <w:pStyle w:val="ASSADACCESStablecentre"/>
            </w:pPr>
            <w:r w:rsidRPr="002E5727">
              <w:rPr>
                <w:bCs w:val="0"/>
                <w:color w:val="000000"/>
              </w:rPr>
              <w:t>10^</w:t>
            </w:r>
          </w:p>
        </w:tc>
        <w:tc>
          <w:tcPr>
            <w:tcW w:w="879" w:type="dxa"/>
            <w:shd w:val="clear" w:color="auto" w:fill="auto"/>
          </w:tcPr>
          <w:p w14:paraId="6FB54A6D" w14:textId="65F61919" w:rsidR="009A7EC3" w:rsidRPr="00DE25AD" w:rsidRDefault="009A7EC3" w:rsidP="009A7EC3">
            <w:pPr>
              <w:pStyle w:val="ASSADACCESStablecentre"/>
            </w:pPr>
            <w:r w:rsidRPr="002E5727">
              <w:rPr>
                <w:bCs w:val="0"/>
                <w:color w:val="000000"/>
              </w:rPr>
              <w:t>8^</w:t>
            </w:r>
          </w:p>
        </w:tc>
        <w:tc>
          <w:tcPr>
            <w:tcW w:w="879" w:type="dxa"/>
            <w:shd w:val="clear" w:color="auto" w:fill="auto"/>
          </w:tcPr>
          <w:p w14:paraId="18F53C73" w14:textId="2D2DCB4B" w:rsidR="009A7EC3" w:rsidRPr="00DE25AD" w:rsidRDefault="009A7EC3" w:rsidP="009A7EC3">
            <w:pPr>
              <w:pStyle w:val="ASSADACCESStablecentre"/>
            </w:pPr>
            <w:r w:rsidRPr="002E5727">
              <w:rPr>
                <w:bCs w:val="0"/>
                <w:color w:val="000000"/>
              </w:rPr>
              <w:t>8^</w:t>
            </w:r>
          </w:p>
        </w:tc>
      </w:tr>
      <w:tr w:rsidR="009A7EC3" w:rsidRPr="00DE25AD" w14:paraId="1565734B" w14:textId="77777777" w:rsidTr="005C5B03">
        <w:tc>
          <w:tcPr>
            <w:tcW w:w="1517" w:type="dxa"/>
            <w:tcMar>
              <w:left w:w="57" w:type="dxa"/>
            </w:tcMar>
          </w:tcPr>
          <w:p w14:paraId="50933AEC" w14:textId="77777777" w:rsidR="009A7EC3" w:rsidRPr="00DE25AD" w:rsidRDefault="009A7EC3" w:rsidP="009A7EC3">
            <w:pPr>
              <w:pStyle w:val="ACCESSTableHeaderRow"/>
            </w:pPr>
          </w:p>
        </w:tc>
        <w:tc>
          <w:tcPr>
            <w:tcW w:w="1068" w:type="dxa"/>
            <w:shd w:val="clear" w:color="auto" w:fill="auto"/>
            <w:tcMar>
              <w:left w:w="57" w:type="dxa"/>
            </w:tcMar>
            <w:vAlign w:val="bottom"/>
          </w:tcPr>
          <w:p w14:paraId="3B485111" w14:textId="77777777" w:rsidR="009A7EC3" w:rsidRPr="00DE25AD" w:rsidRDefault="009A7EC3" w:rsidP="009A7EC3">
            <w:pPr>
              <w:pStyle w:val="ASSAD2017ACCESSBody1"/>
            </w:pPr>
            <w:r w:rsidRPr="00DE25AD">
              <w:t>Total</w:t>
            </w:r>
          </w:p>
        </w:tc>
        <w:tc>
          <w:tcPr>
            <w:tcW w:w="878" w:type="dxa"/>
            <w:shd w:val="clear" w:color="auto" w:fill="auto"/>
          </w:tcPr>
          <w:p w14:paraId="605AD124" w14:textId="50DCD5B6" w:rsidR="009A7EC3" w:rsidRPr="00DE25AD" w:rsidRDefault="009A7EC3" w:rsidP="009A7EC3">
            <w:pPr>
              <w:pStyle w:val="ASSADACCESStablecentre"/>
            </w:pPr>
            <w:r w:rsidRPr="002E5727">
              <w:rPr>
                <w:bCs w:val="0"/>
                <w:color w:val="000000"/>
              </w:rPr>
              <w:t>25*</w:t>
            </w:r>
          </w:p>
        </w:tc>
        <w:tc>
          <w:tcPr>
            <w:tcW w:w="879" w:type="dxa"/>
            <w:shd w:val="clear" w:color="auto" w:fill="auto"/>
          </w:tcPr>
          <w:p w14:paraId="1716355C" w14:textId="42FF7C50" w:rsidR="009A7EC3" w:rsidRPr="00DE25AD" w:rsidRDefault="009A7EC3" w:rsidP="009A7EC3">
            <w:pPr>
              <w:pStyle w:val="ASSADACCESStablecentre"/>
            </w:pPr>
            <w:r w:rsidRPr="002E5727">
              <w:rPr>
                <w:bCs w:val="0"/>
                <w:color w:val="000000"/>
              </w:rPr>
              <w:t>28*</w:t>
            </w:r>
            <w:r>
              <w:rPr>
                <w:bCs w:val="0"/>
                <w:color w:val="000000"/>
              </w:rPr>
              <w:t>^</w:t>
            </w:r>
          </w:p>
        </w:tc>
        <w:tc>
          <w:tcPr>
            <w:tcW w:w="879" w:type="dxa"/>
            <w:shd w:val="clear" w:color="auto" w:fill="auto"/>
          </w:tcPr>
          <w:p w14:paraId="4A09D7BF" w14:textId="5E50D0B1" w:rsidR="009A7EC3" w:rsidRPr="00DE25AD" w:rsidRDefault="009A7EC3" w:rsidP="009A7EC3">
            <w:pPr>
              <w:pStyle w:val="ASSADACCESStablecentre"/>
            </w:pPr>
            <w:r w:rsidRPr="002E5727">
              <w:rPr>
                <w:bCs w:val="0"/>
                <w:color w:val="000000"/>
              </w:rPr>
              <w:t>29*</w:t>
            </w:r>
            <w:r>
              <w:rPr>
                <w:bCs w:val="0"/>
                <w:color w:val="000000"/>
              </w:rPr>
              <w:t>^</w:t>
            </w:r>
          </w:p>
        </w:tc>
        <w:tc>
          <w:tcPr>
            <w:tcW w:w="879" w:type="dxa"/>
            <w:shd w:val="clear" w:color="auto" w:fill="auto"/>
          </w:tcPr>
          <w:p w14:paraId="76A6A59B" w14:textId="5D630904" w:rsidR="009A7EC3" w:rsidRPr="00DE25AD" w:rsidRDefault="009A7EC3" w:rsidP="009A7EC3">
            <w:pPr>
              <w:pStyle w:val="ASSADACCESStablecentre"/>
            </w:pPr>
            <w:r w:rsidRPr="002E5727">
              <w:rPr>
                <w:bCs w:val="0"/>
                <w:color w:val="000000"/>
              </w:rPr>
              <w:t>22*^</w:t>
            </w:r>
          </w:p>
        </w:tc>
        <w:tc>
          <w:tcPr>
            <w:tcW w:w="879" w:type="dxa"/>
            <w:shd w:val="clear" w:color="auto" w:fill="auto"/>
          </w:tcPr>
          <w:p w14:paraId="722C28BC" w14:textId="3B5DBBD0" w:rsidR="009A7EC3" w:rsidRPr="00DE25AD" w:rsidRDefault="009A7EC3" w:rsidP="009A7EC3">
            <w:pPr>
              <w:pStyle w:val="ASSADACCESStablecentre"/>
            </w:pPr>
            <w:r w:rsidRPr="002E5727">
              <w:rPr>
                <w:bCs w:val="0"/>
                <w:color w:val="000000"/>
              </w:rPr>
              <w:t>17*^</w:t>
            </w:r>
          </w:p>
        </w:tc>
        <w:tc>
          <w:tcPr>
            <w:tcW w:w="879" w:type="dxa"/>
            <w:shd w:val="clear" w:color="auto" w:fill="auto"/>
          </w:tcPr>
          <w:p w14:paraId="2323B733" w14:textId="15FB00D8" w:rsidR="009A7EC3" w:rsidRPr="00DE25AD" w:rsidRDefault="009A7EC3" w:rsidP="009A7EC3">
            <w:pPr>
              <w:pStyle w:val="ASSADACCESStablecentre"/>
            </w:pPr>
            <w:r w:rsidRPr="002E5727">
              <w:rPr>
                <w:bCs w:val="0"/>
                <w:color w:val="000000"/>
              </w:rPr>
              <w:t>11^</w:t>
            </w:r>
          </w:p>
        </w:tc>
        <w:tc>
          <w:tcPr>
            <w:tcW w:w="879" w:type="dxa"/>
            <w:shd w:val="clear" w:color="auto" w:fill="auto"/>
          </w:tcPr>
          <w:p w14:paraId="2C37DF98" w14:textId="595C0F9F" w:rsidR="009A7EC3" w:rsidRPr="00DE25AD" w:rsidRDefault="009A7EC3" w:rsidP="009A7EC3">
            <w:pPr>
              <w:pStyle w:val="ASSADACCESStablecentre"/>
            </w:pPr>
            <w:r w:rsidRPr="002E5727">
              <w:rPr>
                <w:bCs w:val="0"/>
                <w:color w:val="000000"/>
              </w:rPr>
              <w:t>8^</w:t>
            </w:r>
          </w:p>
        </w:tc>
        <w:tc>
          <w:tcPr>
            <w:tcW w:w="879" w:type="dxa"/>
            <w:shd w:val="clear" w:color="auto" w:fill="auto"/>
          </w:tcPr>
          <w:p w14:paraId="7689894E" w14:textId="3BD02698" w:rsidR="009A7EC3" w:rsidRPr="00DE25AD" w:rsidRDefault="009A7EC3" w:rsidP="009A7EC3">
            <w:pPr>
              <w:pStyle w:val="ASSADACCESStablecentre"/>
            </w:pPr>
            <w:r w:rsidRPr="002E5727">
              <w:rPr>
                <w:bCs w:val="0"/>
                <w:color w:val="000000"/>
              </w:rPr>
              <w:t>9^</w:t>
            </w:r>
          </w:p>
        </w:tc>
      </w:tr>
      <w:tr w:rsidR="009A7EC3" w:rsidRPr="00DE25AD" w14:paraId="5C982F33" w14:textId="77777777" w:rsidTr="00545FF4">
        <w:tc>
          <w:tcPr>
            <w:tcW w:w="1517" w:type="dxa"/>
            <w:tcMar>
              <w:left w:w="57" w:type="dxa"/>
            </w:tcMar>
          </w:tcPr>
          <w:p w14:paraId="7004C4C2" w14:textId="359A6C78" w:rsidR="009A7EC3" w:rsidRPr="00DE25AD" w:rsidRDefault="009A7EC3" w:rsidP="009A7EC3">
            <w:pPr>
              <w:pStyle w:val="ACCESSTableHeaderRow"/>
            </w:pPr>
            <w:r>
              <w:t>Risky</w:t>
            </w:r>
          </w:p>
        </w:tc>
        <w:tc>
          <w:tcPr>
            <w:tcW w:w="1068" w:type="dxa"/>
            <w:shd w:val="clear" w:color="auto" w:fill="auto"/>
            <w:tcMar>
              <w:left w:w="57" w:type="dxa"/>
            </w:tcMar>
            <w:vAlign w:val="bottom"/>
          </w:tcPr>
          <w:p w14:paraId="01FD2F61" w14:textId="77777777" w:rsidR="009A7EC3" w:rsidRPr="00DE25AD" w:rsidRDefault="009A7EC3" w:rsidP="009A7EC3">
            <w:pPr>
              <w:pStyle w:val="ASSAD2017ACCESSBody1"/>
            </w:pPr>
            <w:r w:rsidRPr="00DE25AD">
              <w:t>Male</w:t>
            </w:r>
          </w:p>
        </w:tc>
        <w:tc>
          <w:tcPr>
            <w:tcW w:w="878" w:type="dxa"/>
            <w:shd w:val="clear" w:color="auto" w:fill="auto"/>
          </w:tcPr>
          <w:p w14:paraId="690F5B1A" w14:textId="3B657B46" w:rsidR="009A7EC3" w:rsidRPr="00DE25AD" w:rsidRDefault="009A7EC3" w:rsidP="009A7EC3">
            <w:pPr>
              <w:pStyle w:val="ASSADACCESStablecentre"/>
            </w:pPr>
            <w:r w:rsidRPr="002E5727">
              <w:rPr>
                <w:bCs w:val="0"/>
                <w:color w:val="000000"/>
              </w:rPr>
              <w:t>6*</w:t>
            </w:r>
          </w:p>
        </w:tc>
        <w:tc>
          <w:tcPr>
            <w:tcW w:w="879" w:type="dxa"/>
            <w:shd w:val="clear" w:color="auto" w:fill="auto"/>
          </w:tcPr>
          <w:p w14:paraId="0D26DD80" w14:textId="3F36EF0B" w:rsidR="009A7EC3" w:rsidRPr="00DE25AD" w:rsidRDefault="009A7EC3" w:rsidP="009A7EC3">
            <w:pPr>
              <w:pStyle w:val="ASSADACCESStablecentre"/>
            </w:pPr>
            <w:r w:rsidRPr="002E5727">
              <w:rPr>
                <w:bCs w:val="0"/>
                <w:color w:val="000000"/>
              </w:rPr>
              <w:t>6*</w:t>
            </w:r>
          </w:p>
        </w:tc>
        <w:tc>
          <w:tcPr>
            <w:tcW w:w="879" w:type="dxa"/>
            <w:shd w:val="clear" w:color="auto" w:fill="auto"/>
          </w:tcPr>
          <w:p w14:paraId="270C34F1" w14:textId="397D3ED4" w:rsidR="009A7EC3" w:rsidRPr="00DE25AD" w:rsidRDefault="009A7EC3" w:rsidP="009A7EC3">
            <w:pPr>
              <w:pStyle w:val="ASSADACCESStablecentre"/>
            </w:pPr>
            <w:r w:rsidRPr="002E5727">
              <w:rPr>
                <w:bCs w:val="0"/>
                <w:color w:val="000000"/>
              </w:rPr>
              <w:t>8*</w:t>
            </w:r>
            <w:r>
              <w:rPr>
                <w:bCs w:val="0"/>
                <w:color w:val="000000"/>
              </w:rPr>
              <w:t>^</w:t>
            </w:r>
          </w:p>
        </w:tc>
        <w:tc>
          <w:tcPr>
            <w:tcW w:w="879" w:type="dxa"/>
            <w:shd w:val="clear" w:color="auto" w:fill="auto"/>
          </w:tcPr>
          <w:p w14:paraId="1A57D94B" w14:textId="14E02FF2" w:rsidR="009A7EC3" w:rsidRPr="00DE25AD" w:rsidRDefault="009A7EC3" w:rsidP="009A7EC3">
            <w:pPr>
              <w:pStyle w:val="ASSADACCESStablecentre"/>
            </w:pPr>
            <w:r w:rsidRPr="002E5727">
              <w:rPr>
                <w:bCs w:val="0"/>
                <w:color w:val="000000"/>
              </w:rPr>
              <w:t>6*</w:t>
            </w:r>
          </w:p>
        </w:tc>
        <w:tc>
          <w:tcPr>
            <w:tcW w:w="879" w:type="dxa"/>
            <w:shd w:val="clear" w:color="auto" w:fill="auto"/>
          </w:tcPr>
          <w:p w14:paraId="3737E09F" w14:textId="779C2416" w:rsidR="009A7EC3" w:rsidRPr="00DE25AD" w:rsidRDefault="009A7EC3" w:rsidP="009A7EC3">
            <w:pPr>
              <w:pStyle w:val="ASSADACCESStablecentre"/>
            </w:pPr>
            <w:r w:rsidRPr="002E5727">
              <w:rPr>
                <w:bCs w:val="0"/>
                <w:color w:val="000000"/>
              </w:rPr>
              <w:t>4</w:t>
            </w:r>
            <w:r>
              <w:rPr>
                <w:bCs w:val="0"/>
                <w:color w:val="000000"/>
              </w:rPr>
              <w:t>*</w:t>
            </w:r>
            <w:r w:rsidRPr="002E5727">
              <w:rPr>
                <w:bCs w:val="0"/>
                <w:color w:val="000000"/>
              </w:rPr>
              <w:t>^</w:t>
            </w:r>
          </w:p>
        </w:tc>
        <w:tc>
          <w:tcPr>
            <w:tcW w:w="879" w:type="dxa"/>
            <w:shd w:val="clear" w:color="auto" w:fill="auto"/>
          </w:tcPr>
          <w:p w14:paraId="75B10D73" w14:textId="3C2163A4" w:rsidR="009A7EC3" w:rsidRPr="00DE25AD" w:rsidRDefault="009A7EC3" w:rsidP="009A7EC3">
            <w:pPr>
              <w:pStyle w:val="ASSADACCESStablecentre"/>
            </w:pPr>
            <w:r w:rsidRPr="002E5727">
              <w:rPr>
                <w:bCs w:val="0"/>
                <w:color w:val="000000"/>
              </w:rPr>
              <w:t>3^</w:t>
            </w:r>
          </w:p>
        </w:tc>
        <w:tc>
          <w:tcPr>
            <w:tcW w:w="879" w:type="dxa"/>
            <w:shd w:val="clear" w:color="auto" w:fill="auto"/>
          </w:tcPr>
          <w:p w14:paraId="245DDEE1" w14:textId="67F869F6" w:rsidR="009A7EC3" w:rsidRPr="00DE25AD" w:rsidRDefault="009A7EC3" w:rsidP="009A7EC3">
            <w:pPr>
              <w:pStyle w:val="ASSADACCESStablecentre"/>
            </w:pPr>
            <w:r w:rsidRPr="002E5727">
              <w:rPr>
                <w:bCs w:val="0"/>
                <w:color w:val="000000"/>
              </w:rPr>
              <w:t>2^</w:t>
            </w:r>
          </w:p>
        </w:tc>
        <w:tc>
          <w:tcPr>
            <w:tcW w:w="879" w:type="dxa"/>
            <w:shd w:val="clear" w:color="auto" w:fill="auto"/>
          </w:tcPr>
          <w:p w14:paraId="403C1902" w14:textId="4005E4F9" w:rsidR="009A7EC3" w:rsidRPr="00DE25AD" w:rsidRDefault="009A7EC3" w:rsidP="009A7EC3">
            <w:pPr>
              <w:pStyle w:val="ASSADACCESStablecentre"/>
            </w:pPr>
            <w:r w:rsidRPr="002E5727">
              <w:rPr>
                <w:bCs w:val="0"/>
                <w:color w:val="000000"/>
              </w:rPr>
              <w:t>2^</w:t>
            </w:r>
          </w:p>
        </w:tc>
      </w:tr>
      <w:tr w:rsidR="009A7EC3" w:rsidRPr="00DE25AD" w14:paraId="003178F6" w14:textId="77777777" w:rsidTr="005C5B03">
        <w:trPr>
          <w:trHeight w:val="277"/>
        </w:trPr>
        <w:tc>
          <w:tcPr>
            <w:tcW w:w="1517" w:type="dxa"/>
            <w:tcMar>
              <w:left w:w="57" w:type="dxa"/>
            </w:tcMar>
          </w:tcPr>
          <w:p w14:paraId="5557B0AF" w14:textId="77777777" w:rsidR="009A7EC3" w:rsidRPr="00DE25AD" w:rsidRDefault="009A7EC3" w:rsidP="009A7EC3">
            <w:pPr>
              <w:pStyle w:val="ACCESSTableHeaderRow"/>
            </w:pPr>
          </w:p>
        </w:tc>
        <w:tc>
          <w:tcPr>
            <w:tcW w:w="1068" w:type="dxa"/>
            <w:shd w:val="clear" w:color="auto" w:fill="auto"/>
            <w:tcMar>
              <w:left w:w="57" w:type="dxa"/>
            </w:tcMar>
            <w:vAlign w:val="bottom"/>
          </w:tcPr>
          <w:p w14:paraId="20221EC4" w14:textId="77777777" w:rsidR="009A7EC3" w:rsidRPr="00DE25AD" w:rsidRDefault="009A7EC3" w:rsidP="009A7EC3">
            <w:pPr>
              <w:pStyle w:val="ASSAD2017ACCESSBody1"/>
            </w:pPr>
            <w:r w:rsidRPr="00DE25AD">
              <w:t>Female</w:t>
            </w:r>
          </w:p>
        </w:tc>
        <w:tc>
          <w:tcPr>
            <w:tcW w:w="878" w:type="dxa"/>
            <w:shd w:val="clear" w:color="auto" w:fill="auto"/>
          </w:tcPr>
          <w:p w14:paraId="5802FBF9" w14:textId="3D2DFFCC" w:rsidR="009A7EC3" w:rsidRPr="00DE25AD" w:rsidRDefault="009A7EC3" w:rsidP="009A7EC3">
            <w:pPr>
              <w:pStyle w:val="ASSADACCESStablecentre"/>
            </w:pPr>
            <w:r w:rsidRPr="002E5727">
              <w:rPr>
                <w:bCs w:val="0"/>
                <w:color w:val="000000"/>
              </w:rPr>
              <w:t>4*</w:t>
            </w:r>
          </w:p>
        </w:tc>
        <w:tc>
          <w:tcPr>
            <w:tcW w:w="879" w:type="dxa"/>
            <w:shd w:val="clear" w:color="auto" w:fill="auto"/>
          </w:tcPr>
          <w:p w14:paraId="05897732" w14:textId="28BAF8B2" w:rsidR="009A7EC3" w:rsidRPr="00DE25AD" w:rsidRDefault="009A7EC3" w:rsidP="009A7EC3">
            <w:pPr>
              <w:pStyle w:val="ASSADACCESStablecentre"/>
            </w:pPr>
            <w:r w:rsidRPr="002E5727">
              <w:rPr>
                <w:bCs w:val="0"/>
                <w:color w:val="000000"/>
              </w:rPr>
              <w:t>4*</w:t>
            </w:r>
          </w:p>
        </w:tc>
        <w:tc>
          <w:tcPr>
            <w:tcW w:w="879" w:type="dxa"/>
            <w:shd w:val="clear" w:color="auto" w:fill="auto"/>
          </w:tcPr>
          <w:p w14:paraId="05AE76AF" w14:textId="27E3985C" w:rsidR="009A7EC3" w:rsidRPr="00DE25AD" w:rsidRDefault="009A7EC3" w:rsidP="009A7EC3">
            <w:pPr>
              <w:pStyle w:val="ASSADACCESStablecentre"/>
            </w:pPr>
            <w:r w:rsidRPr="002E5727">
              <w:rPr>
                <w:bCs w:val="0"/>
                <w:color w:val="000000"/>
              </w:rPr>
              <w:t>5*</w:t>
            </w:r>
            <w:r>
              <w:rPr>
                <w:bCs w:val="0"/>
                <w:color w:val="000000"/>
              </w:rPr>
              <w:t>^</w:t>
            </w:r>
          </w:p>
        </w:tc>
        <w:tc>
          <w:tcPr>
            <w:tcW w:w="879" w:type="dxa"/>
            <w:shd w:val="clear" w:color="auto" w:fill="auto"/>
          </w:tcPr>
          <w:p w14:paraId="110BCFEC" w14:textId="6158D723" w:rsidR="009A7EC3" w:rsidRPr="00DE25AD" w:rsidRDefault="009A7EC3" w:rsidP="009A7EC3">
            <w:pPr>
              <w:pStyle w:val="ASSADACCESStablecentre"/>
            </w:pPr>
            <w:r w:rsidRPr="002E5727">
              <w:rPr>
                <w:bCs w:val="0"/>
                <w:color w:val="000000"/>
              </w:rPr>
              <w:t>5*</w:t>
            </w:r>
          </w:p>
        </w:tc>
        <w:tc>
          <w:tcPr>
            <w:tcW w:w="879" w:type="dxa"/>
            <w:shd w:val="clear" w:color="auto" w:fill="auto"/>
          </w:tcPr>
          <w:p w14:paraId="0D345AFE" w14:textId="28425220" w:rsidR="009A7EC3" w:rsidRPr="00DE25AD" w:rsidRDefault="009A7EC3" w:rsidP="009A7EC3">
            <w:pPr>
              <w:pStyle w:val="ASSADACCESStablecentre"/>
            </w:pPr>
            <w:r w:rsidRPr="002E5727">
              <w:rPr>
                <w:bCs w:val="0"/>
                <w:color w:val="000000"/>
              </w:rPr>
              <w:t>3*</w:t>
            </w:r>
          </w:p>
        </w:tc>
        <w:tc>
          <w:tcPr>
            <w:tcW w:w="879" w:type="dxa"/>
            <w:shd w:val="clear" w:color="auto" w:fill="auto"/>
          </w:tcPr>
          <w:p w14:paraId="2C9375FA" w14:textId="13556B7F" w:rsidR="009A7EC3" w:rsidRPr="00DE25AD" w:rsidRDefault="009A7EC3" w:rsidP="009A7EC3">
            <w:pPr>
              <w:pStyle w:val="ASSADACCESStablecentre"/>
            </w:pPr>
            <w:r w:rsidRPr="002E5727">
              <w:rPr>
                <w:bCs w:val="0"/>
                <w:color w:val="000000"/>
              </w:rPr>
              <w:t>2^</w:t>
            </w:r>
          </w:p>
        </w:tc>
        <w:tc>
          <w:tcPr>
            <w:tcW w:w="879" w:type="dxa"/>
            <w:shd w:val="clear" w:color="auto" w:fill="auto"/>
          </w:tcPr>
          <w:p w14:paraId="3021B809" w14:textId="4F09A0C2" w:rsidR="009A7EC3" w:rsidRPr="00DE25AD" w:rsidRDefault="009A7EC3" w:rsidP="009A7EC3">
            <w:pPr>
              <w:pStyle w:val="ASSADACCESStablecentre"/>
            </w:pPr>
            <w:r w:rsidRPr="002E5727">
              <w:rPr>
                <w:bCs w:val="0"/>
                <w:color w:val="000000"/>
              </w:rPr>
              <w:t>1^</w:t>
            </w:r>
          </w:p>
        </w:tc>
        <w:tc>
          <w:tcPr>
            <w:tcW w:w="879" w:type="dxa"/>
            <w:shd w:val="clear" w:color="auto" w:fill="auto"/>
          </w:tcPr>
          <w:p w14:paraId="189DFE4C" w14:textId="3F69001A" w:rsidR="009A7EC3" w:rsidRPr="00DE25AD" w:rsidRDefault="009A7EC3" w:rsidP="009A7EC3">
            <w:pPr>
              <w:pStyle w:val="ASSADACCESStablecentre"/>
            </w:pPr>
            <w:r w:rsidRPr="002E5727">
              <w:rPr>
                <w:bCs w:val="0"/>
                <w:color w:val="000000"/>
              </w:rPr>
              <w:t>2^</w:t>
            </w:r>
          </w:p>
        </w:tc>
      </w:tr>
      <w:tr w:rsidR="009A7EC3" w:rsidRPr="00DE25AD" w14:paraId="45BA94E7" w14:textId="77777777" w:rsidTr="005C5B03">
        <w:trPr>
          <w:trHeight w:val="84"/>
        </w:trPr>
        <w:tc>
          <w:tcPr>
            <w:tcW w:w="1517" w:type="dxa"/>
            <w:tcMar>
              <w:left w:w="57" w:type="dxa"/>
            </w:tcMar>
          </w:tcPr>
          <w:p w14:paraId="04FA368F" w14:textId="77777777" w:rsidR="009A7EC3" w:rsidRPr="00DE25AD" w:rsidRDefault="009A7EC3" w:rsidP="009A7EC3">
            <w:pPr>
              <w:pStyle w:val="ACCESSTableHeaderRow"/>
            </w:pPr>
          </w:p>
        </w:tc>
        <w:tc>
          <w:tcPr>
            <w:tcW w:w="1068" w:type="dxa"/>
            <w:shd w:val="clear" w:color="auto" w:fill="auto"/>
            <w:tcMar>
              <w:left w:w="57" w:type="dxa"/>
            </w:tcMar>
            <w:vAlign w:val="bottom"/>
          </w:tcPr>
          <w:p w14:paraId="0E0BC07B" w14:textId="77777777" w:rsidR="009A7EC3" w:rsidRPr="00DE25AD" w:rsidRDefault="009A7EC3" w:rsidP="009A7EC3">
            <w:pPr>
              <w:pStyle w:val="ASSAD2017ACCESSBody1"/>
            </w:pPr>
            <w:r w:rsidRPr="00DE25AD">
              <w:t>Total</w:t>
            </w:r>
          </w:p>
        </w:tc>
        <w:tc>
          <w:tcPr>
            <w:tcW w:w="878" w:type="dxa"/>
            <w:shd w:val="clear" w:color="auto" w:fill="auto"/>
          </w:tcPr>
          <w:p w14:paraId="73E3D6D4" w14:textId="3A35C62E" w:rsidR="009A7EC3" w:rsidRPr="00DE25AD" w:rsidRDefault="009A7EC3" w:rsidP="009A7EC3">
            <w:pPr>
              <w:pStyle w:val="ASSADACCESStablecentre"/>
            </w:pPr>
            <w:r w:rsidRPr="002E5727">
              <w:rPr>
                <w:bCs w:val="0"/>
                <w:color w:val="000000"/>
              </w:rPr>
              <w:t>5*</w:t>
            </w:r>
          </w:p>
        </w:tc>
        <w:tc>
          <w:tcPr>
            <w:tcW w:w="879" w:type="dxa"/>
            <w:shd w:val="clear" w:color="auto" w:fill="auto"/>
          </w:tcPr>
          <w:p w14:paraId="06B57A1E" w14:textId="3C00994B" w:rsidR="009A7EC3" w:rsidRPr="00DE25AD" w:rsidRDefault="009A7EC3" w:rsidP="009A7EC3">
            <w:pPr>
              <w:pStyle w:val="ASSADACCESStablecentre"/>
            </w:pPr>
            <w:r w:rsidRPr="002E5727">
              <w:rPr>
                <w:bCs w:val="0"/>
                <w:color w:val="000000"/>
              </w:rPr>
              <w:t>5*</w:t>
            </w:r>
          </w:p>
        </w:tc>
        <w:tc>
          <w:tcPr>
            <w:tcW w:w="879" w:type="dxa"/>
            <w:shd w:val="clear" w:color="auto" w:fill="auto"/>
          </w:tcPr>
          <w:p w14:paraId="7B1A8CC3" w14:textId="7E05B021" w:rsidR="009A7EC3" w:rsidRPr="00DE25AD" w:rsidRDefault="009A7EC3" w:rsidP="009A7EC3">
            <w:pPr>
              <w:pStyle w:val="ASSADACCESStablecentre"/>
            </w:pPr>
            <w:r w:rsidRPr="002E5727">
              <w:rPr>
                <w:bCs w:val="0"/>
                <w:color w:val="000000"/>
              </w:rPr>
              <w:t>7*^</w:t>
            </w:r>
          </w:p>
        </w:tc>
        <w:tc>
          <w:tcPr>
            <w:tcW w:w="879" w:type="dxa"/>
            <w:shd w:val="clear" w:color="auto" w:fill="auto"/>
          </w:tcPr>
          <w:p w14:paraId="44971A10" w14:textId="3B42D2AE" w:rsidR="009A7EC3" w:rsidRPr="00DE25AD" w:rsidRDefault="009A7EC3" w:rsidP="009A7EC3">
            <w:pPr>
              <w:pStyle w:val="ASSADACCESStablecentre"/>
            </w:pPr>
            <w:r w:rsidRPr="002E5727">
              <w:rPr>
                <w:bCs w:val="0"/>
                <w:color w:val="000000"/>
              </w:rPr>
              <w:t>6*</w:t>
            </w:r>
          </w:p>
        </w:tc>
        <w:tc>
          <w:tcPr>
            <w:tcW w:w="879" w:type="dxa"/>
            <w:shd w:val="clear" w:color="auto" w:fill="auto"/>
          </w:tcPr>
          <w:p w14:paraId="73CFB026" w14:textId="0D993E3F" w:rsidR="009A7EC3" w:rsidRPr="00DE25AD" w:rsidRDefault="009A7EC3" w:rsidP="009A7EC3">
            <w:pPr>
              <w:pStyle w:val="ASSADACCESStablecentre"/>
            </w:pPr>
            <w:r w:rsidRPr="002E5727">
              <w:rPr>
                <w:bCs w:val="0"/>
                <w:color w:val="000000"/>
              </w:rPr>
              <w:t>4*^</w:t>
            </w:r>
          </w:p>
        </w:tc>
        <w:tc>
          <w:tcPr>
            <w:tcW w:w="879" w:type="dxa"/>
            <w:shd w:val="clear" w:color="auto" w:fill="auto"/>
          </w:tcPr>
          <w:p w14:paraId="01A5A7EE" w14:textId="4AF5B2FB" w:rsidR="009A7EC3" w:rsidRPr="00DE25AD" w:rsidRDefault="009A7EC3" w:rsidP="009A7EC3">
            <w:pPr>
              <w:pStyle w:val="ASSADACCESStablecentre"/>
            </w:pPr>
            <w:r w:rsidRPr="002E5727">
              <w:rPr>
                <w:bCs w:val="0"/>
                <w:color w:val="000000"/>
              </w:rPr>
              <w:t>3^</w:t>
            </w:r>
          </w:p>
        </w:tc>
        <w:tc>
          <w:tcPr>
            <w:tcW w:w="879" w:type="dxa"/>
            <w:shd w:val="clear" w:color="auto" w:fill="auto"/>
          </w:tcPr>
          <w:p w14:paraId="4B280E55" w14:textId="4EE01495" w:rsidR="009A7EC3" w:rsidRPr="00DE25AD" w:rsidRDefault="009A7EC3" w:rsidP="009A7EC3">
            <w:pPr>
              <w:pStyle w:val="ASSADACCESStablecentre"/>
            </w:pPr>
            <w:r w:rsidRPr="002E5727">
              <w:rPr>
                <w:bCs w:val="0"/>
                <w:color w:val="000000"/>
              </w:rPr>
              <w:t>2^</w:t>
            </w:r>
          </w:p>
        </w:tc>
        <w:tc>
          <w:tcPr>
            <w:tcW w:w="879" w:type="dxa"/>
            <w:shd w:val="clear" w:color="auto" w:fill="auto"/>
          </w:tcPr>
          <w:p w14:paraId="5ABAA78C" w14:textId="05828A53" w:rsidR="009A7EC3" w:rsidRPr="00DE25AD" w:rsidRDefault="009A7EC3" w:rsidP="009A7EC3">
            <w:pPr>
              <w:pStyle w:val="ASSADACCESStablecentre"/>
            </w:pPr>
            <w:r w:rsidRPr="002E5727">
              <w:rPr>
                <w:bCs w:val="0"/>
                <w:color w:val="000000"/>
              </w:rPr>
              <w:t>2^</w:t>
            </w:r>
          </w:p>
        </w:tc>
      </w:tr>
      <w:tr w:rsidR="009A7EC3" w:rsidRPr="00DE25AD" w14:paraId="1EFDF35F" w14:textId="77777777" w:rsidTr="005C5B03">
        <w:tc>
          <w:tcPr>
            <w:tcW w:w="1517" w:type="dxa"/>
            <w:tcMar>
              <w:left w:w="57" w:type="dxa"/>
            </w:tcMar>
          </w:tcPr>
          <w:p w14:paraId="025C9352" w14:textId="52DF8A6E" w:rsidR="009A7EC3" w:rsidRDefault="009A7EC3" w:rsidP="009A7EC3">
            <w:pPr>
              <w:pStyle w:val="ACCESSTableHeaderRow"/>
            </w:pPr>
            <w:r>
              <w:t>Aged 16-17</w:t>
            </w:r>
          </w:p>
        </w:tc>
        <w:tc>
          <w:tcPr>
            <w:tcW w:w="1068" w:type="dxa"/>
            <w:shd w:val="clear" w:color="auto" w:fill="auto"/>
            <w:tcMar>
              <w:left w:w="57" w:type="dxa"/>
            </w:tcMar>
            <w:vAlign w:val="center"/>
          </w:tcPr>
          <w:p w14:paraId="348C51AF" w14:textId="77777777" w:rsidR="009A7EC3" w:rsidRPr="00DE25AD" w:rsidRDefault="009A7EC3" w:rsidP="009A7EC3">
            <w:pPr>
              <w:pStyle w:val="ASSAD2017ACCESSBody1"/>
            </w:pPr>
          </w:p>
        </w:tc>
        <w:tc>
          <w:tcPr>
            <w:tcW w:w="878" w:type="dxa"/>
            <w:shd w:val="clear" w:color="auto" w:fill="auto"/>
            <w:vAlign w:val="bottom"/>
          </w:tcPr>
          <w:p w14:paraId="06267674" w14:textId="77777777" w:rsidR="009A7EC3" w:rsidRPr="00DE25AD" w:rsidRDefault="009A7EC3" w:rsidP="009A7EC3">
            <w:pPr>
              <w:pStyle w:val="ASSADACCESStablecentre"/>
            </w:pPr>
          </w:p>
        </w:tc>
        <w:tc>
          <w:tcPr>
            <w:tcW w:w="879" w:type="dxa"/>
            <w:shd w:val="clear" w:color="auto" w:fill="auto"/>
            <w:vAlign w:val="bottom"/>
          </w:tcPr>
          <w:p w14:paraId="0C9AFC63" w14:textId="77777777" w:rsidR="009A7EC3" w:rsidRPr="00DE25AD" w:rsidRDefault="009A7EC3" w:rsidP="009A7EC3">
            <w:pPr>
              <w:pStyle w:val="ASSADACCESStablecentre"/>
            </w:pPr>
          </w:p>
        </w:tc>
        <w:tc>
          <w:tcPr>
            <w:tcW w:w="879" w:type="dxa"/>
            <w:shd w:val="clear" w:color="auto" w:fill="auto"/>
            <w:vAlign w:val="bottom"/>
          </w:tcPr>
          <w:p w14:paraId="30D116F1" w14:textId="77777777" w:rsidR="009A7EC3" w:rsidRPr="00DE25AD" w:rsidRDefault="009A7EC3" w:rsidP="009A7EC3">
            <w:pPr>
              <w:pStyle w:val="ASSADACCESStablecentre"/>
            </w:pPr>
          </w:p>
        </w:tc>
        <w:tc>
          <w:tcPr>
            <w:tcW w:w="879" w:type="dxa"/>
            <w:shd w:val="clear" w:color="auto" w:fill="auto"/>
            <w:vAlign w:val="bottom"/>
          </w:tcPr>
          <w:p w14:paraId="6069DF22" w14:textId="77777777" w:rsidR="009A7EC3" w:rsidRPr="00DE25AD" w:rsidRDefault="009A7EC3" w:rsidP="009A7EC3">
            <w:pPr>
              <w:pStyle w:val="ASSADACCESStablecentre"/>
            </w:pPr>
          </w:p>
        </w:tc>
        <w:tc>
          <w:tcPr>
            <w:tcW w:w="879" w:type="dxa"/>
            <w:shd w:val="clear" w:color="auto" w:fill="auto"/>
            <w:vAlign w:val="bottom"/>
          </w:tcPr>
          <w:p w14:paraId="58A21569" w14:textId="77777777" w:rsidR="009A7EC3" w:rsidRPr="00DE25AD" w:rsidRDefault="009A7EC3" w:rsidP="009A7EC3">
            <w:pPr>
              <w:pStyle w:val="ASSADACCESStablecentre"/>
            </w:pPr>
          </w:p>
        </w:tc>
        <w:tc>
          <w:tcPr>
            <w:tcW w:w="879" w:type="dxa"/>
            <w:shd w:val="clear" w:color="auto" w:fill="auto"/>
            <w:vAlign w:val="bottom"/>
          </w:tcPr>
          <w:p w14:paraId="5D1C32DC" w14:textId="77777777" w:rsidR="009A7EC3" w:rsidRPr="00DE25AD" w:rsidRDefault="009A7EC3" w:rsidP="009A7EC3">
            <w:pPr>
              <w:pStyle w:val="ASSADACCESStablecentre"/>
            </w:pPr>
          </w:p>
        </w:tc>
        <w:tc>
          <w:tcPr>
            <w:tcW w:w="879" w:type="dxa"/>
            <w:shd w:val="clear" w:color="auto" w:fill="auto"/>
            <w:vAlign w:val="bottom"/>
          </w:tcPr>
          <w:p w14:paraId="1DD81A56" w14:textId="77777777" w:rsidR="009A7EC3" w:rsidRPr="00DE25AD" w:rsidRDefault="009A7EC3" w:rsidP="009A7EC3">
            <w:pPr>
              <w:pStyle w:val="ASSADACCESStablecentre"/>
            </w:pPr>
          </w:p>
        </w:tc>
        <w:tc>
          <w:tcPr>
            <w:tcW w:w="879" w:type="dxa"/>
            <w:shd w:val="clear" w:color="auto" w:fill="auto"/>
            <w:vAlign w:val="bottom"/>
          </w:tcPr>
          <w:p w14:paraId="067704C0" w14:textId="77777777" w:rsidR="009A7EC3" w:rsidRPr="00DE25AD" w:rsidRDefault="009A7EC3" w:rsidP="009A7EC3">
            <w:pPr>
              <w:pStyle w:val="ASSADACCESStablecentre"/>
            </w:pPr>
          </w:p>
        </w:tc>
      </w:tr>
      <w:tr w:rsidR="009A7EC3" w:rsidRPr="00DE25AD" w14:paraId="2A26D2DB" w14:textId="77777777" w:rsidTr="005C5B03">
        <w:tc>
          <w:tcPr>
            <w:tcW w:w="1517" w:type="dxa"/>
            <w:tcMar>
              <w:left w:w="57" w:type="dxa"/>
            </w:tcMar>
          </w:tcPr>
          <w:p w14:paraId="4FC6CF9F" w14:textId="32FEECDC" w:rsidR="009A7EC3" w:rsidRDefault="009A7EC3" w:rsidP="009A7EC3">
            <w:pPr>
              <w:pStyle w:val="ACCESSTableHeaderRow"/>
            </w:pPr>
            <w:r w:rsidRPr="00DE25AD">
              <w:t>Recency</w:t>
            </w:r>
          </w:p>
        </w:tc>
        <w:tc>
          <w:tcPr>
            <w:tcW w:w="1068" w:type="dxa"/>
            <w:shd w:val="clear" w:color="auto" w:fill="auto"/>
            <w:tcMar>
              <w:left w:w="57" w:type="dxa"/>
            </w:tcMar>
            <w:vAlign w:val="center"/>
          </w:tcPr>
          <w:p w14:paraId="1917F908" w14:textId="78D18152" w:rsidR="009A7EC3" w:rsidRPr="00DE25AD" w:rsidRDefault="009A7EC3" w:rsidP="009A7EC3">
            <w:pPr>
              <w:pStyle w:val="ASSAD2017ACCESSBody1"/>
            </w:pPr>
            <w:r w:rsidRPr="005C5B03">
              <w:rPr>
                <w:b/>
                <w:bCs w:val="0"/>
              </w:rPr>
              <w:t>Sex</w:t>
            </w:r>
          </w:p>
        </w:tc>
        <w:tc>
          <w:tcPr>
            <w:tcW w:w="878" w:type="dxa"/>
            <w:shd w:val="clear" w:color="auto" w:fill="auto"/>
            <w:vAlign w:val="bottom"/>
          </w:tcPr>
          <w:p w14:paraId="47B95B75" w14:textId="77777777" w:rsidR="009A7EC3" w:rsidRPr="00DE25AD" w:rsidRDefault="009A7EC3" w:rsidP="009A7EC3">
            <w:pPr>
              <w:pStyle w:val="ASSADACCESStablecentre"/>
            </w:pPr>
          </w:p>
        </w:tc>
        <w:tc>
          <w:tcPr>
            <w:tcW w:w="879" w:type="dxa"/>
            <w:shd w:val="clear" w:color="auto" w:fill="auto"/>
            <w:vAlign w:val="bottom"/>
          </w:tcPr>
          <w:p w14:paraId="2CF67025" w14:textId="77777777" w:rsidR="009A7EC3" w:rsidRPr="00DE25AD" w:rsidRDefault="009A7EC3" w:rsidP="009A7EC3">
            <w:pPr>
              <w:pStyle w:val="ASSADACCESStablecentre"/>
            </w:pPr>
          </w:p>
        </w:tc>
        <w:tc>
          <w:tcPr>
            <w:tcW w:w="879" w:type="dxa"/>
            <w:shd w:val="clear" w:color="auto" w:fill="auto"/>
            <w:vAlign w:val="bottom"/>
          </w:tcPr>
          <w:p w14:paraId="053910B7" w14:textId="77777777" w:rsidR="009A7EC3" w:rsidRPr="00DE25AD" w:rsidRDefault="009A7EC3" w:rsidP="009A7EC3">
            <w:pPr>
              <w:pStyle w:val="ASSADACCESStablecentre"/>
            </w:pPr>
          </w:p>
        </w:tc>
        <w:tc>
          <w:tcPr>
            <w:tcW w:w="879" w:type="dxa"/>
            <w:shd w:val="clear" w:color="auto" w:fill="auto"/>
            <w:vAlign w:val="bottom"/>
          </w:tcPr>
          <w:p w14:paraId="7942E4B7" w14:textId="77777777" w:rsidR="009A7EC3" w:rsidRPr="00DE25AD" w:rsidRDefault="009A7EC3" w:rsidP="009A7EC3">
            <w:pPr>
              <w:pStyle w:val="ASSADACCESStablecentre"/>
            </w:pPr>
          </w:p>
        </w:tc>
        <w:tc>
          <w:tcPr>
            <w:tcW w:w="879" w:type="dxa"/>
            <w:shd w:val="clear" w:color="auto" w:fill="auto"/>
            <w:vAlign w:val="bottom"/>
          </w:tcPr>
          <w:p w14:paraId="164D2F14" w14:textId="77777777" w:rsidR="009A7EC3" w:rsidRPr="00DE25AD" w:rsidRDefault="009A7EC3" w:rsidP="009A7EC3">
            <w:pPr>
              <w:pStyle w:val="ASSADACCESStablecentre"/>
            </w:pPr>
          </w:p>
        </w:tc>
        <w:tc>
          <w:tcPr>
            <w:tcW w:w="879" w:type="dxa"/>
            <w:shd w:val="clear" w:color="auto" w:fill="auto"/>
            <w:vAlign w:val="bottom"/>
          </w:tcPr>
          <w:p w14:paraId="2A13C9A4" w14:textId="77777777" w:rsidR="009A7EC3" w:rsidRPr="00DE25AD" w:rsidRDefault="009A7EC3" w:rsidP="009A7EC3">
            <w:pPr>
              <w:pStyle w:val="ASSADACCESStablecentre"/>
            </w:pPr>
          </w:p>
        </w:tc>
        <w:tc>
          <w:tcPr>
            <w:tcW w:w="879" w:type="dxa"/>
            <w:shd w:val="clear" w:color="auto" w:fill="auto"/>
            <w:vAlign w:val="bottom"/>
          </w:tcPr>
          <w:p w14:paraId="542B54F8" w14:textId="77777777" w:rsidR="009A7EC3" w:rsidRPr="00DE25AD" w:rsidRDefault="009A7EC3" w:rsidP="009A7EC3">
            <w:pPr>
              <w:pStyle w:val="ASSADACCESStablecentre"/>
            </w:pPr>
          </w:p>
        </w:tc>
        <w:tc>
          <w:tcPr>
            <w:tcW w:w="879" w:type="dxa"/>
            <w:shd w:val="clear" w:color="auto" w:fill="auto"/>
            <w:vAlign w:val="bottom"/>
          </w:tcPr>
          <w:p w14:paraId="1D67975F" w14:textId="77777777" w:rsidR="009A7EC3" w:rsidRPr="00DE25AD" w:rsidRDefault="009A7EC3" w:rsidP="009A7EC3">
            <w:pPr>
              <w:pStyle w:val="ASSADACCESStablecentre"/>
            </w:pPr>
          </w:p>
        </w:tc>
      </w:tr>
      <w:tr w:rsidR="009A7EC3" w:rsidRPr="00DE25AD" w14:paraId="4992496A" w14:textId="77777777" w:rsidTr="00545FF4">
        <w:tc>
          <w:tcPr>
            <w:tcW w:w="1517" w:type="dxa"/>
            <w:tcMar>
              <w:left w:w="57" w:type="dxa"/>
            </w:tcMar>
          </w:tcPr>
          <w:p w14:paraId="21EF431A" w14:textId="7EFC80DE" w:rsidR="009A7EC3" w:rsidRPr="00DE25AD" w:rsidRDefault="009A7EC3" w:rsidP="009A7EC3">
            <w:pPr>
              <w:pStyle w:val="ACCESSTableHeaderRow"/>
            </w:pPr>
            <w:r>
              <w:t>Lifetime</w:t>
            </w:r>
          </w:p>
        </w:tc>
        <w:tc>
          <w:tcPr>
            <w:tcW w:w="1068" w:type="dxa"/>
            <w:shd w:val="clear" w:color="auto" w:fill="auto"/>
            <w:tcMar>
              <w:left w:w="57" w:type="dxa"/>
            </w:tcMar>
            <w:vAlign w:val="bottom"/>
          </w:tcPr>
          <w:p w14:paraId="72EE0679" w14:textId="77777777" w:rsidR="009A7EC3" w:rsidRPr="00DE25AD" w:rsidRDefault="009A7EC3" w:rsidP="009A7EC3">
            <w:pPr>
              <w:pStyle w:val="ASSAD2017ACCESSBody1"/>
            </w:pPr>
            <w:r w:rsidRPr="00DE25AD">
              <w:t>Male</w:t>
            </w:r>
          </w:p>
        </w:tc>
        <w:tc>
          <w:tcPr>
            <w:tcW w:w="878" w:type="dxa"/>
            <w:shd w:val="clear" w:color="auto" w:fill="auto"/>
          </w:tcPr>
          <w:p w14:paraId="307B3B7B" w14:textId="2D249D5A" w:rsidR="009A7EC3" w:rsidRPr="00DE25AD" w:rsidRDefault="009A7EC3" w:rsidP="009A7EC3">
            <w:pPr>
              <w:pStyle w:val="ASSADACCESStablecentre"/>
            </w:pPr>
            <w:r w:rsidRPr="002E5727">
              <w:rPr>
                <w:bCs w:val="0"/>
                <w:color w:val="000000"/>
              </w:rPr>
              <w:t>96*</w:t>
            </w:r>
          </w:p>
        </w:tc>
        <w:tc>
          <w:tcPr>
            <w:tcW w:w="879" w:type="dxa"/>
            <w:shd w:val="clear" w:color="auto" w:fill="auto"/>
          </w:tcPr>
          <w:p w14:paraId="02A5AA57" w14:textId="70B5477B" w:rsidR="009A7EC3" w:rsidRPr="00DE25AD" w:rsidRDefault="009A7EC3" w:rsidP="009A7EC3">
            <w:pPr>
              <w:pStyle w:val="ASSADACCESStablecentre"/>
            </w:pPr>
            <w:r w:rsidRPr="002E5727">
              <w:rPr>
                <w:bCs w:val="0"/>
                <w:color w:val="000000"/>
              </w:rPr>
              <w:t>95*</w:t>
            </w:r>
          </w:p>
        </w:tc>
        <w:tc>
          <w:tcPr>
            <w:tcW w:w="879" w:type="dxa"/>
            <w:shd w:val="clear" w:color="auto" w:fill="auto"/>
          </w:tcPr>
          <w:p w14:paraId="2884781D" w14:textId="758425F4" w:rsidR="009A7EC3" w:rsidRPr="00DE25AD" w:rsidRDefault="009A7EC3" w:rsidP="009A7EC3">
            <w:pPr>
              <w:pStyle w:val="ASSADACCESStablecentre"/>
            </w:pPr>
            <w:r w:rsidRPr="002E5727">
              <w:rPr>
                <w:bCs w:val="0"/>
                <w:color w:val="000000"/>
              </w:rPr>
              <w:t>94*^</w:t>
            </w:r>
          </w:p>
        </w:tc>
        <w:tc>
          <w:tcPr>
            <w:tcW w:w="879" w:type="dxa"/>
            <w:shd w:val="clear" w:color="auto" w:fill="auto"/>
          </w:tcPr>
          <w:p w14:paraId="7D00C654" w14:textId="69B0ED9C" w:rsidR="009A7EC3" w:rsidRPr="00DE25AD" w:rsidRDefault="009A7EC3" w:rsidP="009A7EC3">
            <w:pPr>
              <w:pStyle w:val="ASSADACCESStablecentre"/>
            </w:pPr>
            <w:r w:rsidRPr="002E5727">
              <w:rPr>
                <w:bCs w:val="0"/>
                <w:color w:val="000000"/>
              </w:rPr>
              <w:t>95*</w:t>
            </w:r>
          </w:p>
        </w:tc>
        <w:tc>
          <w:tcPr>
            <w:tcW w:w="879" w:type="dxa"/>
            <w:shd w:val="clear" w:color="auto" w:fill="auto"/>
          </w:tcPr>
          <w:p w14:paraId="21C57489" w14:textId="43987022" w:rsidR="009A7EC3" w:rsidRPr="00DE25AD" w:rsidRDefault="009A7EC3" w:rsidP="009A7EC3">
            <w:pPr>
              <w:pStyle w:val="ASSADACCESStablecentre"/>
            </w:pPr>
            <w:r w:rsidRPr="002E5727">
              <w:rPr>
                <w:bCs w:val="0"/>
                <w:color w:val="000000"/>
              </w:rPr>
              <w:t>91*^</w:t>
            </w:r>
          </w:p>
        </w:tc>
        <w:tc>
          <w:tcPr>
            <w:tcW w:w="879" w:type="dxa"/>
            <w:shd w:val="clear" w:color="auto" w:fill="auto"/>
          </w:tcPr>
          <w:p w14:paraId="2F147487" w14:textId="4A12A8DC" w:rsidR="009A7EC3" w:rsidRPr="00DE25AD" w:rsidRDefault="009A7EC3" w:rsidP="009A7EC3">
            <w:pPr>
              <w:pStyle w:val="ASSADACCESStablecentre"/>
            </w:pPr>
            <w:r w:rsidRPr="002E5727">
              <w:rPr>
                <w:bCs w:val="0"/>
                <w:color w:val="000000"/>
              </w:rPr>
              <w:t>88*^</w:t>
            </w:r>
          </w:p>
        </w:tc>
        <w:tc>
          <w:tcPr>
            <w:tcW w:w="879" w:type="dxa"/>
            <w:shd w:val="clear" w:color="auto" w:fill="auto"/>
          </w:tcPr>
          <w:p w14:paraId="3EC720D5" w14:textId="48E4D7F6" w:rsidR="009A7EC3" w:rsidRPr="00DE25AD" w:rsidRDefault="009A7EC3" w:rsidP="009A7EC3">
            <w:pPr>
              <w:pStyle w:val="ASSADACCESStablecentre"/>
            </w:pPr>
            <w:r w:rsidRPr="002E5727">
              <w:rPr>
                <w:bCs w:val="0"/>
                <w:color w:val="000000"/>
              </w:rPr>
              <w:t>84^</w:t>
            </w:r>
          </w:p>
        </w:tc>
        <w:tc>
          <w:tcPr>
            <w:tcW w:w="879" w:type="dxa"/>
            <w:shd w:val="clear" w:color="auto" w:fill="auto"/>
          </w:tcPr>
          <w:p w14:paraId="78435149" w14:textId="0E3DE29E" w:rsidR="009A7EC3" w:rsidRPr="00DE25AD" w:rsidRDefault="009A7EC3" w:rsidP="009A7EC3">
            <w:pPr>
              <w:pStyle w:val="ASSADACCESStablecentre"/>
            </w:pPr>
            <w:r w:rsidRPr="002E5727">
              <w:rPr>
                <w:bCs w:val="0"/>
                <w:color w:val="000000"/>
              </w:rPr>
              <w:t>81^</w:t>
            </w:r>
          </w:p>
        </w:tc>
      </w:tr>
      <w:tr w:rsidR="009A7EC3" w:rsidRPr="00DE25AD" w14:paraId="3C841946" w14:textId="77777777" w:rsidTr="005C5B03">
        <w:tc>
          <w:tcPr>
            <w:tcW w:w="1517" w:type="dxa"/>
            <w:tcMar>
              <w:left w:w="57" w:type="dxa"/>
            </w:tcMar>
          </w:tcPr>
          <w:p w14:paraId="0C1756EE" w14:textId="77777777" w:rsidR="009A7EC3" w:rsidRPr="00DE25AD" w:rsidRDefault="009A7EC3" w:rsidP="009A7EC3">
            <w:pPr>
              <w:pStyle w:val="ACCESSTableHeaderRow"/>
            </w:pPr>
          </w:p>
        </w:tc>
        <w:tc>
          <w:tcPr>
            <w:tcW w:w="1068" w:type="dxa"/>
            <w:shd w:val="clear" w:color="auto" w:fill="auto"/>
            <w:tcMar>
              <w:left w:w="57" w:type="dxa"/>
            </w:tcMar>
            <w:vAlign w:val="bottom"/>
          </w:tcPr>
          <w:p w14:paraId="766E9FC1" w14:textId="77777777" w:rsidR="009A7EC3" w:rsidRPr="00DE25AD" w:rsidRDefault="009A7EC3" w:rsidP="009A7EC3">
            <w:pPr>
              <w:pStyle w:val="ASSAD2017ACCESSBody1"/>
            </w:pPr>
            <w:r w:rsidRPr="00DE25AD">
              <w:t>Female</w:t>
            </w:r>
          </w:p>
        </w:tc>
        <w:tc>
          <w:tcPr>
            <w:tcW w:w="878" w:type="dxa"/>
            <w:shd w:val="clear" w:color="auto" w:fill="auto"/>
          </w:tcPr>
          <w:p w14:paraId="0CF3B144" w14:textId="772B909A" w:rsidR="009A7EC3" w:rsidRPr="00DE25AD" w:rsidRDefault="009A7EC3" w:rsidP="009A7EC3">
            <w:pPr>
              <w:pStyle w:val="ASSADACCESStablecentre"/>
            </w:pPr>
            <w:r w:rsidRPr="002E5727">
              <w:rPr>
                <w:bCs w:val="0"/>
                <w:color w:val="000000"/>
              </w:rPr>
              <w:t>96*</w:t>
            </w:r>
          </w:p>
        </w:tc>
        <w:tc>
          <w:tcPr>
            <w:tcW w:w="879" w:type="dxa"/>
            <w:shd w:val="clear" w:color="auto" w:fill="auto"/>
          </w:tcPr>
          <w:p w14:paraId="7BE444CF" w14:textId="5D574F8A" w:rsidR="009A7EC3" w:rsidRPr="00DE25AD" w:rsidRDefault="009A7EC3" w:rsidP="009A7EC3">
            <w:pPr>
              <w:pStyle w:val="ASSADACCESStablecentre"/>
            </w:pPr>
            <w:r w:rsidRPr="002E5727">
              <w:rPr>
                <w:bCs w:val="0"/>
                <w:color w:val="000000"/>
              </w:rPr>
              <w:t>94*</w:t>
            </w:r>
          </w:p>
        </w:tc>
        <w:tc>
          <w:tcPr>
            <w:tcW w:w="879" w:type="dxa"/>
            <w:shd w:val="clear" w:color="auto" w:fill="auto"/>
          </w:tcPr>
          <w:p w14:paraId="7F30A17F" w14:textId="79935B0A" w:rsidR="009A7EC3" w:rsidRPr="00DE25AD" w:rsidRDefault="009A7EC3" w:rsidP="009A7EC3">
            <w:pPr>
              <w:pStyle w:val="ASSADACCESStablecentre"/>
            </w:pPr>
            <w:r w:rsidRPr="002E5727">
              <w:rPr>
                <w:bCs w:val="0"/>
                <w:color w:val="000000"/>
              </w:rPr>
              <w:t>94*</w:t>
            </w:r>
          </w:p>
        </w:tc>
        <w:tc>
          <w:tcPr>
            <w:tcW w:w="879" w:type="dxa"/>
            <w:shd w:val="clear" w:color="auto" w:fill="auto"/>
          </w:tcPr>
          <w:p w14:paraId="07B07F59" w14:textId="25187CC8" w:rsidR="009A7EC3" w:rsidRPr="00DE25AD" w:rsidRDefault="009A7EC3" w:rsidP="009A7EC3">
            <w:pPr>
              <w:pStyle w:val="ASSADACCESStablecentre"/>
            </w:pPr>
            <w:r w:rsidRPr="002E5727">
              <w:rPr>
                <w:bCs w:val="0"/>
                <w:color w:val="000000"/>
              </w:rPr>
              <w:t>94*</w:t>
            </w:r>
          </w:p>
        </w:tc>
        <w:tc>
          <w:tcPr>
            <w:tcW w:w="879" w:type="dxa"/>
            <w:shd w:val="clear" w:color="auto" w:fill="auto"/>
          </w:tcPr>
          <w:p w14:paraId="191236B3" w14:textId="3777B8BB" w:rsidR="009A7EC3" w:rsidRPr="00DE25AD" w:rsidRDefault="009A7EC3" w:rsidP="009A7EC3">
            <w:pPr>
              <w:pStyle w:val="ASSADACCESStablecentre"/>
            </w:pPr>
            <w:r w:rsidRPr="002E5727">
              <w:rPr>
                <w:bCs w:val="0"/>
                <w:color w:val="000000"/>
              </w:rPr>
              <w:t>92*^</w:t>
            </w:r>
          </w:p>
        </w:tc>
        <w:tc>
          <w:tcPr>
            <w:tcW w:w="879" w:type="dxa"/>
            <w:shd w:val="clear" w:color="auto" w:fill="auto"/>
          </w:tcPr>
          <w:p w14:paraId="6AC941CC" w14:textId="06F6C0FE" w:rsidR="009A7EC3" w:rsidRPr="00DE25AD" w:rsidRDefault="009A7EC3" w:rsidP="009A7EC3">
            <w:pPr>
              <w:pStyle w:val="ASSADACCESStablecentre"/>
            </w:pPr>
            <w:r w:rsidRPr="002E5727">
              <w:rPr>
                <w:bCs w:val="0"/>
                <w:color w:val="000000"/>
              </w:rPr>
              <w:t>90*^</w:t>
            </w:r>
          </w:p>
        </w:tc>
        <w:tc>
          <w:tcPr>
            <w:tcW w:w="879" w:type="dxa"/>
            <w:shd w:val="clear" w:color="auto" w:fill="auto"/>
          </w:tcPr>
          <w:p w14:paraId="45EE27F8" w14:textId="435688B2" w:rsidR="009A7EC3" w:rsidRPr="00DE25AD" w:rsidRDefault="009A7EC3" w:rsidP="009A7EC3">
            <w:pPr>
              <w:pStyle w:val="ASSADACCESStablecentre"/>
            </w:pPr>
            <w:r w:rsidRPr="002E5727">
              <w:rPr>
                <w:bCs w:val="0"/>
                <w:color w:val="000000"/>
              </w:rPr>
              <w:t>86^</w:t>
            </w:r>
          </w:p>
        </w:tc>
        <w:tc>
          <w:tcPr>
            <w:tcW w:w="879" w:type="dxa"/>
            <w:shd w:val="clear" w:color="auto" w:fill="auto"/>
          </w:tcPr>
          <w:p w14:paraId="5C802E7B" w14:textId="69C6E5E2" w:rsidR="009A7EC3" w:rsidRPr="00DE25AD" w:rsidRDefault="009A7EC3" w:rsidP="009A7EC3">
            <w:pPr>
              <w:pStyle w:val="ASSADACCESStablecentre"/>
            </w:pPr>
            <w:r w:rsidRPr="002E5727">
              <w:rPr>
                <w:bCs w:val="0"/>
                <w:color w:val="000000"/>
              </w:rPr>
              <w:t>85^</w:t>
            </w:r>
          </w:p>
        </w:tc>
      </w:tr>
      <w:tr w:rsidR="009A7EC3" w:rsidRPr="00DE25AD" w14:paraId="1A448F14" w14:textId="77777777" w:rsidTr="005C5B03">
        <w:trPr>
          <w:trHeight w:val="247"/>
        </w:trPr>
        <w:tc>
          <w:tcPr>
            <w:tcW w:w="1517" w:type="dxa"/>
            <w:tcMar>
              <w:left w:w="57" w:type="dxa"/>
            </w:tcMar>
          </w:tcPr>
          <w:p w14:paraId="32CA5E2F" w14:textId="77777777" w:rsidR="009A7EC3" w:rsidRPr="00DE25AD" w:rsidRDefault="009A7EC3" w:rsidP="009A7EC3">
            <w:pPr>
              <w:pStyle w:val="ACCESSTableHeaderRow"/>
            </w:pPr>
          </w:p>
        </w:tc>
        <w:tc>
          <w:tcPr>
            <w:tcW w:w="1068" w:type="dxa"/>
            <w:shd w:val="clear" w:color="auto" w:fill="auto"/>
            <w:tcMar>
              <w:left w:w="57" w:type="dxa"/>
            </w:tcMar>
            <w:vAlign w:val="bottom"/>
          </w:tcPr>
          <w:p w14:paraId="188BFD0E" w14:textId="77777777" w:rsidR="009A7EC3" w:rsidRPr="00DE25AD" w:rsidRDefault="009A7EC3" w:rsidP="009A7EC3">
            <w:pPr>
              <w:pStyle w:val="ASSAD2017ACCESSBody1"/>
            </w:pPr>
            <w:r w:rsidRPr="00DE25AD">
              <w:t>Total</w:t>
            </w:r>
          </w:p>
        </w:tc>
        <w:tc>
          <w:tcPr>
            <w:tcW w:w="878" w:type="dxa"/>
            <w:shd w:val="clear" w:color="auto" w:fill="auto"/>
          </w:tcPr>
          <w:p w14:paraId="4D77BC9B" w14:textId="0E6E0B69" w:rsidR="009A7EC3" w:rsidRPr="00DE25AD" w:rsidRDefault="009A7EC3" w:rsidP="009A7EC3">
            <w:pPr>
              <w:pStyle w:val="ASSADACCESStablecentre"/>
            </w:pPr>
            <w:r w:rsidRPr="002E5727">
              <w:rPr>
                <w:bCs w:val="0"/>
                <w:color w:val="000000"/>
              </w:rPr>
              <w:t>96*</w:t>
            </w:r>
          </w:p>
        </w:tc>
        <w:tc>
          <w:tcPr>
            <w:tcW w:w="879" w:type="dxa"/>
            <w:shd w:val="clear" w:color="auto" w:fill="auto"/>
          </w:tcPr>
          <w:p w14:paraId="058B5AD5" w14:textId="2EB87BBC" w:rsidR="009A7EC3" w:rsidRPr="00DE25AD" w:rsidRDefault="009A7EC3" w:rsidP="009A7EC3">
            <w:pPr>
              <w:pStyle w:val="ASSADACCESStablecentre"/>
            </w:pPr>
            <w:r w:rsidRPr="002E5727">
              <w:rPr>
                <w:bCs w:val="0"/>
                <w:color w:val="000000"/>
              </w:rPr>
              <w:t>94*</w:t>
            </w:r>
          </w:p>
        </w:tc>
        <w:tc>
          <w:tcPr>
            <w:tcW w:w="879" w:type="dxa"/>
            <w:shd w:val="clear" w:color="auto" w:fill="auto"/>
          </w:tcPr>
          <w:p w14:paraId="4E284CA8" w14:textId="766FA4CC" w:rsidR="009A7EC3" w:rsidRPr="00DE25AD" w:rsidRDefault="009A7EC3" w:rsidP="009A7EC3">
            <w:pPr>
              <w:pStyle w:val="ASSADACCESStablecentre"/>
            </w:pPr>
            <w:r w:rsidRPr="002E5727">
              <w:rPr>
                <w:bCs w:val="0"/>
                <w:color w:val="000000"/>
              </w:rPr>
              <w:t>94*^</w:t>
            </w:r>
          </w:p>
        </w:tc>
        <w:tc>
          <w:tcPr>
            <w:tcW w:w="879" w:type="dxa"/>
            <w:shd w:val="clear" w:color="auto" w:fill="auto"/>
          </w:tcPr>
          <w:p w14:paraId="7B11BA78" w14:textId="34122D95" w:rsidR="009A7EC3" w:rsidRPr="00DE25AD" w:rsidRDefault="009A7EC3" w:rsidP="009A7EC3">
            <w:pPr>
              <w:pStyle w:val="ASSADACCESStablecentre"/>
            </w:pPr>
            <w:r w:rsidRPr="002E5727">
              <w:rPr>
                <w:bCs w:val="0"/>
                <w:color w:val="000000"/>
              </w:rPr>
              <w:t>95*^</w:t>
            </w:r>
          </w:p>
        </w:tc>
        <w:tc>
          <w:tcPr>
            <w:tcW w:w="879" w:type="dxa"/>
            <w:shd w:val="clear" w:color="auto" w:fill="auto"/>
          </w:tcPr>
          <w:p w14:paraId="722B8DF1" w14:textId="386B7031" w:rsidR="009A7EC3" w:rsidRPr="00DE25AD" w:rsidRDefault="009A7EC3" w:rsidP="009A7EC3">
            <w:pPr>
              <w:pStyle w:val="ASSADACCESStablecentre"/>
            </w:pPr>
            <w:r w:rsidRPr="002E5727">
              <w:rPr>
                <w:bCs w:val="0"/>
                <w:color w:val="000000"/>
              </w:rPr>
              <w:t>92*^</w:t>
            </w:r>
          </w:p>
        </w:tc>
        <w:tc>
          <w:tcPr>
            <w:tcW w:w="879" w:type="dxa"/>
            <w:shd w:val="clear" w:color="auto" w:fill="auto"/>
          </w:tcPr>
          <w:p w14:paraId="0BF15C9A" w14:textId="0CBBD116" w:rsidR="009A7EC3" w:rsidRPr="00DE25AD" w:rsidRDefault="009A7EC3" w:rsidP="009A7EC3">
            <w:pPr>
              <w:pStyle w:val="ASSADACCESStablecentre"/>
            </w:pPr>
            <w:r w:rsidRPr="002E5727">
              <w:rPr>
                <w:bCs w:val="0"/>
                <w:color w:val="000000"/>
              </w:rPr>
              <w:t>89*^</w:t>
            </w:r>
          </w:p>
        </w:tc>
        <w:tc>
          <w:tcPr>
            <w:tcW w:w="879" w:type="dxa"/>
            <w:shd w:val="clear" w:color="auto" w:fill="auto"/>
          </w:tcPr>
          <w:p w14:paraId="457A31C6" w14:textId="1C50DED5" w:rsidR="009A7EC3" w:rsidRPr="00DE25AD" w:rsidRDefault="009A7EC3" w:rsidP="009A7EC3">
            <w:pPr>
              <w:pStyle w:val="ASSADACCESStablecentre"/>
            </w:pPr>
            <w:r w:rsidRPr="002E5727">
              <w:rPr>
                <w:bCs w:val="0"/>
                <w:color w:val="000000"/>
              </w:rPr>
              <w:t>85^</w:t>
            </w:r>
          </w:p>
        </w:tc>
        <w:tc>
          <w:tcPr>
            <w:tcW w:w="879" w:type="dxa"/>
            <w:shd w:val="clear" w:color="auto" w:fill="auto"/>
          </w:tcPr>
          <w:p w14:paraId="7BD44AC0" w14:textId="658160CD" w:rsidR="009A7EC3" w:rsidRPr="00DE25AD" w:rsidRDefault="009A7EC3" w:rsidP="009A7EC3">
            <w:pPr>
              <w:pStyle w:val="ASSADACCESStablecentre"/>
            </w:pPr>
            <w:r w:rsidRPr="002E5727">
              <w:rPr>
                <w:bCs w:val="0"/>
                <w:color w:val="000000"/>
              </w:rPr>
              <w:t>83^</w:t>
            </w:r>
          </w:p>
        </w:tc>
      </w:tr>
      <w:tr w:rsidR="009A7EC3" w:rsidRPr="00DE25AD" w14:paraId="23841592" w14:textId="77777777" w:rsidTr="00545FF4">
        <w:trPr>
          <w:trHeight w:val="247"/>
        </w:trPr>
        <w:tc>
          <w:tcPr>
            <w:tcW w:w="1517" w:type="dxa"/>
            <w:tcMar>
              <w:left w:w="57" w:type="dxa"/>
            </w:tcMar>
          </w:tcPr>
          <w:p w14:paraId="5331B853" w14:textId="3FBBE052" w:rsidR="009A7EC3" w:rsidRPr="00DE25AD" w:rsidRDefault="009A7EC3" w:rsidP="009A7EC3">
            <w:pPr>
              <w:pStyle w:val="ACCESSTableHeaderRow"/>
              <w:rPr>
                <w:vertAlign w:val="superscript"/>
              </w:rPr>
            </w:pPr>
            <w:r>
              <w:t>Past year</w:t>
            </w:r>
          </w:p>
        </w:tc>
        <w:tc>
          <w:tcPr>
            <w:tcW w:w="1068" w:type="dxa"/>
            <w:shd w:val="clear" w:color="auto" w:fill="auto"/>
            <w:tcMar>
              <w:left w:w="57" w:type="dxa"/>
            </w:tcMar>
            <w:vAlign w:val="bottom"/>
          </w:tcPr>
          <w:p w14:paraId="35791BA0" w14:textId="77777777" w:rsidR="009A7EC3" w:rsidRPr="00DE25AD" w:rsidRDefault="009A7EC3" w:rsidP="009A7EC3">
            <w:pPr>
              <w:pStyle w:val="ASSAD2017ACCESSBody1"/>
            </w:pPr>
            <w:r w:rsidRPr="00DE25AD">
              <w:t>Male</w:t>
            </w:r>
          </w:p>
        </w:tc>
        <w:tc>
          <w:tcPr>
            <w:tcW w:w="878" w:type="dxa"/>
            <w:shd w:val="clear" w:color="auto" w:fill="auto"/>
          </w:tcPr>
          <w:p w14:paraId="022589F1" w14:textId="2F6B86FE" w:rsidR="009A7EC3" w:rsidRPr="00DE25AD" w:rsidRDefault="009A7EC3" w:rsidP="009A7EC3">
            <w:pPr>
              <w:pStyle w:val="ASSADACCESStablecentre"/>
            </w:pPr>
            <w:r w:rsidRPr="002E5727">
              <w:rPr>
                <w:bCs w:val="0"/>
                <w:color w:val="000000"/>
              </w:rPr>
              <w:t>90*</w:t>
            </w:r>
          </w:p>
        </w:tc>
        <w:tc>
          <w:tcPr>
            <w:tcW w:w="879" w:type="dxa"/>
            <w:shd w:val="clear" w:color="auto" w:fill="auto"/>
          </w:tcPr>
          <w:p w14:paraId="75299A98" w14:textId="4B26950A" w:rsidR="009A7EC3" w:rsidRPr="00DE25AD" w:rsidRDefault="009A7EC3" w:rsidP="009A7EC3">
            <w:pPr>
              <w:pStyle w:val="ASSADACCESStablecentre"/>
            </w:pPr>
            <w:r w:rsidRPr="002E5727">
              <w:rPr>
                <w:bCs w:val="0"/>
                <w:color w:val="000000"/>
              </w:rPr>
              <w:t>89*</w:t>
            </w:r>
          </w:p>
        </w:tc>
        <w:tc>
          <w:tcPr>
            <w:tcW w:w="879" w:type="dxa"/>
            <w:shd w:val="clear" w:color="auto" w:fill="auto"/>
          </w:tcPr>
          <w:p w14:paraId="581CB454" w14:textId="22308783" w:rsidR="009A7EC3" w:rsidRPr="00DE25AD" w:rsidRDefault="009A7EC3" w:rsidP="009A7EC3">
            <w:pPr>
              <w:pStyle w:val="ASSADACCESStablecentre"/>
            </w:pPr>
            <w:r w:rsidRPr="002E5727">
              <w:rPr>
                <w:bCs w:val="0"/>
                <w:color w:val="000000"/>
              </w:rPr>
              <w:t>88*</w:t>
            </w:r>
          </w:p>
        </w:tc>
        <w:tc>
          <w:tcPr>
            <w:tcW w:w="879" w:type="dxa"/>
            <w:shd w:val="clear" w:color="auto" w:fill="auto"/>
          </w:tcPr>
          <w:p w14:paraId="603ED5B4" w14:textId="3ACB6F20" w:rsidR="009A7EC3" w:rsidRPr="00DE25AD" w:rsidRDefault="009A7EC3" w:rsidP="009A7EC3">
            <w:pPr>
              <w:pStyle w:val="ASSADACCESStablecentre"/>
            </w:pPr>
            <w:r w:rsidRPr="002E5727">
              <w:rPr>
                <w:bCs w:val="0"/>
                <w:color w:val="000000"/>
              </w:rPr>
              <w:t>88*</w:t>
            </w:r>
          </w:p>
        </w:tc>
        <w:tc>
          <w:tcPr>
            <w:tcW w:w="879" w:type="dxa"/>
            <w:shd w:val="clear" w:color="auto" w:fill="auto"/>
          </w:tcPr>
          <w:p w14:paraId="65993667" w14:textId="297303DB" w:rsidR="009A7EC3" w:rsidRPr="00DE25AD" w:rsidRDefault="009A7EC3" w:rsidP="009A7EC3">
            <w:pPr>
              <w:pStyle w:val="ASSADACCESStablecentre"/>
            </w:pPr>
            <w:r w:rsidRPr="002E5727">
              <w:rPr>
                <w:bCs w:val="0"/>
                <w:color w:val="000000"/>
              </w:rPr>
              <w:t>82*^</w:t>
            </w:r>
          </w:p>
        </w:tc>
        <w:tc>
          <w:tcPr>
            <w:tcW w:w="879" w:type="dxa"/>
            <w:shd w:val="clear" w:color="auto" w:fill="auto"/>
          </w:tcPr>
          <w:p w14:paraId="41C8E95B" w14:textId="3C67AB3F" w:rsidR="009A7EC3" w:rsidRPr="00DE25AD" w:rsidRDefault="009A7EC3" w:rsidP="009A7EC3">
            <w:pPr>
              <w:pStyle w:val="ASSADACCESStablecentre"/>
            </w:pPr>
            <w:r w:rsidRPr="002E5727">
              <w:rPr>
                <w:bCs w:val="0"/>
                <w:color w:val="000000"/>
              </w:rPr>
              <w:t>76*^</w:t>
            </w:r>
          </w:p>
        </w:tc>
        <w:tc>
          <w:tcPr>
            <w:tcW w:w="879" w:type="dxa"/>
            <w:shd w:val="clear" w:color="auto" w:fill="auto"/>
          </w:tcPr>
          <w:p w14:paraId="53AD1D07" w14:textId="70215CB0" w:rsidR="009A7EC3" w:rsidRPr="00DE25AD" w:rsidRDefault="009A7EC3" w:rsidP="009A7EC3">
            <w:pPr>
              <w:pStyle w:val="ASSADACCESStablecentre"/>
            </w:pPr>
            <w:r w:rsidRPr="002E5727">
              <w:rPr>
                <w:bCs w:val="0"/>
                <w:color w:val="000000"/>
              </w:rPr>
              <w:t>70^</w:t>
            </w:r>
          </w:p>
        </w:tc>
        <w:tc>
          <w:tcPr>
            <w:tcW w:w="879" w:type="dxa"/>
            <w:shd w:val="clear" w:color="auto" w:fill="auto"/>
          </w:tcPr>
          <w:p w14:paraId="333F6EA2" w14:textId="4AEDACBF" w:rsidR="009A7EC3" w:rsidRPr="00DE25AD" w:rsidRDefault="009A7EC3" w:rsidP="009A7EC3">
            <w:pPr>
              <w:pStyle w:val="ASSADACCESStablecentre"/>
            </w:pPr>
            <w:r>
              <w:rPr>
                <w:bCs w:val="0"/>
                <w:color w:val="000000"/>
              </w:rPr>
              <w:t>69</w:t>
            </w:r>
            <w:r w:rsidRPr="002E5727">
              <w:rPr>
                <w:bCs w:val="0"/>
                <w:color w:val="000000"/>
              </w:rPr>
              <w:t>^</w:t>
            </w:r>
          </w:p>
        </w:tc>
      </w:tr>
      <w:tr w:rsidR="009A7EC3" w:rsidRPr="00DE25AD" w14:paraId="09ECAA2D" w14:textId="77777777" w:rsidTr="005C5B03">
        <w:trPr>
          <w:trHeight w:val="247"/>
        </w:trPr>
        <w:tc>
          <w:tcPr>
            <w:tcW w:w="1517" w:type="dxa"/>
            <w:tcMar>
              <w:left w:w="57" w:type="dxa"/>
            </w:tcMar>
          </w:tcPr>
          <w:p w14:paraId="1D3C37EA" w14:textId="77777777" w:rsidR="009A7EC3" w:rsidRPr="00DE25AD" w:rsidRDefault="009A7EC3" w:rsidP="009A7EC3">
            <w:pPr>
              <w:pStyle w:val="ACCESSTableHeaderRow"/>
            </w:pPr>
          </w:p>
        </w:tc>
        <w:tc>
          <w:tcPr>
            <w:tcW w:w="1068" w:type="dxa"/>
            <w:shd w:val="clear" w:color="auto" w:fill="auto"/>
            <w:tcMar>
              <w:left w:w="57" w:type="dxa"/>
            </w:tcMar>
            <w:vAlign w:val="bottom"/>
          </w:tcPr>
          <w:p w14:paraId="2A39D67D" w14:textId="77777777" w:rsidR="009A7EC3" w:rsidRPr="00DE25AD" w:rsidRDefault="009A7EC3" w:rsidP="009A7EC3">
            <w:pPr>
              <w:pStyle w:val="ASSAD2017ACCESSBody1"/>
            </w:pPr>
            <w:r w:rsidRPr="00DE25AD">
              <w:t>Female</w:t>
            </w:r>
          </w:p>
        </w:tc>
        <w:tc>
          <w:tcPr>
            <w:tcW w:w="878" w:type="dxa"/>
            <w:shd w:val="clear" w:color="auto" w:fill="auto"/>
          </w:tcPr>
          <w:p w14:paraId="07E64205" w14:textId="1B08E8F1" w:rsidR="009A7EC3" w:rsidRPr="00DE25AD" w:rsidRDefault="009A7EC3" w:rsidP="009A7EC3">
            <w:pPr>
              <w:pStyle w:val="ASSADACCESStablecentre"/>
            </w:pPr>
            <w:r w:rsidRPr="002E5727">
              <w:rPr>
                <w:bCs w:val="0"/>
                <w:color w:val="000000"/>
              </w:rPr>
              <w:t>89*</w:t>
            </w:r>
          </w:p>
        </w:tc>
        <w:tc>
          <w:tcPr>
            <w:tcW w:w="879" w:type="dxa"/>
            <w:shd w:val="clear" w:color="auto" w:fill="auto"/>
          </w:tcPr>
          <w:p w14:paraId="277F6DAB" w14:textId="3FDD18F4" w:rsidR="009A7EC3" w:rsidRPr="00DE25AD" w:rsidRDefault="009A7EC3" w:rsidP="009A7EC3">
            <w:pPr>
              <w:pStyle w:val="ASSADACCESStablecentre"/>
            </w:pPr>
            <w:r w:rsidRPr="002E5727">
              <w:rPr>
                <w:bCs w:val="0"/>
                <w:color w:val="000000"/>
              </w:rPr>
              <w:t>89*</w:t>
            </w:r>
          </w:p>
        </w:tc>
        <w:tc>
          <w:tcPr>
            <w:tcW w:w="879" w:type="dxa"/>
            <w:shd w:val="clear" w:color="auto" w:fill="auto"/>
          </w:tcPr>
          <w:p w14:paraId="5E9F0745" w14:textId="20131359" w:rsidR="009A7EC3" w:rsidRPr="00DE25AD" w:rsidRDefault="009A7EC3" w:rsidP="009A7EC3">
            <w:pPr>
              <w:pStyle w:val="ASSADACCESStablecentre"/>
            </w:pPr>
            <w:r w:rsidRPr="002E5727">
              <w:rPr>
                <w:bCs w:val="0"/>
                <w:color w:val="000000"/>
              </w:rPr>
              <w:t>88*</w:t>
            </w:r>
          </w:p>
        </w:tc>
        <w:tc>
          <w:tcPr>
            <w:tcW w:w="879" w:type="dxa"/>
            <w:shd w:val="clear" w:color="auto" w:fill="auto"/>
          </w:tcPr>
          <w:p w14:paraId="15E6CD37" w14:textId="16D9F47B" w:rsidR="009A7EC3" w:rsidRPr="00DE25AD" w:rsidRDefault="009A7EC3" w:rsidP="009A7EC3">
            <w:pPr>
              <w:pStyle w:val="ASSADACCESStablecentre"/>
            </w:pPr>
            <w:r w:rsidRPr="002E5727">
              <w:rPr>
                <w:bCs w:val="0"/>
                <w:color w:val="000000"/>
              </w:rPr>
              <w:t>87*</w:t>
            </w:r>
          </w:p>
        </w:tc>
        <w:tc>
          <w:tcPr>
            <w:tcW w:w="879" w:type="dxa"/>
            <w:shd w:val="clear" w:color="auto" w:fill="auto"/>
          </w:tcPr>
          <w:p w14:paraId="525B8714" w14:textId="4284E089" w:rsidR="009A7EC3" w:rsidRPr="00DE25AD" w:rsidRDefault="009A7EC3" w:rsidP="009A7EC3">
            <w:pPr>
              <w:pStyle w:val="ASSADACCESStablecentre"/>
            </w:pPr>
            <w:r w:rsidRPr="002E5727">
              <w:rPr>
                <w:bCs w:val="0"/>
                <w:color w:val="000000"/>
              </w:rPr>
              <w:t>83*^</w:t>
            </w:r>
          </w:p>
        </w:tc>
        <w:tc>
          <w:tcPr>
            <w:tcW w:w="879" w:type="dxa"/>
            <w:shd w:val="clear" w:color="auto" w:fill="auto"/>
          </w:tcPr>
          <w:p w14:paraId="1C59EAC7" w14:textId="7EA6B70A" w:rsidR="009A7EC3" w:rsidRPr="00DE25AD" w:rsidRDefault="009A7EC3" w:rsidP="009A7EC3">
            <w:pPr>
              <w:pStyle w:val="ASSADACCESStablecentre"/>
            </w:pPr>
            <w:r w:rsidRPr="002E5727">
              <w:rPr>
                <w:bCs w:val="0"/>
                <w:color w:val="000000"/>
              </w:rPr>
              <w:t>79</w:t>
            </w:r>
            <w:r>
              <w:rPr>
                <w:bCs w:val="0"/>
                <w:color w:val="000000"/>
              </w:rPr>
              <w:t>*</w:t>
            </w:r>
            <w:r w:rsidRPr="002E5727">
              <w:rPr>
                <w:bCs w:val="0"/>
                <w:color w:val="000000"/>
              </w:rPr>
              <w:t>^</w:t>
            </w:r>
          </w:p>
        </w:tc>
        <w:tc>
          <w:tcPr>
            <w:tcW w:w="879" w:type="dxa"/>
            <w:shd w:val="clear" w:color="auto" w:fill="auto"/>
          </w:tcPr>
          <w:p w14:paraId="409085F9" w14:textId="5CC90194" w:rsidR="009A7EC3" w:rsidRPr="00DE25AD" w:rsidRDefault="009A7EC3" w:rsidP="009A7EC3">
            <w:pPr>
              <w:pStyle w:val="ASSADACCESStablecentre"/>
            </w:pPr>
            <w:r w:rsidRPr="002E5727">
              <w:rPr>
                <w:bCs w:val="0"/>
                <w:color w:val="000000"/>
              </w:rPr>
              <w:t>72^</w:t>
            </w:r>
          </w:p>
        </w:tc>
        <w:tc>
          <w:tcPr>
            <w:tcW w:w="879" w:type="dxa"/>
            <w:shd w:val="clear" w:color="auto" w:fill="auto"/>
          </w:tcPr>
          <w:p w14:paraId="03706559" w14:textId="264E69DA" w:rsidR="009A7EC3" w:rsidRPr="00DE25AD" w:rsidRDefault="009A7EC3" w:rsidP="009A7EC3">
            <w:pPr>
              <w:pStyle w:val="ASSADACCESStablecentre"/>
            </w:pPr>
            <w:r w:rsidRPr="002E5727">
              <w:rPr>
                <w:bCs w:val="0"/>
                <w:color w:val="000000"/>
              </w:rPr>
              <w:t>74^</w:t>
            </w:r>
          </w:p>
        </w:tc>
      </w:tr>
      <w:tr w:rsidR="009A7EC3" w:rsidRPr="00DE25AD" w14:paraId="0AAC3BD7" w14:textId="77777777" w:rsidTr="005C5B03">
        <w:trPr>
          <w:trHeight w:val="247"/>
        </w:trPr>
        <w:tc>
          <w:tcPr>
            <w:tcW w:w="1517" w:type="dxa"/>
            <w:tcMar>
              <w:left w:w="57" w:type="dxa"/>
            </w:tcMar>
          </w:tcPr>
          <w:p w14:paraId="57494595" w14:textId="77777777" w:rsidR="009A7EC3" w:rsidRPr="00DE25AD" w:rsidRDefault="009A7EC3" w:rsidP="009A7EC3">
            <w:pPr>
              <w:pStyle w:val="ACCESSTableHeaderRow"/>
            </w:pPr>
          </w:p>
        </w:tc>
        <w:tc>
          <w:tcPr>
            <w:tcW w:w="1068" w:type="dxa"/>
            <w:shd w:val="clear" w:color="auto" w:fill="auto"/>
            <w:tcMar>
              <w:left w:w="57" w:type="dxa"/>
            </w:tcMar>
            <w:vAlign w:val="bottom"/>
          </w:tcPr>
          <w:p w14:paraId="30FF38AD" w14:textId="77777777" w:rsidR="009A7EC3" w:rsidRPr="00DE25AD" w:rsidRDefault="009A7EC3" w:rsidP="009A7EC3">
            <w:pPr>
              <w:pStyle w:val="ASSAD2017ACCESSBody1"/>
            </w:pPr>
            <w:r w:rsidRPr="00DE25AD">
              <w:t>Total</w:t>
            </w:r>
          </w:p>
        </w:tc>
        <w:tc>
          <w:tcPr>
            <w:tcW w:w="878" w:type="dxa"/>
            <w:shd w:val="clear" w:color="auto" w:fill="auto"/>
          </w:tcPr>
          <w:p w14:paraId="4A2E0CA1" w14:textId="293F96EE" w:rsidR="009A7EC3" w:rsidRPr="00DE25AD" w:rsidRDefault="009A7EC3" w:rsidP="009A7EC3">
            <w:pPr>
              <w:pStyle w:val="ASSADACCESStablecentre"/>
            </w:pPr>
            <w:r w:rsidRPr="002E5727">
              <w:rPr>
                <w:bCs w:val="0"/>
                <w:color w:val="000000"/>
              </w:rPr>
              <w:t>90*</w:t>
            </w:r>
          </w:p>
        </w:tc>
        <w:tc>
          <w:tcPr>
            <w:tcW w:w="879" w:type="dxa"/>
            <w:shd w:val="clear" w:color="auto" w:fill="auto"/>
          </w:tcPr>
          <w:p w14:paraId="63A756C6" w14:textId="078DEDEC" w:rsidR="009A7EC3" w:rsidRPr="00DE25AD" w:rsidRDefault="009A7EC3" w:rsidP="009A7EC3">
            <w:pPr>
              <w:pStyle w:val="ASSADACCESStablecentre"/>
            </w:pPr>
            <w:r w:rsidRPr="002E5727">
              <w:rPr>
                <w:bCs w:val="0"/>
                <w:color w:val="000000"/>
              </w:rPr>
              <w:t>89*</w:t>
            </w:r>
          </w:p>
        </w:tc>
        <w:tc>
          <w:tcPr>
            <w:tcW w:w="879" w:type="dxa"/>
            <w:shd w:val="clear" w:color="auto" w:fill="auto"/>
          </w:tcPr>
          <w:p w14:paraId="25B8E56A" w14:textId="6AED38D2" w:rsidR="009A7EC3" w:rsidRPr="00DE25AD" w:rsidRDefault="009A7EC3" w:rsidP="009A7EC3">
            <w:pPr>
              <w:pStyle w:val="ASSADACCESStablecentre"/>
            </w:pPr>
            <w:r w:rsidRPr="002E5727">
              <w:rPr>
                <w:bCs w:val="0"/>
                <w:color w:val="000000"/>
              </w:rPr>
              <w:t>88*</w:t>
            </w:r>
          </w:p>
        </w:tc>
        <w:tc>
          <w:tcPr>
            <w:tcW w:w="879" w:type="dxa"/>
            <w:shd w:val="clear" w:color="auto" w:fill="auto"/>
          </w:tcPr>
          <w:p w14:paraId="4145D42C" w14:textId="29A9B212" w:rsidR="009A7EC3" w:rsidRPr="00DE25AD" w:rsidRDefault="009A7EC3" w:rsidP="009A7EC3">
            <w:pPr>
              <w:pStyle w:val="ASSADACCESStablecentre"/>
            </w:pPr>
            <w:r w:rsidRPr="002E5727">
              <w:rPr>
                <w:bCs w:val="0"/>
                <w:color w:val="000000"/>
              </w:rPr>
              <w:t>88*</w:t>
            </w:r>
          </w:p>
        </w:tc>
        <w:tc>
          <w:tcPr>
            <w:tcW w:w="879" w:type="dxa"/>
            <w:shd w:val="clear" w:color="auto" w:fill="auto"/>
          </w:tcPr>
          <w:p w14:paraId="2EE96C75" w14:textId="6E213806" w:rsidR="009A7EC3" w:rsidRPr="00DE25AD" w:rsidRDefault="009A7EC3" w:rsidP="009A7EC3">
            <w:pPr>
              <w:pStyle w:val="ASSADACCESStablecentre"/>
            </w:pPr>
            <w:r w:rsidRPr="002E5727">
              <w:rPr>
                <w:bCs w:val="0"/>
                <w:color w:val="000000"/>
              </w:rPr>
              <w:t>83*^</w:t>
            </w:r>
          </w:p>
        </w:tc>
        <w:tc>
          <w:tcPr>
            <w:tcW w:w="879" w:type="dxa"/>
            <w:shd w:val="clear" w:color="auto" w:fill="auto"/>
          </w:tcPr>
          <w:p w14:paraId="4BF2A17D" w14:textId="0B6F3612" w:rsidR="009A7EC3" w:rsidRPr="00DE25AD" w:rsidRDefault="009A7EC3" w:rsidP="009A7EC3">
            <w:pPr>
              <w:pStyle w:val="ASSADACCESStablecentre"/>
            </w:pPr>
            <w:r w:rsidRPr="002E5727">
              <w:rPr>
                <w:bCs w:val="0"/>
                <w:color w:val="000000"/>
              </w:rPr>
              <w:t>77*^</w:t>
            </w:r>
          </w:p>
        </w:tc>
        <w:tc>
          <w:tcPr>
            <w:tcW w:w="879" w:type="dxa"/>
            <w:shd w:val="clear" w:color="auto" w:fill="auto"/>
          </w:tcPr>
          <w:p w14:paraId="362A2236" w14:textId="4479F5A1" w:rsidR="009A7EC3" w:rsidRPr="00DE25AD" w:rsidRDefault="009A7EC3" w:rsidP="009A7EC3">
            <w:pPr>
              <w:pStyle w:val="ASSADACCESStablecentre"/>
            </w:pPr>
            <w:r w:rsidRPr="002E5727">
              <w:rPr>
                <w:bCs w:val="0"/>
                <w:color w:val="000000"/>
              </w:rPr>
              <w:t>71^</w:t>
            </w:r>
          </w:p>
        </w:tc>
        <w:tc>
          <w:tcPr>
            <w:tcW w:w="879" w:type="dxa"/>
            <w:shd w:val="clear" w:color="auto" w:fill="auto"/>
          </w:tcPr>
          <w:p w14:paraId="096F3761" w14:textId="15D0F7F5" w:rsidR="009A7EC3" w:rsidRPr="00DE25AD" w:rsidRDefault="009A7EC3" w:rsidP="009A7EC3">
            <w:pPr>
              <w:pStyle w:val="ASSADACCESStablecentre"/>
            </w:pPr>
            <w:r w:rsidRPr="002E5727">
              <w:rPr>
                <w:bCs w:val="0"/>
                <w:color w:val="000000"/>
              </w:rPr>
              <w:t>72^</w:t>
            </w:r>
          </w:p>
        </w:tc>
      </w:tr>
      <w:tr w:rsidR="009A7EC3" w:rsidRPr="00DE25AD" w14:paraId="5038B001" w14:textId="77777777" w:rsidTr="005C5B03">
        <w:trPr>
          <w:trHeight w:val="247"/>
        </w:trPr>
        <w:tc>
          <w:tcPr>
            <w:tcW w:w="1517" w:type="dxa"/>
            <w:tcMar>
              <w:left w:w="57" w:type="dxa"/>
            </w:tcMar>
          </w:tcPr>
          <w:p w14:paraId="5CC58832" w14:textId="77059D2B"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2106D270" w14:textId="2D6B6758" w:rsidR="009A7EC3" w:rsidRPr="00DE25AD" w:rsidRDefault="009A7EC3" w:rsidP="009A7EC3">
            <w:pPr>
              <w:pStyle w:val="ASSAD2017ACCESSBody1"/>
            </w:pPr>
            <w:r w:rsidRPr="00DE25AD">
              <w:t>Male</w:t>
            </w:r>
          </w:p>
        </w:tc>
        <w:tc>
          <w:tcPr>
            <w:tcW w:w="878" w:type="dxa"/>
            <w:shd w:val="clear" w:color="auto" w:fill="auto"/>
          </w:tcPr>
          <w:p w14:paraId="1DC3D839" w14:textId="0CC53D03" w:rsidR="009A7EC3" w:rsidRPr="00DE25AD" w:rsidRDefault="009A7EC3" w:rsidP="009A7EC3">
            <w:pPr>
              <w:pStyle w:val="ASSADACCESStablecentre"/>
            </w:pPr>
            <w:r w:rsidRPr="002E5727">
              <w:rPr>
                <w:bCs w:val="0"/>
                <w:color w:val="000000"/>
              </w:rPr>
              <w:t>70*</w:t>
            </w:r>
          </w:p>
        </w:tc>
        <w:tc>
          <w:tcPr>
            <w:tcW w:w="879" w:type="dxa"/>
            <w:shd w:val="clear" w:color="auto" w:fill="auto"/>
          </w:tcPr>
          <w:p w14:paraId="7D4ACBC2" w14:textId="05C248C0" w:rsidR="009A7EC3" w:rsidRPr="00DE25AD" w:rsidRDefault="009A7EC3" w:rsidP="009A7EC3">
            <w:pPr>
              <w:pStyle w:val="ASSADACCESStablecentre"/>
            </w:pPr>
            <w:r w:rsidRPr="002E5727">
              <w:rPr>
                <w:bCs w:val="0"/>
                <w:color w:val="000000"/>
              </w:rPr>
              <w:t>70*</w:t>
            </w:r>
          </w:p>
        </w:tc>
        <w:tc>
          <w:tcPr>
            <w:tcW w:w="879" w:type="dxa"/>
            <w:shd w:val="clear" w:color="auto" w:fill="auto"/>
          </w:tcPr>
          <w:p w14:paraId="3977D580" w14:textId="096DAB1F" w:rsidR="009A7EC3" w:rsidRPr="00DE25AD" w:rsidRDefault="009A7EC3" w:rsidP="009A7EC3">
            <w:pPr>
              <w:pStyle w:val="ASSADACCESStablecentre"/>
            </w:pPr>
            <w:r w:rsidRPr="002E5727">
              <w:rPr>
                <w:bCs w:val="0"/>
                <w:color w:val="000000"/>
              </w:rPr>
              <w:t>70*</w:t>
            </w:r>
          </w:p>
        </w:tc>
        <w:tc>
          <w:tcPr>
            <w:tcW w:w="879" w:type="dxa"/>
            <w:shd w:val="clear" w:color="auto" w:fill="auto"/>
          </w:tcPr>
          <w:p w14:paraId="45466B70" w14:textId="4F4A6EAC" w:rsidR="009A7EC3" w:rsidRPr="00DE25AD" w:rsidRDefault="009A7EC3" w:rsidP="009A7EC3">
            <w:pPr>
              <w:pStyle w:val="ASSADACCESStablecentre"/>
            </w:pPr>
            <w:r w:rsidRPr="002E5727">
              <w:rPr>
                <w:bCs w:val="0"/>
                <w:color w:val="000000"/>
              </w:rPr>
              <w:t>70*</w:t>
            </w:r>
          </w:p>
        </w:tc>
        <w:tc>
          <w:tcPr>
            <w:tcW w:w="879" w:type="dxa"/>
            <w:shd w:val="clear" w:color="auto" w:fill="auto"/>
          </w:tcPr>
          <w:p w14:paraId="39947CA8" w14:textId="75848EFA" w:rsidR="009A7EC3" w:rsidRPr="00DE25AD" w:rsidRDefault="009A7EC3" w:rsidP="009A7EC3">
            <w:pPr>
              <w:pStyle w:val="ASSADACCESStablecentre"/>
            </w:pPr>
            <w:r w:rsidRPr="002E5727">
              <w:rPr>
                <w:bCs w:val="0"/>
                <w:color w:val="000000"/>
              </w:rPr>
              <w:t>62*^</w:t>
            </w:r>
          </w:p>
        </w:tc>
        <w:tc>
          <w:tcPr>
            <w:tcW w:w="879" w:type="dxa"/>
            <w:shd w:val="clear" w:color="auto" w:fill="auto"/>
          </w:tcPr>
          <w:p w14:paraId="107F1220" w14:textId="796E0C7F" w:rsidR="009A7EC3" w:rsidRPr="00DE25AD" w:rsidRDefault="009A7EC3" w:rsidP="009A7EC3">
            <w:pPr>
              <w:pStyle w:val="ASSADACCESStablecentre"/>
            </w:pPr>
            <w:r w:rsidRPr="002E5727">
              <w:rPr>
                <w:bCs w:val="0"/>
                <w:color w:val="000000"/>
              </w:rPr>
              <w:t>52^</w:t>
            </w:r>
          </w:p>
        </w:tc>
        <w:tc>
          <w:tcPr>
            <w:tcW w:w="879" w:type="dxa"/>
            <w:shd w:val="clear" w:color="auto" w:fill="auto"/>
          </w:tcPr>
          <w:p w14:paraId="75E707F9" w14:textId="0DE251C3" w:rsidR="009A7EC3" w:rsidRPr="00DE25AD" w:rsidRDefault="009A7EC3" w:rsidP="009A7EC3">
            <w:pPr>
              <w:pStyle w:val="ASSADACCESStablecentre"/>
            </w:pPr>
            <w:r w:rsidRPr="002E5727">
              <w:rPr>
                <w:bCs w:val="0"/>
                <w:color w:val="000000"/>
              </w:rPr>
              <w:t>47^</w:t>
            </w:r>
          </w:p>
        </w:tc>
        <w:tc>
          <w:tcPr>
            <w:tcW w:w="879" w:type="dxa"/>
            <w:shd w:val="clear" w:color="auto" w:fill="auto"/>
          </w:tcPr>
          <w:p w14:paraId="3B29DE0F" w14:textId="3E674F6D" w:rsidR="009A7EC3" w:rsidRPr="00DE25AD" w:rsidRDefault="009A7EC3" w:rsidP="009A7EC3">
            <w:pPr>
              <w:pStyle w:val="ASSADACCESStablecentre"/>
            </w:pPr>
            <w:r w:rsidRPr="002E5727">
              <w:rPr>
                <w:bCs w:val="0"/>
                <w:color w:val="000000"/>
              </w:rPr>
              <w:t>48^</w:t>
            </w:r>
          </w:p>
        </w:tc>
      </w:tr>
      <w:tr w:rsidR="009A7EC3" w:rsidRPr="00DE25AD" w14:paraId="27F57114" w14:textId="77777777" w:rsidTr="005C5B03">
        <w:trPr>
          <w:trHeight w:val="247"/>
        </w:trPr>
        <w:tc>
          <w:tcPr>
            <w:tcW w:w="1517" w:type="dxa"/>
            <w:tcMar>
              <w:left w:w="57" w:type="dxa"/>
            </w:tcMar>
          </w:tcPr>
          <w:p w14:paraId="58B2F9BE" w14:textId="77777777" w:rsidR="009A7EC3" w:rsidRPr="00DE25AD" w:rsidRDefault="009A7EC3" w:rsidP="009A7EC3">
            <w:pPr>
              <w:pStyle w:val="ACCESSTableHeaderRow"/>
            </w:pPr>
          </w:p>
        </w:tc>
        <w:tc>
          <w:tcPr>
            <w:tcW w:w="1068" w:type="dxa"/>
            <w:shd w:val="clear" w:color="auto" w:fill="auto"/>
            <w:tcMar>
              <w:left w:w="57" w:type="dxa"/>
            </w:tcMar>
            <w:vAlign w:val="bottom"/>
          </w:tcPr>
          <w:p w14:paraId="6523C1CB" w14:textId="0C686407" w:rsidR="009A7EC3" w:rsidRPr="00DE25AD" w:rsidRDefault="009A7EC3" w:rsidP="009A7EC3">
            <w:pPr>
              <w:pStyle w:val="ASSAD2017ACCESSBody1"/>
            </w:pPr>
            <w:r w:rsidRPr="00DE25AD">
              <w:t>Female</w:t>
            </w:r>
          </w:p>
        </w:tc>
        <w:tc>
          <w:tcPr>
            <w:tcW w:w="878" w:type="dxa"/>
            <w:shd w:val="clear" w:color="auto" w:fill="auto"/>
          </w:tcPr>
          <w:p w14:paraId="27CE656F" w14:textId="1C5EDB2C" w:rsidR="009A7EC3" w:rsidRPr="00DE25AD" w:rsidRDefault="009A7EC3" w:rsidP="009A7EC3">
            <w:pPr>
              <w:pStyle w:val="ASSADACCESStablecentre"/>
            </w:pPr>
            <w:r w:rsidRPr="002E5727">
              <w:rPr>
                <w:bCs w:val="0"/>
                <w:color w:val="000000"/>
              </w:rPr>
              <w:t>68*</w:t>
            </w:r>
          </w:p>
        </w:tc>
        <w:tc>
          <w:tcPr>
            <w:tcW w:w="879" w:type="dxa"/>
            <w:shd w:val="clear" w:color="auto" w:fill="auto"/>
          </w:tcPr>
          <w:p w14:paraId="34162140" w14:textId="7E0AE0E7" w:rsidR="009A7EC3" w:rsidRPr="00DE25AD" w:rsidRDefault="009A7EC3" w:rsidP="009A7EC3">
            <w:pPr>
              <w:pStyle w:val="ASSADACCESStablecentre"/>
            </w:pPr>
            <w:r w:rsidRPr="002E5727">
              <w:rPr>
                <w:bCs w:val="0"/>
                <w:color w:val="000000"/>
              </w:rPr>
              <w:t>70*</w:t>
            </w:r>
          </w:p>
        </w:tc>
        <w:tc>
          <w:tcPr>
            <w:tcW w:w="879" w:type="dxa"/>
            <w:shd w:val="clear" w:color="auto" w:fill="auto"/>
          </w:tcPr>
          <w:p w14:paraId="50066A7E" w14:textId="0262E76C" w:rsidR="009A7EC3" w:rsidRPr="00DE25AD" w:rsidRDefault="009A7EC3" w:rsidP="009A7EC3">
            <w:pPr>
              <w:pStyle w:val="ASSADACCESStablecentre"/>
            </w:pPr>
            <w:r w:rsidRPr="002E5727">
              <w:rPr>
                <w:bCs w:val="0"/>
                <w:color w:val="000000"/>
              </w:rPr>
              <w:t>66*</w:t>
            </w:r>
          </w:p>
        </w:tc>
        <w:tc>
          <w:tcPr>
            <w:tcW w:w="879" w:type="dxa"/>
            <w:shd w:val="clear" w:color="auto" w:fill="auto"/>
          </w:tcPr>
          <w:p w14:paraId="2130403D" w14:textId="2754C41F" w:rsidR="009A7EC3" w:rsidRPr="00DE25AD" w:rsidRDefault="009A7EC3" w:rsidP="009A7EC3">
            <w:pPr>
              <w:pStyle w:val="ASSADACCESStablecentre"/>
            </w:pPr>
            <w:r w:rsidRPr="002E5727">
              <w:rPr>
                <w:bCs w:val="0"/>
                <w:color w:val="000000"/>
              </w:rPr>
              <w:t>66*</w:t>
            </w:r>
          </w:p>
        </w:tc>
        <w:tc>
          <w:tcPr>
            <w:tcW w:w="879" w:type="dxa"/>
            <w:shd w:val="clear" w:color="auto" w:fill="auto"/>
          </w:tcPr>
          <w:p w14:paraId="531D1D2E" w14:textId="79F4A158" w:rsidR="009A7EC3" w:rsidRPr="00DE25AD" w:rsidRDefault="009A7EC3" w:rsidP="009A7EC3">
            <w:pPr>
              <w:pStyle w:val="ASSADACCESStablecentre"/>
            </w:pPr>
            <w:r w:rsidRPr="002E5727">
              <w:rPr>
                <w:bCs w:val="0"/>
                <w:color w:val="000000"/>
              </w:rPr>
              <w:t>59*^</w:t>
            </w:r>
          </w:p>
        </w:tc>
        <w:tc>
          <w:tcPr>
            <w:tcW w:w="879" w:type="dxa"/>
            <w:shd w:val="clear" w:color="auto" w:fill="auto"/>
          </w:tcPr>
          <w:p w14:paraId="1EF55052" w14:textId="38DE93C5" w:rsidR="009A7EC3" w:rsidRPr="00DE25AD" w:rsidRDefault="009A7EC3" w:rsidP="009A7EC3">
            <w:pPr>
              <w:pStyle w:val="ASSADACCESStablecentre"/>
            </w:pPr>
            <w:r w:rsidRPr="002E5727">
              <w:rPr>
                <w:bCs w:val="0"/>
                <w:color w:val="000000"/>
              </w:rPr>
              <w:t>53^</w:t>
            </w:r>
          </w:p>
        </w:tc>
        <w:tc>
          <w:tcPr>
            <w:tcW w:w="879" w:type="dxa"/>
            <w:shd w:val="clear" w:color="auto" w:fill="auto"/>
          </w:tcPr>
          <w:p w14:paraId="44170EC3" w14:textId="4DD7CE7F" w:rsidR="009A7EC3" w:rsidRPr="00DE25AD" w:rsidRDefault="009A7EC3" w:rsidP="009A7EC3">
            <w:pPr>
              <w:pStyle w:val="ASSADACCESStablecentre"/>
            </w:pPr>
            <w:r w:rsidRPr="002E5727">
              <w:rPr>
                <w:bCs w:val="0"/>
                <w:color w:val="000000"/>
              </w:rPr>
              <w:t>48^</w:t>
            </w:r>
          </w:p>
        </w:tc>
        <w:tc>
          <w:tcPr>
            <w:tcW w:w="879" w:type="dxa"/>
            <w:shd w:val="clear" w:color="auto" w:fill="auto"/>
          </w:tcPr>
          <w:p w14:paraId="439E38CA" w14:textId="6B19C77C" w:rsidR="009A7EC3" w:rsidRPr="00DE25AD" w:rsidRDefault="009A7EC3" w:rsidP="009A7EC3">
            <w:pPr>
              <w:pStyle w:val="ASSADACCESStablecentre"/>
            </w:pPr>
            <w:r w:rsidRPr="002E5727">
              <w:rPr>
                <w:bCs w:val="0"/>
                <w:color w:val="000000"/>
              </w:rPr>
              <w:t>49^</w:t>
            </w:r>
          </w:p>
        </w:tc>
      </w:tr>
      <w:tr w:rsidR="009A7EC3" w:rsidRPr="00DE25AD" w14:paraId="5CAF5165" w14:textId="77777777" w:rsidTr="005C5B03">
        <w:trPr>
          <w:trHeight w:val="247"/>
        </w:trPr>
        <w:tc>
          <w:tcPr>
            <w:tcW w:w="1517" w:type="dxa"/>
            <w:tcMar>
              <w:left w:w="57" w:type="dxa"/>
            </w:tcMar>
          </w:tcPr>
          <w:p w14:paraId="0CF15526" w14:textId="77777777" w:rsidR="009A7EC3" w:rsidRPr="00DE25AD" w:rsidRDefault="009A7EC3" w:rsidP="009A7EC3">
            <w:pPr>
              <w:pStyle w:val="ACCESSTableHeaderRow"/>
            </w:pPr>
          </w:p>
        </w:tc>
        <w:tc>
          <w:tcPr>
            <w:tcW w:w="1068" w:type="dxa"/>
            <w:shd w:val="clear" w:color="auto" w:fill="auto"/>
            <w:tcMar>
              <w:left w:w="57" w:type="dxa"/>
            </w:tcMar>
            <w:vAlign w:val="bottom"/>
          </w:tcPr>
          <w:p w14:paraId="215C4815" w14:textId="1BD217D8" w:rsidR="009A7EC3" w:rsidRPr="00DE25AD" w:rsidRDefault="009A7EC3" w:rsidP="009A7EC3">
            <w:pPr>
              <w:pStyle w:val="ASSAD2017ACCESSBody1"/>
            </w:pPr>
            <w:r w:rsidRPr="00DE25AD">
              <w:t>Total</w:t>
            </w:r>
          </w:p>
        </w:tc>
        <w:tc>
          <w:tcPr>
            <w:tcW w:w="878" w:type="dxa"/>
            <w:shd w:val="clear" w:color="auto" w:fill="auto"/>
          </w:tcPr>
          <w:p w14:paraId="6C4606B9" w14:textId="5706C8B8" w:rsidR="009A7EC3" w:rsidRPr="00DE25AD" w:rsidRDefault="009A7EC3" w:rsidP="009A7EC3">
            <w:pPr>
              <w:pStyle w:val="ASSADACCESStablecentre"/>
            </w:pPr>
            <w:r w:rsidRPr="002E5727">
              <w:rPr>
                <w:bCs w:val="0"/>
                <w:color w:val="000000"/>
              </w:rPr>
              <w:t>69*</w:t>
            </w:r>
          </w:p>
        </w:tc>
        <w:tc>
          <w:tcPr>
            <w:tcW w:w="879" w:type="dxa"/>
            <w:shd w:val="clear" w:color="auto" w:fill="auto"/>
          </w:tcPr>
          <w:p w14:paraId="557CD0C8" w14:textId="3A4F319B" w:rsidR="009A7EC3" w:rsidRPr="00DE25AD" w:rsidRDefault="009A7EC3" w:rsidP="009A7EC3">
            <w:pPr>
              <w:pStyle w:val="ASSADACCESStablecentre"/>
            </w:pPr>
            <w:r w:rsidRPr="002E5727">
              <w:rPr>
                <w:bCs w:val="0"/>
                <w:color w:val="000000"/>
              </w:rPr>
              <w:t>70*</w:t>
            </w:r>
          </w:p>
        </w:tc>
        <w:tc>
          <w:tcPr>
            <w:tcW w:w="879" w:type="dxa"/>
            <w:shd w:val="clear" w:color="auto" w:fill="auto"/>
          </w:tcPr>
          <w:p w14:paraId="30625FF3" w14:textId="0B2EDD54" w:rsidR="009A7EC3" w:rsidRPr="00DE25AD" w:rsidRDefault="009A7EC3" w:rsidP="009A7EC3">
            <w:pPr>
              <w:pStyle w:val="ASSADACCESStablecentre"/>
            </w:pPr>
            <w:r w:rsidRPr="002E5727">
              <w:rPr>
                <w:bCs w:val="0"/>
                <w:color w:val="000000"/>
              </w:rPr>
              <w:t>68*</w:t>
            </w:r>
          </w:p>
        </w:tc>
        <w:tc>
          <w:tcPr>
            <w:tcW w:w="879" w:type="dxa"/>
            <w:shd w:val="clear" w:color="auto" w:fill="auto"/>
          </w:tcPr>
          <w:p w14:paraId="4907B835" w14:textId="1FEDA713" w:rsidR="009A7EC3" w:rsidRPr="00DE25AD" w:rsidRDefault="009A7EC3" w:rsidP="009A7EC3">
            <w:pPr>
              <w:pStyle w:val="ASSADACCESStablecentre"/>
            </w:pPr>
            <w:r w:rsidRPr="002E5727">
              <w:rPr>
                <w:bCs w:val="0"/>
                <w:color w:val="000000"/>
              </w:rPr>
              <w:t>68*</w:t>
            </w:r>
          </w:p>
        </w:tc>
        <w:tc>
          <w:tcPr>
            <w:tcW w:w="879" w:type="dxa"/>
            <w:shd w:val="clear" w:color="auto" w:fill="auto"/>
          </w:tcPr>
          <w:p w14:paraId="4832954E" w14:textId="7B2F4948" w:rsidR="009A7EC3" w:rsidRPr="00DE25AD" w:rsidRDefault="009A7EC3" w:rsidP="009A7EC3">
            <w:pPr>
              <w:pStyle w:val="ASSADACCESStablecentre"/>
            </w:pPr>
            <w:r w:rsidRPr="002E5727">
              <w:rPr>
                <w:bCs w:val="0"/>
                <w:color w:val="000000"/>
              </w:rPr>
              <w:t>60*^</w:t>
            </w:r>
          </w:p>
        </w:tc>
        <w:tc>
          <w:tcPr>
            <w:tcW w:w="879" w:type="dxa"/>
            <w:shd w:val="clear" w:color="auto" w:fill="auto"/>
          </w:tcPr>
          <w:p w14:paraId="5796B92F" w14:textId="601B5700" w:rsidR="009A7EC3" w:rsidRPr="00DE25AD" w:rsidRDefault="009A7EC3" w:rsidP="009A7EC3">
            <w:pPr>
              <w:pStyle w:val="ASSADACCESStablecentre"/>
            </w:pPr>
            <w:r w:rsidRPr="002E5727">
              <w:rPr>
                <w:bCs w:val="0"/>
                <w:color w:val="000000"/>
              </w:rPr>
              <w:t>53^</w:t>
            </w:r>
          </w:p>
        </w:tc>
        <w:tc>
          <w:tcPr>
            <w:tcW w:w="879" w:type="dxa"/>
            <w:shd w:val="clear" w:color="auto" w:fill="auto"/>
          </w:tcPr>
          <w:p w14:paraId="4C4B36D6" w14:textId="13E580FB" w:rsidR="009A7EC3" w:rsidRPr="00DE25AD" w:rsidRDefault="009A7EC3" w:rsidP="009A7EC3">
            <w:pPr>
              <w:pStyle w:val="ASSADACCESStablecentre"/>
            </w:pPr>
            <w:r w:rsidRPr="002E5727">
              <w:rPr>
                <w:bCs w:val="0"/>
                <w:color w:val="000000"/>
              </w:rPr>
              <w:t>4</w:t>
            </w:r>
            <w:r>
              <w:rPr>
                <w:bCs w:val="0"/>
                <w:color w:val="000000"/>
              </w:rPr>
              <w:t>7</w:t>
            </w:r>
            <w:r w:rsidRPr="002E5727">
              <w:rPr>
                <w:bCs w:val="0"/>
                <w:color w:val="000000"/>
              </w:rPr>
              <w:t>^</w:t>
            </w:r>
          </w:p>
        </w:tc>
        <w:tc>
          <w:tcPr>
            <w:tcW w:w="879" w:type="dxa"/>
            <w:shd w:val="clear" w:color="auto" w:fill="auto"/>
          </w:tcPr>
          <w:p w14:paraId="7C8385C2" w14:textId="6691D8D3" w:rsidR="009A7EC3" w:rsidRPr="00DE25AD" w:rsidRDefault="009A7EC3" w:rsidP="009A7EC3">
            <w:pPr>
              <w:pStyle w:val="ASSADACCESStablecentre"/>
            </w:pPr>
            <w:r w:rsidRPr="002E5727">
              <w:rPr>
                <w:bCs w:val="0"/>
                <w:color w:val="000000"/>
              </w:rPr>
              <w:t>49^</w:t>
            </w:r>
          </w:p>
        </w:tc>
      </w:tr>
      <w:tr w:rsidR="009A7EC3" w:rsidRPr="00DE25AD" w14:paraId="3C2F3206" w14:textId="77777777" w:rsidTr="005C5B03">
        <w:trPr>
          <w:trHeight w:val="247"/>
        </w:trPr>
        <w:tc>
          <w:tcPr>
            <w:tcW w:w="1517" w:type="dxa"/>
            <w:tcMar>
              <w:left w:w="57" w:type="dxa"/>
            </w:tcMar>
          </w:tcPr>
          <w:p w14:paraId="4741D755" w14:textId="65E96EE4" w:rsidR="009A7EC3" w:rsidRPr="00DE25AD" w:rsidRDefault="009A7EC3" w:rsidP="009A7EC3">
            <w:pPr>
              <w:pStyle w:val="ACCESSTableHeaderRow"/>
            </w:pPr>
            <w:r>
              <w:t>Current</w:t>
            </w:r>
          </w:p>
        </w:tc>
        <w:tc>
          <w:tcPr>
            <w:tcW w:w="1068" w:type="dxa"/>
            <w:shd w:val="clear" w:color="auto" w:fill="auto"/>
            <w:tcMar>
              <w:left w:w="57" w:type="dxa"/>
            </w:tcMar>
            <w:vAlign w:val="bottom"/>
          </w:tcPr>
          <w:p w14:paraId="43EEAA26" w14:textId="47500E39" w:rsidR="009A7EC3" w:rsidRPr="00DE25AD" w:rsidRDefault="009A7EC3" w:rsidP="009A7EC3">
            <w:pPr>
              <w:pStyle w:val="ASSAD2017ACCESSBody1"/>
            </w:pPr>
            <w:r w:rsidRPr="00DE25AD">
              <w:t>Male</w:t>
            </w:r>
          </w:p>
        </w:tc>
        <w:tc>
          <w:tcPr>
            <w:tcW w:w="878" w:type="dxa"/>
            <w:shd w:val="clear" w:color="auto" w:fill="auto"/>
          </w:tcPr>
          <w:p w14:paraId="36025E94" w14:textId="043806F9" w:rsidR="009A7EC3" w:rsidRPr="00DE25AD" w:rsidRDefault="009A7EC3" w:rsidP="009A7EC3">
            <w:pPr>
              <w:pStyle w:val="ASSADACCESStablecentre"/>
            </w:pPr>
            <w:r w:rsidRPr="002E5727">
              <w:rPr>
                <w:bCs w:val="0"/>
                <w:color w:val="000000"/>
              </w:rPr>
              <w:t>52*</w:t>
            </w:r>
          </w:p>
        </w:tc>
        <w:tc>
          <w:tcPr>
            <w:tcW w:w="879" w:type="dxa"/>
            <w:shd w:val="clear" w:color="auto" w:fill="auto"/>
          </w:tcPr>
          <w:p w14:paraId="13F32763" w14:textId="74703CA5" w:rsidR="009A7EC3" w:rsidRPr="00DE25AD" w:rsidRDefault="009A7EC3" w:rsidP="009A7EC3">
            <w:pPr>
              <w:pStyle w:val="ASSADACCESStablecentre"/>
            </w:pPr>
            <w:r w:rsidRPr="002E5727">
              <w:rPr>
                <w:bCs w:val="0"/>
                <w:color w:val="000000"/>
              </w:rPr>
              <w:t>53*</w:t>
            </w:r>
          </w:p>
        </w:tc>
        <w:tc>
          <w:tcPr>
            <w:tcW w:w="879" w:type="dxa"/>
            <w:shd w:val="clear" w:color="auto" w:fill="auto"/>
          </w:tcPr>
          <w:p w14:paraId="723ACFB6" w14:textId="10D37D01" w:rsidR="009A7EC3" w:rsidRPr="00DE25AD" w:rsidRDefault="009A7EC3" w:rsidP="009A7EC3">
            <w:pPr>
              <w:pStyle w:val="ASSADACCESStablecentre"/>
            </w:pPr>
            <w:r w:rsidRPr="002E5727">
              <w:rPr>
                <w:bCs w:val="0"/>
                <w:color w:val="000000"/>
              </w:rPr>
              <w:t>51*</w:t>
            </w:r>
          </w:p>
        </w:tc>
        <w:tc>
          <w:tcPr>
            <w:tcW w:w="879" w:type="dxa"/>
            <w:shd w:val="clear" w:color="auto" w:fill="auto"/>
          </w:tcPr>
          <w:p w14:paraId="553F75A6" w14:textId="1C6F5AF8" w:rsidR="009A7EC3" w:rsidRPr="00DE25AD" w:rsidRDefault="009A7EC3" w:rsidP="009A7EC3">
            <w:pPr>
              <w:pStyle w:val="ASSADACCESStablecentre"/>
            </w:pPr>
            <w:r w:rsidRPr="002E5727">
              <w:rPr>
                <w:bCs w:val="0"/>
                <w:color w:val="000000"/>
              </w:rPr>
              <w:t>50*</w:t>
            </w:r>
          </w:p>
        </w:tc>
        <w:tc>
          <w:tcPr>
            <w:tcW w:w="879" w:type="dxa"/>
            <w:shd w:val="clear" w:color="auto" w:fill="auto"/>
          </w:tcPr>
          <w:p w14:paraId="7E9136F2" w14:textId="77019A22" w:rsidR="009A7EC3" w:rsidRPr="00DE25AD" w:rsidRDefault="009A7EC3" w:rsidP="009A7EC3">
            <w:pPr>
              <w:pStyle w:val="ASSADACCESStablecentre"/>
            </w:pPr>
            <w:r w:rsidRPr="002E5727">
              <w:rPr>
                <w:bCs w:val="0"/>
                <w:color w:val="000000"/>
              </w:rPr>
              <w:t>41*^</w:t>
            </w:r>
          </w:p>
        </w:tc>
        <w:tc>
          <w:tcPr>
            <w:tcW w:w="879" w:type="dxa"/>
            <w:shd w:val="clear" w:color="auto" w:fill="auto"/>
          </w:tcPr>
          <w:p w14:paraId="23F5D35C" w14:textId="1382F37B" w:rsidR="009A7EC3" w:rsidRPr="00DE25AD" w:rsidRDefault="009A7EC3" w:rsidP="009A7EC3">
            <w:pPr>
              <w:pStyle w:val="ASSADACCESStablecentre"/>
            </w:pPr>
            <w:r w:rsidRPr="002E5727">
              <w:rPr>
                <w:bCs w:val="0"/>
                <w:color w:val="000000"/>
              </w:rPr>
              <w:t>34^</w:t>
            </w:r>
          </w:p>
        </w:tc>
        <w:tc>
          <w:tcPr>
            <w:tcW w:w="879" w:type="dxa"/>
            <w:shd w:val="clear" w:color="auto" w:fill="auto"/>
          </w:tcPr>
          <w:p w14:paraId="28BA2433" w14:textId="21C3632B" w:rsidR="009A7EC3" w:rsidRPr="00DE25AD" w:rsidRDefault="009A7EC3" w:rsidP="009A7EC3">
            <w:pPr>
              <w:pStyle w:val="ASSADACCESStablecentre"/>
            </w:pPr>
            <w:r w:rsidRPr="002E5727">
              <w:rPr>
                <w:bCs w:val="0"/>
                <w:color w:val="000000"/>
              </w:rPr>
              <w:t>30^</w:t>
            </w:r>
          </w:p>
        </w:tc>
        <w:tc>
          <w:tcPr>
            <w:tcW w:w="879" w:type="dxa"/>
            <w:shd w:val="clear" w:color="auto" w:fill="auto"/>
          </w:tcPr>
          <w:p w14:paraId="080B7FB7" w14:textId="5FC025E9" w:rsidR="009A7EC3" w:rsidRPr="00DE25AD" w:rsidRDefault="009A7EC3" w:rsidP="009A7EC3">
            <w:pPr>
              <w:pStyle w:val="ASSADACCESStablecentre"/>
            </w:pPr>
            <w:r w:rsidRPr="002E5727">
              <w:rPr>
                <w:bCs w:val="0"/>
                <w:color w:val="000000"/>
              </w:rPr>
              <w:t>31^</w:t>
            </w:r>
          </w:p>
        </w:tc>
      </w:tr>
      <w:tr w:rsidR="009A7EC3" w:rsidRPr="00DE25AD" w14:paraId="5FDF0AB5" w14:textId="77777777" w:rsidTr="005C5B03">
        <w:trPr>
          <w:trHeight w:val="247"/>
        </w:trPr>
        <w:tc>
          <w:tcPr>
            <w:tcW w:w="1517" w:type="dxa"/>
            <w:tcMar>
              <w:left w:w="57" w:type="dxa"/>
            </w:tcMar>
          </w:tcPr>
          <w:p w14:paraId="0934FBDC" w14:textId="77777777" w:rsidR="009A7EC3" w:rsidRPr="00DE25AD" w:rsidRDefault="009A7EC3" w:rsidP="009A7EC3">
            <w:pPr>
              <w:pStyle w:val="ACCESSTableHeaderRow"/>
            </w:pPr>
          </w:p>
        </w:tc>
        <w:tc>
          <w:tcPr>
            <w:tcW w:w="1068" w:type="dxa"/>
            <w:shd w:val="clear" w:color="auto" w:fill="auto"/>
            <w:tcMar>
              <w:left w:w="57" w:type="dxa"/>
            </w:tcMar>
            <w:vAlign w:val="bottom"/>
          </w:tcPr>
          <w:p w14:paraId="50AEDFCB" w14:textId="653E8209" w:rsidR="009A7EC3" w:rsidRPr="00DE25AD" w:rsidRDefault="009A7EC3" w:rsidP="009A7EC3">
            <w:pPr>
              <w:pStyle w:val="ASSAD2017ACCESSBody1"/>
            </w:pPr>
            <w:r w:rsidRPr="00DE25AD">
              <w:t>Female</w:t>
            </w:r>
          </w:p>
        </w:tc>
        <w:tc>
          <w:tcPr>
            <w:tcW w:w="878" w:type="dxa"/>
            <w:shd w:val="clear" w:color="auto" w:fill="auto"/>
          </w:tcPr>
          <w:p w14:paraId="5FCC436A" w14:textId="697B4BCF" w:rsidR="009A7EC3" w:rsidRPr="00DE25AD" w:rsidRDefault="009A7EC3" w:rsidP="009A7EC3">
            <w:pPr>
              <w:pStyle w:val="ASSADACCESStablecentre"/>
            </w:pPr>
            <w:r w:rsidRPr="002E5727">
              <w:rPr>
                <w:bCs w:val="0"/>
                <w:color w:val="000000"/>
              </w:rPr>
              <w:t>46*</w:t>
            </w:r>
          </w:p>
        </w:tc>
        <w:tc>
          <w:tcPr>
            <w:tcW w:w="879" w:type="dxa"/>
            <w:shd w:val="clear" w:color="auto" w:fill="auto"/>
          </w:tcPr>
          <w:p w14:paraId="3A431D17" w14:textId="3A18412E" w:rsidR="009A7EC3" w:rsidRPr="00DE25AD" w:rsidRDefault="009A7EC3" w:rsidP="009A7EC3">
            <w:pPr>
              <w:pStyle w:val="ASSADACCESStablecentre"/>
            </w:pPr>
            <w:r w:rsidRPr="002E5727">
              <w:rPr>
                <w:bCs w:val="0"/>
                <w:color w:val="000000"/>
              </w:rPr>
              <w:t>50*</w:t>
            </w:r>
          </w:p>
        </w:tc>
        <w:tc>
          <w:tcPr>
            <w:tcW w:w="879" w:type="dxa"/>
            <w:shd w:val="clear" w:color="auto" w:fill="auto"/>
          </w:tcPr>
          <w:p w14:paraId="3BBFBE31" w14:textId="4F895AA6" w:rsidR="009A7EC3" w:rsidRPr="00DE25AD" w:rsidRDefault="009A7EC3" w:rsidP="009A7EC3">
            <w:pPr>
              <w:pStyle w:val="ASSADACCESStablecentre"/>
            </w:pPr>
            <w:r w:rsidRPr="002E5727">
              <w:rPr>
                <w:bCs w:val="0"/>
                <w:color w:val="000000"/>
              </w:rPr>
              <w:t>45*</w:t>
            </w:r>
          </w:p>
        </w:tc>
        <w:tc>
          <w:tcPr>
            <w:tcW w:w="879" w:type="dxa"/>
            <w:shd w:val="clear" w:color="auto" w:fill="auto"/>
          </w:tcPr>
          <w:p w14:paraId="45F0388A" w14:textId="63678372" w:rsidR="009A7EC3" w:rsidRPr="00DE25AD" w:rsidRDefault="009A7EC3" w:rsidP="009A7EC3">
            <w:pPr>
              <w:pStyle w:val="ASSADACCESStablecentre"/>
            </w:pPr>
            <w:r w:rsidRPr="002E5727">
              <w:rPr>
                <w:bCs w:val="0"/>
                <w:color w:val="000000"/>
              </w:rPr>
              <w:t>45*</w:t>
            </w:r>
          </w:p>
        </w:tc>
        <w:tc>
          <w:tcPr>
            <w:tcW w:w="879" w:type="dxa"/>
            <w:shd w:val="clear" w:color="auto" w:fill="auto"/>
          </w:tcPr>
          <w:p w14:paraId="2BB5DEB3" w14:textId="152A90E5" w:rsidR="009A7EC3" w:rsidRPr="00DE25AD" w:rsidRDefault="009A7EC3" w:rsidP="009A7EC3">
            <w:pPr>
              <w:pStyle w:val="ASSADACCESStablecentre"/>
            </w:pPr>
            <w:r w:rsidRPr="002E5727">
              <w:rPr>
                <w:bCs w:val="0"/>
                <w:color w:val="000000"/>
              </w:rPr>
              <w:t>35*^</w:t>
            </w:r>
          </w:p>
        </w:tc>
        <w:tc>
          <w:tcPr>
            <w:tcW w:w="879" w:type="dxa"/>
            <w:shd w:val="clear" w:color="auto" w:fill="auto"/>
          </w:tcPr>
          <w:p w14:paraId="7B2D4753" w14:textId="1D056AEC" w:rsidR="009A7EC3" w:rsidRPr="00DE25AD" w:rsidRDefault="009A7EC3" w:rsidP="009A7EC3">
            <w:pPr>
              <w:pStyle w:val="ASSADACCESStablecentre"/>
            </w:pPr>
            <w:r w:rsidRPr="002E5727">
              <w:rPr>
                <w:bCs w:val="0"/>
                <w:color w:val="000000"/>
              </w:rPr>
              <w:t>31^</w:t>
            </w:r>
          </w:p>
        </w:tc>
        <w:tc>
          <w:tcPr>
            <w:tcW w:w="879" w:type="dxa"/>
            <w:shd w:val="clear" w:color="auto" w:fill="auto"/>
          </w:tcPr>
          <w:p w14:paraId="1316343D" w14:textId="73E3AF61" w:rsidR="009A7EC3" w:rsidRPr="00DE25AD" w:rsidRDefault="009A7EC3" w:rsidP="009A7EC3">
            <w:pPr>
              <w:pStyle w:val="ASSADACCESStablecentre"/>
            </w:pPr>
            <w:r w:rsidRPr="002E5727">
              <w:rPr>
                <w:bCs w:val="0"/>
                <w:color w:val="000000"/>
              </w:rPr>
              <w:t>29^</w:t>
            </w:r>
          </w:p>
        </w:tc>
        <w:tc>
          <w:tcPr>
            <w:tcW w:w="879" w:type="dxa"/>
            <w:shd w:val="clear" w:color="auto" w:fill="auto"/>
          </w:tcPr>
          <w:p w14:paraId="55DED004" w14:textId="00CC1FAB" w:rsidR="009A7EC3" w:rsidRPr="00DE25AD" w:rsidRDefault="009A7EC3" w:rsidP="009A7EC3">
            <w:pPr>
              <w:pStyle w:val="ASSADACCESStablecentre"/>
            </w:pPr>
            <w:r w:rsidRPr="002E5727">
              <w:rPr>
                <w:bCs w:val="0"/>
                <w:color w:val="000000"/>
              </w:rPr>
              <w:t>2</w:t>
            </w:r>
            <w:r>
              <w:rPr>
                <w:bCs w:val="0"/>
                <w:color w:val="000000"/>
              </w:rPr>
              <w:t>6</w:t>
            </w:r>
            <w:r w:rsidRPr="002E5727">
              <w:rPr>
                <w:bCs w:val="0"/>
                <w:color w:val="000000"/>
              </w:rPr>
              <w:t>^</w:t>
            </w:r>
          </w:p>
        </w:tc>
      </w:tr>
      <w:tr w:rsidR="009A7EC3" w:rsidRPr="00DE25AD" w14:paraId="4FFF79B6" w14:textId="77777777" w:rsidTr="005C5B03">
        <w:trPr>
          <w:trHeight w:val="247"/>
        </w:trPr>
        <w:tc>
          <w:tcPr>
            <w:tcW w:w="1517" w:type="dxa"/>
            <w:tcMar>
              <w:left w:w="57" w:type="dxa"/>
            </w:tcMar>
          </w:tcPr>
          <w:p w14:paraId="03BEE0EA" w14:textId="77777777" w:rsidR="009A7EC3" w:rsidRPr="00DE25AD" w:rsidRDefault="009A7EC3" w:rsidP="009A7EC3">
            <w:pPr>
              <w:pStyle w:val="ACCESSTableHeaderRow"/>
            </w:pPr>
          </w:p>
        </w:tc>
        <w:tc>
          <w:tcPr>
            <w:tcW w:w="1068" w:type="dxa"/>
            <w:shd w:val="clear" w:color="auto" w:fill="auto"/>
            <w:tcMar>
              <w:left w:w="57" w:type="dxa"/>
            </w:tcMar>
            <w:vAlign w:val="bottom"/>
          </w:tcPr>
          <w:p w14:paraId="4CC7192B" w14:textId="2A0F919A" w:rsidR="009A7EC3" w:rsidRPr="00DE25AD" w:rsidRDefault="009A7EC3" w:rsidP="009A7EC3">
            <w:pPr>
              <w:pStyle w:val="ASSAD2017ACCESSBody1"/>
            </w:pPr>
            <w:r w:rsidRPr="00DE25AD">
              <w:t>Total</w:t>
            </w:r>
          </w:p>
        </w:tc>
        <w:tc>
          <w:tcPr>
            <w:tcW w:w="878" w:type="dxa"/>
            <w:shd w:val="clear" w:color="auto" w:fill="auto"/>
          </w:tcPr>
          <w:p w14:paraId="0D1D6E40" w14:textId="31E78750" w:rsidR="009A7EC3" w:rsidRPr="00DE25AD" w:rsidRDefault="009A7EC3" w:rsidP="009A7EC3">
            <w:pPr>
              <w:pStyle w:val="ASSADACCESStablecentre"/>
            </w:pPr>
            <w:r w:rsidRPr="002E5727">
              <w:rPr>
                <w:bCs w:val="0"/>
                <w:color w:val="000000"/>
              </w:rPr>
              <w:t>49*</w:t>
            </w:r>
          </w:p>
        </w:tc>
        <w:tc>
          <w:tcPr>
            <w:tcW w:w="879" w:type="dxa"/>
            <w:shd w:val="clear" w:color="auto" w:fill="auto"/>
          </w:tcPr>
          <w:p w14:paraId="3D1B48BE" w14:textId="1A3ED7A4" w:rsidR="009A7EC3" w:rsidRPr="00DE25AD" w:rsidRDefault="009A7EC3" w:rsidP="009A7EC3">
            <w:pPr>
              <w:pStyle w:val="ASSADACCESStablecentre"/>
            </w:pPr>
            <w:r w:rsidRPr="002E5727">
              <w:rPr>
                <w:bCs w:val="0"/>
                <w:color w:val="000000"/>
              </w:rPr>
              <w:t>51*</w:t>
            </w:r>
          </w:p>
        </w:tc>
        <w:tc>
          <w:tcPr>
            <w:tcW w:w="879" w:type="dxa"/>
            <w:shd w:val="clear" w:color="auto" w:fill="auto"/>
          </w:tcPr>
          <w:p w14:paraId="5AC28367" w14:textId="77E369CE" w:rsidR="009A7EC3" w:rsidRPr="00DE25AD" w:rsidRDefault="009A7EC3" w:rsidP="009A7EC3">
            <w:pPr>
              <w:pStyle w:val="ASSADACCESStablecentre"/>
            </w:pPr>
            <w:r w:rsidRPr="002E5727">
              <w:rPr>
                <w:bCs w:val="0"/>
                <w:color w:val="000000"/>
              </w:rPr>
              <w:t>48*</w:t>
            </w:r>
          </w:p>
        </w:tc>
        <w:tc>
          <w:tcPr>
            <w:tcW w:w="879" w:type="dxa"/>
            <w:shd w:val="clear" w:color="auto" w:fill="auto"/>
          </w:tcPr>
          <w:p w14:paraId="7337F336" w14:textId="6A5F075F" w:rsidR="009A7EC3" w:rsidRPr="00DE25AD" w:rsidRDefault="009A7EC3" w:rsidP="009A7EC3">
            <w:pPr>
              <w:pStyle w:val="ASSADACCESStablecentre"/>
            </w:pPr>
            <w:r w:rsidRPr="002E5727">
              <w:rPr>
                <w:bCs w:val="0"/>
                <w:color w:val="000000"/>
              </w:rPr>
              <w:t>47*</w:t>
            </w:r>
          </w:p>
        </w:tc>
        <w:tc>
          <w:tcPr>
            <w:tcW w:w="879" w:type="dxa"/>
            <w:shd w:val="clear" w:color="auto" w:fill="auto"/>
          </w:tcPr>
          <w:p w14:paraId="447A54EE" w14:textId="5AAAAF96" w:rsidR="009A7EC3" w:rsidRPr="00DE25AD" w:rsidRDefault="009A7EC3" w:rsidP="009A7EC3">
            <w:pPr>
              <w:pStyle w:val="ASSADACCESStablecentre"/>
            </w:pPr>
            <w:r w:rsidRPr="002E5727">
              <w:rPr>
                <w:bCs w:val="0"/>
                <w:color w:val="000000"/>
              </w:rPr>
              <w:t>38*^</w:t>
            </w:r>
          </w:p>
        </w:tc>
        <w:tc>
          <w:tcPr>
            <w:tcW w:w="879" w:type="dxa"/>
            <w:shd w:val="clear" w:color="auto" w:fill="auto"/>
          </w:tcPr>
          <w:p w14:paraId="2419011C" w14:textId="611EF2CB" w:rsidR="009A7EC3" w:rsidRPr="00DE25AD" w:rsidRDefault="009A7EC3" w:rsidP="009A7EC3">
            <w:pPr>
              <w:pStyle w:val="ASSADACCESStablecentre"/>
            </w:pPr>
            <w:r w:rsidRPr="002E5727">
              <w:rPr>
                <w:bCs w:val="0"/>
                <w:color w:val="000000"/>
              </w:rPr>
              <w:t>32^</w:t>
            </w:r>
          </w:p>
        </w:tc>
        <w:tc>
          <w:tcPr>
            <w:tcW w:w="879" w:type="dxa"/>
            <w:shd w:val="clear" w:color="auto" w:fill="auto"/>
          </w:tcPr>
          <w:p w14:paraId="6E4C500F" w14:textId="7B5545C3" w:rsidR="009A7EC3" w:rsidRPr="00DE25AD" w:rsidRDefault="009A7EC3" w:rsidP="009A7EC3">
            <w:pPr>
              <w:pStyle w:val="ASSADACCESStablecentre"/>
            </w:pPr>
            <w:r>
              <w:rPr>
                <w:bCs w:val="0"/>
                <w:color w:val="000000"/>
              </w:rPr>
              <w:t>29</w:t>
            </w:r>
            <w:r w:rsidRPr="002E5727">
              <w:rPr>
                <w:bCs w:val="0"/>
                <w:color w:val="000000"/>
              </w:rPr>
              <w:t>^</w:t>
            </w:r>
          </w:p>
        </w:tc>
        <w:tc>
          <w:tcPr>
            <w:tcW w:w="879" w:type="dxa"/>
            <w:shd w:val="clear" w:color="auto" w:fill="auto"/>
          </w:tcPr>
          <w:p w14:paraId="00A834D5" w14:textId="116238E3" w:rsidR="009A7EC3" w:rsidRPr="00DE25AD" w:rsidRDefault="009A7EC3" w:rsidP="009A7EC3">
            <w:pPr>
              <w:pStyle w:val="ASSADACCESStablecentre"/>
            </w:pPr>
            <w:r w:rsidRPr="002E5727">
              <w:rPr>
                <w:bCs w:val="0"/>
                <w:color w:val="000000"/>
              </w:rPr>
              <w:t>29^</w:t>
            </w:r>
          </w:p>
        </w:tc>
      </w:tr>
      <w:tr w:rsidR="009A7EC3" w:rsidRPr="00DE25AD" w14:paraId="3BCA27E9" w14:textId="77777777" w:rsidTr="005C5B03">
        <w:trPr>
          <w:trHeight w:val="247"/>
        </w:trPr>
        <w:tc>
          <w:tcPr>
            <w:tcW w:w="1517" w:type="dxa"/>
            <w:tcMar>
              <w:left w:w="57" w:type="dxa"/>
            </w:tcMar>
          </w:tcPr>
          <w:p w14:paraId="78FD4208" w14:textId="32517DDD" w:rsidR="009A7EC3" w:rsidRPr="00DE25AD" w:rsidRDefault="009A7EC3" w:rsidP="009A7EC3">
            <w:pPr>
              <w:pStyle w:val="ACCESSTableHeaderRow"/>
            </w:pPr>
            <w:r>
              <w:t>Risky</w:t>
            </w:r>
          </w:p>
        </w:tc>
        <w:tc>
          <w:tcPr>
            <w:tcW w:w="1068" w:type="dxa"/>
            <w:shd w:val="clear" w:color="auto" w:fill="auto"/>
            <w:tcMar>
              <w:left w:w="57" w:type="dxa"/>
            </w:tcMar>
            <w:vAlign w:val="bottom"/>
          </w:tcPr>
          <w:p w14:paraId="26DB228C" w14:textId="7B56549C" w:rsidR="009A7EC3" w:rsidRPr="00DE25AD" w:rsidRDefault="009A7EC3" w:rsidP="009A7EC3">
            <w:pPr>
              <w:pStyle w:val="ASSAD2017ACCESSBody1"/>
            </w:pPr>
            <w:r w:rsidRPr="00DE25AD">
              <w:t>Male</w:t>
            </w:r>
          </w:p>
        </w:tc>
        <w:tc>
          <w:tcPr>
            <w:tcW w:w="878" w:type="dxa"/>
            <w:shd w:val="clear" w:color="auto" w:fill="auto"/>
          </w:tcPr>
          <w:p w14:paraId="3FC90F3B" w14:textId="002D1770" w:rsidR="009A7EC3" w:rsidRPr="00DE25AD" w:rsidRDefault="009A7EC3" w:rsidP="009A7EC3">
            <w:pPr>
              <w:pStyle w:val="ASSADACCESStablecentre"/>
            </w:pPr>
            <w:r w:rsidRPr="002E5727">
              <w:rPr>
                <w:bCs w:val="0"/>
                <w:color w:val="000000"/>
              </w:rPr>
              <w:t>27*</w:t>
            </w:r>
          </w:p>
        </w:tc>
        <w:tc>
          <w:tcPr>
            <w:tcW w:w="879" w:type="dxa"/>
            <w:shd w:val="clear" w:color="auto" w:fill="auto"/>
          </w:tcPr>
          <w:p w14:paraId="1F5A1105" w14:textId="5CE8D54A" w:rsidR="009A7EC3" w:rsidRPr="00DE25AD" w:rsidRDefault="009A7EC3" w:rsidP="009A7EC3">
            <w:pPr>
              <w:pStyle w:val="ASSADACCESStablecentre"/>
            </w:pPr>
            <w:r w:rsidRPr="002E5727">
              <w:rPr>
                <w:bCs w:val="0"/>
                <w:color w:val="000000"/>
              </w:rPr>
              <w:t>29*</w:t>
            </w:r>
          </w:p>
        </w:tc>
        <w:tc>
          <w:tcPr>
            <w:tcW w:w="879" w:type="dxa"/>
            <w:shd w:val="clear" w:color="auto" w:fill="auto"/>
          </w:tcPr>
          <w:p w14:paraId="5D4BA456" w14:textId="6B4B5B29" w:rsidR="009A7EC3" w:rsidRPr="00DE25AD" w:rsidRDefault="009A7EC3" w:rsidP="009A7EC3">
            <w:pPr>
              <w:pStyle w:val="ASSADACCESStablecentre"/>
            </w:pPr>
            <w:r w:rsidRPr="002E5727">
              <w:rPr>
                <w:bCs w:val="0"/>
                <w:color w:val="000000"/>
              </w:rPr>
              <w:t>27*</w:t>
            </w:r>
          </w:p>
        </w:tc>
        <w:tc>
          <w:tcPr>
            <w:tcW w:w="879" w:type="dxa"/>
            <w:shd w:val="clear" w:color="auto" w:fill="auto"/>
          </w:tcPr>
          <w:p w14:paraId="39EC67EF" w14:textId="44F535F8" w:rsidR="009A7EC3" w:rsidRPr="00DE25AD" w:rsidRDefault="009A7EC3" w:rsidP="009A7EC3">
            <w:pPr>
              <w:pStyle w:val="ASSADACCESStablecentre"/>
            </w:pPr>
            <w:r w:rsidRPr="002E5727">
              <w:rPr>
                <w:bCs w:val="0"/>
                <w:color w:val="000000"/>
              </w:rPr>
              <w:t>28*</w:t>
            </w:r>
          </w:p>
        </w:tc>
        <w:tc>
          <w:tcPr>
            <w:tcW w:w="879" w:type="dxa"/>
            <w:shd w:val="clear" w:color="auto" w:fill="auto"/>
          </w:tcPr>
          <w:p w14:paraId="3D5C1CDB" w14:textId="0E245186" w:rsidR="009A7EC3" w:rsidRPr="00DE25AD" w:rsidRDefault="009A7EC3" w:rsidP="009A7EC3">
            <w:pPr>
              <w:pStyle w:val="ASSADACCESStablecentre"/>
            </w:pPr>
            <w:r w:rsidRPr="002E5727">
              <w:rPr>
                <w:bCs w:val="0"/>
                <w:color w:val="000000"/>
              </w:rPr>
              <w:t>21*^</w:t>
            </w:r>
          </w:p>
        </w:tc>
        <w:tc>
          <w:tcPr>
            <w:tcW w:w="879" w:type="dxa"/>
            <w:shd w:val="clear" w:color="auto" w:fill="auto"/>
          </w:tcPr>
          <w:p w14:paraId="11CBE004" w14:textId="225840C5" w:rsidR="009A7EC3" w:rsidRPr="00DE25AD" w:rsidRDefault="009A7EC3" w:rsidP="009A7EC3">
            <w:pPr>
              <w:pStyle w:val="ASSADACCESStablecentre"/>
            </w:pPr>
            <w:r w:rsidRPr="002E5727">
              <w:rPr>
                <w:bCs w:val="0"/>
                <w:color w:val="000000"/>
              </w:rPr>
              <w:t>18^</w:t>
            </w:r>
          </w:p>
        </w:tc>
        <w:tc>
          <w:tcPr>
            <w:tcW w:w="879" w:type="dxa"/>
            <w:shd w:val="clear" w:color="auto" w:fill="auto"/>
          </w:tcPr>
          <w:p w14:paraId="555DC6DA" w14:textId="2EB99D29" w:rsidR="009A7EC3" w:rsidRPr="00DE25AD" w:rsidRDefault="009A7EC3" w:rsidP="009A7EC3">
            <w:pPr>
              <w:pStyle w:val="ASSADACCESStablecentre"/>
            </w:pPr>
            <w:r w:rsidRPr="002E5727">
              <w:rPr>
                <w:bCs w:val="0"/>
                <w:color w:val="000000"/>
              </w:rPr>
              <w:t>15^</w:t>
            </w:r>
          </w:p>
        </w:tc>
        <w:tc>
          <w:tcPr>
            <w:tcW w:w="879" w:type="dxa"/>
            <w:shd w:val="clear" w:color="auto" w:fill="auto"/>
          </w:tcPr>
          <w:p w14:paraId="09A28B64" w14:textId="21CEEE56" w:rsidR="009A7EC3" w:rsidRPr="00DE25AD" w:rsidRDefault="009A7EC3" w:rsidP="009A7EC3">
            <w:pPr>
              <w:pStyle w:val="ASSADACCESStablecentre"/>
            </w:pPr>
            <w:r w:rsidRPr="002E5727">
              <w:rPr>
                <w:bCs w:val="0"/>
                <w:color w:val="000000"/>
              </w:rPr>
              <w:t>13^</w:t>
            </w:r>
          </w:p>
        </w:tc>
      </w:tr>
      <w:tr w:rsidR="009A7EC3" w:rsidRPr="00DE25AD" w14:paraId="7101477A" w14:textId="77777777" w:rsidTr="005C5B03">
        <w:trPr>
          <w:trHeight w:val="247"/>
        </w:trPr>
        <w:tc>
          <w:tcPr>
            <w:tcW w:w="1517" w:type="dxa"/>
            <w:tcMar>
              <w:left w:w="57" w:type="dxa"/>
            </w:tcMar>
          </w:tcPr>
          <w:p w14:paraId="5CE44731" w14:textId="77777777" w:rsidR="009A7EC3" w:rsidRPr="00DE25AD" w:rsidRDefault="009A7EC3" w:rsidP="009A7EC3">
            <w:pPr>
              <w:pStyle w:val="ACCESSTableHeaderRow"/>
            </w:pPr>
          </w:p>
        </w:tc>
        <w:tc>
          <w:tcPr>
            <w:tcW w:w="1068" w:type="dxa"/>
            <w:shd w:val="clear" w:color="auto" w:fill="auto"/>
            <w:tcMar>
              <w:left w:w="57" w:type="dxa"/>
            </w:tcMar>
            <w:vAlign w:val="bottom"/>
          </w:tcPr>
          <w:p w14:paraId="3C8C1717" w14:textId="39F8CFE5" w:rsidR="009A7EC3" w:rsidRPr="00DE25AD" w:rsidRDefault="009A7EC3" w:rsidP="009A7EC3">
            <w:pPr>
              <w:pStyle w:val="ASSAD2017ACCESSBody1"/>
            </w:pPr>
            <w:r w:rsidRPr="00DE25AD">
              <w:t>Female</w:t>
            </w:r>
          </w:p>
        </w:tc>
        <w:tc>
          <w:tcPr>
            <w:tcW w:w="878" w:type="dxa"/>
            <w:shd w:val="clear" w:color="auto" w:fill="auto"/>
          </w:tcPr>
          <w:p w14:paraId="655EA399" w14:textId="1A9A14D0" w:rsidR="009A7EC3" w:rsidRPr="00DE25AD" w:rsidRDefault="009A7EC3" w:rsidP="009A7EC3">
            <w:pPr>
              <w:pStyle w:val="ASSADACCESStablecentre"/>
            </w:pPr>
            <w:r w:rsidRPr="002E5727">
              <w:rPr>
                <w:bCs w:val="0"/>
                <w:color w:val="000000"/>
              </w:rPr>
              <w:t>17*</w:t>
            </w:r>
          </w:p>
        </w:tc>
        <w:tc>
          <w:tcPr>
            <w:tcW w:w="879" w:type="dxa"/>
            <w:shd w:val="clear" w:color="auto" w:fill="auto"/>
          </w:tcPr>
          <w:p w14:paraId="7AB7010A" w14:textId="241D328D" w:rsidR="009A7EC3" w:rsidRPr="00DE25AD" w:rsidRDefault="009A7EC3" w:rsidP="009A7EC3">
            <w:pPr>
              <w:pStyle w:val="ASSADACCESStablecentre"/>
            </w:pPr>
            <w:r w:rsidRPr="002E5727">
              <w:rPr>
                <w:bCs w:val="0"/>
                <w:color w:val="000000"/>
              </w:rPr>
              <w:t>20*</w:t>
            </w:r>
          </w:p>
        </w:tc>
        <w:tc>
          <w:tcPr>
            <w:tcW w:w="879" w:type="dxa"/>
            <w:shd w:val="clear" w:color="auto" w:fill="auto"/>
          </w:tcPr>
          <w:p w14:paraId="59AFE261" w14:textId="0F290D8A" w:rsidR="009A7EC3" w:rsidRPr="00DE25AD" w:rsidRDefault="009A7EC3" w:rsidP="009A7EC3">
            <w:pPr>
              <w:pStyle w:val="ASSADACCESStablecentre"/>
            </w:pPr>
            <w:r w:rsidRPr="002E5727">
              <w:rPr>
                <w:bCs w:val="0"/>
                <w:color w:val="000000"/>
              </w:rPr>
              <w:t>18*</w:t>
            </w:r>
          </w:p>
        </w:tc>
        <w:tc>
          <w:tcPr>
            <w:tcW w:w="879" w:type="dxa"/>
            <w:shd w:val="clear" w:color="auto" w:fill="auto"/>
          </w:tcPr>
          <w:p w14:paraId="4B8C85EB" w14:textId="34F91118" w:rsidR="009A7EC3" w:rsidRPr="00DE25AD" w:rsidRDefault="009A7EC3" w:rsidP="009A7EC3">
            <w:pPr>
              <w:pStyle w:val="ASSADACCESStablecentre"/>
            </w:pPr>
            <w:r w:rsidRPr="002E5727">
              <w:rPr>
                <w:bCs w:val="0"/>
                <w:color w:val="000000"/>
              </w:rPr>
              <w:t>19*</w:t>
            </w:r>
          </w:p>
        </w:tc>
        <w:tc>
          <w:tcPr>
            <w:tcW w:w="879" w:type="dxa"/>
            <w:shd w:val="clear" w:color="auto" w:fill="auto"/>
          </w:tcPr>
          <w:p w14:paraId="68FA6AAD" w14:textId="521194C4" w:rsidR="009A7EC3" w:rsidRPr="00DE25AD" w:rsidRDefault="009A7EC3" w:rsidP="009A7EC3">
            <w:pPr>
              <w:pStyle w:val="ASSADACCESStablecentre"/>
            </w:pPr>
            <w:r w:rsidRPr="002E5727">
              <w:rPr>
                <w:bCs w:val="0"/>
                <w:color w:val="000000"/>
              </w:rPr>
              <w:t>15*</w:t>
            </w:r>
          </w:p>
        </w:tc>
        <w:tc>
          <w:tcPr>
            <w:tcW w:w="879" w:type="dxa"/>
            <w:shd w:val="clear" w:color="auto" w:fill="auto"/>
          </w:tcPr>
          <w:p w14:paraId="69DB54AC" w14:textId="0785153F" w:rsidR="009A7EC3" w:rsidRPr="00DE25AD" w:rsidRDefault="009A7EC3" w:rsidP="009A7EC3">
            <w:pPr>
              <w:pStyle w:val="ASSADACCESStablecentre"/>
            </w:pPr>
            <w:r w:rsidRPr="002E5727">
              <w:rPr>
                <w:bCs w:val="0"/>
                <w:color w:val="000000"/>
              </w:rPr>
              <w:t>13*</w:t>
            </w:r>
            <w:r>
              <w:rPr>
                <w:bCs w:val="0"/>
                <w:color w:val="000000"/>
              </w:rPr>
              <w:t>^</w:t>
            </w:r>
          </w:p>
        </w:tc>
        <w:tc>
          <w:tcPr>
            <w:tcW w:w="879" w:type="dxa"/>
            <w:shd w:val="clear" w:color="auto" w:fill="auto"/>
          </w:tcPr>
          <w:p w14:paraId="1E4C44EB" w14:textId="178CD6E6" w:rsidR="009A7EC3" w:rsidRPr="00DE25AD" w:rsidRDefault="009A7EC3" w:rsidP="009A7EC3">
            <w:pPr>
              <w:pStyle w:val="ASSADACCESStablecentre"/>
            </w:pPr>
            <w:r w:rsidRPr="002E5727">
              <w:rPr>
                <w:bCs w:val="0"/>
                <w:color w:val="000000"/>
              </w:rPr>
              <w:t>10^</w:t>
            </w:r>
          </w:p>
        </w:tc>
        <w:tc>
          <w:tcPr>
            <w:tcW w:w="879" w:type="dxa"/>
            <w:shd w:val="clear" w:color="auto" w:fill="auto"/>
          </w:tcPr>
          <w:p w14:paraId="6EFCBD91" w14:textId="111CF433" w:rsidR="009A7EC3" w:rsidRPr="00DE25AD" w:rsidRDefault="009A7EC3" w:rsidP="009A7EC3">
            <w:pPr>
              <w:pStyle w:val="ASSADACCESStablecentre"/>
            </w:pPr>
            <w:r w:rsidRPr="002E5727">
              <w:rPr>
                <w:bCs w:val="0"/>
                <w:color w:val="000000"/>
              </w:rPr>
              <w:t>8^</w:t>
            </w:r>
          </w:p>
        </w:tc>
      </w:tr>
      <w:tr w:rsidR="009A7EC3" w:rsidRPr="00DE25AD" w14:paraId="3AB27354" w14:textId="77777777" w:rsidTr="005C5B03">
        <w:trPr>
          <w:trHeight w:val="247"/>
        </w:trPr>
        <w:tc>
          <w:tcPr>
            <w:tcW w:w="1517" w:type="dxa"/>
            <w:tcMar>
              <w:left w:w="57" w:type="dxa"/>
            </w:tcMar>
          </w:tcPr>
          <w:p w14:paraId="19218F1B" w14:textId="77777777" w:rsidR="009A7EC3" w:rsidRPr="00DE25AD" w:rsidRDefault="009A7EC3" w:rsidP="009A7EC3">
            <w:pPr>
              <w:pStyle w:val="ACCESSTableHeaderRow"/>
            </w:pPr>
          </w:p>
        </w:tc>
        <w:tc>
          <w:tcPr>
            <w:tcW w:w="1068" w:type="dxa"/>
            <w:shd w:val="clear" w:color="auto" w:fill="auto"/>
            <w:tcMar>
              <w:left w:w="57" w:type="dxa"/>
            </w:tcMar>
            <w:vAlign w:val="bottom"/>
          </w:tcPr>
          <w:p w14:paraId="377BABD7" w14:textId="194C5B56" w:rsidR="009A7EC3" w:rsidRPr="00DE25AD" w:rsidRDefault="009A7EC3" w:rsidP="009A7EC3">
            <w:pPr>
              <w:pStyle w:val="ASSAD2017ACCESSBody1"/>
            </w:pPr>
            <w:r w:rsidRPr="00DE25AD">
              <w:t>Total</w:t>
            </w:r>
          </w:p>
        </w:tc>
        <w:tc>
          <w:tcPr>
            <w:tcW w:w="878" w:type="dxa"/>
            <w:shd w:val="clear" w:color="auto" w:fill="auto"/>
          </w:tcPr>
          <w:p w14:paraId="1E7C3751" w14:textId="1ED0F650" w:rsidR="009A7EC3" w:rsidRPr="00DE25AD" w:rsidRDefault="009A7EC3" w:rsidP="009A7EC3">
            <w:pPr>
              <w:pStyle w:val="ASSADACCESStablecentre"/>
            </w:pPr>
            <w:r w:rsidRPr="002E5727">
              <w:rPr>
                <w:bCs w:val="0"/>
                <w:color w:val="000000"/>
              </w:rPr>
              <w:t>22*</w:t>
            </w:r>
          </w:p>
        </w:tc>
        <w:tc>
          <w:tcPr>
            <w:tcW w:w="879" w:type="dxa"/>
            <w:shd w:val="clear" w:color="auto" w:fill="auto"/>
          </w:tcPr>
          <w:p w14:paraId="1E62DA98" w14:textId="51860DDD" w:rsidR="009A7EC3" w:rsidRPr="00DE25AD" w:rsidRDefault="009A7EC3" w:rsidP="009A7EC3">
            <w:pPr>
              <w:pStyle w:val="ASSADACCESStablecentre"/>
            </w:pPr>
            <w:r w:rsidRPr="002E5727">
              <w:rPr>
                <w:bCs w:val="0"/>
                <w:color w:val="000000"/>
              </w:rPr>
              <w:t>24*</w:t>
            </w:r>
          </w:p>
        </w:tc>
        <w:tc>
          <w:tcPr>
            <w:tcW w:w="879" w:type="dxa"/>
            <w:shd w:val="clear" w:color="auto" w:fill="auto"/>
          </w:tcPr>
          <w:p w14:paraId="5168CD96" w14:textId="1ECEB6F9" w:rsidR="009A7EC3" w:rsidRPr="00DE25AD" w:rsidRDefault="009A7EC3" w:rsidP="009A7EC3">
            <w:pPr>
              <w:pStyle w:val="ASSADACCESStablecentre"/>
            </w:pPr>
            <w:r w:rsidRPr="002E5727">
              <w:rPr>
                <w:bCs w:val="0"/>
                <w:color w:val="000000"/>
              </w:rPr>
              <w:t>23*</w:t>
            </w:r>
          </w:p>
        </w:tc>
        <w:tc>
          <w:tcPr>
            <w:tcW w:w="879" w:type="dxa"/>
            <w:shd w:val="clear" w:color="auto" w:fill="auto"/>
          </w:tcPr>
          <w:p w14:paraId="3CA3E190" w14:textId="7B4E2035" w:rsidR="009A7EC3" w:rsidRPr="00DE25AD" w:rsidRDefault="009A7EC3" w:rsidP="009A7EC3">
            <w:pPr>
              <w:pStyle w:val="ASSADACCESStablecentre"/>
            </w:pPr>
            <w:r w:rsidRPr="002E5727">
              <w:rPr>
                <w:bCs w:val="0"/>
                <w:color w:val="000000"/>
              </w:rPr>
              <w:t>23*</w:t>
            </w:r>
          </w:p>
        </w:tc>
        <w:tc>
          <w:tcPr>
            <w:tcW w:w="879" w:type="dxa"/>
            <w:shd w:val="clear" w:color="auto" w:fill="auto"/>
          </w:tcPr>
          <w:p w14:paraId="761124A1" w14:textId="7F368278" w:rsidR="009A7EC3" w:rsidRPr="00DE25AD" w:rsidRDefault="009A7EC3" w:rsidP="009A7EC3">
            <w:pPr>
              <w:pStyle w:val="ASSADACCESStablecentre"/>
            </w:pPr>
            <w:r w:rsidRPr="002E5727">
              <w:rPr>
                <w:bCs w:val="0"/>
                <w:color w:val="000000"/>
              </w:rPr>
              <w:t>18*^</w:t>
            </w:r>
          </w:p>
        </w:tc>
        <w:tc>
          <w:tcPr>
            <w:tcW w:w="879" w:type="dxa"/>
            <w:shd w:val="clear" w:color="auto" w:fill="auto"/>
          </w:tcPr>
          <w:p w14:paraId="0AB73418" w14:textId="6938211D" w:rsidR="009A7EC3" w:rsidRPr="00DE25AD" w:rsidRDefault="009A7EC3" w:rsidP="009A7EC3">
            <w:pPr>
              <w:pStyle w:val="ASSADACCESStablecentre"/>
            </w:pPr>
            <w:r w:rsidRPr="002E5727">
              <w:rPr>
                <w:bCs w:val="0"/>
                <w:color w:val="000000"/>
              </w:rPr>
              <w:t>16*^</w:t>
            </w:r>
          </w:p>
        </w:tc>
        <w:tc>
          <w:tcPr>
            <w:tcW w:w="879" w:type="dxa"/>
            <w:shd w:val="clear" w:color="auto" w:fill="auto"/>
          </w:tcPr>
          <w:p w14:paraId="31563D15" w14:textId="295B488D" w:rsidR="009A7EC3" w:rsidRPr="00DE25AD" w:rsidRDefault="009A7EC3" w:rsidP="009A7EC3">
            <w:pPr>
              <w:pStyle w:val="ASSADACCESStablecentre"/>
            </w:pPr>
            <w:r w:rsidRPr="002E5727">
              <w:rPr>
                <w:bCs w:val="0"/>
                <w:color w:val="000000"/>
              </w:rPr>
              <w:t>13^</w:t>
            </w:r>
          </w:p>
        </w:tc>
        <w:tc>
          <w:tcPr>
            <w:tcW w:w="879" w:type="dxa"/>
            <w:shd w:val="clear" w:color="auto" w:fill="auto"/>
          </w:tcPr>
          <w:p w14:paraId="54722997" w14:textId="2DFB1C18" w:rsidR="009A7EC3" w:rsidRPr="00DE25AD" w:rsidRDefault="009A7EC3" w:rsidP="009A7EC3">
            <w:pPr>
              <w:pStyle w:val="ASSADACCESStablecentre"/>
            </w:pPr>
            <w:r w:rsidRPr="002E5727">
              <w:rPr>
                <w:bCs w:val="0"/>
                <w:color w:val="000000"/>
              </w:rPr>
              <w:t>11^</w:t>
            </w:r>
          </w:p>
        </w:tc>
      </w:tr>
    </w:tbl>
    <w:p w14:paraId="0C80520B" w14:textId="367C6872" w:rsidR="003E2E19" w:rsidRPr="00DE25AD" w:rsidRDefault="003E2E19" w:rsidP="003E2E19">
      <w:pPr>
        <w:pStyle w:val="ASSAD2017CWTablenote1"/>
        <w:rPr>
          <w:bCs/>
          <w:sz w:val="20"/>
          <w:szCs w:val="28"/>
        </w:rPr>
      </w:pPr>
      <w:r>
        <w:t>* Significantly different than 2017, p&lt;.01; ^ Significantly different than 1996, p&lt;.01.</w:t>
      </w:r>
      <w:r w:rsidRPr="00DE25AD">
        <w:br w:type="page"/>
      </w:r>
    </w:p>
    <w:p w14:paraId="73B2BE47" w14:textId="2068085B" w:rsidR="007B514C" w:rsidRPr="0046446A" w:rsidRDefault="007B514C" w:rsidP="007B514C">
      <w:pPr>
        <w:pStyle w:val="ASSAD2017TableHeading"/>
      </w:pPr>
      <w:bookmarkStart w:id="76" w:name="_Toc44060492"/>
      <w:r w:rsidRPr="0046446A">
        <w:lastRenderedPageBreak/>
        <w:t xml:space="preserve">Table </w:t>
      </w:r>
      <w:r>
        <w:t>5</w:t>
      </w:r>
      <w:r w:rsidRPr="0046446A">
        <w:t xml:space="preserve"> </w:t>
      </w:r>
      <w:r>
        <w:t>Prevalence</w:t>
      </w:r>
      <w:r w:rsidRPr="0046446A">
        <w:t xml:space="preserve"> of </w:t>
      </w:r>
      <w:r>
        <w:t>alcohol</w:t>
      </w:r>
      <w:r w:rsidRPr="0046446A">
        <w:t xml:space="preserve"> use among secondary students aged 12-1</w:t>
      </w:r>
      <w:r>
        <w:t>7</w:t>
      </w:r>
      <w:r w:rsidRPr="0046446A">
        <w:t xml:space="preserve"> in Australia, ASSAD 1996-2017</w:t>
      </w:r>
      <w:bookmarkEnd w:id="76"/>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7B514C" w:rsidRPr="00DE25AD" w14:paraId="5ABC73ED" w14:textId="77777777" w:rsidTr="005C5B03">
        <w:trPr>
          <w:tblHeader/>
        </w:trPr>
        <w:tc>
          <w:tcPr>
            <w:tcW w:w="1517" w:type="dxa"/>
            <w:tcMar>
              <w:left w:w="57" w:type="dxa"/>
            </w:tcMar>
          </w:tcPr>
          <w:p w14:paraId="2B3AA042" w14:textId="77777777" w:rsidR="007B514C" w:rsidRPr="00DE25AD" w:rsidRDefault="007B514C"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0322BE33" w14:textId="77777777" w:rsidR="007B514C" w:rsidRPr="00DE25AD" w:rsidRDefault="007B514C" w:rsidP="005C5B03">
            <w:pPr>
              <w:pStyle w:val="ACCESSTableHeaderRow"/>
            </w:pPr>
          </w:p>
        </w:tc>
        <w:tc>
          <w:tcPr>
            <w:tcW w:w="878" w:type="dxa"/>
            <w:shd w:val="clear" w:color="auto" w:fill="auto"/>
            <w:vAlign w:val="bottom"/>
          </w:tcPr>
          <w:p w14:paraId="66E7632C" w14:textId="77777777" w:rsidR="007B514C" w:rsidRPr="00DE25AD" w:rsidRDefault="007B514C" w:rsidP="005C5B03">
            <w:pPr>
              <w:pStyle w:val="ACCESSTableHeaderRow"/>
              <w:jc w:val="center"/>
            </w:pPr>
            <w:r>
              <w:t>1996</w:t>
            </w:r>
          </w:p>
          <w:p w14:paraId="55D4751D"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529DBA1E" w14:textId="77777777" w:rsidR="007B514C" w:rsidRPr="00DE25AD" w:rsidRDefault="007B514C" w:rsidP="005C5B03">
            <w:pPr>
              <w:pStyle w:val="ACCESSTableHeaderRow"/>
              <w:jc w:val="center"/>
            </w:pPr>
            <w:r w:rsidRPr="00DE25AD">
              <w:t>1</w:t>
            </w:r>
            <w:r>
              <w:t>999</w:t>
            </w:r>
          </w:p>
          <w:p w14:paraId="07F9EFE9"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1A757D69" w14:textId="77777777" w:rsidR="007B514C" w:rsidRPr="00DE25AD" w:rsidRDefault="007B514C" w:rsidP="005C5B03">
            <w:pPr>
              <w:pStyle w:val="ACCESSTableHeaderRow"/>
              <w:jc w:val="center"/>
            </w:pPr>
            <w:r>
              <w:t>2002</w:t>
            </w:r>
          </w:p>
          <w:p w14:paraId="2858EEBA"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76CB1748" w14:textId="77777777" w:rsidR="007B514C" w:rsidRPr="00DE25AD" w:rsidRDefault="007B514C" w:rsidP="005C5B03">
            <w:pPr>
              <w:pStyle w:val="ACCESSTableHeaderRow"/>
              <w:jc w:val="center"/>
            </w:pPr>
            <w:r>
              <w:t>200</w:t>
            </w:r>
            <w:r w:rsidRPr="00DE25AD">
              <w:t>5</w:t>
            </w:r>
          </w:p>
          <w:p w14:paraId="68490A75"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55231A85" w14:textId="77777777" w:rsidR="007B514C" w:rsidRPr="00DE25AD" w:rsidRDefault="007B514C" w:rsidP="005C5B03">
            <w:pPr>
              <w:pStyle w:val="ACCESSTableHeaderRow"/>
              <w:jc w:val="center"/>
            </w:pPr>
            <w:r>
              <w:t>2008</w:t>
            </w:r>
          </w:p>
          <w:p w14:paraId="3EBD4F5C"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7F9A5D9A" w14:textId="77777777" w:rsidR="007B514C" w:rsidRPr="00DE25AD" w:rsidRDefault="007B514C" w:rsidP="005C5B03">
            <w:pPr>
              <w:pStyle w:val="ACCESSTableHeaderRow"/>
              <w:jc w:val="center"/>
            </w:pPr>
            <w:r>
              <w:t>2011</w:t>
            </w:r>
          </w:p>
          <w:p w14:paraId="6005CD56"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59A347C3" w14:textId="77777777" w:rsidR="007B514C" w:rsidRDefault="007B514C" w:rsidP="005C5B03">
            <w:pPr>
              <w:pStyle w:val="ACCESSTableHeaderRow"/>
              <w:jc w:val="center"/>
            </w:pPr>
            <w:r>
              <w:t>2014</w:t>
            </w:r>
          </w:p>
          <w:p w14:paraId="6804F6C7" w14:textId="77777777" w:rsidR="007B514C" w:rsidRPr="00DE25AD" w:rsidRDefault="007B514C" w:rsidP="005C5B03">
            <w:pPr>
              <w:pStyle w:val="ACCESSTableHeaderRow"/>
              <w:jc w:val="center"/>
            </w:pPr>
            <w:r>
              <w:t>(%)</w:t>
            </w:r>
          </w:p>
        </w:tc>
        <w:tc>
          <w:tcPr>
            <w:tcW w:w="879" w:type="dxa"/>
            <w:shd w:val="clear" w:color="auto" w:fill="auto"/>
            <w:vAlign w:val="bottom"/>
          </w:tcPr>
          <w:p w14:paraId="217C2290" w14:textId="77777777" w:rsidR="007B514C" w:rsidRDefault="007B514C" w:rsidP="005C5B03">
            <w:pPr>
              <w:pStyle w:val="ACCESSTableHeaderRow"/>
              <w:jc w:val="center"/>
            </w:pPr>
            <w:r>
              <w:t>2017</w:t>
            </w:r>
          </w:p>
          <w:p w14:paraId="3246A1DD" w14:textId="77777777" w:rsidR="007B514C" w:rsidRPr="00DE25AD" w:rsidRDefault="007B514C" w:rsidP="005C5B03">
            <w:pPr>
              <w:pStyle w:val="ACCESSTableHeaderRow"/>
              <w:jc w:val="center"/>
            </w:pPr>
            <w:r w:rsidRPr="00DE25AD">
              <w:t>(%)</w:t>
            </w:r>
          </w:p>
        </w:tc>
      </w:tr>
      <w:tr w:rsidR="007B514C" w:rsidRPr="00DE25AD" w14:paraId="3B1EE345" w14:textId="77777777" w:rsidTr="005C5B03">
        <w:trPr>
          <w:tblHeader/>
        </w:trPr>
        <w:tc>
          <w:tcPr>
            <w:tcW w:w="1517" w:type="dxa"/>
            <w:tcMar>
              <w:left w:w="57" w:type="dxa"/>
            </w:tcMar>
          </w:tcPr>
          <w:p w14:paraId="0AB8205F" w14:textId="77777777" w:rsidR="007B514C" w:rsidRPr="00DE25AD" w:rsidRDefault="007B514C" w:rsidP="005C5B03">
            <w:pPr>
              <w:pStyle w:val="ACCESSTableHeaderRow"/>
            </w:pPr>
            <w:r w:rsidRPr="00DE25AD">
              <w:t>Recency</w:t>
            </w:r>
          </w:p>
        </w:tc>
        <w:tc>
          <w:tcPr>
            <w:tcW w:w="1068" w:type="dxa"/>
            <w:shd w:val="clear" w:color="auto" w:fill="auto"/>
            <w:tcMar>
              <w:left w:w="57" w:type="dxa"/>
            </w:tcMar>
            <w:vAlign w:val="center"/>
          </w:tcPr>
          <w:p w14:paraId="54BE84BF" w14:textId="77777777" w:rsidR="007B514C" w:rsidRPr="00DE25AD" w:rsidRDefault="007B514C" w:rsidP="005C5B03">
            <w:pPr>
              <w:pStyle w:val="ACCESSTableHeaderRow"/>
            </w:pPr>
            <w:r w:rsidRPr="00DE25AD">
              <w:t>Sex</w:t>
            </w:r>
          </w:p>
        </w:tc>
        <w:tc>
          <w:tcPr>
            <w:tcW w:w="878" w:type="dxa"/>
            <w:shd w:val="clear" w:color="auto" w:fill="auto"/>
            <w:vAlign w:val="bottom"/>
          </w:tcPr>
          <w:p w14:paraId="2BF781FC" w14:textId="77777777" w:rsidR="007B514C" w:rsidRPr="00DE25AD" w:rsidRDefault="007B514C" w:rsidP="005C5B03">
            <w:pPr>
              <w:pStyle w:val="ACCESSTableHeaderRow"/>
            </w:pPr>
          </w:p>
        </w:tc>
        <w:tc>
          <w:tcPr>
            <w:tcW w:w="879" w:type="dxa"/>
            <w:shd w:val="clear" w:color="auto" w:fill="auto"/>
            <w:vAlign w:val="bottom"/>
          </w:tcPr>
          <w:p w14:paraId="514257EB" w14:textId="77777777" w:rsidR="007B514C" w:rsidRPr="00DE25AD" w:rsidRDefault="007B514C" w:rsidP="005C5B03">
            <w:pPr>
              <w:pStyle w:val="ACCESSTableHeaderRow"/>
            </w:pPr>
          </w:p>
        </w:tc>
        <w:tc>
          <w:tcPr>
            <w:tcW w:w="879" w:type="dxa"/>
            <w:shd w:val="clear" w:color="auto" w:fill="auto"/>
            <w:vAlign w:val="bottom"/>
          </w:tcPr>
          <w:p w14:paraId="7933B520" w14:textId="77777777" w:rsidR="007B514C" w:rsidRPr="00DE25AD" w:rsidRDefault="007B514C" w:rsidP="005C5B03">
            <w:pPr>
              <w:pStyle w:val="ACCESSTableHeaderRow"/>
            </w:pPr>
          </w:p>
        </w:tc>
        <w:tc>
          <w:tcPr>
            <w:tcW w:w="879" w:type="dxa"/>
            <w:shd w:val="clear" w:color="auto" w:fill="auto"/>
            <w:vAlign w:val="bottom"/>
          </w:tcPr>
          <w:p w14:paraId="4FB875E6" w14:textId="77777777" w:rsidR="007B514C" w:rsidRPr="00DE25AD" w:rsidRDefault="007B514C" w:rsidP="005C5B03">
            <w:pPr>
              <w:pStyle w:val="ACCESSTableHeaderRow"/>
            </w:pPr>
          </w:p>
        </w:tc>
        <w:tc>
          <w:tcPr>
            <w:tcW w:w="879" w:type="dxa"/>
            <w:shd w:val="clear" w:color="auto" w:fill="auto"/>
            <w:vAlign w:val="bottom"/>
          </w:tcPr>
          <w:p w14:paraId="728FDA55" w14:textId="77777777" w:rsidR="007B514C" w:rsidRPr="00DE25AD" w:rsidRDefault="007B514C" w:rsidP="005C5B03">
            <w:pPr>
              <w:pStyle w:val="ACCESSTableHeaderRow"/>
            </w:pPr>
          </w:p>
        </w:tc>
        <w:tc>
          <w:tcPr>
            <w:tcW w:w="879" w:type="dxa"/>
            <w:shd w:val="clear" w:color="auto" w:fill="auto"/>
            <w:vAlign w:val="bottom"/>
          </w:tcPr>
          <w:p w14:paraId="13B7F0A8" w14:textId="77777777" w:rsidR="007B514C" w:rsidRPr="00DE25AD" w:rsidRDefault="007B514C" w:rsidP="005C5B03">
            <w:pPr>
              <w:pStyle w:val="ACCESSTableHeaderRow"/>
            </w:pPr>
          </w:p>
        </w:tc>
        <w:tc>
          <w:tcPr>
            <w:tcW w:w="879" w:type="dxa"/>
            <w:shd w:val="clear" w:color="auto" w:fill="auto"/>
            <w:vAlign w:val="bottom"/>
          </w:tcPr>
          <w:p w14:paraId="12982797" w14:textId="77777777" w:rsidR="007B514C" w:rsidRPr="00DE25AD" w:rsidRDefault="007B514C" w:rsidP="005C5B03">
            <w:pPr>
              <w:pStyle w:val="ACCESSTableHeaderRow"/>
            </w:pPr>
          </w:p>
        </w:tc>
        <w:tc>
          <w:tcPr>
            <w:tcW w:w="879" w:type="dxa"/>
            <w:shd w:val="clear" w:color="auto" w:fill="auto"/>
            <w:vAlign w:val="bottom"/>
          </w:tcPr>
          <w:p w14:paraId="72337510" w14:textId="77777777" w:rsidR="007B514C" w:rsidRPr="00DE25AD" w:rsidRDefault="007B514C" w:rsidP="005C5B03">
            <w:pPr>
              <w:pStyle w:val="ACCESSTableHeaderRow"/>
            </w:pPr>
          </w:p>
        </w:tc>
      </w:tr>
      <w:tr w:rsidR="009A7EC3" w:rsidRPr="00DE25AD" w14:paraId="0B9C90F2" w14:textId="77777777" w:rsidTr="005C5B03">
        <w:tc>
          <w:tcPr>
            <w:tcW w:w="1517" w:type="dxa"/>
            <w:tcMar>
              <w:left w:w="57" w:type="dxa"/>
            </w:tcMar>
          </w:tcPr>
          <w:p w14:paraId="19899018"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4D6998E6" w14:textId="77777777" w:rsidR="009A7EC3" w:rsidRPr="00DE25AD" w:rsidRDefault="009A7EC3" w:rsidP="009A7EC3">
            <w:pPr>
              <w:pStyle w:val="ASSAD2017ACCESSBody1"/>
            </w:pPr>
            <w:r w:rsidRPr="00DE25AD">
              <w:t>Male</w:t>
            </w:r>
          </w:p>
        </w:tc>
        <w:tc>
          <w:tcPr>
            <w:tcW w:w="878" w:type="dxa"/>
            <w:shd w:val="clear" w:color="auto" w:fill="auto"/>
          </w:tcPr>
          <w:p w14:paraId="671B8186" w14:textId="3209877E" w:rsidR="009A7EC3" w:rsidRPr="00DE25AD" w:rsidRDefault="009A7EC3" w:rsidP="009A7EC3">
            <w:pPr>
              <w:pStyle w:val="ASSADACCESStablecentre"/>
            </w:pPr>
            <w:r w:rsidRPr="002E5727">
              <w:rPr>
                <w:bCs w:val="0"/>
                <w:color w:val="000000"/>
              </w:rPr>
              <w:t>90*</w:t>
            </w:r>
          </w:p>
        </w:tc>
        <w:tc>
          <w:tcPr>
            <w:tcW w:w="879" w:type="dxa"/>
            <w:shd w:val="clear" w:color="auto" w:fill="auto"/>
          </w:tcPr>
          <w:p w14:paraId="2544E6F2" w14:textId="329FB72E" w:rsidR="009A7EC3" w:rsidRPr="00DE25AD" w:rsidRDefault="009A7EC3" w:rsidP="009A7EC3">
            <w:pPr>
              <w:pStyle w:val="ASSADACCESStablecentre"/>
            </w:pPr>
            <w:r w:rsidRPr="002E5727">
              <w:rPr>
                <w:bCs w:val="0"/>
                <w:color w:val="000000"/>
              </w:rPr>
              <w:t>90*</w:t>
            </w:r>
          </w:p>
        </w:tc>
        <w:tc>
          <w:tcPr>
            <w:tcW w:w="879" w:type="dxa"/>
            <w:shd w:val="clear" w:color="auto" w:fill="auto"/>
          </w:tcPr>
          <w:p w14:paraId="5F5C8FA7" w14:textId="34432159" w:rsidR="009A7EC3" w:rsidRPr="00DE25AD" w:rsidRDefault="009A7EC3" w:rsidP="009A7EC3">
            <w:pPr>
              <w:pStyle w:val="ASSADACCESStablecentre"/>
            </w:pPr>
            <w:r w:rsidRPr="002E5727">
              <w:rPr>
                <w:bCs w:val="0"/>
                <w:color w:val="000000"/>
              </w:rPr>
              <w:t>89*</w:t>
            </w:r>
          </w:p>
        </w:tc>
        <w:tc>
          <w:tcPr>
            <w:tcW w:w="879" w:type="dxa"/>
            <w:shd w:val="clear" w:color="auto" w:fill="auto"/>
          </w:tcPr>
          <w:p w14:paraId="7CFFED47" w14:textId="0E6331AC" w:rsidR="009A7EC3" w:rsidRPr="00DE25AD" w:rsidRDefault="009A7EC3" w:rsidP="009A7EC3">
            <w:pPr>
              <w:pStyle w:val="ASSADACCESStablecentre"/>
            </w:pPr>
            <w:r w:rsidRPr="002E5727">
              <w:rPr>
                <w:bCs w:val="0"/>
                <w:color w:val="000000"/>
              </w:rPr>
              <w:t>86*^</w:t>
            </w:r>
          </w:p>
        </w:tc>
        <w:tc>
          <w:tcPr>
            <w:tcW w:w="879" w:type="dxa"/>
            <w:shd w:val="clear" w:color="auto" w:fill="auto"/>
          </w:tcPr>
          <w:p w14:paraId="013EC76A" w14:textId="0E753AE6" w:rsidR="009A7EC3" w:rsidRPr="00DE25AD" w:rsidRDefault="009A7EC3" w:rsidP="009A7EC3">
            <w:pPr>
              <w:pStyle w:val="ASSADACCESStablecentre"/>
            </w:pPr>
            <w:r w:rsidRPr="002E5727">
              <w:rPr>
                <w:bCs w:val="0"/>
                <w:color w:val="000000"/>
              </w:rPr>
              <w:t>82*^</w:t>
            </w:r>
          </w:p>
        </w:tc>
        <w:tc>
          <w:tcPr>
            <w:tcW w:w="879" w:type="dxa"/>
            <w:shd w:val="clear" w:color="auto" w:fill="auto"/>
          </w:tcPr>
          <w:p w14:paraId="6074E27B" w14:textId="426151DC" w:rsidR="009A7EC3" w:rsidRPr="00DE25AD" w:rsidRDefault="009A7EC3" w:rsidP="009A7EC3">
            <w:pPr>
              <w:pStyle w:val="ASSADACCESStablecentre"/>
            </w:pPr>
            <w:r w:rsidRPr="002E5727">
              <w:rPr>
                <w:bCs w:val="0"/>
                <w:color w:val="000000"/>
              </w:rPr>
              <w:t>75*^</w:t>
            </w:r>
          </w:p>
        </w:tc>
        <w:tc>
          <w:tcPr>
            <w:tcW w:w="879" w:type="dxa"/>
            <w:shd w:val="clear" w:color="auto" w:fill="auto"/>
          </w:tcPr>
          <w:p w14:paraId="7F2172A1" w14:textId="2A8E49A1" w:rsidR="009A7EC3" w:rsidRPr="00DE25AD" w:rsidRDefault="009A7EC3" w:rsidP="009A7EC3">
            <w:pPr>
              <w:pStyle w:val="ASSADACCESStablecentre"/>
            </w:pPr>
            <w:r w:rsidRPr="002E5727">
              <w:rPr>
                <w:bCs w:val="0"/>
                <w:color w:val="000000"/>
              </w:rPr>
              <w:t>68^</w:t>
            </w:r>
          </w:p>
        </w:tc>
        <w:tc>
          <w:tcPr>
            <w:tcW w:w="879" w:type="dxa"/>
            <w:shd w:val="clear" w:color="auto" w:fill="auto"/>
          </w:tcPr>
          <w:p w14:paraId="41379003" w14:textId="2FAB5DC3" w:rsidR="009A7EC3" w:rsidRPr="00DE25AD" w:rsidRDefault="009A7EC3" w:rsidP="009A7EC3">
            <w:pPr>
              <w:pStyle w:val="ASSADACCESStablecentre"/>
            </w:pPr>
            <w:r w:rsidRPr="002E5727">
              <w:rPr>
                <w:bCs w:val="0"/>
                <w:color w:val="000000"/>
              </w:rPr>
              <w:t>67^</w:t>
            </w:r>
          </w:p>
        </w:tc>
      </w:tr>
      <w:tr w:rsidR="009A7EC3" w:rsidRPr="00DE25AD" w14:paraId="7096505A" w14:textId="77777777" w:rsidTr="005C5B03">
        <w:tc>
          <w:tcPr>
            <w:tcW w:w="1517" w:type="dxa"/>
            <w:tcMar>
              <w:left w:w="57" w:type="dxa"/>
            </w:tcMar>
          </w:tcPr>
          <w:p w14:paraId="10713CD4" w14:textId="77777777" w:rsidR="009A7EC3" w:rsidRPr="00DE25AD" w:rsidRDefault="009A7EC3" w:rsidP="009A7EC3">
            <w:pPr>
              <w:pStyle w:val="ACCESSTableHeaderRow"/>
            </w:pPr>
          </w:p>
        </w:tc>
        <w:tc>
          <w:tcPr>
            <w:tcW w:w="1068" w:type="dxa"/>
            <w:shd w:val="clear" w:color="auto" w:fill="auto"/>
            <w:tcMar>
              <w:left w:w="57" w:type="dxa"/>
            </w:tcMar>
            <w:vAlign w:val="bottom"/>
          </w:tcPr>
          <w:p w14:paraId="63374B3C" w14:textId="77777777" w:rsidR="009A7EC3" w:rsidRPr="00DE25AD" w:rsidRDefault="009A7EC3" w:rsidP="009A7EC3">
            <w:pPr>
              <w:pStyle w:val="ASSAD2017ACCESSBody1"/>
            </w:pPr>
            <w:r w:rsidRPr="00DE25AD">
              <w:t>Female</w:t>
            </w:r>
          </w:p>
        </w:tc>
        <w:tc>
          <w:tcPr>
            <w:tcW w:w="878" w:type="dxa"/>
            <w:shd w:val="clear" w:color="auto" w:fill="auto"/>
          </w:tcPr>
          <w:p w14:paraId="5B4E1BCE" w14:textId="5C38C520" w:rsidR="009A7EC3" w:rsidRPr="00DE25AD" w:rsidRDefault="009A7EC3" w:rsidP="009A7EC3">
            <w:pPr>
              <w:pStyle w:val="ASSADACCESStablecentre"/>
            </w:pPr>
            <w:r w:rsidRPr="002E5727">
              <w:rPr>
                <w:bCs w:val="0"/>
                <w:color w:val="000000"/>
              </w:rPr>
              <w:t>88*</w:t>
            </w:r>
          </w:p>
        </w:tc>
        <w:tc>
          <w:tcPr>
            <w:tcW w:w="879" w:type="dxa"/>
            <w:shd w:val="clear" w:color="auto" w:fill="auto"/>
          </w:tcPr>
          <w:p w14:paraId="5E8D93F6" w14:textId="08EF3AD0" w:rsidR="009A7EC3" w:rsidRPr="00DE25AD" w:rsidRDefault="009A7EC3" w:rsidP="009A7EC3">
            <w:pPr>
              <w:pStyle w:val="ASSADACCESStablecentre"/>
            </w:pPr>
            <w:r w:rsidRPr="002E5727">
              <w:rPr>
                <w:bCs w:val="0"/>
                <w:color w:val="000000"/>
              </w:rPr>
              <w:t>87*</w:t>
            </w:r>
          </w:p>
        </w:tc>
        <w:tc>
          <w:tcPr>
            <w:tcW w:w="879" w:type="dxa"/>
            <w:shd w:val="clear" w:color="auto" w:fill="auto"/>
          </w:tcPr>
          <w:p w14:paraId="7872344F" w14:textId="5CAFFD66" w:rsidR="009A7EC3" w:rsidRPr="00DE25AD" w:rsidRDefault="009A7EC3" w:rsidP="009A7EC3">
            <w:pPr>
              <w:pStyle w:val="ASSADACCESStablecentre"/>
            </w:pPr>
            <w:r w:rsidRPr="002E5727">
              <w:rPr>
                <w:bCs w:val="0"/>
                <w:color w:val="000000"/>
              </w:rPr>
              <w:t>87*</w:t>
            </w:r>
          </w:p>
        </w:tc>
        <w:tc>
          <w:tcPr>
            <w:tcW w:w="879" w:type="dxa"/>
            <w:shd w:val="clear" w:color="auto" w:fill="auto"/>
          </w:tcPr>
          <w:p w14:paraId="504DA2C6" w14:textId="669928F7" w:rsidR="009A7EC3" w:rsidRPr="00DE25AD" w:rsidRDefault="009A7EC3" w:rsidP="009A7EC3">
            <w:pPr>
              <w:pStyle w:val="ASSADACCESStablecentre"/>
            </w:pPr>
            <w:r w:rsidRPr="002E5727">
              <w:rPr>
                <w:bCs w:val="0"/>
                <w:color w:val="000000"/>
              </w:rPr>
              <w:t>85*</w:t>
            </w:r>
            <w:r>
              <w:rPr>
                <w:bCs w:val="0"/>
                <w:color w:val="000000"/>
              </w:rPr>
              <w:t>^</w:t>
            </w:r>
          </w:p>
        </w:tc>
        <w:tc>
          <w:tcPr>
            <w:tcW w:w="879" w:type="dxa"/>
            <w:shd w:val="clear" w:color="auto" w:fill="auto"/>
          </w:tcPr>
          <w:p w14:paraId="4D6A6B4F" w14:textId="1CC56FB0" w:rsidR="009A7EC3" w:rsidRPr="00DE25AD" w:rsidRDefault="009A7EC3" w:rsidP="009A7EC3">
            <w:pPr>
              <w:pStyle w:val="ASSADACCESStablecentre"/>
            </w:pPr>
            <w:r w:rsidRPr="002E5727">
              <w:rPr>
                <w:bCs w:val="0"/>
                <w:color w:val="000000"/>
              </w:rPr>
              <w:t>82*^</w:t>
            </w:r>
          </w:p>
        </w:tc>
        <w:tc>
          <w:tcPr>
            <w:tcW w:w="879" w:type="dxa"/>
            <w:shd w:val="clear" w:color="auto" w:fill="auto"/>
          </w:tcPr>
          <w:p w14:paraId="06A38653" w14:textId="5D5A7240" w:rsidR="009A7EC3" w:rsidRPr="00DE25AD" w:rsidRDefault="009A7EC3" w:rsidP="009A7EC3">
            <w:pPr>
              <w:pStyle w:val="ASSADACCESStablecentre"/>
            </w:pPr>
            <w:r w:rsidRPr="002E5727">
              <w:rPr>
                <w:bCs w:val="0"/>
                <w:color w:val="000000"/>
              </w:rPr>
              <w:t>73*^</w:t>
            </w:r>
          </w:p>
        </w:tc>
        <w:tc>
          <w:tcPr>
            <w:tcW w:w="879" w:type="dxa"/>
            <w:shd w:val="clear" w:color="auto" w:fill="auto"/>
          </w:tcPr>
          <w:p w14:paraId="4A64E2B6" w14:textId="71DDEDBE" w:rsidR="009A7EC3" w:rsidRPr="00DE25AD" w:rsidRDefault="009A7EC3" w:rsidP="009A7EC3">
            <w:pPr>
              <w:pStyle w:val="ASSADACCESStablecentre"/>
            </w:pPr>
            <w:r w:rsidRPr="002E5727">
              <w:rPr>
                <w:bCs w:val="0"/>
                <w:color w:val="000000"/>
              </w:rPr>
              <w:t>68^</w:t>
            </w:r>
          </w:p>
        </w:tc>
        <w:tc>
          <w:tcPr>
            <w:tcW w:w="879" w:type="dxa"/>
            <w:shd w:val="clear" w:color="auto" w:fill="auto"/>
          </w:tcPr>
          <w:p w14:paraId="1B5A41AD" w14:textId="69F692D3" w:rsidR="009A7EC3" w:rsidRPr="00DE25AD" w:rsidRDefault="009A7EC3" w:rsidP="009A7EC3">
            <w:pPr>
              <w:pStyle w:val="ASSADACCESStablecentre"/>
            </w:pPr>
            <w:r w:rsidRPr="002E5727">
              <w:rPr>
                <w:bCs w:val="0"/>
                <w:color w:val="000000"/>
              </w:rPr>
              <w:t>64^</w:t>
            </w:r>
          </w:p>
        </w:tc>
      </w:tr>
      <w:tr w:rsidR="009A7EC3" w:rsidRPr="00DE25AD" w14:paraId="779531C7" w14:textId="77777777" w:rsidTr="005C5B03">
        <w:tc>
          <w:tcPr>
            <w:tcW w:w="1517" w:type="dxa"/>
            <w:tcMar>
              <w:left w:w="57" w:type="dxa"/>
            </w:tcMar>
          </w:tcPr>
          <w:p w14:paraId="519589FA" w14:textId="77777777" w:rsidR="009A7EC3" w:rsidRPr="00DE25AD" w:rsidRDefault="009A7EC3" w:rsidP="009A7EC3">
            <w:pPr>
              <w:pStyle w:val="ACCESSTableHeaderRow"/>
            </w:pPr>
          </w:p>
        </w:tc>
        <w:tc>
          <w:tcPr>
            <w:tcW w:w="1068" w:type="dxa"/>
            <w:shd w:val="clear" w:color="auto" w:fill="auto"/>
            <w:tcMar>
              <w:left w:w="57" w:type="dxa"/>
            </w:tcMar>
            <w:vAlign w:val="bottom"/>
          </w:tcPr>
          <w:p w14:paraId="70DB0A45" w14:textId="77777777" w:rsidR="009A7EC3" w:rsidRPr="00DE25AD" w:rsidRDefault="009A7EC3" w:rsidP="009A7EC3">
            <w:pPr>
              <w:pStyle w:val="ASSAD2017ACCESSBody1"/>
            </w:pPr>
            <w:r w:rsidRPr="00DE25AD">
              <w:t>Total</w:t>
            </w:r>
          </w:p>
        </w:tc>
        <w:tc>
          <w:tcPr>
            <w:tcW w:w="878" w:type="dxa"/>
            <w:shd w:val="clear" w:color="auto" w:fill="auto"/>
          </w:tcPr>
          <w:p w14:paraId="1E25D9BA" w14:textId="336B8BC9" w:rsidR="009A7EC3" w:rsidRPr="00DE25AD" w:rsidRDefault="009A7EC3" w:rsidP="009A7EC3">
            <w:pPr>
              <w:pStyle w:val="ASSADACCESStablecentre"/>
            </w:pPr>
            <w:r w:rsidRPr="002E5727">
              <w:rPr>
                <w:bCs w:val="0"/>
                <w:color w:val="000000"/>
              </w:rPr>
              <w:t>89*</w:t>
            </w:r>
          </w:p>
        </w:tc>
        <w:tc>
          <w:tcPr>
            <w:tcW w:w="879" w:type="dxa"/>
            <w:shd w:val="clear" w:color="auto" w:fill="auto"/>
          </w:tcPr>
          <w:p w14:paraId="2D1E7456" w14:textId="3FDE5D69" w:rsidR="009A7EC3" w:rsidRPr="00DE25AD" w:rsidRDefault="009A7EC3" w:rsidP="009A7EC3">
            <w:pPr>
              <w:pStyle w:val="ASSADACCESStablecentre"/>
            </w:pPr>
            <w:r w:rsidRPr="002E5727">
              <w:rPr>
                <w:bCs w:val="0"/>
                <w:color w:val="000000"/>
              </w:rPr>
              <w:t>89*</w:t>
            </w:r>
          </w:p>
        </w:tc>
        <w:tc>
          <w:tcPr>
            <w:tcW w:w="879" w:type="dxa"/>
            <w:shd w:val="clear" w:color="auto" w:fill="auto"/>
          </w:tcPr>
          <w:p w14:paraId="0461D0D3" w14:textId="50B2523F" w:rsidR="009A7EC3" w:rsidRPr="00DE25AD" w:rsidRDefault="009A7EC3" w:rsidP="009A7EC3">
            <w:pPr>
              <w:pStyle w:val="ASSADACCESStablecentre"/>
            </w:pPr>
            <w:r w:rsidRPr="002E5727">
              <w:rPr>
                <w:bCs w:val="0"/>
                <w:color w:val="000000"/>
              </w:rPr>
              <w:t>88*</w:t>
            </w:r>
          </w:p>
        </w:tc>
        <w:tc>
          <w:tcPr>
            <w:tcW w:w="879" w:type="dxa"/>
            <w:shd w:val="clear" w:color="auto" w:fill="auto"/>
          </w:tcPr>
          <w:p w14:paraId="3794F05E" w14:textId="640A1134" w:rsidR="009A7EC3" w:rsidRPr="00DE25AD" w:rsidRDefault="009A7EC3" w:rsidP="009A7EC3">
            <w:pPr>
              <w:pStyle w:val="ASSADACCESStablecentre"/>
            </w:pPr>
            <w:r w:rsidRPr="002E5727">
              <w:rPr>
                <w:bCs w:val="0"/>
                <w:color w:val="000000"/>
              </w:rPr>
              <w:t>86*^</w:t>
            </w:r>
          </w:p>
        </w:tc>
        <w:tc>
          <w:tcPr>
            <w:tcW w:w="879" w:type="dxa"/>
            <w:shd w:val="clear" w:color="auto" w:fill="auto"/>
          </w:tcPr>
          <w:p w14:paraId="67D60516" w14:textId="7142DB51" w:rsidR="009A7EC3" w:rsidRPr="00DE25AD" w:rsidRDefault="009A7EC3" w:rsidP="009A7EC3">
            <w:pPr>
              <w:pStyle w:val="ASSADACCESStablecentre"/>
            </w:pPr>
            <w:r w:rsidRPr="002E5727">
              <w:rPr>
                <w:bCs w:val="0"/>
                <w:color w:val="000000"/>
              </w:rPr>
              <w:t>82*^</w:t>
            </w:r>
          </w:p>
        </w:tc>
        <w:tc>
          <w:tcPr>
            <w:tcW w:w="879" w:type="dxa"/>
            <w:shd w:val="clear" w:color="auto" w:fill="auto"/>
          </w:tcPr>
          <w:p w14:paraId="188E0D03" w14:textId="2CE4B40E" w:rsidR="009A7EC3" w:rsidRPr="00DE25AD" w:rsidRDefault="009A7EC3" w:rsidP="009A7EC3">
            <w:pPr>
              <w:pStyle w:val="ASSADACCESStablecentre"/>
            </w:pPr>
            <w:r w:rsidRPr="002E5727">
              <w:rPr>
                <w:bCs w:val="0"/>
                <w:color w:val="000000"/>
              </w:rPr>
              <w:t>74*^</w:t>
            </w:r>
          </w:p>
        </w:tc>
        <w:tc>
          <w:tcPr>
            <w:tcW w:w="879" w:type="dxa"/>
            <w:shd w:val="clear" w:color="auto" w:fill="auto"/>
          </w:tcPr>
          <w:p w14:paraId="1C95F4C6" w14:textId="5CDC39DA" w:rsidR="009A7EC3" w:rsidRPr="00DE25AD" w:rsidRDefault="009A7EC3" w:rsidP="009A7EC3">
            <w:pPr>
              <w:pStyle w:val="ASSADACCESStablecentre"/>
            </w:pPr>
            <w:r w:rsidRPr="002E5727">
              <w:rPr>
                <w:bCs w:val="0"/>
                <w:color w:val="000000"/>
              </w:rPr>
              <w:t>68^</w:t>
            </w:r>
          </w:p>
        </w:tc>
        <w:tc>
          <w:tcPr>
            <w:tcW w:w="879" w:type="dxa"/>
            <w:shd w:val="clear" w:color="auto" w:fill="auto"/>
          </w:tcPr>
          <w:p w14:paraId="3FDC0AC0" w14:textId="07A445F4" w:rsidR="009A7EC3" w:rsidRPr="00DE25AD" w:rsidRDefault="009A7EC3" w:rsidP="009A7EC3">
            <w:pPr>
              <w:pStyle w:val="ASSADACCESStablecentre"/>
            </w:pPr>
            <w:r w:rsidRPr="002E5727">
              <w:rPr>
                <w:bCs w:val="0"/>
                <w:color w:val="000000"/>
              </w:rPr>
              <w:t>66^</w:t>
            </w:r>
          </w:p>
        </w:tc>
      </w:tr>
      <w:tr w:rsidR="009A7EC3" w:rsidRPr="00DE25AD" w14:paraId="6CADF113" w14:textId="77777777" w:rsidTr="00545FF4">
        <w:tc>
          <w:tcPr>
            <w:tcW w:w="1517" w:type="dxa"/>
            <w:tcMar>
              <w:left w:w="57" w:type="dxa"/>
            </w:tcMar>
          </w:tcPr>
          <w:p w14:paraId="31A38AD1"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6A114093" w14:textId="77777777" w:rsidR="009A7EC3" w:rsidRPr="00DE25AD" w:rsidRDefault="009A7EC3" w:rsidP="009A7EC3">
            <w:pPr>
              <w:pStyle w:val="ASSAD2017ACCESSBody1"/>
            </w:pPr>
            <w:r w:rsidRPr="00DE25AD">
              <w:t>Male</w:t>
            </w:r>
          </w:p>
        </w:tc>
        <w:tc>
          <w:tcPr>
            <w:tcW w:w="878" w:type="dxa"/>
            <w:shd w:val="clear" w:color="auto" w:fill="auto"/>
          </w:tcPr>
          <w:p w14:paraId="32E740A3" w14:textId="441C4861" w:rsidR="009A7EC3" w:rsidRPr="00DE25AD" w:rsidRDefault="009A7EC3" w:rsidP="009A7EC3">
            <w:pPr>
              <w:pStyle w:val="ASSADACCESStablecentre"/>
            </w:pPr>
            <w:r w:rsidRPr="002E5727">
              <w:rPr>
                <w:bCs w:val="0"/>
                <w:color w:val="000000"/>
              </w:rPr>
              <w:t>74*</w:t>
            </w:r>
          </w:p>
        </w:tc>
        <w:tc>
          <w:tcPr>
            <w:tcW w:w="879" w:type="dxa"/>
            <w:shd w:val="clear" w:color="auto" w:fill="auto"/>
          </w:tcPr>
          <w:p w14:paraId="6CA78301" w14:textId="0C11878F" w:rsidR="009A7EC3" w:rsidRPr="00DE25AD" w:rsidRDefault="009A7EC3" w:rsidP="009A7EC3">
            <w:pPr>
              <w:pStyle w:val="ASSADACCESStablecentre"/>
            </w:pPr>
            <w:r w:rsidRPr="002E5727">
              <w:rPr>
                <w:bCs w:val="0"/>
                <w:color w:val="000000"/>
              </w:rPr>
              <w:t>76*</w:t>
            </w:r>
          </w:p>
        </w:tc>
        <w:tc>
          <w:tcPr>
            <w:tcW w:w="879" w:type="dxa"/>
            <w:shd w:val="clear" w:color="auto" w:fill="auto"/>
          </w:tcPr>
          <w:p w14:paraId="7159BCBD" w14:textId="178A3605" w:rsidR="009A7EC3" w:rsidRPr="00DE25AD" w:rsidRDefault="009A7EC3" w:rsidP="009A7EC3">
            <w:pPr>
              <w:pStyle w:val="ASSADACCESStablecentre"/>
            </w:pPr>
            <w:r w:rsidRPr="002E5727">
              <w:rPr>
                <w:bCs w:val="0"/>
                <w:color w:val="000000"/>
              </w:rPr>
              <w:t>75*</w:t>
            </w:r>
          </w:p>
        </w:tc>
        <w:tc>
          <w:tcPr>
            <w:tcW w:w="879" w:type="dxa"/>
            <w:shd w:val="clear" w:color="auto" w:fill="auto"/>
          </w:tcPr>
          <w:p w14:paraId="1AAA96C6" w14:textId="2C4712B8" w:rsidR="009A7EC3" w:rsidRPr="00DE25AD" w:rsidRDefault="009A7EC3" w:rsidP="009A7EC3">
            <w:pPr>
              <w:pStyle w:val="ASSADACCESStablecentre"/>
            </w:pPr>
            <w:r w:rsidRPr="002E5727">
              <w:rPr>
                <w:bCs w:val="0"/>
                <w:color w:val="000000"/>
              </w:rPr>
              <w:t>68*^</w:t>
            </w:r>
          </w:p>
        </w:tc>
        <w:tc>
          <w:tcPr>
            <w:tcW w:w="879" w:type="dxa"/>
            <w:shd w:val="clear" w:color="auto" w:fill="auto"/>
          </w:tcPr>
          <w:p w14:paraId="1D66E400" w14:textId="3DA5D976" w:rsidR="009A7EC3" w:rsidRPr="00DE25AD" w:rsidRDefault="009A7EC3" w:rsidP="009A7EC3">
            <w:pPr>
              <w:pStyle w:val="ASSADACCESStablecentre"/>
            </w:pPr>
            <w:r w:rsidRPr="002E5727">
              <w:rPr>
                <w:bCs w:val="0"/>
                <w:color w:val="000000"/>
              </w:rPr>
              <w:t>61*^</w:t>
            </w:r>
          </w:p>
        </w:tc>
        <w:tc>
          <w:tcPr>
            <w:tcW w:w="879" w:type="dxa"/>
            <w:shd w:val="clear" w:color="auto" w:fill="auto"/>
          </w:tcPr>
          <w:p w14:paraId="0F45A513" w14:textId="1E945BAF" w:rsidR="009A7EC3" w:rsidRPr="00DE25AD" w:rsidRDefault="009A7EC3" w:rsidP="009A7EC3">
            <w:pPr>
              <w:pStyle w:val="ASSADACCESStablecentre"/>
            </w:pPr>
            <w:r w:rsidRPr="002E5727">
              <w:rPr>
                <w:bCs w:val="0"/>
                <w:color w:val="000000"/>
              </w:rPr>
              <w:t>51*^</w:t>
            </w:r>
          </w:p>
        </w:tc>
        <w:tc>
          <w:tcPr>
            <w:tcW w:w="879" w:type="dxa"/>
            <w:shd w:val="clear" w:color="auto" w:fill="auto"/>
          </w:tcPr>
          <w:p w14:paraId="7DDA91E8" w14:textId="3C8E1DEB" w:rsidR="009A7EC3" w:rsidRPr="00DE25AD" w:rsidRDefault="009A7EC3" w:rsidP="009A7EC3">
            <w:pPr>
              <w:pStyle w:val="ASSADACCESStablecentre"/>
            </w:pPr>
            <w:r w:rsidRPr="002E5727">
              <w:rPr>
                <w:bCs w:val="0"/>
                <w:color w:val="000000"/>
              </w:rPr>
              <w:t>45^</w:t>
            </w:r>
          </w:p>
        </w:tc>
        <w:tc>
          <w:tcPr>
            <w:tcW w:w="879" w:type="dxa"/>
            <w:shd w:val="clear" w:color="auto" w:fill="auto"/>
          </w:tcPr>
          <w:p w14:paraId="451C607A" w14:textId="331E95F1" w:rsidR="009A7EC3" w:rsidRPr="00DE25AD" w:rsidRDefault="009A7EC3" w:rsidP="009A7EC3">
            <w:pPr>
              <w:pStyle w:val="ASSADACCESStablecentre"/>
            </w:pPr>
            <w:r w:rsidRPr="002E5727">
              <w:rPr>
                <w:bCs w:val="0"/>
                <w:color w:val="000000"/>
              </w:rPr>
              <w:t>46^</w:t>
            </w:r>
          </w:p>
        </w:tc>
      </w:tr>
      <w:tr w:rsidR="009A7EC3" w:rsidRPr="00DE25AD" w14:paraId="278BCAE4" w14:textId="77777777" w:rsidTr="005C5B03">
        <w:tc>
          <w:tcPr>
            <w:tcW w:w="1517" w:type="dxa"/>
            <w:tcMar>
              <w:left w:w="57" w:type="dxa"/>
            </w:tcMar>
          </w:tcPr>
          <w:p w14:paraId="68064E0D" w14:textId="77777777" w:rsidR="009A7EC3" w:rsidRPr="00DE25AD" w:rsidRDefault="009A7EC3" w:rsidP="009A7EC3">
            <w:pPr>
              <w:pStyle w:val="ACCESSTableHeaderRow"/>
            </w:pPr>
          </w:p>
        </w:tc>
        <w:tc>
          <w:tcPr>
            <w:tcW w:w="1068" w:type="dxa"/>
            <w:shd w:val="clear" w:color="auto" w:fill="auto"/>
            <w:tcMar>
              <w:left w:w="57" w:type="dxa"/>
            </w:tcMar>
            <w:vAlign w:val="bottom"/>
          </w:tcPr>
          <w:p w14:paraId="54ED3525" w14:textId="77777777" w:rsidR="009A7EC3" w:rsidRPr="00DE25AD" w:rsidRDefault="009A7EC3" w:rsidP="009A7EC3">
            <w:pPr>
              <w:pStyle w:val="ASSAD2017ACCESSBody1"/>
            </w:pPr>
            <w:r w:rsidRPr="00DE25AD">
              <w:t>Female</w:t>
            </w:r>
          </w:p>
        </w:tc>
        <w:tc>
          <w:tcPr>
            <w:tcW w:w="878" w:type="dxa"/>
            <w:shd w:val="clear" w:color="auto" w:fill="auto"/>
          </w:tcPr>
          <w:p w14:paraId="2B1C9FEA" w14:textId="376B02A9" w:rsidR="009A7EC3" w:rsidRPr="00DE25AD" w:rsidRDefault="009A7EC3" w:rsidP="009A7EC3">
            <w:pPr>
              <w:pStyle w:val="ASSADACCESStablecentre"/>
            </w:pPr>
            <w:r w:rsidRPr="002E5727">
              <w:rPr>
                <w:bCs w:val="0"/>
                <w:color w:val="000000"/>
              </w:rPr>
              <w:t>70*</w:t>
            </w:r>
          </w:p>
        </w:tc>
        <w:tc>
          <w:tcPr>
            <w:tcW w:w="879" w:type="dxa"/>
            <w:shd w:val="clear" w:color="auto" w:fill="auto"/>
          </w:tcPr>
          <w:p w14:paraId="042F94D3" w14:textId="1F51EB82" w:rsidR="009A7EC3" w:rsidRPr="00DE25AD" w:rsidRDefault="009A7EC3" w:rsidP="009A7EC3">
            <w:pPr>
              <w:pStyle w:val="ASSADACCESStablecentre"/>
            </w:pPr>
            <w:r w:rsidRPr="002E5727">
              <w:rPr>
                <w:bCs w:val="0"/>
                <w:color w:val="000000"/>
              </w:rPr>
              <w:t>72*</w:t>
            </w:r>
          </w:p>
        </w:tc>
        <w:tc>
          <w:tcPr>
            <w:tcW w:w="879" w:type="dxa"/>
            <w:shd w:val="clear" w:color="auto" w:fill="auto"/>
          </w:tcPr>
          <w:p w14:paraId="306D1AB3" w14:textId="24C49319" w:rsidR="009A7EC3" w:rsidRPr="00DE25AD" w:rsidRDefault="009A7EC3" w:rsidP="009A7EC3">
            <w:pPr>
              <w:pStyle w:val="ASSADACCESStablecentre"/>
            </w:pPr>
            <w:r w:rsidRPr="002E5727">
              <w:rPr>
                <w:bCs w:val="0"/>
                <w:color w:val="000000"/>
              </w:rPr>
              <w:t>72*</w:t>
            </w:r>
          </w:p>
        </w:tc>
        <w:tc>
          <w:tcPr>
            <w:tcW w:w="879" w:type="dxa"/>
            <w:shd w:val="clear" w:color="auto" w:fill="auto"/>
          </w:tcPr>
          <w:p w14:paraId="64A619C5" w14:textId="244BFAC1" w:rsidR="009A7EC3" w:rsidRPr="00DE25AD" w:rsidRDefault="009A7EC3" w:rsidP="009A7EC3">
            <w:pPr>
              <w:pStyle w:val="ASSADACCESStablecentre"/>
            </w:pPr>
            <w:r w:rsidRPr="002E5727">
              <w:rPr>
                <w:bCs w:val="0"/>
                <w:color w:val="000000"/>
              </w:rPr>
              <w:t>66*^</w:t>
            </w:r>
          </w:p>
        </w:tc>
        <w:tc>
          <w:tcPr>
            <w:tcW w:w="879" w:type="dxa"/>
            <w:shd w:val="clear" w:color="auto" w:fill="auto"/>
          </w:tcPr>
          <w:p w14:paraId="5337851D" w14:textId="11DF7B55" w:rsidR="009A7EC3" w:rsidRPr="00DE25AD" w:rsidRDefault="009A7EC3" w:rsidP="009A7EC3">
            <w:pPr>
              <w:pStyle w:val="ASSADACCESStablecentre"/>
            </w:pPr>
            <w:r w:rsidRPr="002E5727">
              <w:rPr>
                <w:bCs w:val="0"/>
                <w:color w:val="000000"/>
              </w:rPr>
              <w:t>60*^</w:t>
            </w:r>
          </w:p>
        </w:tc>
        <w:tc>
          <w:tcPr>
            <w:tcW w:w="879" w:type="dxa"/>
            <w:shd w:val="clear" w:color="auto" w:fill="auto"/>
          </w:tcPr>
          <w:p w14:paraId="13FA8E9E" w14:textId="458B2EB7" w:rsidR="009A7EC3" w:rsidRPr="00DE25AD" w:rsidRDefault="009A7EC3" w:rsidP="009A7EC3">
            <w:pPr>
              <w:pStyle w:val="ASSADACCESStablecentre"/>
            </w:pPr>
            <w:r w:rsidRPr="002E5727">
              <w:rPr>
                <w:bCs w:val="0"/>
                <w:color w:val="000000"/>
              </w:rPr>
              <w:t>50*^</w:t>
            </w:r>
          </w:p>
        </w:tc>
        <w:tc>
          <w:tcPr>
            <w:tcW w:w="879" w:type="dxa"/>
            <w:shd w:val="clear" w:color="auto" w:fill="auto"/>
          </w:tcPr>
          <w:p w14:paraId="0E3DF827" w14:textId="078BFD39" w:rsidR="009A7EC3" w:rsidRPr="00DE25AD" w:rsidRDefault="009A7EC3" w:rsidP="009A7EC3">
            <w:pPr>
              <w:pStyle w:val="ASSADACCESStablecentre"/>
            </w:pPr>
            <w:r w:rsidRPr="002E5727">
              <w:rPr>
                <w:bCs w:val="0"/>
                <w:color w:val="000000"/>
              </w:rPr>
              <w:t>45^</w:t>
            </w:r>
          </w:p>
        </w:tc>
        <w:tc>
          <w:tcPr>
            <w:tcW w:w="879" w:type="dxa"/>
            <w:shd w:val="clear" w:color="auto" w:fill="auto"/>
          </w:tcPr>
          <w:p w14:paraId="7A659ED8" w14:textId="207E25E9" w:rsidR="009A7EC3" w:rsidRPr="00DE25AD" w:rsidRDefault="009A7EC3" w:rsidP="009A7EC3">
            <w:pPr>
              <w:pStyle w:val="ASSADACCESStablecentre"/>
            </w:pPr>
            <w:r w:rsidRPr="002E5727">
              <w:rPr>
                <w:bCs w:val="0"/>
                <w:color w:val="000000"/>
              </w:rPr>
              <w:t>46^</w:t>
            </w:r>
          </w:p>
        </w:tc>
      </w:tr>
      <w:tr w:rsidR="009A7EC3" w:rsidRPr="00DE25AD" w14:paraId="3A114B80" w14:textId="77777777" w:rsidTr="005C5B03">
        <w:tc>
          <w:tcPr>
            <w:tcW w:w="1517" w:type="dxa"/>
            <w:tcMar>
              <w:left w:w="57" w:type="dxa"/>
            </w:tcMar>
          </w:tcPr>
          <w:p w14:paraId="38F36193" w14:textId="77777777" w:rsidR="009A7EC3" w:rsidRPr="00DE25AD" w:rsidRDefault="009A7EC3" w:rsidP="009A7EC3">
            <w:pPr>
              <w:pStyle w:val="ACCESSTableHeaderRow"/>
            </w:pPr>
          </w:p>
        </w:tc>
        <w:tc>
          <w:tcPr>
            <w:tcW w:w="1068" w:type="dxa"/>
            <w:shd w:val="clear" w:color="auto" w:fill="auto"/>
            <w:tcMar>
              <w:left w:w="57" w:type="dxa"/>
            </w:tcMar>
            <w:vAlign w:val="bottom"/>
          </w:tcPr>
          <w:p w14:paraId="6BF30896" w14:textId="77777777" w:rsidR="009A7EC3" w:rsidRPr="00DE25AD" w:rsidRDefault="009A7EC3" w:rsidP="009A7EC3">
            <w:pPr>
              <w:pStyle w:val="ASSAD2017ACCESSBody1"/>
            </w:pPr>
            <w:r w:rsidRPr="00DE25AD">
              <w:t>Total</w:t>
            </w:r>
          </w:p>
        </w:tc>
        <w:tc>
          <w:tcPr>
            <w:tcW w:w="878" w:type="dxa"/>
            <w:shd w:val="clear" w:color="auto" w:fill="auto"/>
          </w:tcPr>
          <w:p w14:paraId="659D4792" w14:textId="228129F2" w:rsidR="009A7EC3" w:rsidRPr="00DE25AD" w:rsidRDefault="009A7EC3" w:rsidP="009A7EC3">
            <w:pPr>
              <w:pStyle w:val="ASSADACCESStablecentre"/>
            </w:pPr>
            <w:r w:rsidRPr="002E5727">
              <w:rPr>
                <w:bCs w:val="0"/>
                <w:color w:val="000000"/>
              </w:rPr>
              <w:t>72*</w:t>
            </w:r>
          </w:p>
        </w:tc>
        <w:tc>
          <w:tcPr>
            <w:tcW w:w="879" w:type="dxa"/>
            <w:shd w:val="clear" w:color="auto" w:fill="auto"/>
          </w:tcPr>
          <w:p w14:paraId="5DCF873A" w14:textId="5032FBA2" w:rsidR="009A7EC3" w:rsidRPr="00DE25AD" w:rsidRDefault="009A7EC3" w:rsidP="009A7EC3">
            <w:pPr>
              <w:pStyle w:val="ASSADACCESStablecentre"/>
            </w:pPr>
            <w:r w:rsidRPr="002E5727">
              <w:rPr>
                <w:bCs w:val="0"/>
                <w:color w:val="000000"/>
              </w:rPr>
              <w:t>74*</w:t>
            </w:r>
          </w:p>
        </w:tc>
        <w:tc>
          <w:tcPr>
            <w:tcW w:w="879" w:type="dxa"/>
            <w:shd w:val="clear" w:color="auto" w:fill="auto"/>
          </w:tcPr>
          <w:p w14:paraId="7D839814" w14:textId="4EEC6412" w:rsidR="009A7EC3" w:rsidRPr="00DE25AD" w:rsidRDefault="009A7EC3" w:rsidP="009A7EC3">
            <w:pPr>
              <w:pStyle w:val="ASSADACCESStablecentre"/>
            </w:pPr>
            <w:r w:rsidRPr="002E5727">
              <w:rPr>
                <w:bCs w:val="0"/>
                <w:color w:val="000000"/>
              </w:rPr>
              <w:t>73*</w:t>
            </w:r>
          </w:p>
        </w:tc>
        <w:tc>
          <w:tcPr>
            <w:tcW w:w="879" w:type="dxa"/>
            <w:shd w:val="clear" w:color="auto" w:fill="auto"/>
          </w:tcPr>
          <w:p w14:paraId="3C6E3991" w14:textId="5DC7E7CB" w:rsidR="009A7EC3" w:rsidRPr="00DE25AD" w:rsidRDefault="009A7EC3" w:rsidP="009A7EC3">
            <w:pPr>
              <w:pStyle w:val="ASSADACCESStablecentre"/>
            </w:pPr>
            <w:r w:rsidRPr="002E5727">
              <w:rPr>
                <w:bCs w:val="0"/>
                <w:color w:val="000000"/>
              </w:rPr>
              <w:t>67*^</w:t>
            </w:r>
          </w:p>
        </w:tc>
        <w:tc>
          <w:tcPr>
            <w:tcW w:w="879" w:type="dxa"/>
            <w:shd w:val="clear" w:color="auto" w:fill="auto"/>
          </w:tcPr>
          <w:p w14:paraId="6BA344B8" w14:textId="59144E1B" w:rsidR="009A7EC3" w:rsidRPr="00DE25AD" w:rsidRDefault="009A7EC3" w:rsidP="009A7EC3">
            <w:pPr>
              <w:pStyle w:val="ASSADACCESStablecentre"/>
            </w:pPr>
            <w:r w:rsidRPr="002E5727">
              <w:rPr>
                <w:bCs w:val="0"/>
                <w:color w:val="000000"/>
              </w:rPr>
              <w:t>60*^</w:t>
            </w:r>
          </w:p>
        </w:tc>
        <w:tc>
          <w:tcPr>
            <w:tcW w:w="879" w:type="dxa"/>
            <w:shd w:val="clear" w:color="auto" w:fill="auto"/>
          </w:tcPr>
          <w:p w14:paraId="719026E6" w14:textId="7B054935" w:rsidR="009A7EC3" w:rsidRPr="00DE25AD" w:rsidRDefault="009A7EC3" w:rsidP="009A7EC3">
            <w:pPr>
              <w:pStyle w:val="ASSADACCESStablecentre"/>
            </w:pPr>
            <w:r w:rsidRPr="002E5727">
              <w:rPr>
                <w:bCs w:val="0"/>
                <w:color w:val="000000"/>
              </w:rPr>
              <w:t>51*^</w:t>
            </w:r>
          </w:p>
        </w:tc>
        <w:tc>
          <w:tcPr>
            <w:tcW w:w="879" w:type="dxa"/>
            <w:shd w:val="clear" w:color="auto" w:fill="auto"/>
          </w:tcPr>
          <w:p w14:paraId="423140A9" w14:textId="14D66992" w:rsidR="009A7EC3" w:rsidRPr="00DE25AD" w:rsidRDefault="009A7EC3" w:rsidP="009A7EC3">
            <w:pPr>
              <w:pStyle w:val="ASSADACCESStablecentre"/>
            </w:pPr>
            <w:r w:rsidRPr="002E5727">
              <w:rPr>
                <w:bCs w:val="0"/>
                <w:color w:val="000000"/>
              </w:rPr>
              <w:t>45^</w:t>
            </w:r>
          </w:p>
        </w:tc>
        <w:tc>
          <w:tcPr>
            <w:tcW w:w="879" w:type="dxa"/>
            <w:shd w:val="clear" w:color="auto" w:fill="auto"/>
          </w:tcPr>
          <w:p w14:paraId="768A7E04" w14:textId="009CCE80" w:rsidR="009A7EC3" w:rsidRPr="00DE25AD" w:rsidRDefault="009A7EC3" w:rsidP="009A7EC3">
            <w:pPr>
              <w:pStyle w:val="ASSADACCESStablecentre"/>
            </w:pPr>
            <w:r w:rsidRPr="002E5727">
              <w:rPr>
                <w:bCs w:val="0"/>
                <w:color w:val="000000"/>
              </w:rPr>
              <w:t>46^</w:t>
            </w:r>
          </w:p>
        </w:tc>
      </w:tr>
      <w:tr w:rsidR="009A7EC3" w:rsidRPr="00DE25AD" w14:paraId="44819E4D" w14:textId="77777777" w:rsidTr="005C5B03">
        <w:tc>
          <w:tcPr>
            <w:tcW w:w="1517" w:type="dxa"/>
            <w:tcMar>
              <w:left w:w="57" w:type="dxa"/>
            </w:tcMar>
          </w:tcPr>
          <w:p w14:paraId="448A44A4"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07782AF0" w14:textId="77777777" w:rsidR="009A7EC3" w:rsidRPr="00DE25AD" w:rsidRDefault="009A7EC3" w:rsidP="009A7EC3">
            <w:pPr>
              <w:pStyle w:val="ASSAD2017ACCESSBody1"/>
            </w:pPr>
            <w:r w:rsidRPr="00DE25AD">
              <w:t>Male</w:t>
            </w:r>
          </w:p>
        </w:tc>
        <w:tc>
          <w:tcPr>
            <w:tcW w:w="878" w:type="dxa"/>
            <w:shd w:val="clear" w:color="auto" w:fill="auto"/>
          </w:tcPr>
          <w:p w14:paraId="2813E71F" w14:textId="1AAAAA6B" w:rsidR="009A7EC3" w:rsidRPr="00DE25AD" w:rsidRDefault="009A7EC3" w:rsidP="009A7EC3">
            <w:pPr>
              <w:pStyle w:val="ASSADACCESStablecentre"/>
            </w:pPr>
            <w:r w:rsidRPr="002E5727">
              <w:rPr>
                <w:bCs w:val="0"/>
                <w:color w:val="000000"/>
              </w:rPr>
              <w:t>49*</w:t>
            </w:r>
          </w:p>
        </w:tc>
        <w:tc>
          <w:tcPr>
            <w:tcW w:w="879" w:type="dxa"/>
            <w:shd w:val="clear" w:color="auto" w:fill="auto"/>
          </w:tcPr>
          <w:p w14:paraId="1E965101" w14:textId="20587AE7" w:rsidR="009A7EC3" w:rsidRPr="00DE25AD" w:rsidRDefault="009A7EC3" w:rsidP="009A7EC3">
            <w:pPr>
              <w:pStyle w:val="ASSADACCESStablecentre"/>
            </w:pPr>
            <w:r w:rsidRPr="002E5727">
              <w:rPr>
                <w:bCs w:val="0"/>
                <w:color w:val="000000"/>
              </w:rPr>
              <w:t>51*</w:t>
            </w:r>
          </w:p>
        </w:tc>
        <w:tc>
          <w:tcPr>
            <w:tcW w:w="879" w:type="dxa"/>
            <w:shd w:val="clear" w:color="auto" w:fill="auto"/>
          </w:tcPr>
          <w:p w14:paraId="07AE4472" w14:textId="7D6FBF73" w:rsidR="009A7EC3" w:rsidRPr="00DE25AD" w:rsidRDefault="009A7EC3" w:rsidP="009A7EC3">
            <w:pPr>
              <w:pStyle w:val="ASSADACCESStablecentre"/>
            </w:pPr>
            <w:r w:rsidRPr="002E5727">
              <w:rPr>
                <w:bCs w:val="0"/>
                <w:color w:val="000000"/>
              </w:rPr>
              <w:t>52*</w:t>
            </w:r>
          </w:p>
        </w:tc>
        <w:tc>
          <w:tcPr>
            <w:tcW w:w="879" w:type="dxa"/>
            <w:shd w:val="clear" w:color="auto" w:fill="auto"/>
          </w:tcPr>
          <w:p w14:paraId="43847BEA" w14:textId="4310AAEE" w:rsidR="009A7EC3" w:rsidRPr="00DE25AD" w:rsidRDefault="009A7EC3" w:rsidP="009A7EC3">
            <w:pPr>
              <w:pStyle w:val="ASSADACCESStablecentre"/>
            </w:pPr>
            <w:r w:rsidRPr="002E5727">
              <w:rPr>
                <w:bCs w:val="0"/>
                <w:color w:val="000000"/>
              </w:rPr>
              <w:t>45*^</w:t>
            </w:r>
          </w:p>
        </w:tc>
        <w:tc>
          <w:tcPr>
            <w:tcW w:w="879" w:type="dxa"/>
            <w:shd w:val="clear" w:color="auto" w:fill="auto"/>
          </w:tcPr>
          <w:p w14:paraId="4C92AA2E" w14:textId="717A5056" w:rsidR="009A7EC3" w:rsidRPr="00DE25AD" w:rsidRDefault="009A7EC3" w:rsidP="009A7EC3">
            <w:pPr>
              <w:pStyle w:val="ASSADACCESStablecentre"/>
            </w:pPr>
            <w:r w:rsidRPr="002E5727">
              <w:rPr>
                <w:bCs w:val="0"/>
                <w:color w:val="000000"/>
              </w:rPr>
              <w:t>38*^</w:t>
            </w:r>
          </w:p>
        </w:tc>
        <w:tc>
          <w:tcPr>
            <w:tcW w:w="879" w:type="dxa"/>
            <w:shd w:val="clear" w:color="auto" w:fill="auto"/>
          </w:tcPr>
          <w:p w14:paraId="31978F50" w14:textId="7C68F850" w:rsidR="009A7EC3" w:rsidRPr="00DE25AD" w:rsidRDefault="009A7EC3" w:rsidP="009A7EC3">
            <w:pPr>
              <w:pStyle w:val="ASSADACCESStablecentre"/>
            </w:pPr>
            <w:r w:rsidRPr="002E5727">
              <w:rPr>
                <w:bCs w:val="0"/>
                <w:color w:val="000000"/>
              </w:rPr>
              <w:t>30^</w:t>
            </w:r>
          </w:p>
        </w:tc>
        <w:tc>
          <w:tcPr>
            <w:tcW w:w="879" w:type="dxa"/>
            <w:shd w:val="clear" w:color="auto" w:fill="auto"/>
          </w:tcPr>
          <w:p w14:paraId="1E61B96B" w14:textId="620B05AE" w:rsidR="009A7EC3" w:rsidRPr="00DE25AD" w:rsidRDefault="009A7EC3" w:rsidP="009A7EC3">
            <w:pPr>
              <w:pStyle w:val="ASSADACCESStablecentre"/>
            </w:pPr>
            <w:r w:rsidRPr="002E5727">
              <w:rPr>
                <w:bCs w:val="0"/>
                <w:color w:val="000000"/>
              </w:rPr>
              <w:t>25^</w:t>
            </w:r>
          </w:p>
        </w:tc>
        <w:tc>
          <w:tcPr>
            <w:tcW w:w="879" w:type="dxa"/>
            <w:shd w:val="clear" w:color="auto" w:fill="auto"/>
          </w:tcPr>
          <w:p w14:paraId="2613110B" w14:textId="5BE5BE59" w:rsidR="009A7EC3" w:rsidRPr="00DE25AD" w:rsidRDefault="009A7EC3" w:rsidP="009A7EC3">
            <w:pPr>
              <w:pStyle w:val="ASSADACCESStablecentre"/>
            </w:pPr>
            <w:r w:rsidRPr="002E5727">
              <w:rPr>
                <w:bCs w:val="0"/>
                <w:color w:val="000000"/>
              </w:rPr>
              <w:t>27^</w:t>
            </w:r>
          </w:p>
        </w:tc>
      </w:tr>
      <w:tr w:rsidR="009A7EC3" w:rsidRPr="00DE25AD" w14:paraId="1A98F979" w14:textId="77777777" w:rsidTr="005C5B03">
        <w:tc>
          <w:tcPr>
            <w:tcW w:w="1517" w:type="dxa"/>
            <w:tcMar>
              <w:left w:w="57" w:type="dxa"/>
            </w:tcMar>
          </w:tcPr>
          <w:p w14:paraId="3BA2B881" w14:textId="77777777" w:rsidR="009A7EC3" w:rsidRPr="00DE25AD" w:rsidRDefault="009A7EC3" w:rsidP="009A7EC3">
            <w:pPr>
              <w:pStyle w:val="ACCESSTableHeaderRow"/>
            </w:pPr>
          </w:p>
        </w:tc>
        <w:tc>
          <w:tcPr>
            <w:tcW w:w="1068" w:type="dxa"/>
            <w:shd w:val="clear" w:color="auto" w:fill="auto"/>
            <w:tcMar>
              <w:left w:w="57" w:type="dxa"/>
            </w:tcMar>
            <w:vAlign w:val="bottom"/>
          </w:tcPr>
          <w:p w14:paraId="6C8D001B" w14:textId="77777777" w:rsidR="009A7EC3" w:rsidRPr="00DE25AD" w:rsidRDefault="009A7EC3" w:rsidP="009A7EC3">
            <w:pPr>
              <w:pStyle w:val="ASSAD2017ACCESSBody1"/>
            </w:pPr>
            <w:r w:rsidRPr="00DE25AD">
              <w:t>Female</w:t>
            </w:r>
          </w:p>
        </w:tc>
        <w:tc>
          <w:tcPr>
            <w:tcW w:w="878" w:type="dxa"/>
            <w:shd w:val="clear" w:color="auto" w:fill="auto"/>
          </w:tcPr>
          <w:p w14:paraId="784A0471" w14:textId="17C449E1" w:rsidR="009A7EC3" w:rsidRPr="00DE25AD" w:rsidRDefault="009A7EC3" w:rsidP="009A7EC3">
            <w:pPr>
              <w:pStyle w:val="ASSADACCESStablecentre"/>
            </w:pPr>
            <w:r w:rsidRPr="002E5727">
              <w:rPr>
                <w:bCs w:val="0"/>
                <w:color w:val="000000"/>
              </w:rPr>
              <w:t>45*</w:t>
            </w:r>
          </w:p>
        </w:tc>
        <w:tc>
          <w:tcPr>
            <w:tcW w:w="879" w:type="dxa"/>
            <w:shd w:val="clear" w:color="auto" w:fill="auto"/>
          </w:tcPr>
          <w:p w14:paraId="4A994DF9" w14:textId="605305A4" w:rsidR="009A7EC3" w:rsidRPr="00DE25AD" w:rsidRDefault="009A7EC3" w:rsidP="009A7EC3">
            <w:pPr>
              <w:pStyle w:val="ASSADACCESStablecentre"/>
            </w:pPr>
            <w:r w:rsidRPr="002E5727">
              <w:rPr>
                <w:bCs w:val="0"/>
                <w:color w:val="000000"/>
              </w:rPr>
              <w:t>47*</w:t>
            </w:r>
          </w:p>
        </w:tc>
        <w:tc>
          <w:tcPr>
            <w:tcW w:w="879" w:type="dxa"/>
            <w:shd w:val="clear" w:color="auto" w:fill="auto"/>
          </w:tcPr>
          <w:p w14:paraId="76512B16" w14:textId="6C0C5AAA" w:rsidR="009A7EC3" w:rsidRPr="00DE25AD" w:rsidRDefault="009A7EC3" w:rsidP="009A7EC3">
            <w:pPr>
              <w:pStyle w:val="ASSADACCESStablecentre"/>
            </w:pPr>
            <w:r w:rsidRPr="002E5727">
              <w:rPr>
                <w:bCs w:val="0"/>
                <w:color w:val="000000"/>
              </w:rPr>
              <w:t>47*</w:t>
            </w:r>
          </w:p>
        </w:tc>
        <w:tc>
          <w:tcPr>
            <w:tcW w:w="879" w:type="dxa"/>
            <w:shd w:val="clear" w:color="auto" w:fill="auto"/>
          </w:tcPr>
          <w:p w14:paraId="22EEDED5" w14:textId="30FF0FCA" w:rsidR="009A7EC3" w:rsidRPr="00DE25AD" w:rsidRDefault="009A7EC3" w:rsidP="009A7EC3">
            <w:pPr>
              <w:pStyle w:val="ASSADACCESStablecentre"/>
            </w:pPr>
            <w:r w:rsidRPr="002E5727">
              <w:rPr>
                <w:bCs w:val="0"/>
                <w:color w:val="000000"/>
              </w:rPr>
              <w:t>42*</w:t>
            </w:r>
            <w:r>
              <w:rPr>
                <w:bCs w:val="0"/>
                <w:color w:val="000000"/>
              </w:rPr>
              <w:t>^</w:t>
            </w:r>
          </w:p>
        </w:tc>
        <w:tc>
          <w:tcPr>
            <w:tcW w:w="879" w:type="dxa"/>
            <w:shd w:val="clear" w:color="auto" w:fill="auto"/>
          </w:tcPr>
          <w:p w14:paraId="40E76453" w14:textId="440D7EBE" w:rsidR="009A7EC3" w:rsidRPr="00DE25AD" w:rsidRDefault="009A7EC3" w:rsidP="009A7EC3">
            <w:pPr>
              <w:pStyle w:val="ASSADACCESStablecentre"/>
            </w:pPr>
            <w:r w:rsidRPr="002E5727">
              <w:rPr>
                <w:bCs w:val="0"/>
                <w:color w:val="000000"/>
              </w:rPr>
              <w:t>36*^</w:t>
            </w:r>
          </w:p>
        </w:tc>
        <w:tc>
          <w:tcPr>
            <w:tcW w:w="879" w:type="dxa"/>
            <w:shd w:val="clear" w:color="auto" w:fill="auto"/>
          </w:tcPr>
          <w:p w14:paraId="0800A0EB" w14:textId="54C40801" w:rsidR="009A7EC3" w:rsidRPr="00DE25AD" w:rsidRDefault="009A7EC3" w:rsidP="009A7EC3">
            <w:pPr>
              <w:pStyle w:val="ASSADACCESStablecentre"/>
            </w:pPr>
            <w:r w:rsidRPr="002E5727">
              <w:rPr>
                <w:bCs w:val="0"/>
                <w:color w:val="000000"/>
              </w:rPr>
              <w:t>29</w:t>
            </w:r>
            <w:r>
              <w:rPr>
                <w:bCs w:val="0"/>
                <w:color w:val="000000"/>
              </w:rPr>
              <w:t>*</w:t>
            </w:r>
            <w:r w:rsidRPr="002E5727">
              <w:rPr>
                <w:bCs w:val="0"/>
                <w:color w:val="000000"/>
              </w:rPr>
              <w:t>^</w:t>
            </w:r>
          </w:p>
        </w:tc>
        <w:tc>
          <w:tcPr>
            <w:tcW w:w="879" w:type="dxa"/>
            <w:shd w:val="clear" w:color="auto" w:fill="auto"/>
          </w:tcPr>
          <w:p w14:paraId="1B2A05E7" w14:textId="7F73E50D" w:rsidR="009A7EC3" w:rsidRPr="00DE25AD" w:rsidRDefault="009A7EC3" w:rsidP="009A7EC3">
            <w:pPr>
              <w:pStyle w:val="ASSADACCESStablecentre"/>
            </w:pPr>
            <w:r w:rsidRPr="002E5727">
              <w:rPr>
                <w:bCs w:val="0"/>
                <w:color w:val="000000"/>
              </w:rPr>
              <w:t>25^</w:t>
            </w:r>
          </w:p>
        </w:tc>
        <w:tc>
          <w:tcPr>
            <w:tcW w:w="879" w:type="dxa"/>
            <w:shd w:val="clear" w:color="auto" w:fill="auto"/>
          </w:tcPr>
          <w:p w14:paraId="3631410A" w14:textId="1C2729FF" w:rsidR="009A7EC3" w:rsidRPr="00DE25AD" w:rsidRDefault="009A7EC3" w:rsidP="009A7EC3">
            <w:pPr>
              <w:pStyle w:val="ASSADACCESStablecentre"/>
            </w:pPr>
            <w:r w:rsidRPr="002E5727">
              <w:rPr>
                <w:bCs w:val="0"/>
                <w:color w:val="000000"/>
              </w:rPr>
              <w:t>26^</w:t>
            </w:r>
          </w:p>
        </w:tc>
      </w:tr>
      <w:tr w:rsidR="009A7EC3" w:rsidRPr="00DE25AD" w14:paraId="5397787A" w14:textId="77777777" w:rsidTr="005C5B03">
        <w:tc>
          <w:tcPr>
            <w:tcW w:w="1517" w:type="dxa"/>
            <w:tcMar>
              <w:left w:w="57" w:type="dxa"/>
            </w:tcMar>
          </w:tcPr>
          <w:p w14:paraId="79A74C74" w14:textId="77777777" w:rsidR="009A7EC3" w:rsidRPr="00DE25AD" w:rsidRDefault="009A7EC3" w:rsidP="009A7EC3">
            <w:pPr>
              <w:pStyle w:val="ACCESSTableHeaderRow"/>
            </w:pPr>
          </w:p>
        </w:tc>
        <w:tc>
          <w:tcPr>
            <w:tcW w:w="1068" w:type="dxa"/>
            <w:shd w:val="clear" w:color="auto" w:fill="auto"/>
            <w:tcMar>
              <w:left w:w="57" w:type="dxa"/>
            </w:tcMar>
            <w:vAlign w:val="bottom"/>
          </w:tcPr>
          <w:p w14:paraId="222CF282" w14:textId="77777777" w:rsidR="009A7EC3" w:rsidRPr="00DE25AD" w:rsidRDefault="009A7EC3" w:rsidP="009A7EC3">
            <w:pPr>
              <w:pStyle w:val="ASSAD2017ACCESSBody1"/>
            </w:pPr>
            <w:r w:rsidRPr="00DE25AD">
              <w:t>Total</w:t>
            </w:r>
          </w:p>
        </w:tc>
        <w:tc>
          <w:tcPr>
            <w:tcW w:w="878" w:type="dxa"/>
            <w:shd w:val="clear" w:color="auto" w:fill="auto"/>
          </w:tcPr>
          <w:p w14:paraId="31601C26" w14:textId="2582E24C" w:rsidR="009A7EC3" w:rsidRPr="00DE25AD" w:rsidRDefault="009A7EC3" w:rsidP="009A7EC3">
            <w:pPr>
              <w:pStyle w:val="ASSADACCESStablecentre"/>
            </w:pPr>
            <w:r w:rsidRPr="002E5727">
              <w:rPr>
                <w:bCs w:val="0"/>
                <w:color w:val="000000"/>
              </w:rPr>
              <w:t>47*</w:t>
            </w:r>
          </w:p>
        </w:tc>
        <w:tc>
          <w:tcPr>
            <w:tcW w:w="879" w:type="dxa"/>
            <w:shd w:val="clear" w:color="auto" w:fill="auto"/>
          </w:tcPr>
          <w:p w14:paraId="4F24BD1D" w14:textId="29303C1A" w:rsidR="009A7EC3" w:rsidRPr="00DE25AD" w:rsidRDefault="009A7EC3" w:rsidP="009A7EC3">
            <w:pPr>
              <w:pStyle w:val="ASSADACCESStablecentre"/>
            </w:pPr>
            <w:r w:rsidRPr="002E5727">
              <w:rPr>
                <w:bCs w:val="0"/>
                <w:color w:val="000000"/>
              </w:rPr>
              <w:t>49*</w:t>
            </w:r>
          </w:p>
        </w:tc>
        <w:tc>
          <w:tcPr>
            <w:tcW w:w="879" w:type="dxa"/>
            <w:shd w:val="clear" w:color="auto" w:fill="auto"/>
          </w:tcPr>
          <w:p w14:paraId="4F77DD2C" w14:textId="3A7E77A7" w:rsidR="009A7EC3" w:rsidRPr="00DE25AD" w:rsidRDefault="009A7EC3" w:rsidP="009A7EC3">
            <w:pPr>
              <w:pStyle w:val="ASSADACCESStablecentre"/>
            </w:pPr>
            <w:r w:rsidRPr="002E5727">
              <w:rPr>
                <w:bCs w:val="0"/>
                <w:color w:val="000000"/>
              </w:rPr>
              <w:t>50*</w:t>
            </w:r>
          </w:p>
        </w:tc>
        <w:tc>
          <w:tcPr>
            <w:tcW w:w="879" w:type="dxa"/>
            <w:shd w:val="clear" w:color="auto" w:fill="auto"/>
          </w:tcPr>
          <w:p w14:paraId="446CC071" w14:textId="20C12314" w:rsidR="009A7EC3" w:rsidRPr="00DE25AD" w:rsidRDefault="009A7EC3" w:rsidP="009A7EC3">
            <w:pPr>
              <w:pStyle w:val="ASSADACCESStablecentre"/>
            </w:pPr>
            <w:r w:rsidRPr="002E5727">
              <w:rPr>
                <w:bCs w:val="0"/>
                <w:color w:val="000000"/>
              </w:rPr>
              <w:t>43*^</w:t>
            </w:r>
          </w:p>
        </w:tc>
        <w:tc>
          <w:tcPr>
            <w:tcW w:w="879" w:type="dxa"/>
            <w:shd w:val="clear" w:color="auto" w:fill="auto"/>
          </w:tcPr>
          <w:p w14:paraId="1B1F98A1" w14:textId="2C6B6ED7" w:rsidR="009A7EC3" w:rsidRPr="00DE25AD" w:rsidRDefault="009A7EC3" w:rsidP="009A7EC3">
            <w:pPr>
              <w:pStyle w:val="ASSADACCESStablecentre"/>
            </w:pPr>
            <w:r w:rsidRPr="002E5727">
              <w:rPr>
                <w:bCs w:val="0"/>
                <w:color w:val="000000"/>
              </w:rPr>
              <w:t>37*^</w:t>
            </w:r>
          </w:p>
        </w:tc>
        <w:tc>
          <w:tcPr>
            <w:tcW w:w="879" w:type="dxa"/>
            <w:shd w:val="clear" w:color="auto" w:fill="auto"/>
          </w:tcPr>
          <w:p w14:paraId="262F0958" w14:textId="3087E6E7" w:rsidR="009A7EC3" w:rsidRPr="00DE25AD" w:rsidRDefault="009A7EC3" w:rsidP="009A7EC3">
            <w:pPr>
              <w:pStyle w:val="ASSADACCESStablecentre"/>
            </w:pPr>
            <w:r w:rsidRPr="002E5727">
              <w:rPr>
                <w:bCs w:val="0"/>
                <w:color w:val="000000"/>
              </w:rPr>
              <w:t>29</w:t>
            </w:r>
            <w:r>
              <w:rPr>
                <w:bCs w:val="0"/>
                <w:color w:val="000000"/>
              </w:rPr>
              <w:t>*</w:t>
            </w:r>
            <w:r w:rsidRPr="002E5727">
              <w:rPr>
                <w:bCs w:val="0"/>
                <w:color w:val="000000"/>
              </w:rPr>
              <w:t>^</w:t>
            </w:r>
          </w:p>
        </w:tc>
        <w:tc>
          <w:tcPr>
            <w:tcW w:w="879" w:type="dxa"/>
            <w:shd w:val="clear" w:color="auto" w:fill="auto"/>
          </w:tcPr>
          <w:p w14:paraId="758638ED" w14:textId="68B1F99E" w:rsidR="009A7EC3" w:rsidRPr="00DE25AD" w:rsidRDefault="009A7EC3" w:rsidP="009A7EC3">
            <w:pPr>
              <w:pStyle w:val="ASSADACCESStablecentre"/>
            </w:pPr>
            <w:r w:rsidRPr="002E5727">
              <w:rPr>
                <w:bCs w:val="0"/>
                <w:color w:val="000000"/>
              </w:rPr>
              <w:t>25^</w:t>
            </w:r>
          </w:p>
        </w:tc>
        <w:tc>
          <w:tcPr>
            <w:tcW w:w="879" w:type="dxa"/>
            <w:shd w:val="clear" w:color="auto" w:fill="auto"/>
          </w:tcPr>
          <w:p w14:paraId="3942D2A3" w14:textId="0EC20A1A" w:rsidR="009A7EC3" w:rsidRPr="00DE25AD" w:rsidRDefault="009A7EC3" w:rsidP="009A7EC3">
            <w:pPr>
              <w:pStyle w:val="ASSADACCESStablecentre"/>
            </w:pPr>
            <w:r w:rsidRPr="002E5727">
              <w:rPr>
                <w:bCs w:val="0"/>
                <w:color w:val="000000"/>
              </w:rPr>
              <w:t>27^</w:t>
            </w:r>
          </w:p>
        </w:tc>
      </w:tr>
      <w:tr w:rsidR="009A7EC3" w:rsidRPr="00DE25AD" w14:paraId="674CAA1B" w14:textId="77777777" w:rsidTr="005C5B03">
        <w:tc>
          <w:tcPr>
            <w:tcW w:w="1517" w:type="dxa"/>
            <w:tcMar>
              <w:left w:w="57" w:type="dxa"/>
            </w:tcMar>
          </w:tcPr>
          <w:p w14:paraId="74F5C22C" w14:textId="77777777" w:rsidR="009A7EC3" w:rsidRPr="00DE25AD" w:rsidRDefault="009A7EC3" w:rsidP="009A7EC3">
            <w:pPr>
              <w:pStyle w:val="ACCESSTableHeaderRow"/>
            </w:pPr>
            <w:r>
              <w:t>Current</w:t>
            </w:r>
          </w:p>
        </w:tc>
        <w:tc>
          <w:tcPr>
            <w:tcW w:w="1068" w:type="dxa"/>
            <w:shd w:val="clear" w:color="auto" w:fill="auto"/>
            <w:tcMar>
              <w:left w:w="57" w:type="dxa"/>
            </w:tcMar>
            <w:vAlign w:val="bottom"/>
          </w:tcPr>
          <w:p w14:paraId="13271ABB" w14:textId="77777777" w:rsidR="009A7EC3" w:rsidRPr="00DE25AD" w:rsidRDefault="009A7EC3" w:rsidP="009A7EC3">
            <w:pPr>
              <w:pStyle w:val="ASSAD2017ACCESSBody1"/>
            </w:pPr>
            <w:r w:rsidRPr="00DE25AD">
              <w:t>Male</w:t>
            </w:r>
          </w:p>
        </w:tc>
        <w:tc>
          <w:tcPr>
            <w:tcW w:w="878" w:type="dxa"/>
            <w:shd w:val="clear" w:color="auto" w:fill="auto"/>
          </w:tcPr>
          <w:p w14:paraId="5E393E71" w14:textId="450A49E8" w:rsidR="009A7EC3" w:rsidRPr="00DE25AD" w:rsidRDefault="009A7EC3" w:rsidP="009A7EC3">
            <w:pPr>
              <w:pStyle w:val="ASSADACCESStablecentre"/>
            </w:pPr>
            <w:r w:rsidRPr="002E5727">
              <w:rPr>
                <w:bCs w:val="0"/>
                <w:color w:val="000000"/>
              </w:rPr>
              <w:t>33*</w:t>
            </w:r>
          </w:p>
        </w:tc>
        <w:tc>
          <w:tcPr>
            <w:tcW w:w="879" w:type="dxa"/>
            <w:shd w:val="clear" w:color="auto" w:fill="auto"/>
          </w:tcPr>
          <w:p w14:paraId="551D4BF7" w14:textId="36C2278B" w:rsidR="009A7EC3" w:rsidRPr="00DE25AD" w:rsidRDefault="009A7EC3" w:rsidP="009A7EC3">
            <w:pPr>
              <w:pStyle w:val="ASSADACCESStablecentre"/>
            </w:pPr>
            <w:r w:rsidRPr="002E5727">
              <w:rPr>
                <w:bCs w:val="0"/>
                <w:color w:val="000000"/>
              </w:rPr>
              <w:t>36*</w:t>
            </w:r>
          </w:p>
        </w:tc>
        <w:tc>
          <w:tcPr>
            <w:tcW w:w="879" w:type="dxa"/>
            <w:shd w:val="clear" w:color="auto" w:fill="auto"/>
          </w:tcPr>
          <w:p w14:paraId="5FF8378B" w14:textId="5173C64D" w:rsidR="009A7EC3" w:rsidRPr="00DE25AD" w:rsidRDefault="009A7EC3" w:rsidP="009A7EC3">
            <w:pPr>
              <w:pStyle w:val="ASSADACCESStablecentre"/>
            </w:pPr>
            <w:r w:rsidRPr="002E5727">
              <w:rPr>
                <w:bCs w:val="0"/>
                <w:color w:val="000000"/>
              </w:rPr>
              <w:t>37*</w:t>
            </w:r>
          </w:p>
        </w:tc>
        <w:tc>
          <w:tcPr>
            <w:tcW w:w="879" w:type="dxa"/>
            <w:shd w:val="clear" w:color="auto" w:fill="auto"/>
          </w:tcPr>
          <w:p w14:paraId="5077B027" w14:textId="618B6AC3" w:rsidR="009A7EC3" w:rsidRPr="00DE25AD" w:rsidRDefault="009A7EC3" w:rsidP="009A7EC3">
            <w:pPr>
              <w:pStyle w:val="ASSADACCESStablecentre"/>
            </w:pPr>
            <w:r w:rsidRPr="002E5727">
              <w:rPr>
                <w:bCs w:val="0"/>
                <w:color w:val="000000"/>
              </w:rPr>
              <w:t>30*^</w:t>
            </w:r>
          </w:p>
        </w:tc>
        <w:tc>
          <w:tcPr>
            <w:tcW w:w="879" w:type="dxa"/>
            <w:shd w:val="clear" w:color="auto" w:fill="auto"/>
          </w:tcPr>
          <w:p w14:paraId="1AADAE26" w14:textId="3C8B9F2B" w:rsidR="009A7EC3" w:rsidRPr="00DE25AD" w:rsidRDefault="009A7EC3" w:rsidP="009A7EC3">
            <w:pPr>
              <w:pStyle w:val="ASSADACCESStablecentre"/>
            </w:pPr>
            <w:r w:rsidRPr="002E5727">
              <w:rPr>
                <w:bCs w:val="0"/>
                <w:color w:val="000000"/>
              </w:rPr>
              <w:t>24*^</w:t>
            </w:r>
          </w:p>
        </w:tc>
        <w:tc>
          <w:tcPr>
            <w:tcW w:w="879" w:type="dxa"/>
            <w:shd w:val="clear" w:color="auto" w:fill="auto"/>
          </w:tcPr>
          <w:p w14:paraId="13FEA373" w14:textId="536616C7" w:rsidR="009A7EC3" w:rsidRPr="00DE25AD" w:rsidRDefault="009A7EC3" w:rsidP="009A7EC3">
            <w:pPr>
              <w:pStyle w:val="ASSADACCESStablecentre"/>
            </w:pPr>
            <w:r w:rsidRPr="002E5727">
              <w:rPr>
                <w:bCs w:val="0"/>
                <w:color w:val="000000"/>
              </w:rPr>
              <w:t>18^</w:t>
            </w:r>
          </w:p>
        </w:tc>
        <w:tc>
          <w:tcPr>
            <w:tcW w:w="879" w:type="dxa"/>
            <w:shd w:val="clear" w:color="auto" w:fill="auto"/>
          </w:tcPr>
          <w:p w14:paraId="2AD13CBC" w14:textId="0E84A830" w:rsidR="009A7EC3" w:rsidRPr="00DE25AD" w:rsidRDefault="009A7EC3" w:rsidP="009A7EC3">
            <w:pPr>
              <w:pStyle w:val="ASSADACCESStablecentre"/>
            </w:pPr>
            <w:r w:rsidRPr="002E5727">
              <w:rPr>
                <w:bCs w:val="0"/>
                <w:color w:val="000000"/>
              </w:rPr>
              <w:t>15^</w:t>
            </w:r>
          </w:p>
        </w:tc>
        <w:tc>
          <w:tcPr>
            <w:tcW w:w="879" w:type="dxa"/>
            <w:shd w:val="clear" w:color="auto" w:fill="auto"/>
          </w:tcPr>
          <w:p w14:paraId="3813B67D" w14:textId="1234EF64" w:rsidR="009A7EC3" w:rsidRPr="00DE25AD" w:rsidRDefault="009A7EC3" w:rsidP="009A7EC3">
            <w:pPr>
              <w:pStyle w:val="ASSADACCESStablecentre"/>
            </w:pPr>
            <w:r w:rsidRPr="002E5727">
              <w:rPr>
                <w:bCs w:val="0"/>
                <w:color w:val="000000"/>
              </w:rPr>
              <w:t>16^</w:t>
            </w:r>
          </w:p>
        </w:tc>
      </w:tr>
      <w:tr w:rsidR="009A7EC3" w:rsidRPr="00DE25AD" w14:paraId="7048A3F8" w14:textId="77777777" w:rsidTr="005C5B03">
        <w:tc>
          <w:tcPr>
            <w:tcW w:w="1517" w:type="dxa"/>
            <w:tcMar>
              <w:left w:w="57" w:type="dxa"/>
            </w:tcMar>
          </w:tcPr>
          <w:p w14:paraId="0326BFB4" w14:textId="77777777" w:rsidR="009A7EC3" w:rsidRPr="00DE25AD" w:rsidRDefault="009A7EC3" w:rsidP="009A7EC3">
            <w:pPr>
              <w:pStyle w:val="ACCESSTableHeaderRow"/>
            </w:pPr>
          </w:p>
        </w:tc>
        <w:tc>
          <w:tcPr>
            <w:tcW w:w="1068" w:type="dxa"/>
            <w:shd w:val="clear" w:color="auto" w:fill="auto"/>
            <w:tcMar>
              <w:left w:w="57" w:type="dxa"/>
            </w:tcMar>
            <w:vAlign w:val="bottom"/>
          </w:tcPr>
          <w:p w14:paraId="00951378" w14:textId="77777777" w:rsidR="009A7EC3" w:rsidRPr="00DE25AD" w:rsidRDefault="009A7EC3" w:rsidP="009A7EC3">
            <w:pPr>
              <w:pStyle w:val="ASSAD2017ACCESSBody1"/>
            </w:pPr>
            <w:r w:rsidRPr="00DE25AD">
              <w:t>Female</w:t>
            </w:r>
          </w:p>
        </w:tc>
        <w:tc>
          <w:tcPr>
            <w:tcW w:w="878" w:type="dxa"/>
            <w:shd w:val="clear" w:color="auto" w:fill="auto"/>
          </w:tcPr>
          <w:p w14:paraId="7218831D" w14:textId="13D07A6A" w:rsidR="009A7EC3" w:rsidRPr="00DE25AD" w:rsidRDefault="009A7EC3" w:rsidP="009A7EC3">
            <w:pPr>
              <w:pStyle w:val="ASSADACCESStablecentre"/>
            </w:pPr>
            <w:r w:rsidRPr="002E5727">
              <w:rPr>
                <w:bCs w:val="0"/>
                <w:color w:val="000000"/>
              </w:rPr>
              <w:t>29*</w:t>
            </w:r>
          </w:p>
        </w:tc>
        <w:tc>
          <w:tcPr>
            <w:tcW w:w="879" w:type="dxa"/>
            <w:shd w:val="clear" w:color="auto" w:fill="auto"/>
          </w:tcPr>
          <w:p w14:paraId="316AD9EE" w14:textId="3FF4F8FE" w:rsidR="009A7EC3" w:rsidRPr="00DE25AD" w:rsidRDefault="009A7EC3" w:rsidP="009A7EC3">
            <w:pPr>
              <w:pStyle w:val="ASSADACCESStablecentre"/>
            </w:pPr>
            <w:r w:rsidRPr="002E5727">
              <w:rPr>
                <w:bCs w:val="0"/>
                <w:color w:val="000000"/>
              </w:rPr>
              <w:t>32*</w:t>
            </w:r>
          </w:p>
        </w:tc>
        <w:tc>
          <w:tcPr>
            <w:tcW w:w="879" w:type="dxa"/>
            <w:shd w:val="clear" w:color="auto" w:fill="auto"/>
          </w:tcPr>
          <w:p w14:paraId="6B374392" w14:textId="340102DD" w:rsidR="009A7EC3" w:rsidRPr="00DE25AD" w:rsidRDefault="009A7EC3" w:rsidP="009A7EC3">
            <w:pPr>
              <w:pStyle w:val="ASSADACCESStablecentre"/>
            </w:pPr>
            <w:r w:rsidRPr="002E5727">
              <w:rPr>
                <w:bCs w:val="0"/>
                <w:color w:val="000000"/>
              </w:rPr>
              <w:t>31*</w:t>
            </w:r>
          </w:p>
        </w:tc>
        <w:tc>
          <w:tcPr>
            <w:tcW w:w="879" w:type="dxa"/>
            <w:shd w:val="clear" w:color="auto" w:fill="auto"/>
          </w:tcPr>
          <w:p w14:paraId="42281626" w14:textId="25D7A2EA" w:rsidR="009A7EC3" w:rsidRPr="00DE25AD" w:rsidRDefault="009A7EC3" w:rsidP="009A7EC3">
            <w:pPr>
              <w:pStyle w:val="ASSADACCESStablecentre"/>
            </w:pPr>
            <w:r w:rsidRPr="002E5727">
              <w:rPr>
                <w:bCs w:val="0"/>
                <w:color w:val="000000"/>
              </w:rPr>
              <w:t>27*</w:t>
            </w:r>
            <w:r>
              <w:rPr>
                <w:bCs w:val="0"/>
                <w:color w:val="000000"/>
              </w:rPr>
              <w:t>^</w:t>
            </w:r>
          </w:p>
        </w:tc>
        <w:tc>
          <w:tcPr>
            <w:tcW w:w="879" w:type="dxa"/>
            <w:shd w:val="clear" w:color="auto" w:fill="auto"/>
          </w:tcPr>
          <w:p w14:paraId="16E68F0B" w14:textId="5C91C18C" w:rsidR="009A7EC3" w:rsidRPr="00DE25AD" w:rsidRDefault="009A7EC3" w:rsidP="009A7EC3">
            <w:pPr>
              <w:pStyle w:val="ASSADACCESStablecentre"/>
            </w:pPr>
            <w:r w:rsidRPr="002E5727">
              <w:rPr>
                <w:bCs w:val="0"/>
                <w:color w:val="000000"/>
              </w:rPr>
              <w:t>22*^</w:t>
            </w:r>
          </w:p>
        </w:tc>
        <w:tc>
          <w:tcPr>
            <w:tcW w:w="879" w:type="dxa"/>
            <w:shd w:val="clear" w:color="auto" w:fill="auto"/>
          </w:tcPr>
          <w:p w14:paraId="260A474E" w14:textId="5EBB1031" w:rsidR="009A7EC3" w:rsidRPr="00DE25AD" w:rsidRDefault="009A7EC3" w:rsidP="009A7EC3">
            <w:pPr>
              <w:pStyle w:val="ASSADACCESStablecentre"/>
            </w:pPr>
            <w:r w:rsidRPr="002E5727">
              <w:rPr>
                <w:bCs w:val="0"/>
                <w:color w:val="000000"/>
              </w:rPr>
              <w:t>16</w:t>
            </w:r>
            <w:r>
              <w:rPr>
                <w:bCs w:val="0"/>
                <w:color w:val="000000"/>
              </w:rPr>
              <w:t>*</w:t>
            </w:r>
            <w:r w:rsidRPr="002E5727">
              <w:rPr>
                <w:bCs w:val="0"/>
                <w:color w:val="000000"/>
              </w:rPr>
              <w:t>^</w:t>
            </w:r>
          </w:p>
        </w:tc>
        <w:tc>
          <w:tcPr>
            <w:tcW w:w="879" w:type="dxa"/>
            <w:shd w:val="clear" w:color="auto" w:fill="auto"/>
          </w:tcPr>
          <w:p w14:paraId="735E388D" w14:textId="49691D10" w:rsidR="009A7EC3" w:rsidRPr="00DE25AD" w:rsidRDefault="009A7EC3" w:rsidP="009A7EC3">
            <w:pPr>
              <w:pStyle w:val="ASSADACCESStablecentre"/>
            </w:pPr>
            <w:r w:rsidRPr="002E5727">
              <w:rPr>
                <w:bCs w:val="0"/>
                <w:color w:val="000000"/>
              </w:rPr>
              <w:t>14^</w:t>
            </w:r>
          </w:p>
        </w:tc>
        <w:tc>
          <w:tcPr>
            <w:tcW w:w="879" w:type="dxa"/>
            <w:shd w:val="clear" w:color="auto" w:fill="auto"/>
          </w:tcPr>
          <w:p w14:paraId="00AC626D" w14:textId="608CD2EA" w:rsidR="009A7EC3" w:rsidRPr="00DE25AD" w:rsidRDefault="009A7EC3" w:rsidP="009A7EC3">
            <w:pPr>
              <w:pStyle w:val="ASSADACCESStablecentre"/>
            </w:pPr>
            <w:r w:rsidRPr="002E5727">
              <w:rPr>
                <w:bCs w:val="0"/>
                <w:color w:val="000000"/>
              </w:rPr>
              <w:t>14^</w:t>
            </w:r>
          </w:p>
        </w:tc>
      </w:tr>
      <w:tr w:rsidR="009A7EC3" w:rsidRPr="00DE25AD" w14:paraId="75B5861D" w14:textId="77777777" w:rsidTr="005C5B03">
        <w:tc>
          <w:tcPr>
            <w:tcW w:w="1517" w:type="dxa"/>
            <w:tcMar>
              <w:left w:w="57" w:type="dxa"/>
            </w:tcMar>
          </w:tcPr>
          <w:p w14:paraId="2DC76006" w14:textId="77777777" w:rsidR="009A7EC3" w:rsidRPr="00DE25AD" w:rsidRDefault="009A7EC3" w:rsidP="009A7EC3">
            <w:pPr>
              <w:pStyle w:val="ACCESSTableHeaderRow"/>
            </w:pPr>
          </w:p>
        </w:tc>
        <w:tc>
          <w:tcPr>
            <w:tcW w:w="1068" w:type="dxa"/>
            <w:shd w:val="clear" w:color="auto" w:fill="auto"/>
            <w:tcMar>
              <w:left w:w="57" w:type="dxa"/>
            </w:tcMar>
            <w:vAlign w:val="bottom"/>
          </w:tcPr>
          <w:p w14:paraId="54BBA005" w14:textId="77777777" w:rsidR="009A7EC3" w:rsidRPr="00DE25AD" w:rsidRDefault="009A7EC3" w:rsidP="009A7EC3">
            <w:pPr>
              <w:pStyle w:val="ASSAD2017ACCESSBody1"/>
            </w:pPr>
            <w:r w:rsidRPr="00DE25AD">
              <w:t>Total</w:t>
            </w:r>
          </w:p>
        </w:tc>
        <w:tc>
          <w:tcPr>
            <w:tcW w:w="878" w:type="dxa"/>
            <w:shd w:val="clear" w:color="auto" w:fill="auto"/>
          </w:tcPr>
          <w:p w14:paraId="3CF6B17D" w14:textId="15844EA0" w:rsidR="009A7EC3" w:rsidRPr="00DE25AD" w:rsidRDefault="009A7EC3" w:rsidP="009A7EC3">
            <w:pPr>
              <w:pStyle w:val="ASSADACCESStablecentre"/>
            </w:pPr>
            <w:r w:rsidRPr="002E5727">
              <w:rPr>
                <w:bCs w:val="0"/>
                <w:color w:val="000000"/>
              </w:rPr>
              <w:t>31*</w:t>
            </w:r>
          </w:p>
        </w:tc>
        <w:tc>
          <w:tcPr>
            <w:tcW w:w="879" w:type="dxa"/>
            <w:shd w:val="clear" w:color="auto" w:fill="auto"/>
          </w:tcPr>
          <w:p w14:paraId="5F03E1CC" w14:textId="0FC90E05" w:rsidR="009A7EC3" w:rsidRPr="00DE25AD" w:rsidRDefault="009A7EC3" w:rsidP="009A7EC3">
            <w:pPr>
              <w:pStyle w:val="ASSADACCESStablecentre"/>
            </w:pPr>
            <w:r w:rsidRPr="002E5727">
              <w:rPr>
                <w:bCs w:val="0"/>
                <w:color w:val="000000"/>
              </w:rPr>
              <w:t>34*</w:t>
            </w:r>
            <w:r>
              <w:rPr>
                <w:bCs w:val="0"/>
                <w:color w:val="000000"/>
              </w:rPr>
              <w:t>^</w:t>
            </w:r>
          </w:p>
        </w:tc>
        <w:tc>
          <w:tcPr>
            <w:tcW w:w="879" w:type="dxa"/>
            <w:shd w:val="clear" w:color="auto" w:fill="auto"/>
          </w:tcPr>
          <w:p w14:paraId="32FA43B3" w14:textId="2F2B8AA4" w:rsidR="009A7EC3" w:rsidRPr="00DE25AD" w:rsidRDefault="009A7EC3" w:rsidP="009A7EC3">
            <w:pPr>
              <w:pStyle w:val="ASSADACCESStablecentre"/>
            </w:pPr>
            <w:r w:rsidRPr="002E5727">
              <w:rPr>
                <w:bCs w:val="0"/>
                <w:color w:val="000000"/>
              </w:rPr>
              <w:t>34*</w:t>
            </w:r>
          </w:p>
        </w:tc>
        <w:tc>
          <w:tcPr>
            <w:tcW w:w="879" w:type="dxa"/>
            <w:shd w:val="clear" w:color="auto" w:fill="auto"/>
          </w:tcPr>
          <w:p w14:paraId="4603F5C8" w14:textId="34729197" w:rsidR="009A7EC3" w:rsidRPr="00DE25AD" w:rsidRDefault="009A7EC3" w:rsidP="009A7EC3">
            <w:pPr>
              <w:pStyle w:val="ASSADACCESStablecentre"/>
            </w:pPr>
            <w:r w:rsidRPr="002E5727">
              <w:rPr>
                <w:bCs w:val="0"/>
                <w:color w:val="000000"/>
              </w:rPr>
              <w:t>29*^</w:t>
            </w:r>
          </w:p>
        </w:tc>
        <w:tc>
          <w:tcPr>
            <w:tcW w:w="879" w:type="dxa"/>
            <w:shd w:val="clear" w:color="auto" w:fill="auto"/>
          </w:tcPr>
          <w:p w14:paraId="20F8C5A3" w14:textId="2A4829CB" w:rsidR="009A7EC3" w:rsidRPr="00DE25AD" w:rsidRDefault="009A7EC3" w:rsidP="009A7EC3">
            <w:pPr>
              <w:pStyle w:val="ASSADACCESStablecentre"/>
            </w:pPr>
            <w:r w:rsidRPr="002E5727">
              <w:rPr>
                <w:bCs w:val="0"/>
                <w:color w:val="000000"/>
              </w:rPr>
              <w:t>23*^</w:t>
            </w:r>
          </w:p>
        </w:tc>
        <w:tc>
          <w:tcPr>
            <w:tcW w:w="879" w:type="dxa"/>
            <w:shd w:val="clear" w:color="auto" w:fill="auto"/>
          </w:tcPr>
          <w:p w14:paraId="02C2B8BD" w14:textId="2D7825B7" w:rsidR="009A7EC3" w:rsidRPr="00DE25AD" w:rsidRDefault="009A7EC3" w:rsidP="009A7EC3">
            <w:pPr>
              <w:pStyle w:val="ASSADACCESStablecentre"/>
            </w:pPr>
            <w:r w:rsidRPr="002E5727">
              <w:rPr>
                <w:bCs w:val="0"/>
                <w:color w:val="000000"/>
              </w:rPr>
              <w:t>17</w:t>
            </w:r>
            <w:r>
              <w:rPr>
                <w:bCs w:val="0"/>
                <w:color w:val="000000"/>
              </w:rPr>
              <w:t>*</w:t>
            </w:r>
            <w:r w:rsidRPr="002E5727">
              <w:rPr>
                <w:bCs w:val="0"/>
                <w:color w:val="000000"/>
              </w:rPr>
              <w:t>^</w:t>
            </w:r>
          </w:p>
        </w:tc>
        <w:tc>
          <w:tcPr>
            <w:tcW w:w="879" w:type="dxa"/>
            <w:shd w:val="clear" w:color="auto" w:fill="auto"/>
          </w:tcPr>
          <w:p w14:paraId="0335D8D2" w14:textId="754BB691" w:rsidR="009A7EC3" w:rsidRPr="00DE25AD" w:rsidRDefault="009A7EC3" w:rsidP="009A7EC3">
            <w:pPr>
              <w:pStyle w:val="ASSADACCESStablecentre"/>
            </w:pPr>
            <w:r w:rsidRPr="002E5727">
              <w:rPr>
                <w:bCs w:val="0"/>
                <w:color w:val="000000"/>
              </w:rPr>
              <w:t>15^</w:t>
            </w:r>
          </w:p>
        </w:tc>
        <w:tc>
          <w:tcPr>
            <w:tcW w:w="879" w:type="dxa"/>
            <w:shd w:val="clear" w:color="auto" w:fill="auto"/>
          </w:tcPr>
          <w:p w14:paraId="43CB9F92" w14:textId="74A7D7C0" w:rsidR="009A7EC3" w:rsidRPr="00DE25AD" w:rsidRDefault="009A7EC3" w:rsidP="009A7EC3">
            <w:pPr>
              <w:pStyle w:val="ASSADACCESStablecentre"/>
            </w:pPr>
            <w:r w:rsidRPr="002E5727">
              <w:rPr>
                <w:bCs w:val="0"/>
                <w:color w:val="000000"/>
              </w:rPr>
              <w:t>15^</w:t>
            </w:r>
          </w:p>
        </w:tc>
      </w:tr>
      <w:tr w:rsidR="009A7EC3" w:rsidRPr="00DE25AD" w14:paraId="79664595" w14:textId="77777777" w:rsidTr="00545FF4">
        <w:tc>
          <w:tcPr>
            <w:tcW w:w="1517" w:type="dxa"/>
            <w:tcMar>
              <w:left w:w="57" w:type="dxa"/>
            </w:tcMar>
          </w:tcPr>
          <w:p w14:paraId="4FE6F62D" w14:textId="77777777" w:rsidR="009A7EC3" w:rsidRPr="00DE25AD" w:rsidRDefault="009A7EC3" w:rsidP="009A7EC3">
            <w:pPr>
              <w:pStyle w:val="ACCESSTableHeaderRow"/>
            </w:pPr>
            <w:r>
              <w:t>Risky</w:t>
            </w:r>
          </w:p>
        </w:tc>
        <w:tc>
          <w:tcPr>
            <w:tcW w:w="1068" w:type="dxa"/>
            <w:shd w:val="clear" w:color="auto" w:fill="auto"/>
            <w:tcMar>
              <w:left w:w="57" w:type="dxa"/>
            </w:tcMar>
            <w:vAlign w:val="bottom"/>
          </w:tcPr>
          <w:p w14:paraId="6A7F0F10" w14:textId="77777777" w:rsidR="009A7EC3" w:rsidRPr="00DE25AD" w:rsidRDefault="009A7EC3" w:rsidP="009A7EC3">
            <w:pPr>
              <w:pStyle w:val="ASSAD2017ACCESSBody1"/>
            </w:pPr>
            <w:r w:rsidRPr="00DE25AD">
              <w:t>Male</w:t>
            </w:r>
          </w:p>
        </w:tc>
        <w:tc>
          <w:tcPr>
            <w:tcW w:w="878" w:type="dxa"/>
            <w:shd w:val="clear" w:color="auto" w:fill="auto"/>
          </w:tcPr>
          <w:p w14:paraId="2771B62D" w14:textId="660CE359" w:rsidR="009A7EC3" w:rsidRPr="00DE25AD" w:rsidRDefault="009A7EC3" w:rsidP="009A7EC3">
            <w:pPr>
              <w:pStyle w:val="ASSADACCESStablecentre"/>
            </w:pPr>
            <w:r w:rsidRPr="002E5727">
              <w:rPr>
                <w:bCs w:val="0"/>
                <w:color w:val="000000"/>
              </w:rPr>
              <w:t>11*</w:t>
            </w:r>
          </w:p>
        </w:tc>
        <w:tc>
          <w:tcPr>
            <w:tcW w:w="879" w:type="dxa"/>
            <w:shd w:val="clear" w:color="auto" w:fill="auto"/>
          </w:tcPr>
          <w:p w14:paraId="50669C43" w14:textId="177ABE40" w:rsidR="009A7EC3" w:rsidRPr="00DE25AD" w:rsidRDefault="009A7EC3" w:rsidP="009A7EC3">
            <w:pPr>
              <w:pStyle w:val="ASSADACCESStablecentre"/>
            </w:pPr>
            <w:r w:rsidRPr="002E5727">
              <w:rPr>
                <w:bCs w:val="0"/>
                <w:color w:val="000000"/>
              </w:rPr>
              <w:t>12*</w:t>
            </w:r>
          </w:p>
        </w:tc>
        <w:tc>
          <w:tcPr>
            <w:tcW w:w="879" w:type="dxa"/>
            <w:shd w:val="clear" w:color="auto" w:fill="auto"/>
          </w:tcPr>
          <w:p w14:paraId="0B858DDC" w14:textId="5AE16CD3" w:rsidR="009A7EC3" w:rsidRPr="00DE25AD" w:rsidRDefault="009A7EC3" w:rsidP="009A7EC3">
            <w:pPr>
              <w:pStyle w:val="ASSADACCESStablecentre"/>
            </w:pPr>
            <w:r w:rsidRPr="002E5727">
              <w:rPr>
                <w:bCs w:val="0"/>
                <w:color w:val="000000"/>
              </w:rPr>
              <w:t>13*</w:t>
            </w:r>
          </w:p>
        </w:tc>
        <w:tc>
          <w:tcPr>
            <w:tcW w:w="879" w:type="dxa"/>
            <w:shd w:val="clear" w:color="auto" w:fill="auto"/>
          </w:tcPr>
          <w:p w14:paraId="1D9FEA65" w14:textId="1518B0BF" w:rsidR="009A7EC3" w:rsidRPr="00DE25AD" w:rsidRDefault="009A7EC3" w:rsidP="009A7EC3">
            <w:pPr>
              <w:pStyle w:val="ASSADACCESStablecentre"/>
            </w:pPr>
            <w:r w:rsidRPr="002E5727">
              <w:rPr>
                <w:bCs w:val="0"/>
                <w:color w:val="000000"/>
              </w:rPr>
              <w:t>12*</w:t>
            </w:r>
          </w:p>
        </w:tc>
        <w:tc>
          <w:tcPr>
            <w:tcW w:w="879" w:type="dxa"/>
            <w:shd w:val="clear" w:color="auto" w:fill="auto"/>
          </w:tcPr>
          <w:p w14:paraId="1AEFE462" w14:textId="6F415DE9" w:rsidR="009A7EC3" w:rsidRPr="00DE25AD" w:rsidRDefault="009A7EC3" w:rsidP="009A7EC3">
            <w:pPr>
              <w:pStyle w:val="ASSADACCESStablecentre"/>
            </w:pPr>
            <w:r w:rsidRPr="002E5727">
              <w:rPr>
                <w:bCs w:val="0"/>
                <w:color w:val="000000"/>
              </w:rPr>
              <w:t>9*^</w:t>
            </w:r>
          </w:p>
        </w:tc>
        <w:tc>
          <w:tcPr>
            <w:tcW w:w="879" w:type="dxa"/>
            <w:shd w:val="clear" w:color="auto" w:fill="auto"/>
          </w:tcPr>
          <w:p w14:paraId="00194638" w14:textId="39BC9B45" w:rsidR="009A7EC3" w:rsidRPr="00DE25AD" w:rsidRDefault="009A7EC3" w:rsidP="009A7EC3">
            <w:pPr>
              <w:pStyle w:val="ASSADACCESStablecentre"/>
            </w:pPr>
            <w:r w:rsidRPr="002E5727">
              <w:rPr>
                <w:bCs w:val="0"/>
                <w:color w:val="000000"/>
              </w:rPr>
              <w:t>7^</w:t>
            </w:r>
          </w:p>
        </w:tc>
        <w:tc>
          <w:tcPr>
            <w:tcW w:w="879" w:type="dxa"/>
            <w:shd w:val="clear" w:color="auto" w:fill="auto"/>
          </w:tcPr>
          <w:p w14:paraId="64A771D0" w14:textId="139D8800" w:rsidR="009A7EC3" w:rsidRPr="00DE25AD" w:rsidRDefault="009A7EC3" w:rsidP="009A7EC3">
            <w:pPr>
              <w:pStyle w:val="ASSADACCESStablecentre"/>
            </w:pPr>
            <w:r w:rsidRPr="002E5727">
              <w:rPr>
                <w:bCs w:val="0"/>
                <w:color w:val="000000"/>
              </w:rPr>
              <w:t>6^</w:t>
            </w:r>
          </w:p>
        </w:tc>
        <w:tc>
          <w:tcPr>
            <w:tcW w:w="879" w:type="dxa"/>
            <w:shd w:val="clear" w:color="auto" w:fill="auto"/>
          </w:tcPr>
          <w:p w14:paraId="06C61D7F" w14:textId="1D772AFD" w:rsidR="009A7EC3" w:rsidRPr="00DE25AD" w:rsidRDefault="009A7EC3" w:rsidP="009A7EC3">
            <w:pPr>
              <w:pStyle w:val="ASSADACCESStablecentre"/>
            </w:pPr>
            <w:r w:rsidRPr="002E5727">
              <w:rPr>
                <w:bCs w:val="0"/>
                <w:color w:val="000000"/>
              </w:rPr>
              <w:t>6^</w:t>
            </w:r>
          </w:p>
        </w:tc>
      </w:tr>
      <w:tr w:rsidR="009A7EC3" w:rsidRPr="00DE25AD" w14:paraId="5C56C2A4" w14:textId="77777777" w:rsidTr="005C5B03">
        <w:trPr>
          <w:trHeight w:val="277"/>
        </w:trPr>
        <w:tc>
          <w:tcPr>
            <w:tcW w:w="1517" w:type="dxa"/>
            <w:tcMar>
              <w:left w:w="57" w:type="dxa"/>
            </w:tcMar>
          </w:tcPr>
          <w:p w14:paraId="63886B06" w14:textId="77777777" w:rsidR="009A7EC3" w:rsidRPr="00DE25AD" w:rsidRDefault="009A7EC3" w:rsidP="009A7EC3">
            <w:pPr>
              <w:pStyle w:val="ACCESSTableHeaderRow"/>
            </w:pPr>
          </w:p>
        </w:tc>
        <w:tc>
          <w:tcPr>
            <w:tcW w:w="1068" w:type="dxa"/>
            <w:shd w:val="clear" w:color="auto" w:fill="auto"/>
            <w:tcMar>
              <w:left w:w="57" w:type="dxa"/>
            </w:tcMar>
            <w:vAlign w:val="bottom"/>
          </w:tcPr>
          <w:p w14:paraId="037EB5CD" w14:textId="77777777" w:rsidR="009A7EC3" w:rsidRPr="00DE25AD" w:rsidRDefault="009A7EC3" w:rsidP="009A7EC3">
            <w:pPr>
              <w:pStyle w:val="ASSAD2017ACCESSBody1"/>
            </w:pPr>
            <w:r w:rsidRPr="00DE25AD">
              <w:t>Female</w:t>
            </w:r>
          </w:p>
        </w:tc>
        <w:tc>
          <w:tcPr>
            <w:tcW w:w="878" w:type="dxa"/>
            <w:shd w:val="clear" w:color="auto" w:fill="auto"/>
          </w:tcPr>
          <w:p w14:paraId="2F112D2D" w14:textId="7FB8EE38" w:rsidR="009A7EC3" w:rsidRPr="00DE25AD" w:rsidRDefault="009A7EC3" w:rsidP="009A7EC3">
            <w:pPr>
              <w:pStyle w:val="ASSADACCESStablecentre"/>
            </w:pPr>
            <w:r w:rsidRPr="002E5727">
              <w:rPr>
                <w:bCs w:val="0"/>
                <w:color w:val="000000"/>
              </w:rPr>
              <w:t>7*</w:t>
            </w:r>
          </w:p>
        </w:tc>
        <w:tc>
          <w:tcPr>
            <w:tcW w:w="879" w:type="dxa"/>
            <w:shd w:val="clear" w:color="auto" w:fill="auto"/>
          </w:tcPr>
          <w:p w14:paraId="40FED790" w14:textId="7497D107" w:rsidR="009A7EC3" w:rsidRPr="00DE25AD" w:rsidRDefault="009A7EC3" w:rsidP="009A7EC3">
            <w:pPr>
              <w:pStyle w:val="ASSADACCESStablecentre"/>
            </w:pPr>
            <w:r w:rsidRPr="002E5727">
              <w:rPr>
                <w:bCs w:val="0"/>
                <w:color w:val="000000"/>
              </w:rPr>
              <w:t>9*</w:t>
            </w:r>
          </w:p>
        </w:tc>
        <w:tc>
          <w:tcPr>
            <w:tcW w:w="879" w:type="dxa"/>
            <w:shd w:val="clear" w:color="auto" w:fill="auto"/>
          </w:tcPr>
          <w:p w14:paraId="0BA07C58" w14:textId="7F3AEEF4" w:rsidR="009A7EC3" w:rsidRPr="00DE25AD" w:rsidRDefault="009A7EC3" w:rsidP="009A7EC3">
            <w:pPr>
              <w:pStyle w:val="ASSADACCESStablecentre"/>
            </w:pPr>
            <w:r w:rsidRPr="002E5727">
              <w:rPr>
                <w:bCs w:val="0"/>
                <w:color w:val="000000"/>
              </w:rPr>
              <w:t>9*</w:t>
            </w:r>
          </w:p>
        </w:tc>
        <w:tc>
          <w:tcPr>
            <w:tcW w:w="879" w:type="dxa"/>
            <w:shd w:val="clear" w:color="auto" w:fill="auto"/>
          </w:tcPr>
          <w:p w14:paraId="26CEE4F5" w14:textId="12EDF8C2" w:rsidR="009A7EC3" w:rsidRPr="00DE25AD" w:rsidRDefault="009A7EC3" w:rsidP="009A7EC3">
            <w:pPr>
              <w:pStyle w:val="ASSADACCESStablecentre"/>
            </w:pPr>
            <w:r w:rsidRPr="002E5727">
              <w:rPr>
                <w:bCs w:val="0"/>
                <w:color w:val="000000"/>
              </w:rPr>
              <w:t>9*</w:t>
            </w:r>
          </w:p>
        </w:tc>
        <w:tc>
          <w:tcPr>
            <w:tcW w:w="879" w:type="dxa"/>
            <w:shd w:val="clear" w:color="auto" w:fill="auto"/>
          </w:tcPr>
          <w:p w14:paraId="6A324C30" w14:textId="4E6CF687" w:rsidR="009A7EC3" w:rsidRPr="00DE25AD" w:rsidRDefault="009A7EC3" w:rsidP="009A7EC3">
            <w:pPr>
              <w:pStyle w:val="ASSADACCESStablecentre"/>
            </w:pPr>
            <w:r w:rsidRPr="002E5727">
              <w:rPr>
                <w:bCs w:val="0"/>
                <w:color w:val="000000"/>
              </w:rPr>
              <w:t>7*</w:t>
            </w:r>
          </w:p>
        </w:tc>
        <w:tc>
          <w:tcPr>
            <w:tcW w:w="879" w:type="dxa"/>
            <w:shd w:val="clear" w:color="auto" w:fill="auto"/>
          </w:tcPr>
          <w:p w14:paraId="26A1CEB1" w14:textId="453A80E5" w:rsidR="009A7EC3" w:rsidRPr="00DE25AD" w:rsidRDefault="009A7EC3" w:rsidP="009A7EC3">
            <w:pPr>
              <w:pStyle w:val="ASSADACCESStablecentre"/>
            </w:pPr>
            <w:r w:rsidRPr="002E5727">
              <w:rPr>
                <w:bCs w:val="0"/>
                <w:color w:val="000000"/>
              </w:rPr>
              <w:t>5</w:t>
            </w:r>
            <w:r>
              <w:rPr>
                <w:bCs w:val="0"/>
                <w:color w:val="000000"/>
              </w:rPr>
              <w:t>*</w:t>
            </w:r>
            <w:r w:rsidRPr="002E5727">
              <w:rPr>
                <w:bCs w:val="0"/>
                <w:color w:val="000000"/>
              </w:rPr>
              <w:t>^</w:t>
            </w:r>
          </w:p>
        </w:tc>
        <w:tc>
          <w:tcPr>
            <w:tcW w:w="879" w:type="dxa"/>
            <w:shd w:val="clear" w:color="auto" w:fill="auto"/>
          </w:tcPr>
          <w:p w14:paraId="28831C71" w14:textId="706FA196" w:rsidR="009A7EC3" w:rsidRPr="00DE25AD" w:rsidRDefault="009A7EC3" w:rsidP="009A7EC3">
            <w:pPr>
              <w:pStyle w:val="ASSADACCESStablecentre"/>
            </w:pPr>
            <w:r w:rsidRPr="002E5727">
              <w:rPr>
                <w:bCs w:val="0"/>
                <w:color w:val="000000"/>
              </w:rPr>
              <w:t>4^</w:t>
            </w:r>
          </w:p>
        </w:tc>
        <w:tc>
          <w:tcPr>
            <w:tcW w:w="879" w:type="dxa"/>
            <w:shd w:val="clear" w:color="auto" w:fill="auto"/>
          </w:tcPr>
          <w:p w14:paraId="48E6E11C" w14:textId="0596F3E1" w:rsidR="009A7EC3" w:rsidRPr="00DE25AD" w:rsidRDefault="009A7EC3" w:rsidP="009A7EC3">
            <w:pPr>
              <w:pStyle w:val="ASSADACCESStablecentre"/>
            </w:pPr>
            <w:r w:rsidRPr="002E5727">
              <w:rPr>
                <w:bCs w:val="0"/>
                <w:color w:val="000000"/>
              </w:rPr>
              <w:t>4^</w:t>
            </w:r>
          </w:p>
        </w:tc>
      </w:tr>
      <w:tr w:rsidR="009A7EC3" w:rsidRPr="00DE25AD" w14:paraId="7CE5A9D0" w14:textId="77777777" w:rsidTr="005C5B03">
        <w:trPr>
          <w:trHeight w:val="84"/>
        </w:trPr>
        <w:tc>
          <w:tcPr>
            <w:tcW w:w="1517" w:type="dxa"/>
            <w:tcMar>
              <w:left w:w="57" w:type="dxa"/>
            </w:tcMar>
          </w:tcPr>
          <w:p w14:paraId="0775F4C2" w14:textId="77777777" w:rsidR="009A7EC3" w:rsidRPr="00DE25AD" w:rsidRDefault="009A7EC3" w:rsidP="009A7EC3">
            <w:pPr>
              <w:pStyle w:val="ACCESSTableHeaderRow"/>
            </w:pPr>
          </w:p>
        </w:tc>
        <w:tc>
          <w:tcPr>
            <w:tcW w:w="1068" w:type="dxa"/>
            <w:shd w:val="clear" w:color="auto" w:fill="auto"/>
            <w:tcMar>
              <w:left w:w="57" w:type="dxa"/>
            </w:tcMar>
            <w:vAlign w:val="bottom"/>
          </w:tcPr>
          <w:p w14:paraId="533B6E86" w14:textId="77777777" w:rsidR="009A7EC3" w:rsidRPr="00DE25AD" w:rsidRDefault="009A7EC3" w:rsidP="009A7EC3">
            <w:pPr>
              <w:pStyle w:val="ASSAD2017ACCESSBody1"/>
            </w:pPr>
            <w:r w:rsidRPr="00DE25AD">
              <w:t>Total</w:t>
            </w:r>
          </w:p>
        </w:tc>
        <w:tc>
          <w:tcPr>
            <w:tcW w:w="878" w:type="dxa"/>
            <w:shd w:val="clear" w:color="auto" w:fill="auto"/>
          </w:tcPr>
          <w:p w14:paraId="2A0BDF6D" w14:textId="0B169FEF" w:rsidR="009A7EC3" w:rsidRPr="00DE25AD" w:rsidRDefault="009A7EC3" w:rsidP="009A7EC3">
            <w:pPr>
              <w:pStyle w:val="ASSADACCESStablecentre"/>
            </w:pPr>
            <w:r w:rsidRPr="002E5727">
              <w:rPr>
                <w:bCs w:val="0"/>
                <w:color w:val="000000"/>
              </w:rPr>
              <w:t>9*</w:t>
            </w:r>
          </w:p>
        </w:tc>
        <w:tc>
          <w:tcPr>
            <w:tcW w:w="879" w:type="dxa"/>
            <w:shd w:val="clear" w:color="auto" w:fill="auto"/>
          </w:tcPr>
          <w:p w14:paraId="24871CC9" w14:textId="7E025934" w:rsidR="009A7EC3" w:rsidRPr="00DE25AD" w:rsidRDefault="009A7EC3" w:rsidP="009A7EC3">
            <w:pPr>
              <w:pStyle w:val="ASSADACCESStablecentre"/>
            </w:pPr>
            <w:r w:rsidRPr="002E5727">
              <w:rPr>
                <w:bCs w:val="0"/>
                <w:color w:val="000000"/>
              </w:rPr>
              <w:t>10*</w:t>
            </w:r>
          </w:p>
        </w:tc>
        <w:tc>
          <w:tcPr>
            <w:tcW w:w="879" w:type="dxa"/>
            <w:shd w:val="clear" w:color="auto" w:fill="auto"/>
          </w:tcPr>
          <w:p w14:paraId="6E6809BB" w14:textId="3B2527BC" w:rsidR="009A7EC3" w:rsidRPr="00DE25AD" w:rsidRDefault="009A7EC3" w:rsidP="009A7EC3">
            <w:pPr>
              <w:pStyle w:val="ASSADACCESStablecentre"/>
            </w:pPr>
            <w:r w:rsidRPr="002E5727">
              <w:rPr>
                <w:bCs w:val="0"/>
                <w:color w:val="000000"/>
              </w:rPr>
              <w:t>11*</w:t>
            </w:r>
          </w:p>
        </w:tc>
        <w:tc>
          <w:tcPr>
            <w:tcW w:w="879" w:type="dxa"/>
            <w:shd w:val="clear" w:color="auto" w:fill="auto"/>
          </w:tcPr>
          <w:p w14:paraId="284A4C69" w14:textId="1B723D47" w:rsidR="009A7EC3" w:rsidRPr="00DE25AD" w:rsidRDefault="009A7EC3" w:rsidP="009A7EC3">
            <w:pPr>
              <w:pStyle w:val="ASSADACCESStablecentre"/>
            </w:pPr>
            <w:r w:rsidRPr="002E5727">
              <w:rPr>
                <w:bCs w:val="0"/>
                <w:color w:val="000000"/>
              </w:rPr>
              <w:t>10*</w:t>
            </w:r>
          </w:p>
        </w:tc>
        <w:tc>
          <w:tcPr>
            <w:tcW w:w="879" w:type="dxa"/>
            <w:shd w:val="clear" w:color="auto" w:fill="auto"/>
          </w:tcPr>
          <w:p w14:paraId="45622D30" w14:textId="08A58871" w:rsidR="009A7EC3" w:rsidRPr="00DE25AD" w:rsidRDefault="009A7EC3" w:rsidP="009A7EC3">
            <w:pPr>
              <w:pStyle w:val="ASSADACCESStablecentre"/>
            </w:pPr>
            <w:r w:rsidRPr="002E5727">
              <w:rPr>
                <w:bCs w:val="0"/>
                <w:color w:val="000000"/>
              </w:rPr>
              <w:t>8*^</w:t>
            </w:r>
          </w:p>
        </w:tc>
        <w:tc>
          <w:tcPr>
            <w:tcW w:w="879" w:type="dxa"/>
            <w:shd w:val="clear" w:color="auto" w:fill="auto"/>
          </w:tcPr>
          <w:p w14:paraId="626C6A7E" w14:textId="516FFAA4" w:rsidR="009A7EC3" w:rsidRPr="00DE25AD" w:rsidRDefault="009A7EC3" w:rsidP="009A7EC3">
            <w:pPr>
              <w:pStyle w:val="ASSADACCESStablecentre"/>
            </w:pPr>
            <w:r w:rsidRPr="002E5727">
              <w:rPr>
                <w:bCs w:val="0"/>
                <w:color w:val="000000"/>
              </w:rPr>
              <w:t>6*^</w:t>
            </w:r>
          </w:p>
        </w:tc>
        <w:tc>
          <w:tcPr>
            <w:tcW w:w="879" w:type="dxa"/>
            <w:shd w:val="clear" w:color="auto" w:fill="auto"/>
          </w:tcPr>
          <w:p w14:paraId="743E5EBA" w14:textId="4FEF4A22" w:rsidR="009A7EC3" w:rsidRPr="00DE25AD" w:rsidRDefault="009A7EC3" w:rsidP="009A7EC3">
            <w:pPr>
              <w:pStyle w:val="ASSADACCESStablecentre"/>
            </w:pPr>
            <w:r w:rsidRPr="002E5727">
              <w:rPr>
                <w:bCs w:val="0"/>
                <w:color w:val="000000"/>
              </w:rPr>
              <w:t>5^</w:t>
            </w:r>
          </w:p>
        </w:tc>
        <w:tc>
          <w:tcPr>
            <w:tcW w:w="879" w:type="dxa"/>
            <w:shd w:val="clear" w:color="auto" w:fill="auto"/>
          </w:tcPr>
          <w:p w14:paraId="17C5088C" w14:textId="29FBCB0D" w:rsidR="009A7EC3" w:rsidRPr="00DE25AD" w:rsidRDefault="009A7EC3" w:rsidP="009A7EC3">
            <w:pPr>
              <w:pStyle w:val="ASSADACCESStablecentre"/>
            </w:pPr>
            <w:r w:rsidRPr="002E5727">
              <w:rPr>
                <w:bCs w:val="0"/>
                <w:color w:val="000000"/>
              </w:rPr>
              <w:t>5^</w:t>
            </w:r>
          </w:p>
        </w:tc>
      </w:tr>
    </w:tbl>
    <w:p w14:paraId="6476BFB0" w14:textId="1EEBD4C9" w:rsidR="0046446A" w:rsidRPr="00DE25AD" w:rsidRDefault="007B514C" w:rsidP="0046446A">
      <w:pPr>
        <w:pStyle w:val="ASSAD2017CWTablenote1"/>
        <w:rPr>
          <w:bCs/>
          <w:sz w:val="20"/>
          <w:szCs w:val="28"/>
        </w:rPr>
      </w:pPr>
      <w:r>
        <w:t>* Significantly different than 2017, p&lt;.01; ^ Significantly different than 1996, p&lt;.01.</w:t>
      </w:r>
      <w:r w:rsidR="0046446A" w:rsidRPr="00DE25AD">
        <w:br w:type="page"/>
      </w:r>
    </w:p>
    <w:p w14:paraId="1AD70393" w14:textId="2BCA8620" w:rsidR="007B514C" w:rsidRPr="0046446A" w:rsidRDefault="007B514C" w:rsidP="007B514C">
      <w:pPr>
        <w:pStyle w:val="ASSAD2017TableHeading"/>
      </w:pPr>
      <w:bookmarkStart w:id="77" w:name="_Toc44060493"/>
      <w:r w:rsidRPr="0046446A">
        <w:lastRenderedPageBreak/>
        <w:t xml:space="preserve">Table </w:t>
      </w:r>
      <w:r>
        <w:t>6</w:t>
      </w:r>
      <w:r w:rsidRPr="0046446A">
        <w:t xml:space="preserve"> </w:t>
      </w:r>
      <w:r>
        <w:t>Prevalence</w:t>
      </w:r>
      <w:r w:rsidRPr="0046446A">
        <w:t xml:space="preserve"> of </w:t>
      </w:r>
      <w:r>
        <w:t>analgesic</w:t>
      </w:r>
      <w:r w:rsidRPr="0046446A">
        <w:t xml:space="preserve"> use among secondary students aged 12-1</w:t>
      </w:r>
      <w:r>
        <w:t>5 &amp; 16-17</w:t>
      </w:r>
      <w:r w:rsidRPr="0046446A">
        <w:t xml:space="preserve"> in Australia, ASSAD 1996-2017</w:t>
      </w:r>
      <w:bookmarkEnd w:id="77"/>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7B514C" w:rsidRPr="00DE25AD" w14:paraId="6ABE66D9" w14:textId="77777777" w:rsidTr="005C5B03">
        <w:trPr>
          <w:tblHeader/>
        </w:trPr>
        <w:tc>
          <w:tcPr>
            <w:tcW w:w="1517" w:type="dxa"/>
            <w:tcMar>
              <w:left w:w="57" w:type="dxa"/>
            </w:tcMar>
          </w:tcPr>
          <w:p w14:paraId="45B0E150" w14:textId="77777777" w:rsidR="007B514C" w:rsidRPr="00DE25AD" w:rsidRDefault="007B514C"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2DC09BC5" w14:textId="77777777" w:rsidR="007B514C" w:rsidRPr="00DE25AD" w:rsidRDefault="007B514C" w:rsidP="005C5B03">
            <w:pPr>
              <w:pStyle w:val="ACCESSTableHeaderRow"/>
            </w:pPr>
          </w:p>
        </w:tc>
        <w:tc>
          <w:tcPr>
            <w:tcW w:w="878" w:type="dxa"/>
            <w:shd w:val="clear" w:color="auto" w:fill="auto"/>
            <w:vAlign w:val="bottom"/>
          </w:tcPr>
          <w:p w14:paraId="5124A903" w14:textId="77777777" w:rsidR="007B514C" w:rsidRPr="00DE25AD" w:rsidRDefault="007B514C" w:rsidP="005C5B03">
            <w:pPr>
              <w:pStyle w:val="ACCESSTableHeaderRow"/>
              <w:jc w:val="center"/>
            </w:pPr>
            <w:r>
              <w:t>1996</w:t>
            </w:r>
          </w:p>
          <w:p w14:paraId="0674A6C5"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442E7C67" w14:textId="77777777" w:rsidR="007B514C" w:rsidRPr="00DE25AD" w:rsidRDefault="007B514C" w:rsidP="005C5B03">
            <w:pPr>
              <w:pStyle w:val="ACCESSTableHeaderRow"/>
              <w:jc w:val="center"/>
            </w:pPr>
            <w:r w:rsidRPr="00DE25AD">
              <w:t>1</w:t>
            </w:r>
            <w:r>
              <w:t>999</w:t>
            </w:r>
          </w:p>
          <w:p w14:paraId="46675508"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0535F70A" w14:textId="77777777" w:rsidR="007B514C" w:rsidRPr="00DE25AD" w:rsidRDefault="007B514C" w:rsidP="005C5B03">
            <w:pPr>
              <w:pStyle w:val="ACCESSTableHeaderRow"/>
              <w:jc w:val="center"/>
            </w:pPr>
            <w:r>
              <w:t>2002</w:t>
            </w:r>
          </w:p>
          <w:p w14:paraId="0252FA07"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444E8548" w14:textId="77777777" w:rsidR="007B514C" w:rsidRPr="00DE25AD" w:rsidRDefault="007B514C" w:rsidP="005C5B03">
            <w:pPr>
              <w:pStyle w:val="ACCESSTableHeaderRow"/>
              <w:jc w:val="center"/>
            </w:pPr>
            <w:r>
              <w:t>200</w:t>
            </w:r>
            <w:r w:rsidRPr="00DE25AD">
              <w:t>5</w:t>
            </w:r>
          </w:p>
          <w:p w14:paraId="135BF17B"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494BA964" w14:textId="77777777" w:rsidR="007B514C" w:rsidRPr="00DE25AD" w:rsidRDefault="007B514C" w:rsidP="005C5B03">
            <w:pPr>
              <w:pStyle w:val="ACCESSTableHeaderRow"/>
              <w:jc w:val="center"/>
            </w:pPr>
            <w:r>
              <w:t>2008</w:t>
            </w:r>
          </w:p>
          <w:p w14:paraId="76AE3385"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13FB7F7D" w14:textId="77777777" w:rsidR="007B514C" w:rsidRPr="00DE25AD" w:rsidRDefault="007B514C" w:rsidP="005C5B03">
            <w:pPr>
              <w:pStyle w:val="ACCESSTableHeaderRow"/>
              <w:jc w:val="center"/>
            </w:pPr>
            <w:r>
              <w:t>2011</w:t>
            </w:r>
          </w:p>
          <w:p w14:paraId="32568FCA" w14:textId="77777777" w:rsidR="007B514C" w:rsidRPr="00DE25AD" w:rsidRDefault="007B514C" w:rsidP="005C5B03">
            <w:pPr>
              <w:pStyle w:val="ACCESSTableHeaderRow"/>
              <w:jc w:val="center"/>
            </w:pPr>
            <w:r w:rsidRPr="00DE25AD">
              <w:t>(%)</w:t>
            </w:r>
          </w:p>
        </w:tc>
        <w:tc>
          <w:tcPr>
            <w:tcW w:w="879" w:type="dxa"/>
            <w:shd w:val="clear" w:color="auto" w:fill="auto"/>
            <w:vAlign w:val="bottom"/>
          </w:tcPr>
          <w:p w14:paraId="3DD706C2" w14:textId="77777777" w:rsidR="007B514C" w:rsidRDefault="007B514C" w:rsidP="005C5B03">
            <w:pPr>
              <w:pStyle w:val="ACCESSTableHeaderRow"/>
              <w:jc w:val="center"/>
            </w:pPr>
            <w:r>
              <w:t>2014</w:t>
            </w:r>
          </w:p>
          <w:p w14:paraId="7D2B1A2A" w14:textId="77777777" w:rsidR="007B514C" w:rsidRPr="00DE25AD" w:rsidRDefault="007B514C" w:rsidP="005C5B03">
            <w:pPr>
              <w:pStyle w:val="ACCESSTableHeaderRow"/>
              <w:jc w:val="center"/>
            </w:pPr>
            <w:r>
              <w:t>(%)</w:t>
            </w:r>
          </w:p>
        </w:tc>
        <w:tc>
          <w:tcPr>
            <w:tcW w:w="879" w:type="dxa"/>
            <w:shd w:val="clear" w:color="auto" w:fill="auto"/>
            <w:vAlign w:val="bottom"/>
          </w:tcPr>
          <w:p w14:paraId="7997A75A" w14:textId="77777777" w:rsidR="007B514C" w:rsidRDefault="007B514C" w:rsidP="005C5B03">
            <w:pPr>
              <w:pStyle w:val="ACCESSTableHeaderRow"/>
              <w:jc w:val="center"/>
            </w:pPr>
            <w:r>
              <w:t>2017</w:t>
            </w:r>
          </w:p>
          <w:p w14:paraId="49FC2FB1" w14:textId="77777777" w:rsidR="007B514C" w:rsidRPr="00DE25AD" w:rsidRDefault="007B514C" w:rsidP="005C5B03">
            <w:pPr>
              <w:pStyle w:val="ACCESSTableHeaderRow"/>
              <w:jc w:val="center"/>
            </w:pPr>
            <w:r w:rsidRPr="00DE25AD">
              <w:t>(%)</w:t>
            </w:r>
          </w:p>
        </w:tc>
      </w:tr>
      <w:tr w:rsidR="005C5B03" w:rsidRPr="00DE25AD" w14:paraId="28D6F1BE" w14:textId="77777777" w:rsidTr="005C5B03">
        <w:trPr>
          <w:tblHeader/>
        </w:trPr>
        <w:tc>
          <w:tcPr>
            <w:tcW w:w="1517" w:type="dxa"/>
            <w:tcMar>
              <w:left w:w="57" w:type="dxa"/>
            </w:tcMar>
          </w:tcPr>
          <w:p w14:paraId="257C92F6" w14:textId="1AE1B2F3" w:rsidR="005C5B03" w:rsidRPr="00DE25AD" w:rsidRDefault="005C5B03" w:rsidP="005C5B03">
            <w:pPr>
              <w:pStyle w:val="ACCESSTableHeaderRow"/>
            </w:pPr>
            <w:r>
              <w:t>Aged 12-15</w:t>
            </w:r>
          </w:p>
        </w:tc>
        <w:tc>
          <w:tcPr>
            <w:tcW w:w="1068" w:type="dxa"/>
            <w:shd w:val="clear" w:color="auto" w:fill="auto"/>
            <w:tcMar>
              <w:left w:w="57" w:type="dxa"/>
            </w:tcMar>
            <w:vAlign w:val="center"/>
          </w:tcPr>
          <w:p w14:paraId="371EB212" w14:textId="5F9AC32E" w:rsidR="005C5B03" w:rsidRPr="00DE25AD" w:rsidRDefault="005C5B03" w:rsidP="005C5B03">
            <w:pPr>
              <w:pStyle w:val="ACCESSTableHeaderRow"/>
            </w:pPr>
          </w:p>
        </w:tc>
        <w:tc>
          <w:tcPr>
            <w:tcW w:w="878" w:type="dxa"/>
            <w:shd w:val="clear" w:color="auto" w:fill="auto"/>
            <w:vAlign w:val="bottom"/>
          </w:tcPr>
          <w:p w14:paraId="2FA23A0D" w14:textId="77777777" w:rsidR="005C5B03" w:rsidRPr="00DE25AD" w:rsidRDefault="005C5B03" w:rsidP="005C5B03">
            <w:pPr>
              <w:pStyle w:val="ACCESSTableHeaderRow"/>
            </w:pPr>
          </w:p>
        </w:tc>
        <w:tc>
          <w:tcPr>
            <w:tcW w:w="879" w:type="dxa"/>
            <w:shd w:val="clear" w:color="auto" w:fill="auto"/>
            <w:vAlign w:val="bottom"/>
          </w:tcPr>
          <w:p w14:paraId="7D99D292" w14:textId="77777777" w:rsidR="005C5B03" w:rsidRPr="00DE25AD" w:rsidRDefault="005C5B03" w:rsidP="005C5B03">
            <w:pPr>
              <w:pStyle w:val="ACCESSTableHeaderRow"/>
            </w:pPr>
          </w:p>
        </w:tc>
        <w:tc>
          <w:tcPr>
            <w:tcW w:w="879" w:type="dxa"/>
            <w:shd w:val="clear" w:color="auto" w:fill="auto"/>
            <w:vAlign w:val="bottom"/>
          </w:tcPr>
          <w:p w14:paraId="113020AE" w14:textId="77777777" w:rsidR="005C5B03" w:rsidRPr="00DE25AD" w:rsidRDefault="005C5B03" w:rsidP="005C5B03">
            <w:pPr>
              <w:pStyle w:val="ACCESSTableHeaderRow"/>
            </w:pPr>
          </w:p>
        </w:tc>
        <w:tc>
          <w:tcPr>
            <w:tcW w:w="879" w:type="dxa"/>
            <w:shd w:val="clear" w:color="auto" w:fill="auto"/>
            <w:vAlign w:val="bottom"/>
          </w:tcPr>
          <w:p w14:paraId="7E626D94" w14:textId="77777777" w:rsidR="005C5B03" w:rsidRPr="00DE25AD" w:rsidRDefault="005C5B03" w:rsidP="005C5B03">
            <w:pPr>
              <w:pStyle w:val="ACCESSTableHeaderRow"/>
            </w:pPr>
          </w:p>
        </w:tc>
        <w:tc>
          <w:tcPr>
            <w:tcW w:w="879" w:type="dxa"/>
            <w:shd w:val="clear" w:color="auto" w:fill="auto"/>
            <w:vAlign w:val="bottom"/>
          </w:tcPr>
          <w:p w14:paraId="2112B3B7" w14:textId="77777777" w:rsidR="005C5B03" w:rsidRPr="00DE25AD" w:rsidRDefault="005C5B03" w:rsidP="005C5B03">
            <w:pPr>
              <w:pStyle w:val="ACCESSTableHeaderRow"/>
            </w:pPr>
          </w:p>
        </w:tc>
        <w:tc>
          <w:tcPr>
            <w:tcW w:w="879" w:type="dxa"/>
            <w:shd w:val="clear" w:color="auto" w:fill="auto"/>
            <w:vAlign w:val="bottom"/>
          </w:tcPr>
          <w:p w14:paraId="65852B26" w14:textId="77777777" w:rsidR="005C5B03" w:rsidRPr="00DE25AD" w:rsidRDefault="005C5B03" w:rsidP="005C5B03">
            <w:pPr>
              <w:pStyle w:val="ACCESSTableHeaderRow"/>
            </w:pPr>
          </w:p>
        </w:tc>
        <w:tc>
          <w:tcPr>
            <w:tcW w:w="879" w:type="dxa"/>
            <w:shd w:val="clear" w:color="auto" w:fill="auto"/>
            <w:vAlign w:val="bottom"/>
          </w:tcPr>
          <w:p w14:paraId="40D54F6F" w14:textId="77777777" w:rsidR="005C5B03" w:rsidRPr="00DE25AD" w:rsidRDefault="005C5B03" w:rsidP="005C5B03">
            <w:pPr>
              <w:pStyle w:val="ACCESSTableHeaderRow"/>
            </w:pPr>
          </w:p>
        </w:tc>
        <w:tc>
          <w:tcPr>
            <w:tcW w:w="879" w:type="dxa"/>
            <w:shd w:val="clear" w:color="auto" w:fill="auto"/>
            <w:vAlign w:val="bottom"/>
          </w:tcPr>
          <w:p w14:paraId="52552E1D" w14:textId="77777777" w:rsidR="005C5B03" w:rsidRPr="00DE25AD" w:rsidRDefault="005C5B03" w:rsidP="005C5B03">
            <w:pPr>
              <w:pStyle w:val="ACCESSTableHeaderRow"/>
            </w:pPr>
          </w:p>
        </w:tc>
      </w:tr>
      <w:tr w:rsidR="005C5B03" w:rsidRPr="00DE25AD" w14:paraId="16337DE3" w14:textId="77777777" w:rsidTr="005C5B03">
        <w:tc>
          <w:tcPr>
            <w:tcW w:w="1517" w:type="dxa"/>
            <w:tcMar>
              <w:left w:w="57" w:type="dxa"/>
            </w:tcMar>
          </w:tcPr>
          <w:p w14:paraId="5904CC61" w14:textId="330CA514" w:rsidR="005C5B03" w:rsidRDefault="005C5B03" w:rsidP="005C5B03">
            <w:pPr>
              <w:pStyle w:val="ACCESSTableHeaderRow"/>
            </w:pPr>
            <w:r w:rsidRPr="00DE25AD">
              <w:t>Recency</w:t>
            </w:r>
          </w:p>
        </w:tc>
        <w:tc>
          <w:tcPr>
            <w:tcW w:w="1068" w:type="dxa"/>
            <w:shd w:val="clear" w:color="auto" w:fill="auto"/>
            <w:tcMar>
              <w:left w:w="57" w:type="dxa"/>
            </w:tcMar>
            <w:vAlign w:val="center"/>
          </w:tcPr>
          <w:p w14:paraId="28219495" w14:textId="0725CE01" w:rsidR="005C5B03" w:rsidRPr="00DE25AD" w:rsidRDefault="005C5B03" w:rsidP="005C5B03">
            <w:pPr>
              <w:pStyle w:val="ASSAD2017ACCESSBody1"/>
            </w:pPr>
            <w:r w:rsidRPr="005C5B03">
              <w:rPr>
                <w:b/>
                <w:bCs w:val="0"/>
              </w:rPr>
              <w:t>Sex</w:t>
            </w:r>
          </w:p>
        </w:tc>
        <w:tc>
          <w:tcPr>
            <w:tcW w:w="878" w:type="dxa"/>
            <w:shd w:val="clear" w:color="auto" w:fill="auto"/>
          </w:tcPr>
          <w:p w14:paraId="2B4DEED3" w14:textId="77777777" w:rsidR="005C5B03" w:rsidRPr="00DE25AD" w:rsidRDefault="005C5B03" w:rsidP="005C5B03">
            <w:pPr>
              <w:pStyle w:val="ASSADACCESStablecentre"/>
            </w:pPr>
          </w:p>
        </w:tc>
        <w:tc>
          <w:tcPr>
            <w:tcW w:w="879" w:type="dxa"/>
            <w:shd w:val="clear" w:color="auto" w:fill="auto"/>
          </w:tcPr>
          <w:p w14:paraId="67CFCE32" w14:textId="77777777" w:rsidR="005C5B03" w:rsidRPr="00DE25AD" w:rsidRDefault="005C5B03" w:rsidP="005C5B03">
            <w:pPr>
              <w:pStyle w:val="ASSADACCESStablecentre"/>
            </w:pPr>
          </w:p>
        </w:tc>
        <w:tc>
          <w:tcPr>
            <w:tcW w:w="879" w:type="dxa"/>
            <w:shd w:val="clear" w:color="auto" w:fill="auto"/>
          </w:tcPr>
          <w:p w14:paraId="2A264130" w14:textId="77777777" w:rsidR="005C5B03" w:rsidRPr="00DE25AD" w:rsidRDefault="005C5B03" w:rsidP="005C5B03">
            <w:pPr>
              <w:pStyle w:val="ASSADACCESStablecentre"/>
            </w:pPr>
          </w:p>
        </w:tc>
        <w:tc>
          <w:tcPr>
            <w:tcW w:w="879" w:type="dxa"/>
            <w:shd w:val="clear" w:color="auto" w:fill="auto"/>
          </w:tcPr>
          <w:p w14:paraId="189F8CEE" w14:textId="77777777" w:rsidR="005C5B03" w:rsidRPr="00DE25AD" w:rsidRDefault="005C5B03" w:rsidP="005C5B03">
            <w:pPr>
              <w:pStyle w:val="ASSADACCESStablecentre"/>
            </w:pPr>
          </w:p>
        </w:tc>
        <w:tc>
          <w:tcPr>
            <w:tcW w:w="879" w:type="dxa"/>
            <w:shd w:val="clear" w:color="auto" w:fill="auto"/>
          </w:tcPr>
          <w:p w14:paraId="3BEE4CAB" w14:textId="77777777" w:rsidR="005C5B03" w:rsidRPr="00DE25AD" w:rsidRDefault="005C5B03" w:rsidP="005C5B03">
            <w:pPr>
              <w:pStyle w:val="ASSADACCESStablecentre"/>
            </w:pPr>
          </w:p>
        </w:tc>
        <w:tc>
          <w:tcPr>
            <w:tcW w:w="879" w:type="dxa"/>
            <w:shd w:val="clear" w:color="auto" w:fill="auto"/>
          </w:tcPr>
          <w:p w14:paraId="40001D87" w14:textId="77777777" w:rsidR="005C5B03" w:rsidRPr="00DE25AD" w:rsidRDefault="005C5B03" w:rsidP="005C5B03">
            <w:pPr>
              <w:pStyle w:val="ASSADACCESStablecentre"/>
            </w:pPr>
          </w:p>
        </w:tc>
        <w:tc>
          <w:tcPr>
            <w:tcW w:w="879" w:type="dxa"/>
            <w:shd w:val="clear" w:color="auto" w:fill="auto"/>
          </w:tcPr>
          <w:p w14:paraId="5F79A2FA" w14:textId="77777777" w:rsidR="005C5B03" w:rsidRPr="00DE25AD" w:rsidRDefault="005C5B03" w:rsidP="005C5B03">
            <w:pPr>
              <w:pStyle w:val="ASSADACCESStablecentre"/>
            </w:pPr>
          </w:p>
        </w:tc>
        <w:tc>
          <w:tcPr>
            <w:tcW w:w="879" w:type="dxa"/>
            <w:shd w:val="clear" w:color="auto" w:fill="auto"/>
          </w:tcPr>
          <w:p w14:paraId="586E2FFA" w14:textId="77777777" w:rsidR="005C5B03" w:rsidRPr="00DE25AD" w:rsidRDefault="005C5B03" w:rsidP="005C5B03">
            <w:pPr>
              <w:pStyle w:val="ASSADACCESStablecentre"/>
            </w:pPr>
          </w:p>
        </w:tc>
      </w:tr>
      <w:tr w:rsidR="009A7EC3" w:rsidRPr="00DE25AD" w14:paraId="3F2376C2" w14:textId="77777777" w:rsidTr="005C5B03">
        <w:tc>
          <w:tcPr>
            <w:tcW w:w="1517" w:type="dxa"/>
            <w:tcMar>
              <w:left w:w="57" w:type="dxa"/>
            </w:tcMar>
          </w:tcPr>
          <w:p w14:paraId="50712ECD"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211D574D" w14:textId="77777777" w:rsidR="009A7EC3" w:rsidRPr="00DE25AD" w:rsidRDefault="009A7EC3" w:rsidP="009A7EC3">
            <w:pPr>
              <w:pStyle w:val="ASSAD2017ACCESSBody1"/>
            </w:pPr>
            <w:r w:rsidRPr="00DE25AD">
              <w:t>Male</w:t>
            </w:r>
          </w:p>
        </w:tc>
        <w:tc>
          <w:tcPr>
            <w:tcW w:w="878" w:type="dxa"/>
            <w:shd w:val="clear" w:color="auto" w:fill="auto"/>
          </w:tcPr>
          <w:p w14:paraId="7DAADCDE" w14:textId="4DECEBA3" w:rsidR="009A7EC3" w:rsidRPr="00DE25AD" w:rsidRDefault="009A7EC3" w:rsidP="009A7EC3">
            <w:pPr>
              <w:pStyle w:val="ASSADACCESStablecentre"/>
            </w:pPr>
            <w:r w:rsidRPr="002E5727">
              <w:rPr>
                <w:bCs w:val="0"/>
                <w:color w:val="000000"/>
              </w:rPr>
              <w:t>97*</w:t>
            </w:r>
          </w:p>
        </w:tc>
        <w:tc>
          <w:tcPr>
            <w:tcW w:w="879" w:type="dxa"/>
            <w:shd w:val="clear" w:color="auto" w:fill="auto"/>
          </w:tcPr>
          <w:p w14:paraId="1EE81DD2" w14:textId="1518A874" w:rsidR="009A7EC3" w:rsidRPr="00DE25AD" w:rsidRDefault="009A7EC3" w:rsidP="009A7EC3">
            <w:pPr>
              <w:pStyle w:val="ASSADACCESStablecentre"/>
            </w:pPr>
            <w:r w:rsidRPr="002E5727">
              <w:rPr>
                <w:bCs w:val="0"/>
                <w:color w:val="000000"/>
              </w:rPr>
              <w:t>95*^</w:t>
            </w:r>
          </w:p>
        </w:tc>
        <w:tc>
          <w:tcPr>
            <w:tcW w:w="879" w:type="dxa"/>
            <w:shd w:val="clear" w:color="auto" w:fill="auto"/>
          </w:tcPr>
          <w:p w14:paraId="49CCCDCA" w14:textId="6E03349E" w:rsidR="009A7EC3" w:rsidRPr="00DE25AD" w:rsidRDefault="009A7EC3" w:rsidP="009A7EC3">
            <w:pPr>
              <w:pStyle w:val="ASSADACCESStablecentre"/>
            </w:pPr>
            <w:r w:rsidRPr="002E5727">
              <w:rPr>
                <w:bCs w:val="0"/>
                <w:color w:val="000000"/>
              </w:rPr>
              <w:t>93^</w:t>
            </w:r>
          </w:p>
        </w:tc>
        <w:tc>
          <w:tcPr>
            <w:tcW w:w="879" w:type="dxa"/>
            <w:shd w:val="clear" w:color="auto" w:fill="auto"/>
          </w:tcPr>
          <w:p w14:paraId="50FFA9AE" w14:textId="0C06805F" w:rsidR="009A7EC3" w:rsidRPr="00DE25AD" w:rsidRDefault="009A7EC3" w:rsidP="009A7EC3">
            <w:pPr>
              <w:pStyle w:val="ASSADACCESStablecentre"/>
            </w:pPr>
            <w:r w:rsidRPr="002E5727">
              <w:rPr>
                <w:bCs w:val="0"/>
                <w:color w:val="000000"/>
              </w:rPr>
              <w:t>92^</w:t>
            </w:r>
          </w:p>
        </w:tc>
        <w:tc>
          <w:tcPr>
            <w:tcW w:w="879" w:type="dxa"/>
            <w:shd w:val="clear" w:color="auto" w:fill="auto"/>
          </w:tcPr>
          <w:p w14:paraId="7B1D563E" w14:textId="7077706F" w:rsidR="009A7EC3" w:rsidRPr="00DE25AD" w:rsidRDefault="009A7EC3" w:rsidP="009A7EC3">
            <w:pPr>
              <w:pStyle w:val="ASSADACCESStablecentre"/>
            </w:pPr>
            <w:r w:rsidRPr="002E5727">
              <w:rPr>
                <w:bCs w:val="0"/>
                <w:color w:val="000000"/>
              </w:rPr>
              <w:t>93^</w:t>
            </w:r>
          </w:p>
        </w:tc>
        <w:tc>
          <w:tcPr>
            <w:tcW w:w="879" w:type="dxa"/>
            <w:shd w:val="clear" w:color="auto" w:fill="auto"/>
          </w:tcPr>
          <w:p w14:paraId="2F828727" w14:textId="31214DCF" w:rsidR="009A7EC3" w:rsidRPr="00DE25AD" w:rsidRDefault="009A7EC3" w:rsidP="009A7EC3">
            <w:pPr>
              <w:pStyle w:val="ASSADACCESStablecentre"/>
            </w:pPr>
            <w:r w:rsidRPr="002E5727">
              <w:rPr>
                <w:bCs w:val="0"/>
                <w:color w:val="000000"/>
              </w:rPr>
              <w:t>95</w:t>
            </w:r>
            <w:r>
              <w:rPr>
                <w:bCs w:val="0"/>
                <w:color w:val="000000"/>
              </w:rPr>
              <w:t>*</w:t>
            </w:r>
            <w:r w:rsidRPr="002E5727">
              <w:rPr>
                <w:bCs w:val="0"/>
                <w:color w:val="000000"/>
              </w:rPr>
              <w:t>^</w:t>
            </w:r>
          </w:p>
        </w:tc>
        <w:tc>
          <w:tcPr>
            <w:tcW w:w="879" w:type="dxa"/>
            <w:shd w:val="clear" w:color="auto" w:fill="auto"/>
          </w:tcPr>
          <w:p w14:paraId="3D87BC1C" w14:textId="65B2BEDC" w:rsidR="009A7EC3" w:rsidRPr="00DE25AD" w:rsidRDefault="009A7EC3" w:rsidP="009A7EC3">
            <w:pPr>
              <w:pStyle w:val="ASSADACCESStablecentre"/>
            </w:pPr>
            <w:r w:rsidRPr="002E5727">
              <w:rPr>
                <w:bCs w:val="0"/>
                <w:color w:val="000000"/>
              </w:rPr>
              <w:t>93^</w:t>
            </w:r>
          </w:p>
        </w:tc>
        <w:tc>
          <w:tcPr>
            <w:tcW w:w="879" w:type="dxa"/>
            <w:shd w:val="clear" w:color="auto" w:fill="auto"/>
          </w:tcPr>
          <w:p w14:paraId="1B4848F4" w14:textId="1550F4C3" w:rsidR="009A7EC3" w:rsidRPr="00DE25AD" w:rsidRDefault="009A7EC3" w:rsidP="009A7EC3">
            <w:pPr>
              <w:pStyle w:val="ASSADACCESStablecentre"/>
            </w:pPr>
            <w:r w:rsidRPr="002E5727">
              <w:rPr>
                <w:bCs w:val="0"/>
                <w:color w:val="000000"/>
              </w:rPr>
              <w:t>9</w:t>
            </w:r>
            <w:r>
              <w:rPr>
                <w:bCs w:val="0"/>
                <w:color w:val="000000"/>
              </w:rPr>
              <w:t>2</w:t>
            </w:r>
            <w:r w:rsidRPr="002E5727">
              <w:rPr>
                <w:bCs w:val="0"/>
                <w:color w:val="000000"/>
              </w:rPr>
              <w:t>^</w:t>
            </w:r>
          </w:p>
        </w:tc>
      </w:tr>
      <w:tr w:rsidR="009A7EC3" w:rsidRPr="00DE25AD" w14:paraId="42D2B24A" w14:textId="77777777" w:rsidTr="005C5B03">
        <w:tc>
          <w:tcPr>
            <w:tcW w:w="1517" w:type="dxa"/>
            <w:tcMar>
              <w:left w:w="57" w:type="dxa"/>
            </w:tcMar>
          </w:tcPr>
          <w:p w14:paraId="4E8FBA35" w14:textId="77777777" w:rsidR="009A7EC3" w:rsidRPr="00DE25AD" w:rsidRDefault="009A7EC3" w:rsidP="009A7EC3">
            <w:pPr>
              <w:pStyle w:val="ACCESSTableHeaderRow"/>
            </w:pPr>
          </w:p>
        </w:tc>
        <w:tc>
          <w:tcPr>
            <w:tcW w:w="1068" w:type="dxa"/>
            <w:shd w:val="clear" w:color="auto" w:fill="auto"/>
            <w:tcMar>
              <w:left w:w="57" w:type="dxa"/>
            </w:tcMar>
            <w:vAlign w:val="bottom"/>
          </w:tcPr>
          <w:p w14:paraId="7AE752E6" w14:textId="77777777" w:rsidR="009A7EC3" w:rsidRPr="00DE25AD" w:rsidRDefault="009A7EC3" w:rsidP="009A7EC3">
            <w:pPr>
              <w:pStyle w:val="ASSAD2017ACCESSBody1"/>
            </w:pPr>
            <w:r w:rsidRPr="00DE25AD">
              <w:t>Female</w:t>
            </w:r>
          </w:p>
        </w:tc>
        <w:tc>
          <w:tcPr>
            <w:tcW w:w="878" w:type="dxa"/>
            <w:shd w:val="clear" w:color="auto" w:fill="auto"/>
          </w:tcPr>
          <w:p w14:paraId="176444FB" w14:textId="5DCA9376" w:rsidR="009A7EC3" w:rsidRPr="00DE25AD" w:rsidRDefault="009A7EC3" w:rsidP="009A7EC3">
            <w:pPr>
              <w:pStyle w:val="ASSADACCESStablecentre"/>
            </w:pPr>
            <w:r w:rsidRPr="002E5727">
              <w:rPr>
                <w:bCs w:val="0"/>
                <w:color w:val="000000"/>
              </w:rPr>
              <w:t>98*</w:t>
            </w:r>
          </w:p>
        </w:tc>
        <w:tc>
          <w:tcPr>
            <w:tcW w:w="879" w:type="dxa"/>
            <w:shd w:val="clear" w:color="auto" w:fill="auto"/>
          </w:tcPr>
          <w:p w14:paraId="7CB71BBC" w14:textId="3F87FFAB" w:rsidR="009A7EC3" w:rsidRPr="00DE25AD" w:rsidRDefault="009A7EC3" w:rsidP="009A7EC3">
            <w:pPr>
              <w:pStyle w:val="ASSADACCESStablecentre"/>
            </w:pPr>
            <w:r w:rsidRPr="002E5727">
              <w:rPr>
                <w:bCs w:val="0"/>
                <w:color w:val="000000"/>
              </w:rPr>
              <w:t>97</w:t>
            </w:r>
            <w:r>
              <w:rPr>
                <w:bCs w:val="0"/>
                <w:color w:val="000000"/>
              </w:rPr>
              <w:t>^</w:t>
            </w:r>
          </w:p>
        </w:tc>
        <w:tc>
          <w:tcPr>
            <w:tcW w:w="879" w:type="dxa"/>
            <w:shd w:val="clear" w:color="auto" w:fill="auto"/>
          </w:tcPr>
          <w:p w14:paraId="17AFF13D" w14:textId="5F6808E1" w:rsidR="009A7EC3" w:rsidRPr="00DE25AD" w:rsidRDefault="009A7EC3" w:rsidP="009A7EC3">
            <w:pPr>
              <w:pStyle w:val="ASSADACCESStablecentre"/>
            </w:pPr>
            <w:r w:rsidRPr="002E5727">
              <w:rPr>
                <w:bCs w:val="0"/>
                <w:color w:val="000000"/>
              </w:rPr>
              <w:t>95^</w:t>
            </w:r>
          </w:p>
        </w:tc>
        <w:tc>
          <w:tcPr>
            <w:tcW w:w="879" w:type="dxa"/>
            <w:shd w:val="clear" w:color="auto" w:fill="auto"/>
          </w:tcPr>
          <w:p w14:paraId="53C6610A" w14:textId="35297DB3" w:rsidR="009A7EC3" w:rsidRPr="00DE25AD" w:rsidRDefault="009A7EC3" w:rsidP="009A7EC3">
            <w:pPr>
              <w:pStyle w:val="ASSADACCESStablecentre"/>
            </w:pPr>
            <w:r w:rsidRPr="002E5727">
              <w:rPr>
                <w:bCs w:val="0"/>
                <w:color w:val="000000"/>
              </w:rPr>
              <w:t>96^</w:t>
            </w:r>
          </w:p>
        </w:tc>
        <w:tc>
          <w:tcPr>
            <w:tcW w:w="879" w:type="dxa"/>
            <w:shd w:val="clear" w:color="auto" w:fill="auto"/>
          </w:tcPr>
          <w:p w14:paraId="7C859917" w14:textId="13C80D54" w:rsidR="009A7EC3" w:rsidRPr="00DE25AD" w:rsidRDefault="009A7EC3" w:rsidP="009A7EC3">
            <w:pPr>
              <w:pStyle w:val="ASSADACCESStablecentre"/>
            </w:pPr>
            <w:r w:rsidRPr="002E5727">
              <w:rPr>
                <w:bCs w:val="0"/>
                <w:color w:val="000000"/>
              </w:rPr>
              <w:t>97^</w:t>
            </w:r>
          </w:p>
        </w:tc>
        <w:tc>
          <w:tcPr>
            <w:tcW w:w="879" w:type="dxa"/>
            <w:shd w:val="clear" w:color="auto" w:fill="auto"/>
          </w:tcPr>
          <w:p w14:paraId="2C4F0D1B" w14:textId="7CB4060F" w:rsidR="009A7EC3" w:rsidRPr="00DE25AD" w:rsidRDefault="009A7EC3" w:rsidP="009A7EC3">
            <w:pPr>
              <w:pStyle w:val="ASSADACCESStablecentre"/>
            </w:pPr>
            <w:r w:rsidRPr="002E5727">
              <w:rPr>
                <w:bCs w:val="0"/>
                <w:color w:val="000000"/>
              </w:rPr>
              <w:t>97^</w:t>
            </w:r>
          </w:p>
        </w:tc>
        <w:tc>
          <w:tcPr>
            <w:tcW w:w="879" w:type="dxa"/>
            <w:shd w:val="clear" w:color="auto" w:fill="auto"/>
          </w:tcPr>
          <w:p w14:paraId="6FB68120" w14:textId="215976A5" w:rsidR="009A7EC3" w:rsidRPr="00DE25AD" w:rsidRDefault="009A7EC3" w:rsidP="009A7EC3">
            <w:pPr>
              <w:pStyle w:val="ASSADACCESStablecentre"/>
            </w:pPr>
            <w:r w:rsidRPr="002E5727">
              <w:rPr>
                <w:bCs w:val="0"/>
                <w:color w:val="000000"/>
              </w:rPr>
              <w:t>97^</w:t>
            </w:r>
          </w:p>
        </w:tc>
        <w:tc>
          <w:tcPr>
            <w:tcW w:w="879" w:type="dxa"/>
            <w:shd w:val="clear" w:color="auto" w:fill="auto"/>
          </w:tcPr>
          <w:p w14:paraId="47848AEE" w14:textId="002961E6" w:rsidR="009A7EC3" w:rsidRPr="00DE25AD" w:rsidRDefault="009A7EC3" w:rsidP="009A7EC3">
            <w:pPr>
              <w:pStyle w:val="ASSADACCESStablecentre"/>
            </w:pPr>
            <w:r w:rsidRPr="002E5727">
              <w:rPr>
                <w:bCs w:val="0"/>
                <w:color w:val="000000"/>
              </w:rPr>
              <w:t>96^</w:t>
            </w:r>
          </w:p>
        </w:tc>
      </w:tr>
      <w:tr w:rsidR="009A7EC3" w:rsidRPr="00DE25AD" w14:paraId="74F95665" w14:textId="77777777" w:rsidTr="005C5B03">
        <w:tc>
          <w:tcPr>
            <w:tcW w:w="1517" w:type="dxa"/>
            <w:tcMar>
              <w:left w:w="57" w:type="dxa"/>
            </w:tcMar>
          </w:tcPr>
          <w:p w14:paraId="280E94F4" w14:textId="77777777" w:rsidR="009A7EC3" w:rsidRPr="00DE25AD" w:rsidRDefault="009A7EC3" w:rsidP="009A7EC3">
            <w:pPr>
              <w:pStyle w:val="ACCESSTableHeaderRow"/>
            </w:pPr>
          </w:p>
        </w:tc>
        <w:tc>
          <w:tcPr>
            <w:tcW w:w="1068" w:type="dxa"/>
            <w:shd w:val="clear" w:color="auto" w:fill="auto"/>
            <w:tcMar>
              <w:left w:w="57" w:type="dxa"/>
            </w:tcMar>
            <w:vAlign w:val="bottom"/>
          </w:tcPr>
          <w:p w14:paraId="527526D6" w14:textId="77777777" w:rsidR="009A7EC3" w:rsidRPr="00DE25AD" w:rsidRDefault="009A7EC3" w:rsidP="009A7EC3">
            <w:pPr>
              <w:pStyle w:val="ASSAD2017ACCESSBody1"/>
            </w:pPr>
            <w:r w:rsidRPr="00DE25AD">
              <w:t>Total</w:t>
            </w:r>
          </w:p>
        </w:tc>
        <w:tc>
          <w:tcPr>
            <w:tcW w:w="878" w:type="dxa"/>
            <w:shd w:val="clear" w:color="auto" w:fill="auto"/>
          </w:tcPr>
          <w:p w14:paraId="735FC38B" w14:textId="4E9D72BF" w:rsidR="009A7EC3" w:rsidRPr="00DE25AD" w:rsidRDefault="009A7EC3" w:rsidP="009A7EC3">
            <w:pPr>
              <w:pStyle w:val="ASSADACCESStablecentre"/>
            </w:pPr>
            <w:r w:rsidRPr="002E5727">
              <w:rPr>
                <w:bCs w:val="0"/>
                <w:color w:val="000000"/>
              </w:rPr>
              <w:t>97*</w:t>
            </w:r>
          </w:p>
        </w:tc>
        <w:tc>
          <w:tcPr>
            <w:tcW w:w="879" w:type="dxa"/>
            <w:shd w:val="clear" w:color="auto" w:fill="auto"/>
          </w:tcPr>
          <w:p w14:paraId="3BDDA99A" w14:textId="0947DA17" w:rsidR="009A7EC3" w:rsidRPr="00DE25AD" w:rsidRDefault="009A7EC3" w:rsidP="009A7EC3">
            <w:pPr>
              <w:pStyle w:val="ASSADACCESStablecentre"/>
            </w:pPr>
            <w:r w:rsidRPr="002E5727">
              <w:rPr>
                <w:bCs w:val="0"/>
                <w:color w:val="000000"/>
              </w:rPr>
              <w:t>96*^</w:t>
            </w:r>
          </w:p>
        </w:tc>
        <w:tc>
          <w:tcPr>
            <w:tcW w:w="879" w:type="dxa"/>
            <w:shd w:val="clear" w:color="auto" w:fill="auto"/>
          </w:tcPr>
          <w:p w14:paraId="41C04765" w14:textId="248657E8" w:rsidR="009A7EC3" w:rsidRPr="00DE25AD" w:rsidRDefault="009A7EC3" w:rsidP="009A7EC3">
            <w:pPr>
              <w:pStyle w:val="ASSADACCESStablecentre"/>
            </w:pPr>
            <w:r w:rsidRPr="002E5727">
              <w:rPr>
                <w:bCs w:val="0"/>
                <w:color w:val="000000"/>
              </w:rPr>
              <w:t>94^</w:t>
            </w:r>
          </w:p>
        </w:tc>
        <w:tc>
          <w:tcPr>
            <w:tcW w:w="879" w:type="dxa"/>
            <w:shd w:val="clear" w:color="auto" w:fill="auto"/>
          </w:tcPr>
          <w:p w14:paraId="087FCE5A" w14:textId="50E737EC" w:rsidR="009A7EC3" w:rsidRPr="00DE25AD" w:rsidRDefault="009A7EC3" w:rsidP="009A7EC3">
            <w:pPr>
              <w:pStyle w:val="ASSADACCESStablecentre"/>
            </w:pPr>
            <w:r w:rsidRPr="002E5727">
              <w:rPr>
                <w:bCs w:val="0"/>
                <w:color w:val="000000"/>
              </w:rPr>
              <w:t>94^</w:t>
            </w:r>
          </w:p>
        </w:tc>
        <w:tc>
          <w:tcPr>
            <w:tcW w:w="879" w:type="dxa"/>
            <w:shd w:val="clear" w:color="auto" w:fill="auto"/>
          </w:tcPr>
          <w:p w14:paraId="2A1C1250" w14:textId="51592E01" w:rsidR="009A7EC3" w:rsidRPr="00DE25AD" w:rsidRDefault="009A7EC3" w:rsidP="009A7EC3">
            <w:pPr>
              <w:pStyle w:val="ASSADACCESStablecentre"/>
            </w:pPr>
            <w:r w:rsidRPr="002E5727">
              <w:rPr>
                <w:bCs w:val="0"/>
                <w:color w:val="000000"/>
              </w:rPr>
              <w:t>95^</w:t>
            </w:r>
          </w:p>
        </w:tc>
        <w:tc>
          <w:tcPr>
            <w:tcW w:w="879" w:type="dxa"/>
            <w:shd w:val="clear" w:color="auto" w:fill="auto"/>
          </w:tcPr>
          <w:p w14:paraId="11F742B5" w14:textId="6546AAF6" w:rsidR="009A7EC3" w:rsidRPr="00DE25AD" w:rsidRDefault="009A7EC3" w:rsidP="009A7EC3">
            <w:pPr>
              <w:pStyle w:val="ASSADACCESStablecentre"/>
            </w:pPr>
            <w:r w:rsidRPr="002E5727">
              <w:rPr>
                <w:bCs w:val="0"/>
                <w:color w:val="000000"/>
              </w:rPr>
              <w:t>96</w:t>
            </w:r>
            <w:r>
              <w:rPr>
                <w:bCs w:val="0"/>
                <w:color w:val="000000"/>
              </w:rPr>
              <w:t>*</w:t>
            </w:r>
            <w:r w:rsidRPr="002E5727">
              <w:rPr>
                <w:bCs w:val="0"/>
                <w:color w:val="000000"/>
              </w:rPr>
              <w:t>^</w:t>
            </w:r>
          </w:p>
        </w:tc>
        <w:tc>
          <w:tcPr>
            <w:tcW w:w="879" w:type="dxa"/>
            <w:shd w:val="clear" w:color="auto" w:fill="auto"/>
          </w:tcPr>
          <w:p w14:paraId="55C6E3B5" w14:textId="63198DF6" w:rsidR="009A7EC3" w:rsidRPr="00DE25AD" w:rsidRDefault="009A7EC3" w:rsidP="009A7EC3">
            <w:pPr>
              <w:pStyle w:val="ASSADACCESStablecentre"/>
            </w:pPr>
            <w:r w:rsidRPr="002E5727">
              <w:rPr>
                <w:bCs w:val="0"/>
                <w:color w:val="000000"/>
              </w:rPr>
              <w:t>95^</w:t>
            </w:r>
          </w:p>
        </w:tc>
        <w:tc>
          <w:tcPr>
            <w:tcW w:w="879" w:type="dxa"/>
            <w:shd w:val="clear" w:color="auto" w:fill="auto"/>
          </w:tcPr>
          <w:p w14:paraId="4A1A7B4F" w14:textId="6667F41A" w:rsidR="009A7EC3" w:rsidRPr="00DE25AD" w:rsidRDefault="009A7EC3" w:rsidP="009A7EC3">
            <w:pPr>
              <w:pStyle w:val="ASSADACCESStablecentre"/>
            </w:pPr>
            <w:r w:rsidRPr="002E5727">
              <w:rPr>
                <w:bCs w:val="0"/>
                <w:color w:val="000000"/>
              </w:rPr>
              <w:t>9</w:t>
            </w:r>
            <w:r>
              <w:rPr>
                <w:bCs w:val="0"/>
                <w:color w:val="000000"/>
              </w:rPr>
              <w:t>4</w:t>
            </w:r>
            <w:r w:rsidRPr="002E5727">
              <w:rPr>
                <w:bCs w:val="0"/>
                <w:color w:val="000000"/>
              </w:rPr>
              <w:t>^</w:t>
            </w:r>
          </w:p>
        </w:tc>
      </w:tr>
      <w:tr w:rsidR="009A7EC3" w:rsidRPr="00DE25AD" w14:paraId="7E28E6C1" w14:textId="77777777" w:rsidTr="00545FF4">
        <w:tc>
          <w:tcPr>
            <w:tcW w:w="1517" w:type="dxa"/>
            <w:tcMar>
              <w:left w:w="57" w:type="dxa"/>
            </w:tcMar>
          </w:tcPr>
          <w:p w14:paraId="1C745296"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3590FB91" w14:textId="77777777" w:rsidR="009A7EC3" w:rsidRPr="00DE25AD" w:rsidRDefault="009A7EC3" w:rsidP="009A7EC3">
            <w:pPr>
              <w:pStyle w:val="ASSAD2017ACCESSBody1"/>
            </w:pPr>
            <w:r w:rsidRPr="00DE25AD">
              <w:t>Male</w:t>
            </w:r>
          </w:p>
        </w:tc>
        <w:tc>
          <w:tcPr>
            <w:tcW w:w="878" w:type="dxa"/>
            <w:shd w:val="clear" w:color="auto" w:fill="auto"/>
          </w:tcPr>
          <w:p w14:paraId="160FB090" w14:textId="3D0C6C34" w:rsidR="009A7EC3" w:rsidRPr="00DE25AD" w:rsidRDefault="009A7EC3" w:rsidP="009A7EC3">
            <w:pPr>
              <w:pStyle w:val="ASSADACCESStablecentre"/>
            </w:pPr>
            <w:r w:rsidRPr="002E5727">
              <w:rPr>
                <w:bCs w:val="0"/>
                <w:color w:val="000000"/>
              </w:rPr>
              <w:t>94*</w:t>
            </w:r>
          </w:p>
        </w:tc>
        <w:tc>
          <w:tcPr>
            <w:tcW w:w="879" w:type="dxa"/>
            <w:shd w:val="clear" w:color="auto" w:fill="auto"/>
          </w:tcPr>
          <w:p w14:paraId="72F53157" w14:textId="209FC9CE" w:rsidR="009A7EC3" w:rsidRPr="00DE25AD" w:rsidRDefault="009A7EC3" w:rsidP="009A7EC3">
            <w:pPr>
              <w:pStyle w:val="ASSADACCESStablecentre"/>
            </w:pPr>
            <w:r w:rsidRPr="002E5727">
              <w:rPr>
                <w:bCs w:val="0"/>
                <w:color w:val="000000"/>
              </w:rPr>
              <w:t>92*^</w:t>
            </w:r>
          </w:p>
        </w:tc>
        <w:tc>
          <w:tcPr>
            <w:tcW w:w="879" w:type="dxa"/>
            <w:shd w:val="clear" w:color="auto" w:fill="auto"/>
          </w:tcPr>
          <w:p w14:paraId="4372DD2D" w14:textId="2D0D9F2E" w:rsidR="009A7EC3" w:rsidRPr="00DE25AD" w:rsidRDefault="009A7EC3" w:rsidP="009A7EC3">
            <w:pPr>
              <w:pStyle w:val="ASSADACCESStablecentre"/>
            </w:pPr>
            <w:r w:rsidRPr="002E5727">
              <w:rPr>
                <w:bCs w:val="0"/>
                <w:color w:val="000000"/>
              </w:rPr>
              <w:t>89^</w:t>
            </w:r>
          </w:p>
        </w:tc>
        <w:tc>
          <w:tcPr>
            <w:tcW w:w="879" w:type="dxa"/>
            <w:shd w:val="clear" w:color="auto" w:fill="auto"/>
          </w:tcPr>
          <w:p w14:paraId="289BE9E1" w14:textId="7EA07C27" w:rsidR="009A7EC3" w:rsidRPr="00DE25AD" w:rsidRDefault="009A7EC3" w:rsidP="009A7EC3">
            <w:pPr>
              <w:pStyle w:val="ASSADACCESStablecentre"/>
            </w:pPr>
            <w:r w:rsidRPr="002E5727">
              <w:rPr>
                <w:bCs w:val="0"/>
                <w:color w:val="000000"/>
              </w:rPr>
              <w:t>89^</w:t>
            </w:r>
          </w:p>
        </w:tc>
        <w:tc>
          <w:tcPr>
            <w:tcW w:w="879" w:type="dxa"/>
            <w:shd w:val="clear" w:color="auto" w:fill="auto"/>
          </w:tcPr>
          <w:p w14:paraId="0068311D" w14:textId="6DC7D934" w:rsidR="009A7EC3" w:rsidRPr="00DE25AD" w:rsidRDefault="009A7EC3" w:rsidP="009A7EC3">
            <w:pPr>
              <w:pStyle w:val="ASSADACCESStablecentre"/>
            </w:pPr>
            <w:r w:rsidRPr="002E5727">
              <w:rPr>
                <w:bCs w:val="0"/>
                <w:color w:val="000000"/>
              </w:rPr>
              <w:t>89^</w:t>
            </w:r>
          </w:p>
        </w:tc>
        <w:tc>
          <w:tcPr>
            <w:tcW w:w="879" w:type="dxa"/>
            <w:shd w:val="clear" w:color="auto" w:fill="auto"/>
          </w:tcPr>
          <w:p w14:paraId="3830C6E1" w14:textId="26E4959B" w:rsidR="009A7EC3" w:rsidRPr="00DE25AD" w:rsidRDefault="009A7EC3" w:rsidP="009A7EC3">
            <w:pPr>
              <w:pStyle w:val="ASSADACCESStablecentre"/>
            </w:pPr>
            <w:r w:rsidRPr="002E5727">
              <w:rPr>
                <w:bCs w:val="0"/>
                <w:color w:val="000000"/>
              </w:rPr>
              <w:t>9</w:t>
            </w:r>
            <w:r>
              <w:rPr>
                <w:bCs w:val="0"/>
                <w:color w:val="000000"/>
              </w:rPr>
              <w:t>1*</w:t>
            </w:r>
            <w:r w:rsidRPr="002E5727">
              <w:rPr>
                <w:bCs w:val="0"/>
                <w:color w:val="000000"/>
              </w:rPr>
              <w:t>^</w:t>
            </w:r>
          </w:p>
        </w:tc>
        <w:tc>
          <w:tcPr>
            <w:tcW w:w="879" w:type="dxa"/>
            <w:shd w:val="clear" w:color="auto" w:fill="auto"/>
          </w:tcPr>
          <w:p w14:paraId="424A790F" w14:textId="2A4C1C93" w:rsidR="009A7EC3" w:rsidRPr="00DE25AD" w:rsidRDefault="009A7EC3" w:rsidP="009A7EC3">
            <w:pPr>
              <w:pStyle w:val="ASSADACCESStablecentre"/>
            </w:pPr>
            <w:r w:rsidRPr="002E5727">
              <w:rPr>
                <w:bCs w:val="0"/>
                <w:color w:val="000000"/>
              </w:rPr>
              <w:t>89^</w:t>
            </w:r>
          </w:p>
        </w:tc>
        <w:tc>
          <w:tcPr>
            <w:tcW w:w="879" w:type="dxa"/>
            <w:shd w:val="clear" w:color="auto" w:fill="auto"/>
          </w:tcPr>
          <w:p w14:paraId="3E131C13" w14:textId="44F0EEE5" w:rsidR="009A7EC3" w:rsidRPr="00DE25AD" w:rsidRDefault="009A7EC3" w:rsidP="009A7EC3">
            <w:pPr>
              <w:pStyle w:val="ASSADACCESStablecentre"/>
            </w:pPr>
            <w:r w:rsidRPr="002E5727">
              <w:rPr>
                <w:bCs w:val="0"/>
                <w:color w:val="000000"/>
              </w:rPr>
              <w:t>88^</w:t>
            </w:r>
          </w:p>
        </w:tc>
      </w:tr>
      <w:tr w:rsidR="009A7EC3" w:rsidRPr="00DE25AD" w14:paraId="425F27A1" w14:textId="77777777" w:rsidTr="005C5B03">
        <w:tc>
          <w:tcPr>
            <w:tcW w:w="1517" w:type="dxa"/>
            <w:tcMar>
              <w:left w:w="57" w:type="dxa"/>
            </w:tcMar>
          </w:tcPr>
          <w:p w14:paraId="022982DD" w14:textId="77777777" w:rsidR="009A7EC3" w:rsidRPr="00DE25AD" w:rsidRDefault="009A7EC3" w:rsidP="009A7EC3">
            <w:pPr>
              <w:pStyle w:val="ACCESSTableHeaderRow"/>
            </w:pPr>
          </w:p>
        </w:tc>
        <w:tc>
          <w:tcPr>
            <w:tcW w:w="1068" w:type="dxa"/>
            <w:shd w:val="clear" w:color="auto" w:fill="auto"/>
            <w:tcMar>
              <w:left w:w="57" w:type="dxa"/>
            </w:tcMar>
            <w:vAlign w:val="bottom"/>
          </w:tcPr>
          <w:p w14:paraId="0D8DF86F" w14:textId="77777777" w:rsidR="009A7EC3" w:rsidRPr="00DE25AD" w:rsidRDefault="009A7EC3" w:rsidP="009A7EC3">
            <w:pPr>
              <w:pStyle w:val="ASSAD2017ACCESSBody1"/>
            </w:pPr>
            <w:r w:rsidRPr="00DE25AD">
              <w:t>Female</w:t>
            </w:r>
          </w:p>
        </w:tc>
        <w:tc>
          <w:tcPr>
            <w:tcW w:w="878" w:type="dxa"/>
            <w:shd w:val="clear" w:color="auto" w:fill="auto"/>
          </w:tcPr>
          <w:p w14:paraId="1A806AE2" w14:textId="6A09A992" w:rsidR="009A7EC3" w:rsidRPr="00DE25AD" w:rsidRDefault="009A7EC3" w:rsidP="009A7EC3">
            <w:pPr>
              <w:pStyle w:val="ASSADACCESStablecentre"/>
            </w:pPr>
            <w:r w:rsidRPr="002E5727">
              <w:rPr>
                <w:bCs w:val="0"/>
                <w:color w:val="000000"/>
              </w:rPr>
              <w:t>9</w:t>
            </w:r>
            <w:r>
              <w:rPr>
                <w:bCs w:val="0"/>
                <w:color w:val="000000"/>
              </w:rPr>
              <w:t>6</w:t>
            </w:r>
            <w:r w:rsidRPr="002E5727">
              <w:rPr>
                <w:bCs w:val="0"/>
                <w:color w:val="000000"/>
              </w:rPr>
              <w:t>*</w:t>
            </w:r>
          </w:p>
        </w:tc>
        <w:tc>
          <w:tcPr>
            <w:tcW w:w="879" w:type="dxa"/>
            <w:shd w:val="clear" w:color="auto" w:fill="auto"/>
          </w:tcPr>
          <w:p w14:paraId="4B911F31" w14:textId="0FBB32D7" w:rsidR="009A7EC3" w:rsidRPr="00DE25AD" w:rsidRDefault="009A7EC3" w:rsidP="009A7EC3">
            <w:pPr>
              <w:pStyle w:val="ASSADACCESStablecentre"/>
            </w:pPr>
            <w:r w:rsidRPr="002E5727">
              <w:rPr>
                <w:bCs w:val="0"/>
                <w:color w:val="000000"/>
              </w:rPr>
              <w:t>9</w:t>
            </w:r>
            <w:r>
              <w:rPr>
                <w:bCs w:val="0"/>
                <w:color w:val="000000"/>
              </w:rPr>
              <w:t>5^</w:t>
            </w:r>
          </w:p>
        </w:tc>
        <w:tc>
          <w:tcPr>
            <w:tcW w:w="879" w:type="dxa"/>
            <w:shd w:val="clear" w:color="auto" w:fill="auto"/>
          </w:tcPr>
          <w:p w14:paraId="19667265" w14:textId="1B9A0BB1" w:rsidR="009A7EC3" w:rsidRPr="00DE25AD" w:rsidRDefault="009A7EC3" w:rsidP="009A7EC3">
            <w:pPr>
              <w:pStyle w:val="ASSADACCESStablecentre"/>
            </w:pPr>
            <w:r>
              <w:rPr>
                <w:bCs w:val="0"/>
                <w:color w:val="000000"/>
              </w:rPr>
              <w:t>93</w:t>
            </w:r>
            <w:r w:rsidRPr="002E5727">
              <w:rPr>
                <w:bCs w:val="0"/>
                <w:color w:val="000000"/>
              </w:rPr>
              <w:t>^</w:t>
            </w:r>
          </w:p>
        </w:tc>
        <w:tc>
          <w:tcPr>
            <w:tcW w:w="879" w:type="dxa"/>
            <w:shd w:val="clear" w:color="auto" w:fill="auto"/>
          </w:tcPr>
          <w:p w14:paraId="0A3F4D22" w14:textId="7FBF57DE" w:rsidR="009A7EC3" w:rsidRPr="00DE25AD" w:rsidRDefault="009A7EC3" w:rsidP="009A7EC3">
            <w:pPr>
              <w:pStyle w:val="ASSADACCESStablecentre"/>
            </w:pPr>
            <w:r>
              <w:rPr>
                <w:bCs w:val="0"/>
                <w:color w:val="000000"/>
              </w:rPr>
              <w:t>93</w:t>
            </w:r>
            <w:r w:rsidRPr="002E5727">
              <w:rPr>
                <w:bCs w:val="0"/>
                <w:color w:val="000000"/>
              </w:rPr>
              <w:t>^</w:t>
            </w:r>
          </w:p>
        </w:tc>
        <w:tc>
          <w:tcPr>
            <w:tcW w:w="879" w:type="dxa"/>
            <w:shd w:val="clear" w:color="auto" w:fill="auto"/>
          </w:tcPr>
          <w:p w14:paraId="397ECCEC" w14:textId="6A9AE64B" w:rsidR="009A7EC3" w:rsidRPr="00DE25AD" w:rsidRDefault="009A7EC3" w:rsidP="009A7EC3">
            <w:pPr>
              <w:pStyle w:val="ASSADACCESStablecentre"/>
            </w:pPr>
            <w:r>
              <w:rPr>
                <w:bCs w:val="0"/>
                <w:color w:val="000000"/>
              </w:rPr>
              <w:t>94</w:t>
            </w:r>
            <w:r w:rsidRPr="002E5727">
              <w:rPr>
                <w:bCs w:val="0"/>
                <w:color w:val="000000"/>
              </w:rPr>
              <w:t>^</w:t>
            </w:r>
          </w:p>
        </w:tc>
        <w:tc>
          <w:tcPr>
            <w:tcW w:w="879" w:type="dxa"/>
            <w:shd w:val="clear" w:color="auto" w:fill="auto"/>
          </w:tcPr>
          <w:p w14:paraId="50883CB8" w14:textId="5381B4D2" w:rsidR="009A7EC3" w:rsidRPr="00DE25AD" w:rsidRDefault="009A7EC3" w:rsidP="009A7EC3">
            <w:pPr>
              <w:pStyle w:val="ASSADACCESStablecentre"/>
            </w:pPr>
            <w:r w:rsidRPr="002E5727">
              <w:rPr>
                <w:bCs w:val="0"/>
                <w:color w:val="000000"/>
              </w:rPr>
              <w:t>9</w:t>
            </w:r>
            <w:r>
              <w:rPr>
                <w:bCs w:val="0"/>
                <w:color w:val="000000"/>
              </w:rPr>
              <w:t>5</w:t>
            </w:r>
            <w:r w:rsidRPr="002E5727">
              <w:rPr>
                <w:bCs w:val="0"/>
                <w:color w:val="000000"/>
              </w:rPr>
              <w:t>^</w:t>
            </w:r>
          </w:p>
        </w:tc>
        <w:tc>
          <w:tcPr>
            <w:tcW w:w="879" w:type="dxa"/>
            <w:shd w:val="clear" w:color="auto" w:fill="auto"/>
          </w:tcPr>
          <w:p w14:paraId="158E4786" w14:textId="3202B382" w:rsidR="009A7EC3" w:rsidRPr="00DE25AD" w:rsidRDefault="009A7EC3" w:rsidP="009A7EC3">
            <w:pPr>
              <w:pStyle w:val="ASSADACCESStablecentre"/>
            </w:pPr>
            <w:r>
              <w:rPr>
                <w:bCs w:val="0"/>
                <w:color w:val="000000"/>
              </w:rPr>
              <w:t>95^</w:t>
            </w:r>
          </w:p>
        </w:tc>
        <w:tc>
          <w:tcPr>
            <w:tcW w:w="879" w:type="dxa"/>
            <w:shd w:val="clear" w:color="auto" w:fill="auto"/>
          </w:tcPr>
          <w:p w14:paraId="0E5A89A5" w14:textId="2CAD4630" w:rsidR="009A7EC3" w:rsidRPr="00DE25AD" w:rsidRDefault="009A7EC3" w:rsidP="009A7EC3">
            <w:pPr>
              <w:pStyle w:val="ASSADACCESStablecentre"/>
            </w:pPr>
            <w:r>
              <w:rPr>
                <w:bCs w:val="0"/>
                <w:color w:val="000000"/>
              </w:rPr>
              <w:t>94</w:t>
            </w:r>
            <w:r w:rsidRPr="002E5727">
              <w:rPr>
                <w:bCs w:val="0"/>
                <w:color w:val="000000"/>
              </w:rPr>
              <w:t>^</w:t>
            </w:r>
          </w:p>
        </w:tc>
      </w:tr>
      <w:tr w:rsidR="009A7EC3" w:rsidRPr="00DE25AD" w14:paraId="4005FD50" w14:textId="77777777" w:rsidTr="005C5B03">
        <w:tc>
          <w:tcPr>
            <w:tcW w:w="1517" w:type="dxa"/>
            <w:tcMar>
              <w:left w:w="57" w:type="dxa"/>
            </w:tcMar>
          </w:tcPr>
          <w:p w14:paraId="5780172A" w14:textId="77777777" w:rsidR="009A7EC3" w:rsidRPr="00DE25AD" w:rsidRDefault="009A7EC3" w:rsidP="009A7EC3">
            <w:pPr>
              <w:pStyle w:val="ACCESSTableHeaderRow"/>
            </w:pPr>
          </w:p>
        </w:tc>
        <w:tc>
          <w:tcPr>
            <w:tcW w:w="1068" w:type="dxa"/>
            <w:shd w:val="clear" w:color="auto" w:fill="auto"/>
            <w:tcMar>
              <w:left w:w="57" w:type="dxa"/>
            </w:tcMar>
            <w:vAlign w:val="bottom"/>
          </w:tcPr>
          <w:p w14:paraId="680591A1" w14:textId="77777777" w:rsidR="009A7EC3" w:rsidRPr="00DE25AD" w:rsidRDefault="009A7EC3" w:rsidP="009A7EC3">
            <w:pPr>
              <w:pStyle w:val="ASSAD2017ACCESSBody1"/>
            </w:pPr>
            <w:r w:rsidRPr="00DE25AD">
              <w:t>Total</w:t>
            </w:r>
          </w:p>
        </w:tc>
        <w:tc>
          <w:tcPr>
            <w:tcW w:w="878" w:type="dxa"/>
            <w:shd w:val="clear" w:color="auto" w:fill="auto"/>
          </w:tcPr>
          <w:p w14:paraId="38B0B27E" w14:textId="0E6A6F9D" w:rsidR="009A7EC3" w:rsidRPr="00DE25AD" w:rsidRDefault="009A7EC3" w:rsidP="009A7EC3">
            <w:pPr>
              <w:pStyle w:val="ASSADACCESStablecentre"/>
            </w:pPr>
            <w:r w:rsidRPr="002E5727">
              <w:rPr>
                <w:bCs w:val="0"/>
                <w:color w:val="000000"/>
              </w:rPr>
              <w:t>95*</w:t>
            </w:r>
          </w:p>
        </w:tc>
        <w:tc>
          <w:tcPr>
            <w:tcW w:w="879" w:type="dxa"/>
            <w:shd w:val="clear" w:color="auto" w:fill="auto"/>
          </w:tcPr>
          <w:p w14:paraId="6DBC5FEA" w14:textId="24489B26" w:rsidR="009A7EC3" w:rsidRPr="00DE25AD" w:rsidRDefault="009A7EC3" w:rsidP="009A7EC3">
            <w:pPr>
              <w:pStyle w:val="ASSADACCESStablecentre"/>
            </w:pPr>
            <w:r w:rsidRPr="002E5727">
              <w:rPr>
                <w:bCs w:val="0"/>
                <w:color w:val="000000"/>
              </w:rPr>
              <w:t>93*^</w:t>
            </w:r>
          </w:p>
        </w:tc>
        <w:tc>
          <w:tcPr>
            <w:tcW w:w="879" w:type="dxa"/>
            <w:shd w:val="clear" w:color="auto" w:fill="auto"/>
          </w:tcPr>
          <w:p w14:paraId="6EB89389" w14:textId="1074D4BA" w:rsidR="009A7EC3" w:rsidRPr="00DE25AD" w:rsidRDefault="009A7EC3" w:rsidP="009A7EC3">
            <w:pPr>
              <w:pStyle w:val="ASSADACCESStablecentre"/>
            </w:pPr>
            <w:r w:rsidRPr="002E5727">
              <w:rPr>
                <w:bCs w:val="0"/>
                <w:color w:val="000000"/>
              </w:rPr>
              <w:t>91^</w:t>
            </w:r>
          </w:p>
        </w:tc>
        <w:tc>
          <w:tcPr>
            <w:tcW w:w="879" w:type="dxa"/>
            <w:shd w:val="clear" w:color="auto" w:fill="auto"/>
          </w:tcPr>
          <w:p w14:paraId="3A00CE9A" w14:textId="6D11A7D4" w:rsidR="009A7EC3" w:rsidRPr="00DE25AD" w:rsidRDefault="009A7EC3" w:rsidP="009A7EC3">
            <w:pPr>
              <w:pStyle w:val="ASSADACCESStablecentre"/>
            </w:pPr>
            <w:r w:rsidRPr="002E5727">
              <w:rPr>
                <w:bCs w:val="0"/>
                <w:color w:val="000000"/>
              </w:rPr>
              <w:t>91^</w:t>
            </w:r>
          </w:p>
        </w:tc>
        <w:tc>
          <w:tcPr>
            <w:tcW w:w="879" w:type="dxa"/>
            <w:shd w:val="clear" w:color="auto" w:fill="auto"/>
          </w:tcPr>
          <w:p w14:paraId="4C02D012" w14:textId="59605C10" w:rsidR="009A7EC3" w:rsidRPr="00DE25AD" w:rsidRDefault="009A7EC3" w:rsidP="009A7EC3">
            <w:pPr>
              <w:pStyle w:val="ASSADACCESStablecentre"/>
            </w:pPr>
            <w:r w:rsidRPr="002E5727">
              <w:rPr>
                <w:bCs w:val="0"/>
                <w:color w:val="000000"/>
              </w:rPr>
              <w:t>91^</w:t>
            </w:r>
          </w:p>
        </w:tc>
        <w:tc>
          <w:tcPr>
            <w:tcW w:w="879" w:type="dxa"/>
            <w:shd w:val="clear" w:color="auto" w:fill="auto"/>
          </w:tcPr>
          <w:p w14:paraId="22F5327C" w14:textId="60B8A8F4" w:rsidR="009A7EC3" w:rsidRPr="00DE25AD" w:rsidRDefault="009A7EC3" w:rsidP="009A7EC3">
            <w:pPr>
              <w:pStyle w:val="ASSADACCESStablecentre"/>
            </w:pPr>
            <w:r w:rsidRPr="002E5727">
              <w:rPr>
                <w:bCs w:val="0"/>
                <w:color w:val="000000"/>
              </w:rPr>
              <w:t>93</w:t>
            </w:r>
            <w:r>
              <w:rPr>
                <w:bCs w:val="0"/>
                <w:color w:val="000000"/>
              </w:rPr>
              <w:t>*</w:t>
            </w:r>
            <w:r w:rsidRPr="002E5727">
              <w:rPr>
                <w:bCs w:val="0"/>
                <w:color w:val="000000"/>
              </w:rPr>
              <w:t>^</w:t>
            </w:r>
          </w:p>
        </w:tc>
        <w:tc>
          <w:tcPr>
            <w:tcW w:w="879" w:type="dxa"/>
            <w:shd w:val="clear" w:color="auto" w:fill="auto"/>
          </w:tcPr>
          <w:p w14:paraId="339E80C3" w14:textId="27367BFF" w:rsidR="009A7EC3" w:rsidRPr="00DE25AD" w:rsidRDefault="009A7EC3" w:rsidP="009A7EC3">
            <w:pPr>
              <w:pStyle w:val="ASSADACCESStablecentre"/>
            </w:pPr>
            <w:r w:rsidRPr="002E5727">
              <w:rPr>
                <w:bCs w:val="0"/>
                <w:color w:val="000000"/>
              </w:rPr>
              <w:t>92^</w:t>
            </w:r>
          </w:p>
        </w:tc>
        <w:tc>
          <w:tcPr>
            <w:tcW w:w="879" w:type="dxa"/>
            <w:shd w:val="clear" w:color="auto" w:fill="auto"/>
          </w:tcPr>
          <w:p w14:paraId="62BE77C7" w14:textId="703FB9EE" w:rsidR="009A7EC3" w:rsidRPr="00DE25AD" w:rsidRDefault="009A7EC3" w:rsidP="009A7EC3">
            <w:pPr>
              <w:pStyle w:val="ASSADACCESStablecentre"/>
            </w:pPr>
            <w:r w:rsidRPr="002E5727">
              <w:rPr>
                <w:bCs w:val="0"/>
                <w:color w:val="000000"/>
              </w:rPr>
              <w:t>91^</w:t>
            </w:r>
          </w:p>
        </w:tc>
      </w:tr>
      <w:tr w:rsidR="009A7EC3" w:rsidRPr="00DE25AD" w14:paraId="73DEA72C" w14:textId="77777777" w:rsidTr="005C5B03">
        <w:tc>
          <w:tcPr>
            <w:tcW w:w="1517" w:type="dxa"/>
            <w:tcMar>
              <w:left w:w="57" w:type="dxa"/>
            </w:tcMar>
          </w:tcPr>
          <w:p w14:paraId="40D3AEBE"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13E39035" w14:textId="77777777" w:rsidR="009A7EC3" w:rsidRPr="00DE25AD" w:rsidRDefault="009A7EC3" w:rsidP="009A7EC3">
            <w:pPr>
              <w:pStyle w:val="ASSAD2017ACCESSBody1"/>
            </w:pPr>
            <w:r w:rsidRPr="00DE25AD">
              <w:t>Male</w:t>
            </w:r>
          </w:p>
        </w:tc>
        <w:tc>
          <w:tcPr>
            <w:tcW w:w="878" w:type="dxa"/>
            <w:shd w:val="clear" w:color="auto" w:fill="auto"/>
          </w:tcPr>
          <w:p w14:paraId="1C200B49" w14:textId="57CCC690" w:rsidR="009A7EC3" w:rsidRPr="00DE25AD" w:rsidRDefault="009A7EC3" w:rsidP="009A7EC3">
            <w:pPr>
              <w:pStyle w:val="ASSADACCESStablecentre"/>
            </w:pPr>
            <w:r w:rsidRPr="002E5727">
              <w:rPr>
                <w:bCs w:val="0"/>
                <w:color w:val="000000"/>
              </w:rPr>
              <w:t>67*</w:t>
            </w:r>
          </w:p>
        </w:tc>
        <w:tc>
          <w:tcPr>
            <w:tcW w:w="879" w:type="dxa"/>
            <w:shd w:val="clear" w:color="auto" w:fill="auto"/>
          </w:tcPr>
          <w:p w14:paraId="145DB4AE" w14:textId="65EA59C0" w:rsidR="009A7EC3" w:rsidRPr="00DE25AD" w:rsidRDefault="009A7EC3" w:rsidP="009A7EC3">
            <w:pPr>
              <w:pStyle w:val="ASSADACCESStablecentre"/>
            </w:pPr>
            <w:r w:rsidRPr="002E5727">
              <w:rPr>
                <w:bCs w:val="0"/>
                <w:color w:val="000000"/>
              </w:rPr>
              <w:t>66*</w:t>
            </w:r>
          </w:p>
        </w:tc>
        <w:tc>
          <w:tcPr>
            <w:tcW w:w="879" w:type="dxa"/>
            <w:shd w:val="clear" w:color="auto" w:fill="auto"/>
          </w:tcPr>
          <w:p w14:paraId="69E943C9" w14:textId="6A8219FA" w:rsidR="009A7EC3" w:rsidRPr="00DE25AD" w:rsidRDefault="009A7EC3" w:rsidP="009A7EC3">
            <w:pPr>
              <w:pStyle w:val="ASSADACCESStablecentre"/>
            </w:pPr>
            <w:r w:rsidRPr="002E5727">
              <w:rPr>
                <w:bCs w:val="0"/>
                <w:color w:val="000000"/>
              </w:rPr>
              <w:t>63*^</w:t>
            </w:r>
          </w:p>
        </w:tc>
        <w:tc>
          <w:tcPr>
            <w:tcW w:w="879" w:type="dxa"/>
            <w:shd w:val="clear" w:color="auto" w:fill="auto"/>
          </w:tcPr>
          <w:p w14:paraId="34DA6849" w14:textId="1C2B75FF" w:rsidR="009A7EC3" w:rsidRPr="00DE25AD" w:rsidRDefault="009A7EC3" w:rsidP="009A7EC3">
            <w:pPr>
              <w:pStyle w:val="ASSADACCESStablecentre"/>
            </w:pPr>
            <w:r w:rsidRPr="002E5727">
              <w:rPr>
                <w:bCs w:val="0"/>
                <w:color w:val="000000"/>
              </w:rPr>
              <w:t>62*^</w:t>
            </w:r>
          </w:p>
        </w:tc>
        <w:tc>
          <w:tcPr>
            <w:tcW w:w="879" w:type="dxa"/>
            <w:shd w:val="clear" w:color="auto" w:fill="auto"/>
          </w:tcPr>
          <w:p w14:paraId="39DF926F" w14:textId="4A5A79DF" w:rsidR="009A7EC3" w:rsidRPr="00DE25AD" w:rsidRDefault="009A7EC3" w:rsidP="009A7EC3">
            <w:pPr>
              <w:pStyle w:val="ASSADACCESStablecentre"/>
            </w:pPr>
            <w:r w:rsidRPr="002E5727">
              <w:rPr>
                <w:bCs w:val="0"/>
                <w:color w:val="000000"/>
              </w:rPr>
              <w:t>63*^</w:t>
            </w:r>
          </w:p>
        </w:tc>
        <w:tc>
          <w:tcPr>
            <w:tcW w:w="879" w:type="dxa"/>
            <w:shd w:val="clear" w:color="auto" w:fill="auto"/>
          </w:tcPr>
          <w:p w14:paraId="510184F7" w14:textId="0C024FBC" w:rsidR="009A7EC3" w:rsidRPr="00DE25AD" w:rsidRDefault="009A7EC3" w:rsidP="009A7EC3">
            <w:pPr>
              <w:pStyle w:val="ASSADACCESStablecentre"/>
            </w:pPr>
            <w:r w:rsidRPr="002E5727">
              <w:rPr>
                <w:bCs w:val="0"/>
                <w:color w:val="000000"/>
              </w:rPr>
              <w:t>61</w:t>
            </w:r>
            <w:r>
              <w:rPr>
                <w:bCs w:val="0"/>
                <w:color w:val="000000"/>
              </w:rPr>
              <w:t>*</w:t>
            </w:r>
            <w:r w:rsidRPr="002E5727">
              <w:rPr>
                <w:bCs w:val="0"/>
                <w:color w:val="000000"/>
              </w:rPr>
              <w:t>^</w:t>
            </w:r>
          </w:p>
        </w:tc>
        <w:tc>
          <w:tcPr>
            <w:tcW w:w="879" w:type="dxa"/>
            <w:shd w:val="clear" w:color="auto" w:fill="auto"/>
          </w:tcPr>
          <w:p w14:paraId="4256CD00" w14:textId="4FB98C1A" w:rsidR="009A7EC3" w:rsidRPr="00DE25AD" w:rsidRDefault="009A7EC3" w:rsidP="009A7EC3">
            <w:pPr>
              <w:pStyle w:val="ASSADACCESStablecentre"/>
            </w:pPr>
            <w:r w:rsidRPr="002E5727">
              <w:rPr>
                <w:bCs w:val="0"/>
                <w:color w:val="000000"/>
              </w:rPr>
              <w:t>60</w:t>
            </w:r>
            <w:r>
              <w:rPr>
                <w:bCs w:val="0"/>
                <w:color w:val="000000"/>
              </w:rPr>
              <w:t>*</w:t>
            </w:r>
            <w:r w:rsidRPr="002E5727">
              <w:rPr>
                <w:bCs w:val="0"/>
                <w:color w:val="000000"/>
              </w:rPr>
              <w:t>^</w:t>
            </w:r>
          </w:p>
        </w:tc>
        <w:tc>
          <w:tcPr>
            <w:tcW w:w="879" w:type="dxa"/>
            <w:shd w:val="clear" w:color="auto" w:fill="auto"/>
          </w:tcPr>
          <w:p w14:paraId="1703479A" w14:textId="1C40B31D" w:rsidR="009A7EC3" w:rsidRPr="00DE25AD" w:rsidRDefault="009A7EC3" w:rsidP="009A7EC3">
            <w:pPr>
              <w:pStyle w:val="ASSADACCESStablecentre"/>
            </w:pPr>
            <w:r w:rsidRPr="002E5727">
              <w:rPr>
                <w:bCs w:val="0"/>
                <w:color w:val="000000"/>
              </w:rPr>
              <w:t>56^</w:t>
            </w:r>
          </w:p>
        </w:tc>
      </w:tr>
      <w:tr w:rsidR="009A7EC3" w:rsidRPr="00DE25AD" w14:paraId="510F4A51" w14:textId="77777777" w:rsidTr="005C5B03">
        <w:tc>
          <w:tcPr>
            <w:tcW w:w="1517" w:type="dxa"/>
            <w:tcMar>
              <w:left w:w="57" w:type="dxa"/>
            </w:tcMar>
          </w:tcPr>
          <w:p w14:paraId="3FC04715" w14:textId="77777777" w:rsidR="009A7EC3" w:rsidRPr="00DE25AD" w:rsidRDefault="009A7EC3" w:rsidP="009A7EC3">
            <w:pPr>
              <w:pStyle w:val="ACCESSTableHeaderRow"/>
            </w:pPr>
          </w:p>
        </w:tc>
        <w:tc>
          <w:tcPr>
            <w:tcW w:w="1068" w:type="dxa"/>
            <w:shd w:val="clear" w:color="auto" w:fill="auto"/>
            <w:tcMar>
              <w:left w:w="57" w:type="dxa"/>
            </w:tcMar>
            <w:vAlign w:val="bottom"/>
          </w:tcPr>
          <w:p w14:paraId="4E73D375" w14:textId="77777777" w:rsidR="009A7EC3" w:rsidRPr="00DE25AD" w:rsidRDefault="009A7EC3" w:rsidP="009A7EC3">
            <w:pPr>
              <w:pStyle w:val="ASSAD2017ACCESSBody1"/>
            </w:pPr>
            <w:r w:rsidRPr="00DE25AD">
              <w:t>Female</w:t>
            </w:r>
          </w:p>
        </w:tc>
        <w:tc>
          <w:tcPr>
            <w:tcW w:w="878" w:type="dxa"/>
            <w:shd w:val="clear" w:color="auto" w:fill="auto"/>
          </w:tcPr>
          <w:p w14:paraId="4C841FBF" w14:textId="79242810" w:rsidR="009A7EC3" w:rsidRPr="00DE25AD" w:rsidRDefault="009A7EC3" w:rsidP="009A7EC3">
            <w:pPr>
              <w:pStyle w:val="ASSADACCESStablecentre"/>
            </w:pPr>
            <w:r w:rsidRPr="002E5727">
              <w:rPr>
                <w:bCs w:val="0"/>
                <w:color w:val="000000"/>
              </w:rPr>
              <w:t>77*</w:t>
            </w:r>
          </w:p>
        </w:tc>
        <w:tc>
          <w:tcPr>
            <w:tcW w:w="879" w:type="dxa"/>
            <w:shd w:val="clear" w:color="auto" w:fill="auto"/>
          </w:tcPr>
          <w:p w14:paraId="03C2BFFA" w14:textId="7B21E76B" w:rsidR="009A7EC3" w:rsidRPr="00DE25AD" w:rsidRDefault="009A7EC3" w:rsidP="009A7EC3">
            <w:pPr>
              <w:pStyle w:val="ASSADACCESStablecentre"/>
            </w:pPr>
            <w:r w:rsidRPr="002E5727">
              <w:rPr>
                <w:bCs w:val="0"/>
                <w:color w:val="000000"/>
              </w:rPr>
              <w:t>76*</w:t>
            </w:r>
          </w:p>
        </w:tc>
        <w:tc>
          <w:tcPr>
            <w:tcW w:w="879" w:type="dxa"/>
            <w:shd w:val="clear" w:color="auto" w:fill="auto"/>
          </w:tcPr>
          <w:p w14:paraId="614B8846" w14:textId="5EB7EC94" w:rsidR="009A7EC3" w:rsidRPr="00DE25AD" w:rsidRDefault="009A7EC3" w:rsidP="009A7EC3">
            <w:pPr>
              <w:pStyle w:val="ASSADACCESStablecentre"/>
            </w:pPr>
            <w:r w:rsidRPr="002E5727">
              <w:rPr>
                <w:bCs w:val="0"/>
                <w:color w:val="000000"/>
              </w:rPr>
              <w:t>74^</w:t>
            </w:r>
          </w:p>
        </w:tc>
        <w:tc>
          <w:tcPr>
            <w:tcW w:w="879" w:type="dxa"/>
            <w:shd w:val="clear" w:color="auto" w:fill="auto"/>
          </w:tcPr>
          <w:p w14:paraId="29B7D6F3" w14:textId="50FBDB95" w:rsidR="009A7EC3" w:rsidRPr="00DE25AD" w:rsidRDefault="009A7EC3" w:rsidP="009A7EC3">
            <w:pPr>
              <w:pStyle w:val="ASSADACCESStablecentre"/>
            </w:pPr>
            <w:r w:rsidRPr="002E5727">
              <w:rPr>
                <w:bCs w:val="0"/>
                <w:color w:val="000000"/>
              </w:rPr>
              <w:t>74^</w:t>
            </w:r>
          </w:p>
        </w:tc>
        <w:tc>
          <w:tcPr>
            <w:tcW w:w="879" w:type="dxa"/>
            <w:shd w:val="clear" w:color="auto" w:fill="auto"/>
          </w:tcPr>
          <w:p w14:paraId="0CBDE2E0" w14:textId="6923B998" w:rsidR="009A7EC3" w:rsidRPr="00DE25AD" w:rsidRDefault="009A7EC3" w:rsidP="009A7EC3">
            <w:pPr>
              <w:pStyle w:val="ASSADACCESStablecentre"/>
            </w:pPr>
            <w:r w:rsidRPr="002E5727">
              <w:rPr>
                <w:bCs w:val="0"/>
                <w:color w:val="000000"/>
              </w:rPr>
              <w:t>74^</w:t>
            </w:r>
          </w:p>
        </w:tc>
        <w:tc>
          <w:tcPr>
            <w:tcW w:w="879" w:type="dxa"/>
            <w:shd w:val="clear" w:color="auto" w:fill="auto"/>
          </w:tcPr>
          <w:p w14:paraId="6BB5607F" w14:textId="1A93ED96" w:rsidR="009A7EC3" w:rsidRPr="00DE25AD" w:rsidRDefault="009A7EC3" w:rsidP="009A7EC3">
            <w:pPr>
              <w:pStyle w:val="ASSADACCESStablecentre"/>
            </w:pPr>
            <w:r w:rsidRPr="002E5727">
              <w:rPr>
                <w:bCs w:val="0"/>
                <w:color w:val="000000"/>
              </w:rPr>
              <w:t>74^</w:t>
            </w:r>
          </w:p>
        </w:tc>
        <w:tc>
          <w:tcPr>
            <w:tcW w:w="879" w:type="dxa"/>
            <w:shd w:val="clear" w:color="auto" w:fill="auto"/>
          </w:tcPr>
          <w:p w14:paraId="2843E006" w14:textId="380E6683" w:rsidR="009A7EC3" w:rsidRPr="00DE25AD" w:rsidRDefault="009A7EC3" w:rsidP="009A7EC3">
            <w:pPr>
              <w:pStyle w:val="ASSADACCESStablecentre"/>
            </w:pPr>
            <w:r w:rsidRPr="002E5727">
              <w:rPr>
                <w:bCs w:val="0"/>
                <w:color w:val="000000"/>
              </w:rPr>
              <w:t>74</w:t>
            </w:r>
            <w:r>
              <w:rPr>
                <w:bCs w:val="0"/>
                <w:color w:val="000000"/>
              </w:rPr>
              <w:t>^</w:t>
            </w:r>
          </w:p>
        </w:tc>
        <w:tc>
          <w:tcPr>
            <w:tcW w:w="879" w:type="dxa"/>
            <w:shd w:val="clear" w:color="auto" w:fill="auto"/>
          </w:tcPr>
          <w:p w14:paraId="4EF611A2" w14:textId="1B7F9352" w:rsidR="009A7EC3" w:rsidRPr="00DE25AD" w:rsidRDefault="009A7EC3" w:rsidP="009A7EC3">
            <w:pPr>
              <w:pStyle w:val="ASSADACCESStablecentre"/>
            </w:pPr>
            <w:r w:rsidRPr="002E5727">
              <w:rPr>
                <w:bCs w:val="0"/>
                <w:color w:val="000000"/>
              </w:rPr>
              <w:t>72^</w:t>
            </w:r>
          </w:p>
        </w:tc>
      </w:tr>
      <w:tr w:rsidR="009A7EC3" w:rsidRPr="00DE25AD" w14:paraId="651FD88F" w14:textId="77777777" w:rsidTr="005C5B03">
        <w:tc>
          <w:tcPr>
            <w:tcW w:w="1517" w:type="dxa"/>
            <w:tcMar>
              <w:left w:w="57" w:type="dxa"/>
            </w:tcMar>
          </w:tcPr>
          <w:p w14:paraId="52A2F6CB" w14:textId="77777777" w:rsidR="009A7EC3" w:rsidRPr="00DE25AD" w:rsidRDefault="009A7EC3" w:rsidP="009A7EC3">
            <w:pPr>
              <w:pStyle w:val="ACCESSTableHeaderRow"/>
            </w:pPr>
          </w:p>
        </w:tc>
        <w:tc>
          <w:tcPr>
            <w:tcW w:w="1068" w:type="dxa"/>
            <w:shd w:val="clear" w:color="auto" w:fill="auto"/>
            <w:tcMar>
              <w:left w:w="57" w:type="dxa"/>
            </w:tcMar>
            <w:vAlign w:val="bottom"/>
          </w:tcPr>
          <w:p w14:paraId="50E29CC4" w14:textId="77777777" w:rsidR="009A7EC3" w:rsidRPr="00DE25AD" w:rsidRDefault="009A7EC3" w:rsidP="009A7EC3">
            <w:pPr>
              <w:pStyle w:val="ASSAD2017ACCESSBody1"/>
            </w:pPr>
            <w:r w:rsidRPr="00DE25AD">
              <w:t>Total</w:t>
            </w:r>
          </w:p>
        </w:tc>
        <w:tc>
          <w:tcPr>
            <w:tcW w:w="878" w:type="dxa"/>
            <w:shd w:val="clear" w:color="auto" w:fill="auto"/>
          </w:tcPr>
          <w:p w14:paraId="20A4EEEF" w14:textId="08438191" w:rsidR="009A7EC3" w:rsidRPr="00DE25AD" w:rsidRDefault="009A7EC3" w:rsidP="009A7EC3">
            <w:pPr>
              <w:pStyle w:val="ASSADACCESStablecentre"/>
            </w:pPr>
            <w:r w:rsidRPr="002E5727">
              <w:rPr>
                <w:bCs w:val="0"/>
                <w:color w:val="000000"/>
              </w:rPr>
              <w:t>72*</w:t>
            </w:r>
          </w:p>
        </w:tc>
        <w:tc>
          <w:tcPr>
            <w:tcW w:w="879" w:type="dxa"/>
            <w:shd w:val="clear" w:color="auto" w:fill="auto"/>
          </w:tcPr>
          <w:p w14:paraId="726F1798" w14:textId="20CE43D0" w:rsidR="009A7EC3" w:rsidRPr="00DE25AD" w:rsidRDefault="009A7EC3" w:rsidP="009A7EC3">
            <w:pPr>
              <w:pStyle w:val="ASSADACCESStablecentre"/>
            </w:pPr>
            <w:r w:rsidRPr="002E5727">
              <w:rPr>
                <w:bCs w:val="0"/>
                <w:color w:val="000000"/>
              </w:rPr>
              <w:t>71*</w:t>
            </w:r>
          </w:p>
        </w:tc>
        <w:tc>
          <w:tcPr>
            <w:tcW w:w="879" w:type="dxa"/>
            <w:shd w:val="clear" w:color="auto" w:fill="auto"/>
          </w:tcPr>
          <w:p w14:paraId="2AE91B14" w14:textId="240C3584" w:rsidR="009A7EC3" w:rsidRPr="00DE25AD" w:rsidRDefault="009A7EC3" w:rsidP="009A7EC3">
            <w:pPr>
              <w:pStyle w:val="ASSADACCESStablecentre"/>
            </w:pPr>
            <w:r w:rsidRPr="002E5727">
              <w:rPr>
                <w:bCs w:val="0"/>
                <w:color w:val="000000"/>
              </w:rPr>
              <w:t>69*^</w:t>
            </w:r>
          </w:p>
        </w:tc>
        <w:tc>
          <w:tcPr>
            <w:tcW w:w="879" w:type="dxa"/>
            <w:shd w:val="clear" w:color="auto" w:fill="auto"/>
          </w:tcPr>
          <w:p w14:paraId="4BC0A7A8" w14:textId="036DD037" w:rsidR="009A7EC3" w:rsidRPr="00DE25AD" w:rsidRDefault="009A7EC3" w:rsidP="009A7EC3">
            <w:pPr>
              <w:pStyle w:val="ASSADACCESStablecentre"/>
            </w:pPr>
            <w:r w:rsidRPr="002E5727">
              <w:rPr>
                <w:bCs w:val="0"/>
                <w:color w:val="000000"/>
              </w:rPr>
              <w:t>68*^</w:t>
            </w:r>
          </w:p>
        </w:tc>
        <w:tc>
          <w:tcPr>
            <w:tcW w:w="879" w:type="dxa"/>
            <w:shd w:val="clear" w:color="auto" w:fill="auto"/>
          </w:tcPr>
          <w:p w14:paraId="38ECA642" w14:textId="26D9777E" w:rsidR="009A7EC3" w:rsidRPr="00DE25AD" w:rsidRDefault="009A7EC3" w:rsidP="009A7EC3">
            <w:pPr>
              <w:pStyle w:val="ASSADACCESStablecentre"/>
            </w:pPr>
            <w:r w:rsidRPr="002E5727">
              <w:rPr>
                <w:bCs w:val="0"/>
                <w:color w:val="000000"/>
              </w:rPr>
              <w:t>68*^</w:t>
            </w:r>
          </w:p>
        </w:tc>
        <w:tc>
          <w:tcPr>
            <w:tcW w:w="879" w:type="dxa"/>
            <w:shd w:val="clear" w:color="auto" w:fill="auto"/>
          </w:tcPr>
          <w:p w14:paraId="69B2FDBA" w14:textId="7FC9E85F" w:rsidR="009A7EC3" w:rsidRPr="00DE25AD" w:rsidRDefault="009A7EC3" w:rsidP="009A7EC3">
            <w:pPr>
              <w:pStyle w:val="ASSADACCESStablecentre"/>
            </w:pPr>
            <w:r w:rsidRPr="002E5727">
              <w:rPr>
                <w:bCs w:val="0"/>
                <w:color w:val="000000"/>
              </w:rPr>
              <w:t>67*^</w:t>
            </w:r>
          </w:p>
        </w:tc>
        <w:tc>
          <w:tcPr>
            <w:tcW w:w="879" w:type="dxa"/>
            <w:shd w:val="clear" w:color="auto" w:fill="auto"/>
          </w:tcPr>
          <w:p w14:paraId="12BCBAEA" w14:textId="7FE48F46" w:rsidR="009A7EC3" w:rsidRPr="00DE25AD" w:rsidRDefault="009A7EC3" w:rsidP="009A7EC3">
            <w:pPr>
              <w:pStyle w:val="ASSADACCESStablecentre"/>
            </w:pPr>
            <w:r w:rsidRPr="002E5727">
              <w:rPr>
                <w:bCs w:val="0"/>
                <w:color w:val="000000"/>
              </w:rPr>
              <w:t>67</w:t>
            </w:r>
            <w:r>
              <w:rPr>
                <w:bCs w:val="0"/>
                <w:color w:val="000000"/>
              </w:rPr>
              <w:t>*</w:t>
            </w:r>
            <w:r w:rsidRPr="002E5727">
              <w:rPr>
                <w:bCs w:val="0"/>
                <w:color w:val="000000"/>
              </w:rPr>
              <w:t>^</w:t>
            </w:r>
          </w:p>
        </w:tc>
        <w:tc>
          <w:tcPr>
            <w:tcW w:w="879" w:type="dxa"/>
            <w:shd w:val="clear" w:color="auto" w:fill="auto"/>
          </w:tcPr>
          <w:p w14:paraId="6D5B5D86" w14:textId="7E597FEA" w:rsidR="009A7EC3" w:rsidRPr="00DE25AD" w:rsidRDefault="009A7EC3" w:rsidP="009A7EC3">
            <w:pPr>
              <w:pStyle w:val="ASSADACCESStablecentre"/>
            </w:pPr>
            <w:r w:rsidRPr="002E5727">
              <w:rPr>
                <w:bCs w:val="0"/>
                <w:color w:val="000000"/>
              </w:rPr>
              <w:t>64^</w:t>
            </w:r>
          </w:p>
        </w:tc>
      </w:tr>
      <w:tr w:rsidR="009A7EC3" w:rsidRPr="00DE25AD" w14:paraId="66A14264" w14:textId="77777777" w:rsidTr="005C5B03">
        <w:tc>
          <w:tcPr>
            <w:tcW w:w="1517" w:type="dxa"/>
            <w:tcMar>
              <w:left w:w="57" w:type="dxa"/>
            </w:tcMar>
          </w:tcPr>
          <w:p w14:paraId="11C3E1F5" w14:textId="1F9310BB" w:rsidR="009A7EC3" w:rsidRPr="00DE25AD" w:rsidRDefault="009A7EC3" w:rsidP="009A7EC3">
            <w:pPr>
              <w:pStyle w:val="ACCESSTableHeaderRow"/>
            </w:pPr>
            <w:r>
              <w:t>Past week</w:t>
            </w:r>
          </w:p>
        </w:tc>
        <w:tc>
          <w:tcPr>
            <w:tcW w:w="1068" w:type="dxa"/>
            <w:shd w:val="clear" w:color="auto" w:fill="auto"/>
            <w:tcMar>
              <w:left w:w="57" w:type="dxa"/>
            </w:tcMar>
            <w:vAlign w:val="bottom"/>
          </w:tcPr>
          <w:p w14:paraId="22C03F16" w14:textId="77777777" w:rsidR="009A7EC3" w:rsidRPr="00DE25AD" w:rsidRDefault="009A7EC3" w:rsidP="009A7EC3">
            <w:pPr>
              <w:pStyle w:val="ASSAD2017ACCESSBody1"/>
            </w:pPr>
            <w:r w:rsidRPr="00DE25AD">
              <w:t>Male</w:t>
            </w:r>
          </w:p>
        </w:tc>
        <w:tc>
          <w:tcPr>
            <w:tcW w:w="878" w:type="dxa"/>
            <w:shd w:val="clear" w:color="auto" w:fill="auto"/>
          </w:tcPr>
          <w:p w14:paraId="4440E29E" w14:textId="4A8D2E37" w:rsidR="009A7EC3" w:rsidRPr="00DE25AD" w:rsidRDefault="009A7EC3" w:rsidP="009A7EC3">
            <w:pPr>
              <w:pStyle w:val="ASSADACCESStablecentre"/>
            </w:pPr>
            <w:r w:rsidRPr="002E5727">
              <w:rPr>
                <w:bCs w:val="0"/>
                <w:color w:val="000000"/>
              </w:rPr>
              <w:t>36*</w:t>
            </w:r>
          </w:p>
        </w:tc>
        <w:tc>
          <w:tcPr>
            <w:tcW w:w="879" w:type="dxa"/>
            <w:shd w:val="clear" w:color="auto" w:fill="auto"/>
          </w:tcPr>
          <w:p w14:paraId="0842A703" w14:textId="2532D7B6" w:rsidR="009A7EC3" w:rsidRPr="00DE25AD" w:rsidRDefault="009A7EC3" w:rsidP="009A7EC3">
            <w:pPr>
              <w:pStyle w:val="ASSADACCESStablecentre"/>
            </w:pPr>
            <w:r w:rsidRPr="002E5727">
              <w:rPr>
                <w:bCs w:val="0"/>
                <w:color w:val="000000"/>
              </w:rPr>
              <w:t>37*</w:t>
            </w:r>
          </w:p>
        </w:tc>
        <w:tc>
          <w:tcPr>
            <w:tcW w:w="879" w:type="dxa"/>
            <w:shd w:val="clear" w:color="auto" w:fill="auto"/>
          </w:tcPr>
          <w:p w14:paraId="000DC8E1" w14:textId="2A8A31E4" w:rsidR="009A7EC3" w:rsidRPr="00DE25AD" w:rsidRDefault="009A7EC3" w:rsidP="009A7EC3">
            <w:pPr>
              <w:pStyle w:val="ASSADACCESStablecentre"/>
            </w:pPr>
            <w:r w:rsidRPr="002E5727">
              <w:rPr>
                <w:bCs w:val="0"/>
                <w:color w:val="000000"/>
              </w:rPr>
              <w:t>36*</w:t>
            </w:r>
          </w:p>
        </w:tc>
        <w:tc>
          <w:tcPr>
            <w:tcW w:w="879" w:type="dxa"/>
            <w:shd w:val="clear" w:color="auto" w:fill="auto"/>
          </w:tcPr>
          <w:p w14:paraId="2BE0085A" w14:textId="12A8CA54" w:rsidR="009A7EC3" w:rsidRPr="00DE25AD" w:rsidRDefault="009A7EC3" w:rsidP="009A7EC3">
            <w:pPr>
              <w:pStyle w:val="ASSADACCESStablecentre"/>
            </w:pPr>
            <w:r w:rsidRPr="002E5727">
              <w:rPr>
                <w:bCs w:val="0"/>
                <w:color w:val="000000"/>
              </w:rPr>
              <w:t>35</w:t>
            </w:r>
          </w:p>
        </w:tc>
        <w:tc>
          <w:tcPr>
            <w:tcW w:w="879" w:type="dxa"/>
            <w:shd w:val="clear" w:color="auto" w:fill="auto"/>
          </w:tcPr>
          <w:p w14:paraId="4CAD2968" w14:textId="7066AB77" w:rsidR="009A7EC3" w:rsidRPr="00DE25AD" w:rsidRDefault="009A7EC3" w:rsidP="009A7EC3">
            <w:pPr>
              <w:pStyle w:val="ASSADACCESStablecentre"/>
            </w:pPr>
            <w:r w:rsidRPr="002E5727">
              <w:rPr>
                <w:bCs w:val="0"/>
                <w:color w:val="000000"/>
              </w:rPr>
              <w:t>35</w:t>
            </w:r>
            <w:r>
              <w:rPr>
                <w:bCs w:val="0"/>
                <w:color w:val="000000"/>
              </w:rPr>
              <w:t>*</w:t>
            </w:r>
          </w:p>
        </w:tc>
        <w:tc>
          <w:tcPr>
            <w:tcW w:w="879" w:type="dxa"/>
            <w:shd w:val="clear" w:color="auto" w:fill="auto"/>
          </w:tcPr>
          <w:p w14:paraId="2A1A518D" w14:textId="2DCCE1DA" w:rsidR="009A7EC3" w:rsidRPr="00DE25AD" w:rsidRDefault="009A7EC3" w:rsidP="009A7EC3">
            <w:pPr>
              <w:pStyle w:val="ASSADACCESStablecentre"/>
            </w:pPr>
            <w:r w:rsidRPr="002E5727">
              <w:rPr>
                <w:bCs w:val="0"/>
                <w:color w:val="000000"/>
              </w:rPr>
              <w:t>32^</w:t>
            </w:r>
          </w:p>
        </w:tc>
        <w:tc>
          <w:tcPr>
            <w:tcW w:w="879" w:type="dxa"/>
            <w:shd w:val="clear" w:color="auto" w:fill="auto"/>
          </w:tcPr>
          <w:p w14:paraId="4EB74EBC" w14:textId="28013825" w:rsidR="009A7EC3" w:rsidRPr="00DE25AD" w:rsidRDefault="009A7EC3" w:rsidP="009A7EC3">
            <w:pPr>
              <w:pStyle w:val="ASSADACCESStablecentre"/>
            </w:pPr>
            <w:r w:rsidRPr="002E5727">
              <w:rPr>
                <w:bCs w:val="0"/>
                <w:color w:val="000000"/>
              </w:rPr>
              <w:t>33^</w:t>
            </w:r>
          </w:p>
        </w:tc>
        <w:tc>
          <w:tcPr>
            <w:tcW w:w="879" w:type="dxa"/>
            <w:shd w:val="clear" w:color="auto" w:fill="auto"/>
          </w:tcPr>
          <w:p w14:paraId="69546B32" w14:textId="51D3B603" w:rsidR="009A7EC3" w:rsidRPr="00DE25AD" w:rsidRDefault="009A7EC3" w:rsidP="009A7EC3">
            <w:pPr>
              <w:pStyle w:val="ASSADACCESStablecentre"/>
            </w:pPr>
            <w:r w:rsidRPr="002E5727">
              <w:rPr>
                <w:bCs w:val="0"/>
                <w:color w:val="000000"/>
              </w:rPr>
              <w:t>31^</w:t>
            </w:r>
          </w:p>
        </w:tc>
      </w:tr>
      <w:tr w:rsidR="009A7EC3" w:rsidRPr="00DE25AD" w14:paraId="00AD11B9" w14:textId="77777777" w:rsidTr="005C5B03">
        <w:tc>
          <w:tcPr>
            <w:tcW w:w="1517" w:type="dxa"/>
            <w:tcMar>
              <w:left w:w="57" w:type="dxa"/>
            </w:tcMar>
          </w:tcPr>
          <w:p w14:paraId="537CDF60" w14:textId="77777777" w:rsidR="009A7EC3" w:rsidRPr="00DE25AD" w:rsidRDefault="009A7EC3" w:rsidP="009A7EC3">
            <w:pPr>
              <w:pStyle w:val="ACCESSTableHeaderRow"/>
            </w:pPr>
          </w:p>
        </w:tc>
        <w:tc>
          <w:tcPr>
            <w:tcW w:w="1068" w:type="dxa"/>
            <w:shd w:val="clear" w:color="auto" w:fill="auto"/>
            <w:tcMar>
              <w:left w:w="57" w:type="dxa"/>
            </w:tcMar>
            <w:vAlign w:val="bottom"/>
          </w:tcPr>
          <w:p w14:paraId="78925909" w14:textId="77777777" w:rsidR="009A7EC3" w:rsidRPr="00DE25AD" w:rsidRDefault="009A7EC3" w:rsidP="009A7EC3">
            <w:pPr>
              <w:pStyle w:val="ASSAD2017ACCESSBody1"/>
            </w:pPr>
            <w:r w:rsidRPr="00DE25AD">
              <w:t>Female</w:t>
            </w:r>
          </w:p>
        </w:tc>
        <w:tc>
          <w:tcPr>
            <w:tcW w:w="878" w:type="dxa"/>
            <w:shd w:val="clear" w:color="auto" w:fill="auto"/>
          </w:tcPr>
          <w:p w14:paraId="216EB571" w14:textId="41FA715F" w:rsidR="009A7EC3" w:rsidRPr="00DE25AD" w:rsidRDefault="009A7EC3" w:rsidP="009A7EC3">
            <w:pPr>
              <w:pStyle w:val="ASSADACCESStablecentre"/>
            </w:pPr>
            <w:r w:rsidRPr="002E5727">
              <w:rPr>
                <w:bCs w:val="0"/>
                <w:color w:val="000000"/>
              </w:rPr>
              <w:t>45*</w:t>
            </w:r>
          </w:p>
        </w:tc>
        <w:tc>
          <w:tcPr>
            <w:tcW w:w="879" w:type="dxa"/>
            <w:shd w:val="clear" w:color="auto" w:fill="auto"/>
          </w:tcPr>
          <w:p w14:paraId="2F337D9A" w14:textId="3FDC3303" w:rsidR="009A7EC3" w:rsidRPr="00DE25AD" w:rsidRDefault="009A7EC3" w:rsidP="009A7EC3">
            <w:pPr>
              <w:pStyle w:val="ASSADACCESStablecentre"/>
            </w:pPr>
            <w:r w:rsidRPr="002E5727">
              <w:rPr>
                <w:bCs w:val="0"/>
                <w:color w:val="000000"/>
              </w:rPr>
              <w:t>46*</w:t>
            </w:r>
          </w:p>
        </w:tc>
        <w:tc>
          <w:tcPr>
            <w:tcW w:w="879" w:type="dxa"/>
            <w:shd w:val="clear" w:color="auto" w:fill="auto"/>
          </w:tcPr>
          <w:p w14:paraId="656656B5" w14:textId="7D9DCA56" w:rsidR="009A7EC3" w:rsidRPr="00DE25AD" w:rsidRDefault="009A7EC3" w:rsidP="009A7EC3">
            <w:pPr>
              <w:pStyle w:val="ASSADACCESStablecentre"/>
            </w:pPr>
            <w:r w:rsidRPr="002E5727">
              <w:rPr>
                <w:bCs w:val="0"/>
                <w:color w:val="000000"/>
              </w:rPr>
              <w:t>43</w:t>
            </w:r>
          </w:p>
        </w:tc>
        <w:tc>
          <w:tcPr>
            <w:tcW w:w="879" w:type="dxa"/>
            <w:shd w:val="clear" w:color="auto" w:fill="auto"/>
          </w:tcPr>
          <w:p w14:paraId="22194ED3" w14:textId="296833B0" w:rsidR="009A7EC3" w:rsidRPr="00DE25AD" w:rsidRDefault="009A7EC3" w:rsidP="009A7EC3">
            <w:pPr>
              <w:pStyle w:val="ASSADACCESStablecentre"/>
            </w:pPr>
            <w:r w:rsidRPr="002E5727">
              <w:rPr>
                <w:bCs w:val="0"/>
                <w:color w:val="000000"/>
              </w:rPr>
              <w:t>44</w:t>
            </w:r>
          </w:p>
        </w:tc>
        <w:tc>
          <w:tcPr>
            <w:tcW w:w="879" w:type="dxa"/>
            <w:shd w:val="clear" w:color="auto" w:fill="auto"/>
          </w:tcPr>
          <w:p w14:paraId="3FF1ABCD" w14:textId="1D93B6E3" w:rsidR="009A7EC3" w:rsidRPr="00DE25AD" w:rsidRDefault="009A7EC3" w:rsidP="009A7EC3">
            <w:pPr>
              <w:pStyle w:val="ASSADACCESStablecentre"/>
            </w:pPr>
            <w:r w:rsidRPr="002E5727">
              <w:rPr>
                <w:bCs w:val="0"/>
                <w:color w:val="000000"/>
              </w:rPr>
              <w:t>45</w:t>
            </w:r>
            <w:r>
              <w:rPr>
                <w:bCs w:val="0"/>
                <w:color w:val="000000"/>
              </w:rPr>
              <w:t>*</w:t>
            </w:r>
          </w:p>
        </w:tc>
        <w:tc>
          <w:tcPr>
            <w:tcW w:w="879" w:type="dxa"/>
            <w:shd w:val="clear" w:color="auto" w:fill="auto"/>
          </w:tcPr>
          <w:p w14:paraId="3558A553" w14:textId="46DBF509" w:rsidR="009A7EC3" w:rsidRPr="00DE25AD" w:rsidRDefault="009A7EC3" w:rsidP="009A7EC3">
            <w:pPr>
              <w:pStyle w:val="ASSADACCESStablecentre"/>
            </w:pPr>
            <w:r w:rsidRPr="002E5727">
              <w:rPr>
                <w:bCs w:val="0"/>
                <w:color w:val="000000"/>
              </w:rPr>
              <w:t>42^</w:t>
            </w:r>
          </w:p>
        </w:tc>
        <w:tc>
          <w:tcPr>
            <w:tcW w:w="879" w:type="dxa"/>
            <w:shd w:val="clear" w:color="auto" w:fill="auto"/>
          </w:tcPr>
          <w:p w14:paraId="24CB306E" w14:textId="7F543A8D" w:rsidR="009A7EC3" w:rsidRPr="00DE25AD" w:rsidRDefault="009A7EC3" w:rsidP="009A7EC3">
            <w:pPr>
              <w:pStyle w:val="ASSADACCESStablecentre"/>
            </w:pPr>
            <w:r w:rsidRPr="002E5727">
              <w:rPr>
                <w:bCs w:val="0"/>
                <w:color w:val="000000"/>
              </w:rPr>
              <w:t>45</w:t>
            </w:r>
            <w:r>
              <w:rPr>
                <w:bCs w:val="0"/>
                <w:color w:val="000000"/>
              </w:rPr>
              <w:t>*</w:t>
            </w:r>
          </w:p>
        </w:tc>
        <w:tc>
          <w:tcPr>
            <w:tcW w:w="879" w:type="dxa"/>
            <w:shd w:val="clear" w:color="auto" w:fill="auto"/>
          </w:tcPr>
          <w:p w14:paraId="220DA62F" w14:textId="5D571CB8" w:rsidR="009A7EC3" w:rsidRPr="00DE25AD" w:rsidRDefault="009A7EC3" w:rsidP="009A7EC3">
            <w:pPr>
              <w:pStyle w:val="ASSADACCESStablecentre"/>
            </w:pPr>
            <w:r w:rsidRPr="002E5727">
              <w:rPr>
                <w:bCs w:val="0"/>
                <w:color w:val="000000"/>
              </w:rPr>
              <w:t>42^</w:t>
            </w:r>
          </w:p>
        </w:tc>
      </w:tr>
      <w:tr w:rsidR="009A7EC3" w:rsidRPr="00DE25AD" w14:paraId="5BB0C30C" w14:textId="77777777" w:rsidTr="005C5B03">
        <w:tc>
          <w:tcPr>
            <w:tcW w:w="1517" w:type="dxa"/>
            <w:tcMar>
              <w:left w:w="57" w:type="dxa"/>
            </w:tcMar>
          </w:tcPr>
          <w:p w14:paraId="0A8DA5F9" w14:textId="77777777" w:rsidR="009A7EC3" w:rsidRPr="00DE25AD" w:rsidRDefault="009A7EC3" w:rsidP="009A7EC3">
            <w:pPr>
              <w:pStyle w:val="ACCESSTableHeaderRow"/>
            </w:pPr>
          </w:p>
        </w:tc>
        <w:tc>
          <w:tcPr>
            <w:tcW w:w="1068" w:type="dxa"/>
            <w:shd w:val="clear" w:color="auto" w:fill="auto"/>
            <w:tcMar>
              <w:left w:w="57" w:type="dxa"/>
            </w:tcMar>
            <w:vAlign w:val="bottom"/>
          </w:tcPr>
          <w:p w14:paraId="77250B09" w14:textId="77777777" w:rsidR="009A7EC3" w:rsidRPr="00DE25AD" w:rsidRDefault="009A7EC3" w:rsidP="009A7EC3">
            <w:pPr>
              <w:pStyle w:val="ASSAD2017ACCESSBody1"/>
            </w:pPr>
            <w:r w:rsidRPr="00DE25AD">
              <w:t>Total</w:t>
            </w:r>
          </w:p>
        </w:tc>
        <w:tc>
          <w:tcPr>
            <w:tcW w:w="878" w:type="dxa"/>
            <w:shd w:val="clear" w:color="auto" w:fill="auto"/>
          </w:tcPr>
          <w:p w14:paraId="63254BD8" w14:textId="71F5B574" w:rsidR="009A7EC3" w:rsidRPr="00DE25AD" w:rsidRDefault="009A7EC3" w:rsidP="009A7EC3">
            <w:pPr>
              <w:pStyle w:val="ASSADACCESStablecentre"/>
            </w:pPr>
            <w:r w:rsidRPr="002E5727">
              <w:rPr>
                <w:bCs w:val="0"/>
                <w:color w:val="000000"/>
              </w:rPr>
              <w:t>41*</w:t>
            </w:r>
          </w:p>
        </w:tc>
        <w:tc>
          <w:tcPr>
            <w:tcW w:w="879" w:type="dxa"/>
            <w:shd w:val="clear" w:color="auto" w:fill="auto"/>
          </w:tcPr>
          <w:p w14:paraId="28DB9189" w14:textId="7A3F1195" w:rsidR="009A7EC3" w:rsidRPr="00DE25AD" w:rsidRDefault="009A7EC3" w:rsidP="009A7EC3">
            <w:pPr>
              <w:pStyle w:val="ASSADACCESStablecentre"/>
            </w:pPr>
            <w:r w:rsidRPr="002E5727">
              <w:rPr>
                <w:bCs w:val="0"/>
                <w:color w:val="000000"/>
              </w:rPr>
              <w:t>41*</w:t>
            </w:r>
          </w:p>
        </w:tc>
        <w:tc>
          <w:tcPr>
            <w:tcW w:w="879" w:type="dxa"/>
            <w:shd w:val="clear" w:color="auto" w:fill="auto"/>
          </w:tcPr>
          <w:p w14:paraId="0A6AF61C" w14:textId="60927770" w:rsidR="009A7EC3" w:rsidRPr="00DE25AD" w:rsidRDefault="009A7EC3" w:rsidP="009A7EC3">
            <w:pPr>
              <w:pStyle w:val="ASSADACCESStablecentre"/>
            </w:pPr>
            <w:r w:rsidRPr="002E5727">
              <w:rPr>
                <w:bCs w:val="0"/>
                <w:color w:val="000000"/>
              </w:rPr>
              <w:t>39</w:t>
            </w:r>
            <w:r>
              <w:rPr>
                <w:bCs w:val="0"/>
                <w:color w:val="000000"/>
              </w:rPr>
              <w:t>*</w:t>
            </w:r>
          </w:p>
        </w:tc>
        <w:tc>
          <w:tcPr>
            <w:tcW w:w="879" w:type="dxa"/>
            <w:shd w:val="clear" w:color="auto" w:fill="auto"/>
          </w:tcPr>
          <w:p w14:paraId="447052A2" w14:textId="6DFCFCB2" w:rsidR="009A7EC3" w:rsidRPr="00DE25AD" w:rsidRDefault="009A7EC3" w:rsidP="009A7EC3">
            <w:pPr>
              <w:pStyle w:val="ASSADACCESStablecentre"/>
            </w:pPr>
            <w:r w:rsidRPr="002E5727">
              <w:rPr>
                <w:bCs w:val="0"/>
                <w:color w:val="000000"/>
              </w:rPr>
              <w:t>39</w:t>
            </w:r>
            <w:r>
              <w:rPr>
                <w:bCs w:val="0"/>
                <w:color w:val="000000"/>
              </w:rPr>
              <w:t>*</w:t>
            </w:r>
          </w:p>
        </w:tc>
        <w:tc>
          <w:tcPr>
            <w:tcW w:w="879" w:type="dxa"/>
            <w:shd w:val="clear" w:color="auto" w:fill="auto"/>
          </w:tcPr>
          <w:p w14:paraId="241EEF1D" w14:textId="1D771FEB" w:rsidR="009A7EC3" w:rsidRPr="00DE25AD" w:rsidRDefault="009A7EC3" w:rsidP="009A7EC3">
            <w:pPr>
              <w:pStyle w:val="ASSADACCESStablecentre"/>
            </w:pPr>
            <w:r w:rsidRPr="002E5727">
              <w:rPr>
                <w:bCs w:val="0"/>
                <w:color w:val="000000"/>
              </w:rPr>
              <w:t>40</w:t>
            </w:r>
            <w:r>
              <w:rPr>
                <w:bCs w:val="0"/>
                <w:color w:val="000000"/>
              </w:rPr>
              <w:t>*</w:t>
            </w:r>
          </w:p>
        </w:tc>
        <w:tc>
          <w:tcPr>
            <w:tcW w:w="879" w:type="dxa"/>
            <w:shd w:val="clear" w:color="auto" w:fill="auto"/>
          </w:tcPr>
          <w:p w14:paraId="51C7F257" w14:textId="7E103988" w:rsidR="009A7EC3" w:rsidRPr="00DE25AD" w:rsidRDefault="009A7EC3" w:rsidP="009A7EC3">
            <w:pPr>
              <w:pStyle w:val="ASSADACCESStablecentre"/>
            </w:pPr>
            <w:r w:rsidRPr="002E5727">
              <w:rPr>
                <w:bCs w:val="0"/>
                <w:color w:val="000000"/>
              </w:rPr>
              <w:t>37</w:t>
            </w:r>
            <w:r>
              <w:rPr>
                <w:bCs w:val="0"/>
                <w:color w:val="000000"/>
              </w:rPr>
              <w:t>^</w:t>
            </w:r>
          </w:p>
        </w:tc>
        <w:tc>
          <w:tcPr>
            <w:tcW w:w="879" w:type="dxa"/>
            <w:shd w:val="clear" w:color="auto" w:fill="auto"/>
          </w:tcPr>
          <w:p w14:paraId="7EA8E664" w14:textId="4F7C1B54" w:rsidR="009A7EC3" w:rsidRPr="00DE25AD" w:rsidRDefault="009A7EC3" w:rsidP="009A7EC3">
            <w:pPr>
              <w:pStyle w:val="ASSADACCESStablecentre"/>
            </w:pPr>
            <w:r w:rsidRPr="002E5727">
              <w:rPr>
                <w:bCs w:val="0"/>
                <w:color w:val="000000"/>
              </w:rPr>
              <w:t>39</w:t>
            </w:r>
            <w:r>
              <w:rPr>
                <w:bCs w:val="0"/>
                <w:color w:val="000000"/>
              </w:rPr>
              <w:t>*</w:t>
            </w:r>
          </w:p>
        </w:tc>
        <w:tc>
          <w:tcPr>
            <w:tcW w:w="879" w:type="dxa"/>
            <w:shd w:val="clear" w:color="auto" w:fill="auto"/>
          </w:tcPr>
          <w:p w14:paraId="309B9506" w14:textId="67314858" w:rsidR="009A7EC3" w:rsidRPr="00DE25AD" w:rsidRDefault="009A7EC3" w:rsidP="009A7EC3">
            <w:pPr>
              <w:pStyle w:val="ASSADACCESStablecentre"/>
            </w:pPr>
            <w:r w:rsidRPr="002E5727">
              <w:rPr>
                <w:bCs w:val="0"/>
                <w:color w:val="000000"/>
              </w:rPr>
              <w:t>36^</w:t>
            </w:r>
          </w:p>
        </w:tc>
      </w:tr>
      <w:tr w:rsidR="009A7EC3" w:rsidRPr="00DE25AD" w14:paraId="0D920BA2" w14:textId="77777777" w:rsidTr="005C5B03">
        <w:tc>
          <w:tcPr>
            <w:tcW w:w="1517" w:type="dxa"/>
            <w:tcMar>
              <w:left w:w="57" w:type="dxa"/>
            </w:tcMar>
          </w:tcPr>
          <w:p w14:paraId="1F16DEC1" w14:textId="276F425A" w:rsidR="009A7EC3" w:rsidRDefault="009A7EC3" w:rsidP="009A7EC3">
            <w:pPr>
              <w:pStyle w:val="ACCESSTableHeaderRow"/>
            </w:pPr>
            <w:r>
              <w:t>Aged 16-17</w:t>
            </w:r>
          </w:p>
        </w:tc>
        <w:tc>
          <w:tcPr>
            <w:tcW w:w="1068" w:type="dxa"/>
            <w:shd w:val="clear" w:color="auto" w:fill="auto"/>
            <w:tcMar>
              <w:left w:w="57" w:type="dxa"/>
            </w:tcMar>
            <w:vAlign w:val="center"/>
          </w:tcPr>
          <w:p w14:paraId="4B6C4F2E" w14:textId="77777777" w:rsidR="009A7EC3" w:rsidRPr="00DE25AD" w:rsidRDefault="009A7EC3" w:rsidP="009A7EC3">
            <w:pPr>
              <w:pStyle w:val="ASSAD2017ACCESSBody1"/>
            </w:pPr>
          </w:p>
        </w:tc>
        <w:tc>
          <w:tcPr>
            <w:tcW w:w="878" w:type="dxa"/>
            <w:shd w:val="clear" w:color="auto" w:fill="auto"/>
            <w:vAlign w:val="bottom"/>
          </w:tcPr>
          <w:p w14:paraId="152672FA" w14:textId="77777777" w:rsidR="009A7EC3" w:rsidRPr="00DE25AD" w:rsidRDefault="009A7EC3" w:rsidP="009A7EC3">
            <w:pPr>
              <w:pStyle w:val="ASSADACCESStablecentre"/>
            </w:pPr>
          </w:p>
        </w:tc>
        <w:tc>
          <w:tcPr>
            <w:tcW w:w="879" w:type="dxa"/>
            <w:shd w:val="clear" w:color="auto" w:fill="auto"/>
            <w:vAlign w:val="bottom"/>
          </w:tcPr>
          <w:p w14:paraId="7F159D6F" w14:textId="77777777" w:rsidR="009A7EC3" w:rsidRPr="00DE25AD" w:rsidRDefault="009A7EC3" w:rsidP="009A7EC3">
            <w:pPr>
              <w:pStyle w:val="ASSADACCESStablecentre"/>
            </w:pPr>
          </w:p>
        </w:tc>
        <w:tc>
          <w:tcPr>
            <w:tcW w:w="879" w:type="dxa"/>
            <w:shd w:val="clear" w:color="auto" w:fill="auto"/>
            <w:vAlign w:val="bottom"/>
          </w:tcPr>
          <w:p w14:paraId="7B45A980" w14:textId="77777777" w:rsidR="009A7EC3" w:rsidRPr="00DE25AD" w:rsidRDefault="009A7EC3" w:rsidP="009A7EC3">
            <w:pPr>
              <w:pStyle w:val="ASSADACCESStablecentre"/>
            </w:pPr>
          </w:p>
        </w:tc>
        <w:tc>
          <w:tcPr>
            <w:tcW w:w="879" w:type="dxa"/>
            <w:shd w:val="clear" w:color="auto" w:fill="auto"/>
            <w:vAlign w:val="bottom"/>
          </w:tcPr>
          <w:p w14:paraId="3A848F35" w14:textId="77777777" w:rsidR="009A7EC3" w:rsidRPr="00DE25AD" w:rsidRDefault="009A7EC3" w:rsidP="009A7EC3">
            <w:pPr>
              <w:pStyle w:val="ASSADACCESStablecentre"/>
            </w:pPr>
          </w:p>
        </w:tc>
        <w:tc>
          <w:tcPr>
            <w:tcW w:w="879" w:type="dxa"/>
            <w:shd w:val="clear" w:color="auto" w:fill="auto"/>
            <w:vAlign w:val="bottom"/>
          </w:tcPr>
          <w:p w14:paraId="0A76B9E7" w14:textId="77777777" w:rsidR="009A7EC3" w:rsidRPr="00DE25AD" w:rsidRDefault="009A7EC3" w:rsidP="009A7EC3">
            <w:pPr>
              <w:pStyle w:val="ASSADACCESStablecentre"/>
            </w:pPr>
          </w:p>
        </w:tc>
        <w:tc>
          <w:tcPr>
            <w:tcW w:w="879" w:type="dxa"/>
            <w:shd w:val="clear" w:color="auto" w:fill="auto"/>
            <w:vAlign w:val="bottom"/>
          </w:tcPr>
          <w:p w14:paraId="07C677A3" w14:textId="77777777" w:rsidR="009A7EC3" w:rsidRPr="00DE25AD" w:rsidRDefault="009A7EC3" w:rsidP="009A7EC3">
            <w:pPr>
              <w:pStyle w:val="ASSADACCESStablecentre"/>
            </w:pPr>
          </w:p>
        </w:tc>
        <w:tc>
          <w:tcPr>
            <w:tcW w:w="879" w:type="dxa"/>
            <w:shd w:val="clear" w:color="auto" w:fill="auto"/>
            <w:vAlign w:val="bottom"/>
          </w:tcPr>
          <w:p w14:paraId="63E85BD7" w14:textId="77777777" w:rsidR="009A7EC3" w:rsidRPr="00DE25AD" w:rsidRDefault="009A7EC3" w:rsidP="009A7EC3">
            <w:pPr>
              <w:pStyle w:val="ASSADACCESStablecentre"/>
            </w:pPr>
          </w:p>
        </w:tc>
        <w:tc>
          <w:tcPr>
            <w:tcW w:w="879" w:type="dxa"/>
            <w:shd w:val="clear" w:color="auto" w:fill="auto"/>
            <w:vAlign w:val="bottom"/>
          </w:tcPr>
          <w:p w14:paraId="641826B6" w14:textId="77777777" w:rsidR="009A7EC3" w:rsidRPr="00DE25AD" w:rsidRDefault="009A7EC3" w:rsidP="009A7EC3">
            <w:pPr>
              <w:pStyle w:val="ASSADACCESStablecentre"/>
            </w:pPr>
          </w:p>
        </w:tc>
      </w:tr>
      <w:tr w:rsidR="009A7EC3" w:rsidRPr="00DE25AD" w14:paraId="0D78347B" w14:textId="77777777" w:rsidTr="005C5B03">
        <w:tc>
          <w:tcPr>
            <w:tcW w:w="1517" w:type="dxa"/>
            <w:tcMar>
              <w:left w:w="57" w:type="dxa"/>
            </w:tcMar>
          </w:tcPr>
          <w:p w14:paraId="7FC03DB2" w14:textId="5316CB0D" w:rsidR="009A7EC3" w:rsidRDefault="009A7EC3" w:rsidP="009A7EC3">
            <w:pPr>
              <w:pStyle w:val="ACCESSTableHeaderRow"/>
            </w:pPr>
            <w:r w:rsidRPr="00DE25AD">
              <w:t>Recency</w:t>
            </w:r>
          </w:p>
        </w:tc>
        <w:tc>
          <w:tcPr>
            <w:tcW w:w="1068" w:type="dxa"/>
            <w:shd w:val="clear" w:color="auto" w:fill="auto"/>
            <w:tcMar>
              <w:left w:w="57" w:type="dxa"/>
            </w:tcMar>
            <w:vAlign w:val="center"/>
          </w:tcPr>
          <w:p w14:paraId="0D0BC8AF" w14:textId="2C789B73" w:rsidR="009A7EC3" w:rsidRPr="00DE25AD" w:rsidRDefault="009A7EC3" w:rsidP="009A7EC3">
            <w:pPr>
              <w:pStyle w:val="ASSAD2017ACCESSBody1"/>
            </w:pPr>
            <w:r w:rsidRPr="005C5B03">
              <w:rPr>
                <w:b/>
                <w:bCs w:val="0"/>
              </w:rPr>
              <w:t>Sex</w:t>
            </w:r>
          </w:p>
        </w:tc>
        <w:tc>
          <w:tcPr>
            <w:tcW w:w="878" w:type="dxa"/>
            <w:shd w:val="clear" w:color="auto" w:fill="auto"/>
            <w:vAlign w:val="bottom"/>
          </w:tcPr>
          <w:p w14:paraId="181E8E29" w14:textId="77777777" w:rsidR="009A7EC3" w:rsidRPr="00DE25AD" w:rsidRDefault="009A7EC3" w:rsidP="009A7EC3">
            <w:pPr>
              <w:pStyle w:val="ASSADACCESStablecentre"/>
            </w:pPr>
          </w:p>
        </w:tc>
        <w:tc>
          <w:tcPr>
            <w:tcW w:w="879" w:type="dxa"/>
            <w:shd w:val="clear" w:color="auto" w:fill="auto"/>
            <w:vAlign w:val="bottom"/>
          </w:tcPr>
          <w:p w14:paraId="6740714A" w14:textId="77777777" w:rsidR="009A7EC3" w:rsidRPr="00DE25AD" w:rsidRDefault="009A7EC3" w:rsidP="009A7EC3">
            <w:pPr>
              <w:pStyle w:val="ASSADACCESStablecentre"/>
            </w:pPr>
          </w:p>
        </w:tc>
        <w:tc>
          <w:tcPr>
            <w:tcW w:w="879" w:type="dxa"/>
            <w:shd w:val="clear" w:color="auto" w:fill="auto"/>
            <w:vAlign w:val="bottom"/>
          </w:tcPr>
          <w:p w14:paraId="2E471F24" w14:textId="77777777" w:rsidR="009A7EC3" w:rsidRPr="00DE25AD" w:rsidRDefault="009A7EC3" w:rsidP="009A7EC3">
            <w:pPr>
              <w:pStyle w:val="ASSADACCESStablecentre"/>
            </w:pPr>
          </w:p>
        </w:tc>
        <w:tc>
          <w:tcPr>
            <w:tcW w:w="879" w:type="dxa"/>
            <w:shd w:val="clear" w:color="auto" w:fill="auto"/>
            <w:vAlign w:val="bottom"/>
          </w:tcPr>
          <w:p w14:paraId="79827A32" w14:textId="77777777" w:rsidR="009A7EC3" w:rsidRPr="00DE25AD" w:rsidRDefault="009A7EC3" w:rsidP="009A7EC3">
            <w:pPr>
              <w:pStyle w:val="ASSADACCESStablecentre"/>
            </w:pPr>
          </w:p>
        </w:tc>
        <w:tc>
          <w:tcPr>
            <w:tcW w:w="879" w:type="dxa"/>
            <w:shd w:val="clear" w:color="auto" w:fill="auto"/>
            <w:vAlign w:val="bottom"/>
          </w:tcPr>
          <w:p w14:paraId="1D96D35E" w14:textId="77777777" w:rsidR="009A7EC3" w:rsidRPr="00DE25AD" w:rsidRDefault="009A7EC3" w:rsidP="009A7EC3">
            <w:pPr>
              <w:pStyle w:val="ASSADACCESStablecentre"/>
            </w:pPr>
          </w:p>
        </w:tc>
        <w:tc>
          <w:tcPr>
            <w:tcW w:w="879" w:type="dxa"/>
            <w:shd w:val="clear" w:color="auto" w:fill="auto"/>
            <w:vAlign w:val="bottom"/>
          </w:tcPr>
          <w:p w14:paraId="3E3772B9" w14:textId="77777777" w:rsidR="009A7EC3" w:rsidRPr="00DE25AD" w:rsidRDefault="009A7EC3" w:rsidP="009A7EC3">
            <w:pPr>
              <w:pStyle w:val="ASSADACCESStablecentre"/>
            </w:pPr>
          </w:p>
        </w:tc>
        <w:tc>
          <w:tcPr>
            <w:tcW w:w="879" w:type="dxa"/>
            <w:shd w:val="clear" w:color="auto" w:fill="auto"/>
            <w:vAlign w:val="bottom"/>
          </w:tcPr>
          <w:p w14:paraId="7038F82C" w14:textId="77777777" w:rsidR="009A7EC3" w:rsidRPr="00DE25AD" w:rsidRDefault="009A7EC3" w:rsidP="009A7EC3">
            <w:pPr>
              <w:pStyle w:val="ASSADACCESStablecentre"/>
            </w:pPr>
          </w:p>
        </w:tc>
        <w:tc>
          <w:tcPr>
            <w:tcW w:w="879" w:type="dxa"/>
            <w:shd w:val="clear" w:color="auto" w:fill="auto"/>
            <w:vAlign w:val="bottom"/>
          </w:tcPr>
          <w:p w14:paraId="5495AF70" w14:textId="77777777" w:rsidR="009A7EC3" w:rsidRPr="00DE25AD" w:rsidRDefault="009A7EC3" w:rsidP="009A7EC3">
            <w:pPr>
              <w:pStyle w:val="ASSADACCESStablecentre"/>
            </w:pPr>
          </w:p>
        </w:tc>
      </w:tr>
      <w:tr w:rsidR="009A7EC3" w:rsidRPr="00DE25AD" w14:paraId="483B326C" w14:textId="77777777" w:rsidTr="00545FF4">
        <w:tc>
          <w:tcPr>
            <w:tcW w:w="1517" w:type="dxa"/>
            <w:tcMar>
              <w:left w:w="57" w:type="dxa"/>
            </w:tcMar>
          </w:tcPr>
          <w:p w14:paraId="57820F8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339A7467" w14:textId="77777777" w:rsidR="009A7EC3" w:rsidRPr="00DE25AD" w:rsidRDefault="009A7EC3" w:rsidP="009A7EC3">
            <w:pPr>
              <w:pStyle w:val="ASSAD2017ACCESSBody1"/>
            </w:pPr>
            <w:r w:rsidRPr="00DE25AD">
              <w:t>Male</w:t>
            </w:r>
          </w:p>
        </w:tc>
        <w:tc>
          <w:tcPr>
            <w:tcW w:w="878" w:type="dxa"/>
            <w:shd w:val="clear" w:color="auto" w:fill="auto"/>
          </w:tcPr>
          <w:p w14:paraId="47705C66" w14:textId="77292416" w:rsidR="009A7EC3" w:rsidRPr="00DE25AD" w:rsidRDefault="009A7EC3" w:rsidP="009A7EC3">
            <w:pPr>
              <w:pStyle w:val="ASSADACCESStablecentre"/>
            </w:pPr>
            <w:r w:rsidRPr="002E5727">
              <w:rPr>
                <w:bCs w:val="0"/>
                <w:color w:val="000000"/>
              </w:rPr>
              <w:t>98*</w:t>
            </w:r>
          </w:p>
        </w:tc>
        <w:tc>
          <w:tcPr>
            <w:tcW w:w="879" w:type="dxa"/>
            <w:shd w:val="clear" w:color="auto" w:fill="auto"/>
          </w:tcPr>
          <w:p w14:paraId="3C958BBF" w14:textId="005A5A48" w:rsidR="009A7EC3" w:rsidRPr="00DE25AD" w:rsidRDefault="009A7EC3" w:rsidP="009A7EC3">
            <w:pPr>
              <w:pStyle w:val="ASSADACCESStablecentre"/>
            </w:pPr>
            <w:r w:rsidRPr="002E5727">
              <w:rPr>
                <w:bCs w:val="0"/>
                <w:color w:val="000000"/>
              </w:rPr>
              <w:t>96</w:t>
            </w:r>
          </w:p>
        </w:tc>
        <w:tc>
          <w:tcPr>
            <w:tcW w:w="879" w:type="dxa"/>
            <w:shd w:val="clear" w:color="auto" w:fill="auto"/>
          </w:tcPr>
          <w:p w14:paraId="501EFE4B" w14:textId="25461A0E" w:rsidR="009A7EC3" w:rsidRPr="00DE25AD" w:rsidRDefault="009A7EC3" w:rsidP="009A7EC3">
            <w:pPr>
              <w:pStyle w:val="ASSADACCESStablecentre"/>
            </w:pPr>
            <w:r w:rsidRPr="002E5727">
              <w:rPr>
                <w:bCs w:val="0"/>
                <w:color w:val="000000"/>
              </w:rPr>
              <w:t>96^</w:t>
            </w:r>
          </w:p>
        </w:tc>
        <w:tc>
          <w:tcPr>
            <w:tcW w:w="879" w:type="dxa"/>
            <w:shd w:val="clear" w:color="auto" w:fill="auto"/>
          </w:tcPr>
          <w:p w14:paraId="500E7044" w14:textId="0D6250C6" w:rsidR="009A7EC3" w:rsidRPr="00DE25AD" w:rsidRDefault="009A7EC3" w:rsidP="009A7EC3">
            <w:pPr>
              <w:pStyle w:val="ASSADACCESStablecentre"/>
            </w:pPr>
            <w:r w:rsidRPr="002E5727">
              <w:rPr>
                <w:bCs w:val="0"/>
                <w:color w:val="000000"/>
              </w:rPr>
              <w:t>96^</w:t>
            </w:r>
          </w:p>
        </w:tc>
        <w:tc>
          <w:tcPr>
            <w:tcW w:w="879" w:type="dxa"/>
            <w:shd w:val="clear" w:color="auto" w:fill="auto"/>
          </w:tcPr>
          <w:p w14:paraId="54F5C58E" w14:textId="0FC17AF3" w:rsidR="009A7EC3" w:rsidRPr="00DE25AD" w:rsidRDefault="009A7EC3" w:rsidP="009A7EC3">
            <w:pPr>
              <w:pStyle w:val="ASSADACCESStablecentre"/>
            </w:pPr>
            <w:r w:rsidRPr="002E5727">
              <w:rPr>
                <w:bCs w:val="0"/>
                <w:color w:val="000000"/>
              </w:rPr>
              <w:t>9</w:t>
            </w:r>
            <w:r>
              <w:rPr>
                <w:bCs w:val="0"/>
                <w:color w:val="000000"/>
              </w:rPr>
              <w:t>5</w:t>
            </w:r>
            <w:r w:rsidRPr="002E5727">
              <w:rPr>
                <w:bCs w:val="0"/>
                <w:color w:val="000000"/>
              </w:rPr>
              <w:t>^</w:t>
            </w:r>
          </w:p>
        </w:tc>
        <w:tc>
          <w:tcPr>
            <w:tcW w:w="879" w:type="dxa"/>
            <w:shd w:val="clear" w:color="auto" w:fill="auto"/>
          </w:tcPr>
          <w:p w14:paraId="73A8C527" w14:textId="0C96668A" w:rsidR="009A7EC3" w:rsidRPr="00DE25AD" w:rsidRDefault="009A7EC3" w:rsidP="009A7EC3">
            <w:pPr>
              <w:pStyle w:val="ASSADACCESStablecentre"/>
            </w:pPr>
            <w:r w:rsidRPr="002E5727">
              <w:rPr>
                <w:bCs w:val="0"/>
                <w:color w:val="000000"/>
              </w:rPr>
              <w:t>96^</w:t>
            </w:r>
          </w:p>
        </w:tc>
        <w:tc>
          <w:tcPr>
            <w:tcW w:w="879" w:type="dxa"/>
            <w:shd w:val="clear" w:color="auto" w:fill="auto"/>
          </w:tcPr>
          <w:p w14:paraId="2CA070F1" w14:textId="00E880B2" w:rsidR="009A7EC3" w:rsidRPr="00DE25AD" w:rsidRDefault="009A7EC3" w:rsidP="009A7EC3">
            <w:pPr>
              <w:pStyle w:val="ASSADACCESStablecentre"/>
            </w:pPr>
            <w:r w:rsidRPr="002E5727">
              <w:rPr>
                <w:bCs w:val="0"/>
                <w:color w:val="000000"/>
              </w:rPr>
              <w:t>94^</w:t>
            </w:r>
          </w:p>
        </w:tc>
        <w:tc>
          <w:tcPr>
            <w:tcW w:w="879" w:type="dxa"/>
            <w:shd w:val="clear" w:color="auto" w:fill="auto"/>
          </w:tcPr>
          <w:p w14:paraId="22198620" w14:textId="729DE7DB" w:rsidR="009A7EC3" w:rsidRPr="00DE25AD" w:rsidRDefault="009A7EC3" w:rsidP="009A7EC3">
            <w:pPr>
              <w:pStyle w:val="ASSADACCESStablecentre"/>
            </w:pPr>
            <w:r w:rsidRPr="002E5727">
              <w:rPr>
                <w:bCs w:val="0"/>
                <w:color w:val="000000"/>
              </w:rPr>
              <w:t>95^</w:t>
            </w:r>
          </w:p>
        </w:tc>
      </w:tr>
      <w:tr w:rsidR="009A7EC3" w:rsidRPr="00DE25AD" w14:paraId="6626A08E" w14:textId="77777777" w:rsidTr="005C5B03">
        <w:tc>
          <w:tcPr>
            <w:tcW w:w="1517" w:type="dxa"/>
            <w:tcMar>
              <w:left w:w="57" w:type="dxa"/>
            </w:tcMar>
          </w:tcPr>
          <w:p w14:paraId="220A26F0" w14:textId="77777777" w:rsidR="009A7EC3" w:rsidRPr="00DE25AD" w:rsidRDefault="009A7EC3" w:rsidP="009A7EC3">
            <w:pPr>
              <w:pStyle w:val="ACCESSTableHeaderRow"/>
            </w:pPr>
          </w:p>
        </w:tc>
        <w:tc>
          <w:tcPr>
            <w:tcW w:w="1068" w:type="dxa"/>
            <w:shd w:val="clear" w:color="auto" w:fill="auto"/>
            <w:tcMar>
              <w:left w:w="57" w:type="dxa"/>
            </w:tcMar>
            <w:vAlign w:val="bottom"/>
          </w:tcPr>
          <w:p w14:paraId="7A848686" w14:textId="77777777" w:rsidR="009A7EC3" w:rsidRPr="00DE25AD" w:rsidRDefault="009A7EC3" w:rsidP="009A7EC3">
            <w:pPr>
              <w:pStyle w:val="ASSAD2017ACCESSBody1"/>
            </w:pPr>
            <w:r w:rsidRPr="00DE25AD">
              <w:t>Female</w:t>
            </w:r>
          </w:p>
        </w:tc>
        <w:tc>
          <w:tcPr>
            <w:tcW w:w="878" w:type="dxa"/>
            <w:shd w:val="clear" w:color="auto" w:fill="auto"/>
          </w:tcPr>
          <w:p w14:paraId="4929AB81" w14:textId="2ED4A96F" w:rsidR="009A7EC3" w:rsidRPr="00DE25AD" w:rsidRDefault="009A7EC3" w:rsidP="009A7EC3">
            <w:pPr>
              <w:pStyle w:val="ASSADACCESStablecentre"/>
            </w:pPr>
            <w:r w:rsidRPr="002E5727">
              <w:rPr>
                <w:bCs w:val="0"/>
                <w:color w:val="000000"/>
              </w:rPr>
              <w:t>99*</w:t>
            </w:r>
          </w:p>
        </w:tc>
        <w:tc>
          <w:tcPr>
            <w:tcW w:w="879" w:type="dxa"/>
            <w:shd w:val="clear" w:color="auto" w:fill="auto"/>
          </w:tcPr>
          <w:p w14:paraId="5EA55232" w14:textId="2F74C37E" w:rsidR="009A7EC3" w:rsidRPr="00DE25AD" w:rsidRDefault="009A7EC3" w:rsidP="009A7EC3">
            <w:pPr>
              <w:pStyle w:val="ASSADACCESStablecentre"/>
            </w:pPr>
            <w:r w:rsidRPr="002E5727">
              <w:rPr>
                <w:bCs w:val="0"/>
                <w:color w:val="000000"/>
              </w:rPr>
              <w:t>99</w:t>
            </w:r>
          </w:p>
        </w:tc>
        <w:tc>
          <w:tcPr>
            <w:tcW w:w="879" w:type="dxa"/>
            <w:shd w:val="clear" w:color="auto" w:fill="auto"/>
          </w:tcPr>
          <w:p w14:paraId="074F3C4F" w14:textId="2D7C8D25" w:rsidR="009A7EC3" w:rsidRPr="00DE25AD" w:rsidRDefault="009A7EC3" w:rsidP="009A7EC3">
            <w:pPr>
              <w:pStyle w:val="ASSADACCESStablecentre"/>
            </w:pPr>
            <w:r w:rsidRPr="002E5727">
              <w:rPr>
                <w:bCs w:val="0"/>
                <w:color w:val="000000"/>
              </w:rPr>
              <w:t>98^</w:t>
            </w:r>
          </w:p>
        </w:tc>
        <w:tc>
          <w:tcPr>
            <w:tcW w:w="879" w:type="dxa"/>
            <w:shd w:val="clear" w:color="auto" w:fill="auto"/>
          </w:tcPr>
          <w:p w14:paraId="05C944A5" w14:textId="1E3F8C26" w:rsidR="009A7EC3" w:rsidRPr="00DE25AD" w:rsidRDefault="009A7EC3" w:rsidP="009A7EC3">
            <w:pPr>
              <w:pStyle w:val="ASSADACCESStablecentre"/>
            </w:pPr>
            <w:r w:rsidRPr="002E5727">
              <w:rPr>
                <w:bCs w:val="0"/>
                <w:color w:val="000000"/>
              </w:rPr>
              <w:t>98^</w:t>
            </w:r>
          </w:p>
        </w:tc>
        <w:tc>
          <w:tcPr>
            <w:tcW w:w="879" w:type="dxa"/>
            <w:shd w:val="clear" w:color="auto" w:fill="auto"/>
          </w:tcPr>
          <w:p w14:paraId="155B2C49" w14:textId="06F06121" w:rsidR="009A7EC3" w:rsidRPr="00DE25AD" w:rsidRDefault="009A7EC3" w:rsidP="009A7EC3">
            <w:pPr>
              <w:pStyle w:val="ASSADACCESStablecentre"/>
            </w:pPr>
            <w:r w:rsidRPr="002E5727">
              <w:rPr>
                <w:bCs w:val="0"/>
                <w:color w:val="000000"/>
              </w:rPr>
              <w:t>98^</w:t>
            </w:r>
          </w:p>
        </w:tc>
        <w:tc>
          <w:tcPr>
            <w:tcW w:w="879" w:type="dxa"/>
            <w:shd w:val="clear" w:color="auto" w:fill="auto"/>
          </w:tcPr>
          <w:p w14:paraId="65BEA4CA" w14:textId="4ECAE1DD" w:rsidR="009A7EC3" w:rsidRPr="00DE25AD" w:rsidRDefault="009A7EC3" w:rsidP="009A7EC3">
            <w:pPr>
              <w:pStyle w:val="ASSADACCESStablecentre"/>
            </w:pPr>
            <w:r w:rsidRPr="002E5727">
              <w:rPr>
                <w:bCs w:val="0"/>
                <w:color w:val="000000"/>
              </w:rPr>
              <w:t>98^</w:t>
            </w:r>
          </w:p>
        </w:tc>
        <w:tc>
          <w:tcPr>
            <w:tcW w:w="879" w:type="dxa"/>
            <w:shd w:val="clear" w:color="auto" w:fill="auto"/>
          </w:tcPr>
          <w:p w14:paraId="5DC4C308" w14:textId="5847C1F0" w:rsidR="009A7EC3" w:rsidRPr="00DE25AD" w:rsidRDefault="009A7EC3" w:rsidP="009A7EC3">
            <w:pPr>
              <w:pStyle w:val="ASSADACCESStablecentre"/>
            </w:pPr>
            <w:r w:rsidRPr="002E5727">
              <w:rPr>
                <w:bCs w:val="0"/>
                <w:color w:val="000000"/>
              </w:rPr>
              <w:t>98^</w:t>
            </w:r>
          </w:p>
        </w:tc>
        <w:tc>
          <w:tcPr>
            <w:tcW w:w="879" w:type="dxa"/>
            <w:shd w:val="clear" w:color="auto" w:fill="auto"/>
          </w:tcPr>
          <w:p w14:paraId="607AE817" w14:textId="53E7E82E" w:rsidR="009A7EC3" w:rsidRPr="00DE25AD" w:rsidRDefault="009A7EC3" w:rsidP="009A7EC3">
            <w:pPr>
              <w:pStyle w:val="ASSADACCESStablecentre"/>
            </w:pPr>
            <w:r w:rsidRPr="002E5727">
              <w:rPr>
                <w:bCs w:val="0"/>
                <w:color w:val="000000"/>
              </w:rPr>
              <w:t>98^</w:t>
            </w:r>
          </w:p>
        </w:tc>
      </w:tr>
      <w:tr w:rsidR="009A7EC3" w:rsidRPr="00DE25AD" w14:paraId="39174986" w14:textId="77777777" w:rsidTr="005C5B03">
        <w:trPr>
          <w:trHeight w:val="247"/>
        </w:trPr>
        <w:tc>
          <w:tcPr>
            <w:tcW w:w="1517" w:type="dxa"/>
            <w:tcMar>
              <w:left w:w="57" w:type="dxa"/>
            </w:tcMar>
          </w:tcPr>
          <w:p w14:paraId="72EA5E7F" w14:textId="77777777" w:rsidR="009A7EC3" w:rsidRPr="00DE25AD" w:rsidRDefault="009A7EC3" w:rsidP="009A7EC3">
            <w:pPr>
              <w:pStyle w:val="ACCESSTableHeaderRow"/>
            </w:pPr>
          </w:p>
        </w:tc>
        <w:tc>
          <w:tcPr>
            <w:tcW w:w="1068" w:type="dxa"/>
            <w:shd w:val="clear" w:color="auto" w:fill="auto"/>
            <w:tcMar>
              <w:left w:w="57" w:type="dxa"/>
            </w:tcMar>
            <w:vAlign w:val="bottom"/>
          </w:tcPr>
          <w:p w14:paraId="24381218" w14:textId="77777777" w:rsidR="009A7EC3" w:rsidRPr="00DE25AD" w:rsidRDefault="009A7EC3" w:rsidP="009A7EC3">
            <w:pPr>
              <w:pStyle w:val="ASSAD2017ACCESSBody1"/>
            </w:pPr>
            <w:r w:rsidRPr="00DE25AD">
              <w:t>Total</w:t>
            </w:r>
          </w:p>
        </w:tc>
        <w:tc>
          <w:tcPr>
            <w:tcW w:w="878" w:type="dxa"/>
            <w:shd w:val="clear" w:color="auto" w:fill="auto"/>
          </w:tcPr>
          <w:p w14:paraId="161AE230" w14:textId="02C31E4E" w:rsidR="009A7EC3" w:rsidRPr="00DE25AD" w:rsidRDefault="009A7EC3" w:rsidP="009A7EC3">
            <w:pPr>
              <w:pStyle w:val="ASSADACCESStablecentre"/>
            </w:pPr>
            <w:r w:rsidRPr="002E5727">
              <w:rPr>
                <w:bCs w:val="0"/>
                <w:color w:val="000000"/>
              </w:rPr>
              <w:t>98*</w:t>
            </w:r>
          </w:p>
        </w:tc>
        <w:tc>
          <w:tcPr>
            <w:tcW w:w="879" w:type="dxa"/>
            <w:shd w:val="clear" w:color="auto" w:fill="auto"/>
          </w:tcPr>
          <w:p w14:paraId="2063F925" w14:textId="126E57E7" w:rsidR="009A7EC3" w:rsidRPr="00DE25AD" w:rsidRDefault="009A7EC3" w:rsidP="009A7EC3">
            <w:pPr>
              <w:pStyle w:val="ASSADACCESStablecentre"/>
            </w:pPr>
            <w:r w:rsidRPr="002E5727">
              <w:rPr>
                <w:bCs w:val="0"/>
                <w:color w:val="000000"/>
              </w:rPr>
              <w:t>9</w:t>
            </w:r>
            <w:r>
              <w:rPr>
                <w:bCs w:val="0"/>
                <w:color w:val="000000"/>
              </w:rPr>
              <w:t>7^</w:t>
            </w:r>
          </w:p>
        </w:tc>
        <w:tc>
          <w:tcPr>
            <w:tcW w:w="879" w:type="dxa"/>
            <w:shd w:val="clear" w:color="auto" w:fill="auto"/>
          </w:tcPr>
          <w:p w14:paraId="3659D2A3" w14:textId="2E2EE9ED" w:rsidR="009A7EC3" w:rsidRPr="00DE25AD" w:rsidRDefault="009A7EC3" w:rsidP="009A7EC3">
            <w:pPr>
              <w:pStyle w:val="ASSADACCESStablecentre"/>
            </w:pPr>
            <w:r w:rsidRPr="002E5727">
              <w:rPr>
                <w:bCs w:val="0"/>
                <w:color w:val="000000"/>
              </w:rPr>
              <w:t>97^</w:t>
            </w:r>
          </w:p>
        </w:tc>
        <w:tc>
          <w:tcPr>
            <w:tcW w:w="879" w:type="dxa"/>
            <w:shd w:val="clear" w:color="auto" w:fill="auto"/>
          </w:tcPr>
          <w:p w14:paraId="2EF29B05" w14:textId="58D0EBA2" w:rsidR="009A7EC3" w:rsidRPr="00DE25AD" w:rsidRDefault="009A7EC3" w:rsidP="009A7EC3">
            <w:pPr>
              <w:pStyle w:val="ASSADACCESStablecentre"/>
            </w:pPr>
            <w:r w:rsidRPr="002E5727">
              <w:rPr>
                <w:bCs w:val="0"/>
                <w:color w:val="000000"/>
              </w:rPr>
              <w:t>97^</w:t>
            </w:r>
          </w:p>
        </w:tc>
        <w:tc>
          <w:tcPr>
            <w:tcW w:w="879" w:type="dxa"/>
            <w:shd w:val="clear" w:color="auto" w:fill="auto"/>
          </w:tcPr>
          <w:p w14:paraId="2C31E68F" w14:textId="61EC8B14" w:rsidR="009A7EC3" w:rsidRPr="00DE25AD" w:rsidRDefault="009A7EC3" w:rsidP="009A7EC3">
            <w:pPr>
              <w:pStyle w:val="ASSADACCESStablecentre"/>
            </w:pPr>
            <w:r w:rsidRPr="002E5727">
              <w:rPr>
                <w:bCs w:val="0"/>
                <w:color w:val="000000"/>
              </w:rPr>
              <w:t>97^</w:t>
            </w:r>
          </w:p>
        </w:tc>
        <w:tc>
          <w:tcPr>
            <w:tcW w:w="879" w:type="dxa"/>
            <w:shd w:val="clear" w:color="auto" w:fill="auto"/>
          </w:tcPr>
          <w:p w14:paraId="1166CA54" w14:textId="4AA06751" w:rsidR="009A7EC3" w:rsidRPr="00DE25AD" w:rsidRDefault="009A7EC3" w:rsidP="009A7EC3">
            <w:pPr>
              <w:pStyle w:val="ASSADACCESStablecentre"/>
            </w:pPr>
            <w:r w:rsidRPr="002E5727">
              <w:rPr>
                <w:bCs w:val="0"/>
                <w:color w:val="000000"/>
              </w:rPr>
              <w:t>97^</w:t>
            </w:r>
          </w:p>
        </w:tc>
        <w:tc>
          <w:tcPr>
            <w:tcW w:w="879" w:type="dxa"/>
            <w:shd w:val="clear" w:color="auto" w:fill="auto"/>
          </w:tcPr>
          <w:p w14:paraId="2F6CABD8" w14:textId="06A85B3B" w:rsidR="009A7EC3" w:rsidRPr="00DE25AD" w:rsidRDefault="009A7EC3" w:rsidP="009A7EC3">
            <w:pPr>
              <w:pStyle w:val="ASSADACCESStablecentre"/>
            </w:pPr>
            <w:r w:rsidRPr="002E5727">
              <w:rPr>
                <w:bCs w:val="0"/>
                <w:color w:val="000000"/>
              </w:rPr>
              <w:t>96^</w:t>
            </w:r>
          </w:p>
        </w:tc>
        <w:tc>
          <w:tcPr>
            <w:tcW w:w="879" w:type="dxa"/>
            <w:shd w:val="clear" w:color="auto" w:fill="auto"/>
          </w:tcPr>
          <w:p w14:paraId="77094133" w14:textId="03C0A0E2" w:rsidR="009A7EC3" w:rsidRPr="00DE25AD" w:rsidRDefault="009A7EC3" w:rsidP="009A7EC3">
            <w:pPr>
              <w:pStyle w:val="ASSADACCESStablecentre"/>
            </w:pPr>
            <w:r w:rsidRPr="002E5727">
              <w:rPr>
                <w:bCs w:val="0"/>
                <w:color w:val="000000"/>
              </w:rPr>
              <w:t>9</w:t>
            </w:r>
            <w:r>
              <w:rPr>
                <w:bCs w:val="0"/>
                <w:color w:val="000000"/>
              </w:rPr>
              <w:t>6</w:t>
            </w:r>
            <w:r w:rsidRPr="002E5727">
              <w:rPr>
                <w:bCs w:val="0"/>
                <w:color w:val="000000"/>
              </w:rPr>
              <w:t>^</w:t>
            </w:r>
          </w:p>
        </w:tc>
      </w:tr>
      <w:tr w:rsidR="009A7EC3" w:rsidRPr="00DE25AD" w14:paraId="1EE40ED8" w14:textId="77777777" w:rsidTr="00545FF4">
        <w:trPr>
          <w:trHeight w:val="247"/>
        </w:trPr>
        <w:tc>
          <w:tcPr>
            <w:tcW w:w="1517" w:type="dxa"/>
            <w:tcMar>
              <w:left w:w="57" w:type="dxa"/>
            </w:tcMar>
          </w:tcPr>
          <w:p w14:paraId="4D6C673B" w14:textId="77777777" w:rsidR="009A7EC3" w:rsidRPr="00DE25AD" w:rsidRDefault="009A7EC3" w:rsidP="009A7EC3">
            <w:pPr>
              <w:pStyle w:val="ACCESSTableHeaderRow"/>
              <w:rPr>
                <w:vertAlign w:val="superscript"/>
              </w:rPr>
            </w:pPr>
            <w:r>
              <w:t>Past year</w:t>
            </w:r>
          </w:p>
        </w:tc>
        <w:tc>
          <w:tcPr>
            <w:tcW w:w="1068" w:type="dxa"/>
            <w:shd w:val="clear" w:color="auto" w:fill="auto"/>
            <w:tcMar>
              <w:left w:w="57" w:type="dxa"/>
            </w:tcMar>
            <w:vAlign w:val="bottom"/>
          </w:tcPr>
          <w:p w14:paraId="52C11C32" w14:textId="77777777" w:rsidR="009A7EC3" w:rsidRPr="00DE25AD" w:rsidRDefault="009A7EC3" w:rsidP="009A7EC3">
            <w:pPr>
              <w:pStyle w:val="ASSAD2017ACCESSBody1"/>
            </w:pPr>
            <w:r w:rsidRPr="00DE25AD">
              <w:t>Male</w:t>
            </w:r>
          </w:p>
        </w:tc>
        <w:tc>
          <w:tcPr>
            <w:tcW w:w="878" w:type="dxa"/>
            <w:shd w:val="clear" w:color="auto" w:fill="auto"/>
          </w:tcPr>
          <w:p w14:paraId="55639B3B" w14:textId="0FE8A54B" w:rsidR="009A7EC3" w:rsidRPr="00DE25AD" w:rsidRDefault="009A7EC3" w:rsidP="009A7EC3">
            <w:pPr>
              <w:pStyle w:val="ASSADACCESStablecentre"/>
            </w:pPr>
            <w:r w:rsidRPr="002E5727">
              <w:rPr>
                <w:bCs w:val="0"/>
                <w:color w:val="000000"/>
              </w:rPr>
              <w:t>94</w:t>
            </w:r>
            <w:r>
              <w:rPr>
                <w:bCs w:val="0"/>
                <w:color w:val="000000"/>
              </w:rPr>
              <w:t>*</w:t>
            </w:r>
          </w:p>
        </w:tc>
        <w:tc>
          <w:tcPr>
            <w:tcW w:w="879" w:type="dxa"/>
            <w:shd w:val="clear" w:color="auto" w:fill="auto"/>
          </w:tcPr>
          <w:p w14:paraId="694703F1" w14:textId="6B19E1A5" w:rsidR="009A7EC3" w:rsidRPr="00DE25AD" w:rsidRDefault="009A7EC3" w:rsidP="009A7EC3">
            <w:pPr>
              <w:pStyle w:val="ASSADACCESStablecentre"/>
            </w:pPr>
            <w:r w:rsidRPr="002E5727">
              <w:rPr>
                <w:bCs w:val="0"/>
                <w:color w:val="000000"/>
              </w:rPr>
              <w:t>92</w:t>
            </w:r>
          </w:p>
        </w:tc>
        <w:tc>
          <w:tcPr>
            <w:tcW w:w="879" w:type="dxa"/>
            <w:shd w:val="clear" w:color="auto" w:fill="auto"/>
          </w:tcPr>
          <w:p w14:paraId="646F28C3" w14:textId="5AF26802" w:rsidR="009A7EC3" w:rsidRPr="00DE25AD" w:rsidRDefault="009A7EC3" w:rsidP="009A7EC3">
            <w:pPr>
              <w:pStyle w:val="ASSADACCESStablecentre"/>
            </w:pPr>
            <w:r w:rsidRPr="002E5727">
              <w:rPr>
                <w:bCs w:val="0"/>
                <w:color w:val="000000"/>
              </w:rPr>
              <w:t>92</w:t>
            </w:r>
            <w:r>
              <w:rPr>
                <w:bCs w:val="0"/>
                <w:color w:val="000000"/>
              </w:rPr>
              <w:t>^</w:t>
            </w:r>
          </w:p>
        </w:tc>
        <w:tc>
          <w:tcPr>
            <w:tcW w:w="879" w:type="dxa"/>
            <w:shd w:val="clear" w:color="auto" w:fill="auto"/>
          </w:tcPr>
          <w:p w14:paraId="177BB67B" w14:textId="208CF250" w:rsidR="009A7EC3" w:rsidRPr="00DE25AD" w:rsidRDefault="009A7EC3" w:rsidP="009A7EC3">
            <w:pPr>
              <w:pStyle w:val="ASSADACCESStablecentre"/>
            </w:pPr>
            <w:r w:rsidRPr="002E5727">
              <w:rPr>
                <w:bCs w:val="0"/>
                <w:color w:val="000000"/>
              </w:rPr>
              <w:t>91^</w:t>
            </w:r>
          </w:p>
        </w:tc>
        <w:tc>
          <w:tcPr>
            <w:tcW w:w="879" w:type="dxa"/>
            <w:shd w:val="clear" w:color="auto" w:fill="auto"/>
          </w:tcPr>
          <w:p w14:paraId="001446E8" w14:textId="5A38BBE1" w:rsidR="009A7EC3" w:rsidRPr="00DE25AD" w:rsidRDefault="009A7EC3" w:rsidP="009A7EC3">
            <w:pPr>
              <w:pStyle w:val="ASSADACCESStablecentre"/>
            </w:pPr>
            <w:r w:rsidRPr="002E5727">
              <w:rPr>
                <w:bCs w:val="0"/>
                <w:color w:val="000000"/>
              </w:rPr>
              <w:t>92^</w:t>
            </w:r>
          </w:p>
        </w:tc>
        <w:tc>
          <w:tcPr>
            <w:tcW w:w="879" w:type="dxa"/>
            <w:shd w:val="clear" w:color="auto" w:fill="auto"/>
          </w:tcPr>
          <w:p w14:paraId="24F0EAEE" w14:textId="4D8C9841" w:rsidR="009A7EC3" w:rsidRPr="00DE25AD" w:rsidRDefault="009A7EC3" w:rsidP="009A7EC3">
            <w:pPr>
              <w:pStyle w:val="ASSADACCESStablecentre"/>
            </w:pPr>
            <w:r w:rsidRPr="002E5727">
              <w:rPr>
                <w:bCs w:val="0"/>
                <w:color w:val="000000"/>
              </w:rPr>
              <w:t>92</w:t>
            </w:r>
          </w:p>
        </w:tc>
        <w:tc>
          <w:tcPr>
            <w:tcW w:w="879" w:type="dxa"/>
            <w:shd w:val="clear" w:color="auto" w:fill="auto"/>
          </w:tcPr>
          <w:p w14:paraId="49716C3A" w14:textId="25B9D693" w:rsidR="009A7EC3" w:rsidRPr="00DE25AD" w:rsidRDefault="009A7EC3" w:rsidP="009A7EC3">
            <w:pPr>
              <w:pStyle w:val="ASSADACCESStablecentre"/>
            </w:pPr>
            <w:r w:rsidRPr="002E5727">
              <w:rPr>
                <w:bCs w:val="0"/>
                <w:color w:val="000000"/>
              </w:rPr>
              <w:t>90^</w:t>
            </w:r>
          </w:p>
        </w:tc>
        <w:tc>
          <w:tcPr>
            <w:tcW w:w="879" w:type="dxa"/>
            <w:shd w:val="clear" w:color="auto" w:fill="auto"/>
          </w:tcPr>
          <w:p w14:paraId="1F51C44A" w14:textId="65697A86" w:rsidR="009A7EC3" w:rsidRPr="00DE25AD" w:rsidRDefault="009A7EC3" w:rsidP="009A7EC3">
            <w:pPr>
              <w:pStyle w:val="ASSADACCESStablecentre"/>
            </w:pPr>
            <w:r w:rsidRPr="002E5727">
              <w:rPr>
                <w:bCs w:val="0"/>
                <w:color w:val="000000"/>
              </w:rPr>
              <w:t>91</w:t>
            </w:r>
            <w:r>
              <w:rPr>
                <w:bCs w:val="0"/>
                <w:color w:val="000000"/>
              </w:rPr>
              <w:t>^</w:t>
            </w:r>
          </w:p>
        </w:tc>
      </w:tr>
      <w:tr w:rsidR="009A7EC3" w:rsidRPr="00DE25AD" w14:paraId="74CA8C72" w14:textId="77777777" w:rsidTr="005C5B03">
        <w:trPr>
          <w:trHeight w:val="247"/>
        </w:trPr>
        <w:tc>
          <w:tcPr>
            <w:tcW w:w="1517" w:type="dxa"/>
            <w:tcMar>
              <w:left w:w="57" w:type="dxa"/>
            </w:tcMar>
          </w:tcPr>
          <w:p w14:paraId="2E1A44A5" w14:textId="77777777" w:rsidR="009A7EC3" w:rsidRPr="00DE25AD" w:rsidRDefault="009A7EC3" w:rsidP="009A7EC3">
            <w:pPr>
              <w:pStyle w:val="ACCESSTableHeaderRow"/>
            </w:pPr>
          </w:p>
        </w:tc>
        <w:tc>
          <w:tcPr>
            <w:tcW w:w="1068" w:type="dxa"/>
            <w:shd w:val="clear" w:color="auto" w:fill="auto"/>
            <w:tcMar>
              <w:left w:w="57" w:type="dxa"/>
            </w:tcMar>
            <w:vAlign w:val="bottom"/>
          </w:tcPr>
          <w:p w14:paraId="40C82F0E" w14:textId="77777777" w:rsidR="009A7EC3" w:rsidRPr="00DE25AD" w:rsidRDefault="009A7EC3" w:rsidP="009A7EC3">
            <w:pPr>
              <w:pStyle w:val="ASSAD2017ACCESSBody1"/>
            </w:pPr>
            <w:r w:rsidRPr="00DE25AD">
              <w:t>Female</w:t>
            </w:r>
          </w:p>
        </w:tc>
        <w:tc>
          <w:tcPr>
            <w:tcW w:w="878" w:type="dxa"/>
            <w:shd w:val="clear" w:color="auto" w:fill="auto"/>
          </w:tcPr>
          <w:p w14:paraId="5AC20001" w14:textId="1A8E5E91" w:rsidR="009A7EC3" w:rsidRPr="00DE25AD" w:rsidRDefault="009A7EC3" w:rsidP="009A7EC3">
            <w:pPr>
              <w:pStyle w:val="ASSADACCESStablecentre"/>
            </w:pPr>
            <w:r w:rsidRPr="002E5727">
              <w:rPr>
                <w:bCs w:val="0"/>
                <w:color w:val="000000"/>
              </w:rPr>
              <w:t>98*</w:t>
            </w:r>
          </w:p>
        </w:tc>
        <w:tc>
          <w:tcPr>
            <w:tcW w:w="879" w:type="dxa"/>
            <w:shd w:val="clear" w:color="auto" w:fill="auto"/>
          </w:tcPr>
          <w:p w14:paraId="5F8710FC" w14:textId="62CEAC20" w:rsidR="009A7EC3" w:rsidRPr="00DE25AD" w:rsidRDefault="009A7EC3" w:rsidP="009A7EC3">
            <w:pPr>
              <w:pStyle w:val="ASSADACCESStablecentre"/>
            </w:pPr>
            <w:r w:rsidRPr="002E5727">
              <w:rPr>
                <w:bCs w:val="0"/>
                <w:color w:val="000000"/>
              </w:rPr>
              <w:t>97</w:t>
            </w:r>
          </w:p>
        </w:tc>
        <w:tc>
          <w:tcPr>
            <w:tcW w:w="879" w:type="dxa"/>
            <w:shd w:val="clear" w:color="auto" w:fill="auto"/>
          </w:tcPr>
          <w:p w14:paraId="5BA37F98" w14:textId="2DAE4475" w:rsidR="009A7EC3" w:rsidRPr="00DE25AD" w:rsidRDefault="009A7EC3" w:rsidP="009A7EC3">
            <w:pPr>
              <w:pStyle w:val="ASSADACCESStablecentre"/>
            </w:pPr>
            <w:r w:rsidRPr="002E5727">
              <w:rPr>
                <w:bCs w:val="0"/>
                <w:color w:val="000000"/>
              </w:rPr>
              <w:t>96^</w:t>
            </w:r>
          </w:p>
        </w:tc>
        <w:tc>
          <w:tcPr>
            <w:tcW w:w="879" w:type="dxa"/>
            <w:shd w:val="clear" w:color="auto" w:fill="auto"/>
          </w:tcPr>
          <w:p w14:paraId="2A62C136" w14:textId="11850783" w:rsidR="009A7EC3" w:rsidRPr="00DE25AD" w:rsidRDefault="009A7EC3" w:rsidP="009A7EC3">
            <w:pPr>
              <w:pStyle w:val="ASSADACCESStablecentre"/>
            </w:pPr>
            <w:r w:rsidRPr="002E5727">
              <w:rPr>
                <w:bCs w:val="0"/>
                <w:color w:val="000000"/>
              </w:rPr>
              <w:t>97^</w:t>
            </w:r>
          </w:p>
        </w:tc>
        <w:tc>
          <w:tcPr>
            <w:tcW w:w="879" w:type="dxa"/>
            <w:shd w:val="clear" w:color="auto" w:fill="auto"/>
          </w:tcPr>
          <w:p w14:paraId="299B0A0A" w14:textId="377DD93F" w:rsidR="009A7EC3" w:rsidRPr="00DE25AD" w:rsidRDefault="009A7EC3" w:rsidP="009A7EC3">
            <w:pPr>
              <w:pStyle w:val="ASSADACCESStablecentre"/>
            </w:pPr>
            <w:r w:rsidRPr="002E5727">
              <w:rPr>
                <w:bCs w:val="0"/>
                <w:color w:val="000000"/>
              </w:rPr>
              <w:t>97</w:t>
            </w:r>
            <w:r>
              <w:rPr>
                <w:bCs w:val="0"/>
                <w:color w:val="000000"/>
              </w:rPr>
              <w:t>^</w:t>
            </w:r>
          </w:p>
        </w:tc>
        <w:tc>
          <w:tcPr>
            <w:tcW w:w="879" w:type="dxa"/>
            <w:shd w:val="clear" w:color="auto" w:fill="auto"/>
          </w:tcPr>
          <w:p w14:paraId="3BDCD7CE" w14:textId="7204299D" w:rsidR="009A7EC3" w:rsidRPr="00DE25AD" w:rsidRDefault="009A7EC3" w:rsidP="009A7EC3">
            <w:pPr>
              <w:pStyle w:val="ASSADACCESStablecentre"/>
            </w:pPr>
            <w:r w:rsidRPr="002E5727">
              <w:rPr>
                <w:bCs w:val="0"/>
                <w:color w:val="000000"/>
              </w:rPr>
              <w:t>97</w:t>
            </w:r>
            <w:r>
              <w:rPr>
                <w:bCs w:val="0"/>
                <w:color w:val="000000"/>
              </w:rPr>
              <w:t>^</w:t>
            </w:r>
          </w:p>
        </w:tc>
        <w:tc>
          <w:tcPr>
            <w:tcW w:w="879" w:type="dxa"/>
            <w:shd w:val="clear" w:color="auto" w:fill="auto"/>
          </w:tcPr>
          <w:p w14:paraId="224FE031" w14:textId="24BD632C" w:rsidR="009A7EC3" w:rsidRPr="00DE25AD" w:rsidRDefault="009A7EC3" w:rsidP="009A7EC3">
            <w:pPr>
              <w:pStyle w:val="ASSADACCESStablecentre"/>
            </w:pPr>
            <w:r w:rsidRPr="002E5727">
              <w:rPr>
                <w:bCs w:val="0"/>
                <w:color w:val="000000"/>
              </w:rPr>
              <w:t>96^</w:t>
            </w:r>
          </w:p>
        </w:tc>
        <w:tc>
          <w:tcPr>
            <w:tcW w:w="879" w:type="dxa"/>
            <w:shd w:val="clear" w:color="auto" w:fill="auto"/>
          </w:tcPr>
          <w:p w14:paraId="6D586FEB" w14:textId="109261A2" w:rsidR="009A7EC3" w:rsidRPr="00DE25AD" w:rsidRDefault="009A7EC3" w:rsidP="009A7EC3">
            <w:pPr>
              <w:pStyle w:val="ASSADACCESStablecentre"/>
            </w:pPr>
            <w:r w:rsidRPr="002E5727">
              <w:rPr>
                <w:bCs w:val="0"/>
                <w:color w:val="000000"/>
              </w:rPr>
              <w:t>96^</w:t>
            </w:r>
          </w:p>
        </w:tc>
      </w:tr>
      <w:tr w:rsidR="009A7EC3" w:rsidRPr="00DE25AD" w14:paraId="62159101" w14:textId="77777777" w:rsidTr="005C5B03">
        <w:trPr>
          <w:trHeight w:val="247"/>
        </w:trPr>
        <w:tc>
          <w:tcPr>
            <w:tcW w:w="1517" w:type="dxa"/>
            <w:tcMar>
              <w:left w:w="57" w:type="dxa"/>
            </w:tcMar>
          </w:tcPr>
          <w:p w14:paraId="197AD7D8" w14:textId="77777777" w:rsidR="009A7EC3" w:rsidRPr="00DE25AD" w:rsidRDefault="009A7EC3" w:rsidP="009A7EC3">
            <w:pPr>
              <w:pStyle w:val="ACCESSTableHeaderRow"/>
            </w:pPr>
          </w:p>
        </w:tc>
        <w:tc>
          <w:tcPr>
            <w:tcW w:w="1068" w:type="dxa"/>
            <w:shd w:val="clear" w:color="auto" w:fill="auto"/>
            <w:tcMar>
              <w:left w:w="57" w:type="dxa"/>
            </w:tcMar>
            <w:vAlign w:val="bottom"/>
          </w:tcPr>
          <w:p w14:paraId="18B738A3" w14:textId="77777777" w:rsidR="009A7EC3" w:rsidRPr="00DE25AD" w:rsidRDefault="009A7EC3" w:rsidP="009A7EC3">
            <w:pPr>
              <w:pStyle w:val="ASSAD2017ACCESSBody1"/>
            </w:pPr>
            <w:r w:rsidRPr="00DE25AD">
              <w:t>Total</w:t>
            </w:r>
          </w:p>
        </w:tc>
        <w:tc>
          <w:tcPr>
            <w:tcW w:w="878" w:type="dxa"/>
            <w:shd w:val="clear" w:color="auto" w:fill="auto"/>
          </w:tcPr>
          <w:p w14:paraId="48047D69" w14:textId="5AB844BD" w:rsidR="009A7EC3" w:rsidRPr="00DE25AD" w:rsidRDefault="009A7EC3" w:rsidP="009A7EC3">
            <w:pPr>
              <w:pStyle w:val="ASSADACCESStablecentre"/>
            </w:pPr>
            <w:r w:rsidRPr="002E5727">
              <w:rPr>
                <w:bCs w:val="0"/>
                <w:color w:val="000000"/>
              </w:rPr>
              <w:t>96*</w:t>
            </w:r>
          </w:p>
        </w:tc>
        <w:tc>
          <w:tcPr>
            <w:tcW w:w="879" w:type="dxa"/>
            <w:shd w:val="clear" w:color="auto" w:fill="auto"/>
          </w:tcPr>
          <w:p w14:paraId="6F4C07D3" w14:textId="6A31EC09" w:rsidR="009A7EC3" w:rsidRPr="00DE25AD" w:rsidRDefault="009A7EC3" w:rsidP="009A7EC3">
            <w:pPr>
              <w:pStyle w:val="ASSADACCESStablecentre"/>
            </w:pPr>
            <w:r w:rsidRPr="002E5727">
              <w:rPr>
                <w:bCs w:val="0"/>
                <w:color w:val="000000"/>
              </w:rPr>
              <w:t>95</w:t>
            </w:r>
            <w:r>
              <w:rPr>
                <w:bCs w:val="0"/>
                <w:color w:val="000000"/>
              </w:rPr>
              <w:t>^</w:t>
            </w:r>
          </w:p>
        </w:tc>
        <w:tc>
          <w:tcPr>
            <w:tcW w:w="879" w:type="dxa"/>
            <w:shd w:val="clear" w:color="auto" w:fill="auto"/>
          </w:tcPr>
          <w:p w14:paraId="52D50BF5" w14:textId="18390C42" w:rsidR="009A7EC3" w:rsidRPr="00DE25AD" w:rsidRDefault="009A7EC3" w:rsidP="009A7EC3">
            <w:pPr>
              <w:pStyle w:val="ASSADACCESStablecentre"/>
            </w:pPr>
            <w:r w:rsidRPr="002E5727">
              <w:rPr>
                <w:bCs w:val="0"/>
                <w:color w:val="000000"/>
              </w:rPr>
              <w:t>94^</w:t>
            </w:r>
          </w:p>
        </w:tc>
        <w:tc>
          <w:tcPr>
            <w:tcW w:w="879" w:type="dxa"/>
            <w:shd w:val="clear" w:color="auto" w:fill="auto"/>
          </w:tcPr>
          <w:p w14:paraId="52389BD5" w14:textId="5F980489" w:rsidR="009A7EC3" w:rsidRPr="00DE25AD" w:rsidRDefault="009A7EC3" w:rsidP="009A7EC3">
            <w:pPr>
              <w:pStyle w:val="ASSADACCESStablecentre"/>
            </w:pPr>
            <w:r w:rsidRPr="002E5727">
              <w:rPr>
                <w:bCs w:val="0"/>
                <w:color w:val="000000"/>
              </w:rPr>
              <w:t>94^</w:t>
            </w:r>
          </w:p>
        </w:tc>
        <w:tc>
          <w:tcPr>
            <w:tcW w:w="879" w:type="dxa"/>
            <w:shd w:val="clear" w:color="auto" w:fill="auto"/>
          </w:tcPr>
          <w:p w14:paraId="60BF0E72" w14:textId="65F2DD53" w:rsidR="009A7EC3" w:rsidRPr="00DE25AD" w:rsidRDefault="009A7EC3" w:rsidP="009A7EC3">
            <w:pPr>
              <w:pStyle w:val="ASSADACCESStablecentre"/>
            </w:pPr>
            <w:r w:rsidRPr="002E5727">
              <w:rPr>
                <w:bCs w:val="0"/>
                <w:color w:val="000000"/>
              </w:rPr>
              <w:t>94^</w:t>
            </w:r>
          </w:p>
        </w:tc>
        <w:tc>
          <w:tcPr>
            <w:tcW w:w="879" w:type="dxa"/>
            <w:shd w:val="clear" w:color="auto" w:fill="auto"/>
          </w:tcPr>
          <w:p w14:paraId="1C9A23FA" w14:textId="3121A606" w:rsidR="009A7EC3" w:rsidRPr="00DE25AD" w:rsidRDefault="009A7EC3" w:rsidP="009A7EC3">
            <w:pPr>
              <w:pStyle w:val="ASSADACCESStablecentre"/>
            </w:pPr>
            <w:r w:rsidRPr="002E5727">
              <w:rPr>
                <w:bCs w:val="0"/>
                <w:color w:val="000000"/>
              </w:rPr>
              <w:t>95^</w:t>
            </w:r>
          </w:p>
        </w:tc>
        <w:tc>
          <w:tcPr>
            <w:tcW w:w="879" w:type="dxa"/>
            <w:shd w:val="clear" w:color="auto" w:fill="auto"/>
          </w:tcPr>
          <w:p w14:paraId="6062EB43" w14:textId="72EB0B18" w:rsidR="009A7EC3" w:rsidRPr="00DE25AD" w:rsidRDefault="009A7EC3" w:rsidP="009A7EC3">
            <w:pPr>
              <w:pStyle w:val="ASSADACCESStablecentre"/>
            </w:pPr>
            <w:r w:rsidRPr="002E5727">
              <w:rPr>
                <w:bCs w:val="0"/>
                <w:color w:val="000000"/>
              </w:rPr>
              <w:t>93^</w:t>
            </w:r>
          </w:p>
        </w:tc>
        <w:tc>
          <w:tcPr>
            <w:tcW w:w="879" w:type="dxa"/>
            <w:shd w:val="clear" w:color="auto" w:fill="auto"/>
          </w:tcPr>
          <w:p w14:paraId="4DE84115" w14:textId="3E158C88" w:rsidR="009A7EC3" w:rsidRPr="00DE25AD" w:rsidRDefault="009A7EC3" w:rsidP="009A7EC3">
            <w:pPr>
              <w:pStyle w:val="ASSADACCESStablecentre"/>
            </w:pPr>
            <w:r w:rsidRPr="002E5727">
              <w:rPr>
                <w:bCs w:val="0"/>
                <w:color w:val="000000"/>
              </w:rPr>
              <w:t>94^</w:t>
            </w:r>
          </w:p>
        </w:tc>
      </w:tr>
      <w:tr w:rsidR="009A7EC3" w:rsidRPr="00DE25AD" w14:paraId="645031E3" w14:textId="77777777" w:rsidTr="005C5B03">
        <w:trPr>
          <w:trHeight w:val="247"/>
        </w:trPr>
        <w:tc>
          <w:tcPr>
            <w:tcW w:w="1517" w:type="dxa"/>
            <w:tcMar>
              <w:left w:w="57" w:type="dxa"/>
            </w:tcMar>
          </w:tcPr>
          <w:p w14:paraId="7068AD0D"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7AC3B5D1" w14:textId="77777777" w:rsidR="009A7EC3" w:rsidRPr="00DE25AD" w:rsidRDefault="009A7EC3" w:rsidP="009A7EC3">
            <w:pPr>
              <w:pStyle w:val="ASSAD2017ACCESSBody1"/>
            </w:pPr>
            <w:r w:rsidRPr="00DE25AD">
              <w:t>Male</w:t>
            </w:r>
          </w:p>
        </w:tc>
        <w:tc>
          <w:tcPr>
            <w:tcW w:w="878" w:type="dxa"/>
            <w:shd w:val="clear" w:color="auto" w:fill="auto"/>
          </w:tcPr>
          <w:p w14:paraId="41231AEC" w14:textId="5BBD1E23" w:rsidR="009A7EC3" w:rsidRPr="00DE25AD" w:rsidRDefault="009A7EC3" w:rsidP="009A7EC3">
            <w:pPr>
              <w:pStyle w:val="ASSADACCESStablecentre"/>
            </w:pPr>
            <w:r w:rsidRPr="002E5727">
              <w:rPr>
                <w:bCs w:val="0"/>
                <w:color w:val="000000"/>
              </w:rPr>
              <w:t>67*</w:t>
            </w:r>
          </w:p>
        </w:tc>
        <w:tc>
          <w:tcPr>
            <w:tcW w:w="879" w:type="dxa"/>
            <w:shd w:val="clear" w:color="auto" w:fill="auto"/>
          </w:tcPr>
          <w:p w14:paraId="7ACC9D48" w14:textId="013A11AA" w:rsidR="009A7EC3" w:rsidRPr="00DE25AD" w:rsidRDefault="009A7EC3" w:rsidP="009A7EC3">
            <w:pPr>
              <w:pStyle w:val="ASSADACCESStablecentre"/>
            </w:pPr>
            <w:r w:rsidRPr="002E5727">
              <w:rPr>
                <w:bCs w:val="0"/>
                <w:color w:val="000000"/>
              </w:rPr>
              <w:t>67</w:t>
            </w:r>
            <w:r>
              <w:rPr>
                <w:bCs w:val="0"/>
                <w:color w:val="000000"/>
              </w:rPr>
              <w:t>*</w:t>
            </w:r>
          </w:p>
        </w:tc>
        <w:tc>
          <w:tcPr>
            <w:tcW w:w="879" w:type="dxa"/>
            <w:shd w:val="clear" w:color="auto" w:fill="auto"/>
          </w:tcPr>
          <w:p w14:paraId="16BAD349" w14:textId="2BC45E48" w:rsidR="009A7EC3" w:rsidRPr="00DE25AD" w:rsidRDefault="009A7EC3" w:rsidP="009A7EC3">
            <w:pPr>
              <w:pStyle w:val="ASSADACCESStablecentre"/>
            </w:pPr>
            <w:r w:rsidRPr="002E5727">
              <w:rPr>
                <w:bCs w:val="0"/>
                <w:color w:val="000000"/>
              </w:rPr>
              <w:t>63</w:t>
            </w:r>
            <w:r>
              <w:rPr>
                <w:bCs w:val="0"/>
                <w:color w:val="000000"/>
              </w:rPr>
              <w:t>^</w:t>
            </w:r>
          </w:p>
        </w:tc>
        <w:tc>
          <w:tcPr>
            <w:tcW w:w="879" w:type="dxa"/>
            <w:shd w:val="clear" w:color="auto" w:fill="auto"/>
          </w:tcPr>
          <w:p w14:paraId="18486260" w14:textId="2761BA7D" w:rsidR="009A7EC3" w:rsidRPr="00DE25AD" w:rsidRDefault="009A7EC3" w:rsidP="009A7EC3">
            <w:pPr>
              <w:pStyle w:val="ASSADACCESStablecentre"/>
            </w:pPr>
            <w:r w:rsidRPr="002E5727">
              <w:rPr>
                <w:bCs w:val="0"/>
                <w:color w:val="000000"/>
              </w:rPr>
              <w:t>65</w:t>
            </w:r>
          </w:p>
        </w:tc>
        <w:tc>
          <w:tcPr>
            <w:tcW w:w="879" w:type="dxa"/>
            <w:shd w:val="clear" w:color="auto" w:fill="auto"/>
          </w:tcPr>
          <w:p w14:paraId="2BF2C1F6" w14:textId="6B3C1394" w:rsidR="009A7EC3" w:rsidRPr="00DE25AD" w:rsidRDefault="009A7EC3" w:rsidP="009A7EC3">
            <w:pPr>
              <w:pStyle w:val="ASSADACCESStablecentre"/>
            </w:pPr>
            <w:r w:rsidRPr="002E5727">
              <w:rPr>
                <w:bCs w:val="0"/>
                <w:color w:val="000000"/>
              </w:rPr>
              <w:t>64</w:t>
            </w:r>
          </w:p>
        </w:tc>
        <w:tc>
          <w:tcPr>
            <w:tcW w:w="879" w:type="dxa"/>
            <w:shd w:val="clear" w:color="auto" w:fill="auto"/>
          </w:tcPr>
          <w:p w14:paraId="1B07BFFA" w14:textId="7AC805DE" w:rsidR="009A7EC3" w:rsidRPr="00DE25AD" w:rsidRDefault="009A7EC3" w:rsidP="009A7EC3">
            <w:pPr>
              <w:pStyle w:val="ASSADACCESStablecentre"/>
            </w:pPr>
            <w:r w:rsidRPr="002E5727">
              <w:rPr>
                <w:bCs w:val="0"/>
                <w:color w:val="000000"/>
              </w:rPr>
              <w:t>63</w:t>
            </w:r>
          </w:p>
        </w:tc>
        <w:tc>
          <w:tcPr>
            <w:tcW w:w="879" w:type="dxa"/>
            <w:shd w:val="clear" w:color="auto" w:fill="auto"/>
          </w:tcPr>
          <w:p w14:paraId="135CA9D9" w14:textId="669609DC" w:rsidR="009A7EC3" w:rsidRPr="00DE25AD" w:rsidRDefault="009A7EC3" w:rsidP="009A7EC3">
            <w:pPr>
              <w:pStyle w:val="ASSADACCESStablecentre"/>
            </w:pPr>
            <w:r w:rsidRPr="002E5727">
              <w:rPr>
                <w:bCs w:val="0"/>
                <w:color w:val="000000"/>
              </w:rPr>
              <w:t>64</w:t>
            </w:r>
          </w:p>
        </w:tc>
        <w:tc>
          <w:tcPr>
            <w:tcW w:w="879" w:type="dxa"/>
            <w:shd w:val="clear" w:color="auto" w:fill="auto"/>
          </w:tcPr>
          <w:p w14:paraId="64EC9D02" w14:textId="250532A3" w:rsidR="009A7EC3" w:rsidRPr="00DE25AD" w:rsidRDefault="009A7EC3" w:rsidP="009A7EC3">
            <w:pPr>
              <w:pStyle w:val="ASSADACCESStablecentre"/>
            </w:pPr>
            <w:r w:rsidRPr="002E5727">
              <w:rPr>
                <w:bCs w:val="0"/>
                <w:color w:val="000000"/>
              </w:rPr>
              <w:t>6</w:t>
            </w:r>
            <w:r>
              <w:rPr>
                <w:bCs w:val="0"/>
                <w:color w:val="000000"/>
              </w:rPr>
              <w:t>1</w:t>
            </w:r>
            <w:r w:rsidRPr="002E5727">
              <w:rPr>
                <w:bCs w:val="0"/>
                <w:color w:val="000000"/>
              </w:rPr>
              <w:t>^</w:t>
            </w:r>
          </w:p>
        </w:tc>
      </w:tr>
      <w:tr w:rsidR="009A7EC3" w:rsidRPr="00DE25AD" w14:paraId="409D15F5" w14:textId="77777777" w:rsidTr="005C5B03">
        <w:trPr>
          <w:trHeight w:val="247"/>
        </w:trPr>
        <w:tc>
          <w:tcPr>
            <w:tcW w:w="1517" w:type="dxa"/>
            <w:tcMar>
              <w:left w:w="57" w:type="dxa"/>
            </w:tcMar>
          </w:tcPr>
          <w:p w14:paraId="7396BB56" w14:textId="77777777" w:rsidR="009A7EC3" w:rsidRPr="00DE25AD" w:rsidRDefault="009A7EC3" w:rsidP="009A7EC3">
            <w:pPr>
              <w:pStyle w:val="ACCESSTableHeaderRow"/>
            </w:pPr>
          </w:p>
        </w:tc>
        <w:tc>
          <w:tcPr>
            <w:tcW w:w="1068" w:type="dxa"/>
            <w:shd w:val="clear" w:color="auto" w:fill="auto"/>
            <w:tcMar>
              <w:left w:w="57" w:type="dxa"/>
            </w:tcMar>
            <w:vAlign w:val="bottom"/>
          </w:tcPr>
          <w:p w14:paraId="789DC554" w14:textId="77777777" w:rsidR="009A7EC3" w:rsidRPr="00DE25AD" w:rsidRDefault="009A7EC3" w:rsidP="009A7EC3">
            <w:pPr>
              <w:pStyle w:val="ASSAD2017ACCESSBody1"/>
            </w:pPr>
            <w:r w:rsidRPr="00DE25AD">
              <w:t>Female</w:t>
            </w:r>
          </w:p>
        </w:tc>
        <w:tc>
          <w:tcPr>
            <w:tcW w:w="878" w:type="dxa"/>
            <w:shd w:val="clear" w:color="auto" w:fill="auto"/>
          </w:tcPr>
          <w:p w14:paraId="57A827B8" w14:textId="53745867" w:rsidR="009A7EC3" w:rsidRPr="00DE25AD" w:rsidRDefault="009A7EC3" w:rsidP="009A7EC3">
            <w:pPr>
              <w:pStyle w:val="ASSADACCESStablecentre"/>
            </w:pPr>
            <w:r w:rsidRPr="002E5727">
              <w:rPr>
                <w:bCs w:val="0"/>
                <w:color w:val="000000"/>
              </w:rPr>
              <w:t>84</w:t>
            </w:r>
            <w:r>
              <w:rPr>
                <w:bCs w:val="0"/>
                <w:color w:val="000000"/>
              </w:rPr>
              <w:t>*</w:t>
            </w:r>
          </w:p>
        </w:tc>
        <w:tc>
          <w:tcPr>
            <w:tcW w:w="879" w:type="dxa"/>
            <w:shd w:val="clear" w:color="auto" w:fill="auto"/>
          </w:tcPr>
          <w:p w14:paraId="69088F97" w14:textId="3170424F" w:rsidR="009A7EC3" w:rsidRPr="00DE25AD" w:rsidRDefault="009A7EC3" w:rsidP="009A7EC3">
            <w:pPr>
              <w:pStyle w:val="ASSADACCESStablecentre"/>
            </w:pPr>
            <w:r w:rsidRPr="002E5727">
              <w:rPr>
                <w:bCs w:val="0"/>
                <w:color w:val="000000"/>
              </w:rPr>
              <w:t>84</w:t>
            </w:r>
          </w:p>
        </w:tc>
        <w:tc>
          <w:tcPr>
            <w:tcW w:w="879" w:type="dxa"/>
            <w:shd w:val="clear" w:color="auto" w:fill="auto"/>
          </w:tcPr>
          <w:p w14:paraId="08797438" w14:textId="3AAC90D7" w:rsidR="009A7EC3" w:rsidRPr="00DE25AD" w:rsidRDefault="009A7EC3" w:rsidP="009A7EC3">
            <w:pPr>
              <w:pStyle w:val="ASSADACCESStablecentre"/>
            </w:pPr>
            <w:r w:rsidRPr="002E5727">
              <w:rPr>
                <w:bCs w:val="0"/>
                <w:color w:val="000000"/>
              </w:rPr>
              <w:t>82</w:t>
            </w:r>
          </w:p>
        </w:tc>
        <w:tc>
          <w:tcPr>
            <w:tcW w:w="879" w:type="dxa"/>
            <w:shd w:val="clear" w:color="auto" w:fill="auto"/>
          </w:tcPr>
          <w:p w14:paraId="366C2C16" w14:textId="093D4E2B" w:rsidR="009A7EC3" w:rsidRPr="00DE25AD" w:rsidRDefault="009A7EC3" w:rsidP="009A7EC3">
            <w:pPr>
              <w:pStyle w:val="ASSADACCESStablecentre"/>
            </w:pPr>
            <w:r w:rsidRPr="002E5727">
              <w:rPr>
                <w:bCs w:val="0"/>
                <w:color w:val="000000"/>
              </w:rPr>
              <w:t>82</w:t>
            </w:r>
          </w:p>
        </w:tc>
        <w:tc>
          <w:tcPr>
            <w:tcW w:w="879" w:type="dxa"/>
            <w:shd w:val="clear" w:color="auto" w:fill="auto"/>
          </w:tcPr>
          <w:p w14:paraId="6EE4141E" w14:textId="0FEC74BB" w:rsidR="009A7EC3" w:rsidRPr="00DE25AD" w:rsidRDefault="009A7EC3" w:rsidP="009A7EC3">
            <w:pPr>
              <w:pStyle w:val="ASSADACCESStablecentre"/>
            </w:pPr>
            <w:r w:rsidRPr="002E5727">
              <w:rPr>
                <w:bCs w:val="0"/>
                <w:color w:val="000000"/>
              </w:rPr>
              <w:t>83</w:t>
            </w:r>
          </w:p>
        </w:tc>
        <w:tc>
          <w:tcPr>
            <w:tcW w:w="879" w:type="dxa"/>
            <w:shd w:val="clear" w:color="auto" w:fill="auto"/>
          </w:tcPr>
          <w:p w14:paraId="3EE4B1B8" w14:textId="7D46EABE" w:rsidR="009A7EC3" w:rsidRPr="00DE25AD" w:rsidRDefault="009A7EC3" w:rsidP="009A7EC3">
            <w:pPr>
              <w:pStyle w:val="ASSADACCESStablecentre"/>
            </w:pPr>
            <w:r w:rsidRPr="002E5727">
              <w:rPr>
                <w:bCs w:val="0"/>
                <w:color w:val="000000"/>
              </w:rPr>
              <w:t>83</w:t>
            </w:r>
          </w:p>
        </w:tc>
        <w:tc>
          <w:tcPr>
            <w:tcW w:w="879" w:type="dxa"/>
            <w:shd w:val="clear" w:color="auto" w:fill="auto"/>
          </w:tcPr>
          <w:p w14:paraId="6682AC32" w14:textId="24A87FCC" w:rsidR="009A7EC3" w:rsidRPr="00DE25AD" w:rsidRDefault="009A7EC3" w:rsidP="009A7EC3">
            <w:pPr>
              <w:pStyle w:val="ASSADACCESStablecentre"/>
            </w:pPr>
            <w:r w:rsidRPr="002E5727">
              <w:rPr>
                <w:bCs w:val="0"/>
                <w:color w:val="000000"/>
              </w:rPr>
              <w:t>82</w:t>
            </w:r>
          </w:p>
        </w:tc>
        <w:tc>
          <w:tcPr>
            <w:tcW w:w="879" w:type="dxa"/>
            <w:shd w:val="clear" w:color="auto" w:fill="auto"/>
          </w:tcPr>
          <w:p w14:paraId="3E14D786" w14:textId="6F3B89DA" w:rsidR="009A7EC3" w:rsidRPr="00DE25AD" w:rsidRDefault="009A7EC3" w:rsidP="009A7EC3">
            <w:pPr>
              <w:pStyle w:val="ASSADACCESStablecentre"/>
            </w:pPr>
            <w:r w:rsidRPr="002E5727">
              <w:rPr>
                <w:bCs w:val="0"/>
                <w:color w:val="000000"/>
              </w:rPr>
              <w:t>80</w:t>
            </w:r>
            <w:r>
              <w:rPr>
                <w:bCs w:val="0"/>
                <w:color w:val="000000"/>
              </w:rPr>
              <w:t>^</w:t>
            </w:r>
          </w:p>
        </w:tc>
      </w:tr>
      <w:tr w:rsidR="009A7EC3" w:rsidRPr="00DE25AD" w14:paraId="468DF9ED" w14:textId="77777777" w:rsidTr="005C5B03">
        <w:trPr>
          <w:trHeight w:val="247"/>
        </w:trPr>
        <w:tc>
          <w:tcPr>
            <w:tcW w:w="1517" w:type="dxa"/>
            <w:tcMar>
              <w:left w:w="57" w:type="dxa"/>
            </w:tcMar>
          </w:tcPr>
          <w:p w14:paraId="65602F85" w14:textId="77777777" w:rsidR="009A7EC3" w:rsidRPr="00DE25AD" w:rsidRDefault="009A7EC3" w:rsidP="009A7EC3">
            <w:pPr>
              <w:pStyle w:val="ACCESSTableHeaderRow"/>
            </w:pPr>
          </w:p>
        </w:tc>
        <w:tc>
          <w:tcPr>
            <w:tcW w:w="1068" w:type="dxa"/>
            <w:shd w:val="clear" w:color="auto" w:fill="auto"/>
            <w:tcMar>
              <w:left w:w="57" w:type="dxa"/>
            </w:tcMar>
            <w:vAlign w:val="bottom"/>
          </w:tcPr>
          <w:p w14:paraId="360BE127" w14:textId="77777777" w:rsidR="009A7EC3" w:rsidRPr="00DE25AD" w:rsidRDefault="009A7EC3" w:rsidP="009A7EC3">
            <w:pPr>
              <w:pStyle w:val="ASSAD2017ACCESSBody1"/>
            </w:pPr>
            <w:r w:rsidRPr="00DE25AD">
              <w:t>Total</w:t>
            </w:r>
          </w:p>
        </w:tc>
        <w:tc>
          <w:tcPr>
            <w:tcW w:w="878" w:type="dxa"/>
            <w:shd w:val="clear" w:color="auto" w:fill="auto"/>
          </w:tcPr>
          <w:p w14:paraId="00C954DC" w14:textId="5A245ABE" w:rsidR="009A7EC3" w:rsidRPr="00DE25AD" w:rsidRDefault="009A7EC3" w:rsidP="009A7EC3">
            <w:pPr>
              <w:pStyle w:val="ASSADACCESStablecentre"/>
            </w:pPr>
            <w:r w:rsidRPr="002E5727">
              <w:rPr>
                <w:bCs w:val="0"/>
                <w:color w:val="000000"/>
              </w:rPr>
              <w:t>76*</w:t>
            </w:r>
          </w:p>
        </w:tc>
        <w:tc>
          <w:tcPr>
            <w:tcW w:w="879" w:type="dxa"/>
            <w:shd w:val="clear" w:color="auto" w:fill="auto"/>
          </w:tcPr>
          <w:p w14:paraId="46C93E88" w14:textId="3FBA1040" w:rsidR="009A7EC3" w:rsidRPr="00DE25AD" w:rsidRDefault="009A7EC3" w:rsidP="009A7EC3">
            <w:pPr>
              <w:pStyle w:val="ASSADACCESStablecentre"/>
            </w:pPr>
            <w:r w:rsidRPr="002E5727">
              <w:rPr>
                <w:bCs w:val="0"/>
                <w:color w:val="000000"/>
              </w:rPr>
              <w:t>75*</w:t>
            </w:r>
          </w:p>
        </w:tc>
        <w:tc>
          <w:tcPr>
            <w:tcW w:w="879" w:type="dxa"/>
            <w:shd w:val="clear" w:color="auto" w:fill="auto"/>
          </w:tcPr>
          <w:p w14:paraId="3170D39B" w14:textId="600E504C" w:rsidR="009A7EC3" w:rsidRPr="00DE25AD" w:rsidRDefault="009A7EC3" w:rsidP="009A7EC3">
            <w:pPr>
              <w:pStyle w:val="ASSADACCESStablecentre"/>
            </w:pPr>
            <w:r w:rsidRPr="002E5727">
              <w:rPr>
                <w:bCs w:val="0"/>
                <w:color w:val="000000"/>
              </w:rPr>
              <w:t>73</w:t>
            </w:r>
            <w:r>
              <w:rPr>
                <w:bCs w:val="0"/>
                <w:color w:val="000000"/>
              </w:rPr>
              <w:t>^</w:t>
            </w:r>
          </w:p>
        </w:tc>
        <w:tc>
          <w:tcPr>
            <w:tcW w:w="879" w:type="dxa"/>
            <w:shd w:val="clear" w:color="auto" w:fill="auto"/>
          </w:tcPr>
          <w:p w14:paraId="5072AB56" w14:textId="202B66C7" w:rsidR="009A7EC3" w:rsidRPr="00DE25AD" w:rsidRDefault="009A7EC3" w:rsidP="009A7EC3">
            <w:pPr>
              <w:pStyle w:val="ASSADACCESStablecentre"/>
            </w:pPr>
            <w:r w:rsidRPr="002E5727">
              <w:rPr>
                <w:bCs w:val="0"/>
                <w:color w:val="000000"/>
              </w:rPr>
              <w:t>74</w:t>
            </w:r>
          </w:p>
        </w:tc>
        <w:tc>
          <w:tcPr>
            <w:tcW w:w="879" w:type="dxa"/>
            <w:shd w:val="clear" w:color="auto" w:fill="auto"/>
          </w:tcPr>
          <w:p w14:paraId="5A23EDC3" w14:textId="3C129ABD" w:rsidR="009A7EC3" w:rsidRPr="00DE25AD" w:rsidRDefault="009A7EC3" w:rsidP="009A7EC3">
            <w:pPr>
              <w:pStyle w:val="ASSADACCESStablecentre"/>
            </w:pPr>
            <w:r w:rsidRPr="002E5727">
              <w:rPr>
                <w:bCs w:val="0"/>
                <w:color w:val="000000"/>
              </w:rPr>
              <w:t>74</w:t>
            </w:r>
          </w:p>
        </w:tc>
        <w:tc>
          <w:tcPr>
            <w:tcW w:w="879" w:type="dxa"/>
            <w:shd w:val="clear" w:color="auto" w:fill="auto"/>
          </w:tcPr>
          <w:p w14:paraId="2F6544C8" w14:textId="30C71236" w:rsidR="009A7EC3" w:rsidRPr="00DE25AD" w:rsidRDefault="009A7EC3" w:rsidP="009A7EC3">
            <w:pPr>
              <w:pStyle w:val="ASSADACCESStablecentre"/>
            </w:pPr>
            <w:r w:rsidRPr="002E5727">
              <w:rPr>
                <w:bCs w:val="0"/>
                <w:color w:val="000000"/>
              </w:rPr>
              <w:t>73</w:t>
            </w:r>
          </w:p>
        </w:tc>
        <w:tc>
          <w:tcPr>
            <w:tcW w:w="879" w:type="dxa"/>
            <w:shd w:val="clear" w:color="auto" w:fill="auto"/>
          </w:tcPr>
          <w:p w14:paraId="5B0C788F" w14:textId="60127B61" w:rsidR="009A7EC3" w:rsidRPr="00DE25AD" w:rsidRDefault="009A7EC3" w:rsidP="009A7EC3">
            <w:pPr>
              <w:pStyle w:val="ASSADACCESStablecentre"/>
            </w:pPr>
            <w:r w:rsidRPr="002E5727">
              <w:rPr>
                <w:bCs w:val="0"/>
                <w:color w:val="000000"/>
              </w:rPr>
              <w:t>73</w:t>
            </w:r>
          </w:p>
        </w:tc>
        <w:tc>
          <w:tcPr>
            <w:tcW w:w="879" w:type="dxa"/>
            <w:shd w:val="clear" w:color="auto" w:fill="auto"/>
          </w:tcPr>
          <w:p w14:paraId="0879DFDE" w14:textId="4014294E" w:rsidR="009A7EC3" w:rsidRPr="00DE25AD" w:rsidRDefault="009A7EC3" w:rsidP="009A7EC3">
            <w:pPr>
              <w:pStyle w:val="ASSADACCESStablecentre"/>
            </w:pPr>
            <w:r w:rsidRPr="002E5727">
              <w:rPr>
                <w:bCs w:val="0"/>
                <w:color w:val="000000"/>
              </w:rPr>
              <w:t>71^</w:t>
            </w:r>
          </w:p>
        </w:tc>
      </w:tr>
      <w:tr w:rsidR="009A7EC3" w:rsidRPr="00DE25AD" w14:paraId="589ED3F0" w14:textId="77777777" w:rsidTr="005C5B03">
        <w:trPr>
          <w:trHeight w:val="247"/>
        </w:trPr>
        <w:tc>
          <w:tcPr>
            <w:tcW w:w="1517" w:type="dxa"/>
            <w:tcMar>
              <w:left w:w="57" w:type="dxa"/>
            </w:tcMar>
          </w:tcPr>
          <w:p w14:paraId="4FB9CE5E" w14:textId="03B17307" w:rsidR="009A7EC3" w:rsidRPr="00DE25AD" w:rsidRDefault="009A7EC3" w:rsidP="009A7EC3">
            <w:pPr>
              <w:pStyle w:val="ACCESSTableHeaderRow"/>
            </w:pPr>
            <w:r>
              <w:t>Past week</w:t>
            </w:r>
          </w:p>
        </w:tc>
        <w:tc>
          <w:tcPr>
            <w:tcW w:w="1068" w:type="dxa"/>
            <w:shd w:val="clear" w:color="auto" w:fill="auto"/>
            <w:tcMar>
              <w:left w:w="57" w:type="dxa"/>
            </w:tcMar>
            <w:vAlign w:val="bottom"/>
          </w:tcPr>
          <w:p w14:paraId="262EBAC0" w14:textId="77777777" w:rsidR="009A7EC3" w:rsidRPr="00DE25AD" w:rsidRDefault="009A7EC3" w:rsidP="009A7EC3">
            <w:pPr>
              <w:pStyle w:val="ASSAD2017ACCESSBody1"/>
            </w:pPr>
            <w:r w:rsidRPr="00DE25AD">
              <w:t>Male</w:t>
            </w:r>
          </w:p>
        </w:tc>
        <w:tc>
          <w:tcPr>
            <w:tcW w:w="878" w:type="dxa"/>
            <w:shd w:val="clear" w:color="auto" w:fill="auto"/>
          </w:tcPr>
          <w:p w14:paraId="69BF1FFB" w14:textId="608172D8" w:rsidR="009A7EC3" w:rsidRPr="00DE25AD" w:rsidRDefault="009A7EC3" w:rsidP="009A7EC3">
            <w:pPr>
              <w:pStyle w:val="ASSADACCESStablecentre"/>
            </w:pPr>
            <w:r w:rsidRPr="002E5727">
              <w:rPr>
                <w:bCs w:val="0"/>
                <w:color w:val="000000"/>
              </w:rPr>
              <w:t>35</w:t>
            </w:r>
          </w:p>
        </w:tc>
        <w:tc>
          <w:tcPr>
            <w:tcW w:w="879" w:type="dxa"/>
            <w:shd w:val="clear" w:color="auto" w:fill="auto"/>
          </w:tcPr>
          <w:p w14:paraId="643ABDEB" w14:textId="611FBCAE" w:rsidR="009A7EC3" w:rsidRPr="00DE25AD" w:rsidRDefault="009A7EC3" w:rsidP="009A7EC3">
            <w:pPr>
              <w:pStyle w:val="ASSADACCESStablecentre"/>
            </w:pPr>
            <w:r w:rsidRPr="002E5727">
              <w:rPr>
                <w:bCs w:val="0"/>
                <w:color w:val="000000"/>
              </w:rPr>
              <w:t>37</w:t>
            </w:r>
          </w:p>
        </w:tc>
        <w:tc>
          <w:tcPr>
            <w:tcW w:w="879" w:type="dxa"/>
            <w:shd w:val="clear" w:color="auto" w:fill="auto"/>
          </w:tcPr>
          <w:p w14:paraId="3C94C321" w14:textId="199654DA" w:rsidR="009A7EC3" w:rsidRPr="00DE25AD" w:rsidRDefault="009A7EC3" w:rsidP="009A7EC3">
            <w:pPr>
              <w:pStyle w:val="ASSADACCESStablecentre"/>
            </w:pPr>
            <w:r w:rsidRPr="002E5727">
              <w:rPr>
                <w:bCs w:val="0"/>
                <w:color w:val="000000"/>
              </w:rPr>
              <w:t>34</w:t>
            </w:r>
          </w:p>
        </w:tc>
        <w:tc>
          <w:tcPr>
            <w:tcW w:w="879" w:type="dxa"/>
            <w:shd w:val="clear" w:color="auto" w:fill="auto"/>
          </w:tcPr>
          <w:p w14:paraId="320E8BE7" w14:textId="3741E96A" w:rsidR="009A7EC3" w:rsidRPr="00DE25AD" w:rsidRDefault="009A7EC3" w:rsidP="009A7EC3">
            <w:pPr>
              <w:pStyle w:val="ASSADACCESStablecentre"/>
            </w:pPr>
            <w:r w:rsidRPr="002E5727">
              <w:rPr>
                <w:bCs w:val="0"/>
                <w:color w:val="000000"/>
              </w:rPr>
              <w:t>34</w:t>
            </w:r>
          </w:p>
        </w:tc>
        <w:tc>
          <w:tcPr>
            <w:tcW w:w="879" w:type="dxa"/>
            <w:shd w:val="clear" w:color="auto" w:fill="auto"/>
          </w:tcPr>
          <w:p w14:paraId="7319D842" w14:textId="76A46684" w:rsidR="009A7EC3" w:rsidRPr="00DE25AD" w:rsidRDefault="009A7EC3" w:rsidP="009A7EC3">
            <w:pPr>
              <w:pStyle w:val="ASSADACCESStablecentre"/>
            </w:pPr>
            <w:r w:rsidRPr="002E5727">
              <w:rPr>
                <w:bCs w:val="0"/>
                <w:color w:val="000000"/>
              </w:rPr>
              <w:t>34</w:t>
            </w:r>
          </w:p>
        </w:tc>
        <w:tc>
          <w:tcPr>
            <w:tcW w:w="879" w:type="dxa"/>
            <w:shd w:val="clear" w:color="auto" w:fill="auto"/>
          </w:tcPr>
          <w:p w14:paraId="418A56C9" w14:textId="1BFDBC15" w:rsidR="009A7EC3" w:rsidRPr="00DE25AD" w:rsidRDefault="009A7EC3" w:rsidP="009A7EC3">
            <w:pPr>
              <w:pStyle w:val="ASSADACCESStablecentre"/>
            </w:pPr>
            <w:r w:rsidRPr="002E5727">
              <w:rPr>
                <w:bCs w:val="0"/>
                <w:color w:val="000000"/>
              </w:rPr>
              <w:t>34</w:t>
            </w:r>
          </w:p>
        </w:tc>
        <w:tc>
          <w:tcPr>
            <w:tcW w:w="879" w:type="dxa"/>
            <w:shd w:val="clear" w:color="auto" w:fill="auto"/>
          </w:tcPr>
          <w:p w14:paraId="73302BC4" w14:textId="70253B48" w:rsidR="009A7EC3" w:rsidRPr="00DE25AD" w:rsidRDefault="009A7EC3" w:rsidP="009A7EC3">
            <w:pPr>
              <w:pStyle w:val="ASSADACCESStablecentre"/>
            </w:pPr>
            <w:r w:rsidRPr="002E5727">
              <w:rPr>
                <w:bCs w:val="0"/>
                <w:color w:val="000000"/>
              </w:rPr>
              <w:t>35</w:t>
            </w:r>
          </w:p>
        </w:tc>
        <w:tc>
          <w:tcPr>
            <w:tcW w:w="879" w:type="dxa"/>
            <w:shd w:val="clear" w:color="auto" w:fill="auto"/>
          </w:tcPr>
          <w:p w14:paraId="1A0BFABD" w14:textId="5F602833" w:rsidR="009A7EC3" w:rsidRPr="00DE25AD" w:rsidRDefault="009A7EC3" w:rsidP="009A7EC3">
            <w:pPr>
              <w:pStyle w:val="ASSADACCESStablecentre"/>
            </w:pPr>
            <w:r w:rsidRPr="002E5727">
              <w:rPr>
                <w:bCs w:val="0"/>
                <w:color w:val="000000"/>
              </w:rPr>
              <w:t>35</w:t>
            </w:r>
          </w:p>
        </w:tc>
      </w:tr>
      <w:tr w:rsidR="009A7EC3" w:rsidRPr="00DE25AD" w14:paraId="2EB91F10" w14:textId="77777777" w:rsidTr="005C5B03">
        <w:trPr>
          <w:trHeight w:val="247"/>
        </w:trPr>
        <w:tc>
          <w:tcPr>
            <w:tcW w:w="1517" w:type="dxa"/>
            <w:tcMar>
              <w:left w:w="57" w:type="dxa"/>
            </w:tcMar>
          </w:tcPr>
          <w:p w14:paraId="60358FA1" w14:textId="77777777" w:rsidR="009A7EC3" w:rsidRPr="00DE25AD" w:rsidRDefault="009A7EC3" w:rsidP="009A7EC3">
            <w:pPr>
              <w:pStyle w:val="ACCESSTableHeaderRow"/>
            </w:pPr>
          </w:p>
        </w:tc>
        <w:tc>
          <w:tcPr>
            <w:tcW w:w="1068" w:type="dxa"/>
            <w:shd w:val="clear" w:color="auto" w:fill="auto"/>
            <w:tcMar>
              <w:left w:w="57" w:type="dxa"/>
            </w:tcMar>
            <w:vAlign w:val="bottom"/>
          </w:tcPr>
          <w:p w14:paraId="01D3ED7B" w14:textId="77777777" w:rsidR="009A7EC3" w:rsidRPr="00DE25AD" w:rsidRDefault="009A7EC3" w:rsidP="009A7EC3">
            <w:pPr>
              <w:pStyle w:val="ASSAD2017ACCESSBody1"/>
            </w:pPr>
            <w:r w:rsidRPr="00DE25AD">
              <w:t>Female</w:t>
            </w:r>
          </w:p>
        </w:tc>
        <w:tc>
          <w:tcPr>
            <w:tcW w:w="878" w:type="dxa"/>
            <w:shd w:val="clear" w:color="auto" w:fill="auto"/>
          </w:tcPr>
          <w:p w14:paraId="3A4A40EE" w14:textId="06F30DDD" w:rsidR="009A7EC3" w:rsidRPr="00DE25AD" w:rsidRDefault="009A7EC3" w:rsidP="009A7EC3">
            <w:pPr>
              <w:pStyle w:val="ASSADACCESStablecentre"/>
            </w:pPr>
            <w:r w:rsidRPr="002E5727">
              <w:rPr>
                <w:bCs w:val="0"/>
                <w:color w:val="000000"/>
              </w:rPr>
              <w:t>51</w:t>
            </w:r>
          </w:p>
        </w:tc>
        <w:tc>
          <w:tcPr>
            <w:tcW w:w="879" w:type="dxa"/>
            <w:shd w:val="clear" w:color="auto" w:fill="auto"/>
          </w:tcPr>
          <w:p w14:paraId="4DA9BB9C" w14:textId="356788E3" w:rsidR="009A7EC3" w:rsidRPr="00DE25AD" w:rsidRDefault="009A7EC3" w:rsidP="009A7EC3">
            <w:pPr>
              <w:pStyle w:val="ASSADACCESStablecentre"/>
            </w:pPr>
            <w:r w:rsidRPr="002E5727">
              <w:rPr>
                <w:bCs w:val="0"/>
                <w:color w:val="000000"/>
              </w:rPr>
              <w:t>50</w:t>
            </w:r>
          </w:p>
        </w:tc>
        <w:tc>
          <w:tcPr>
            <w:tcW w:w="879" w:type="dxa"/>
            <w:shd w:val="clear" w:color="auto" w:fill="auto"/>
          </w:tcPr>
          <w:p w14:paraId="038F35A7" w14:textId="5FFB4FBE" w:rsidR="009A7EC3" w:rsidRPr="00DE25AD" w:rsidRDefault="009A7EC3" w:rsidP="009A7EC3">
            <w:pPr>
              <w:pStyle w:val="ASSADACCESStablecentre"/>
            </w:pPr>
            <w:r w:rsidRPr="002E5727">
              <w:rPr>
                <w:bCs w:val="0"/>
                <w:color w:val="000000"/>
              </w:rPr>
              <w:t>53</w:t>
            </w:r>
          </w:p>
        </w:tc>
        <w:tc>
          <w:tcPr>
            <w:tcW w:w="879" w:type="dxa"/>
            <w:shd w:val="clear" w:color="auto" w:fill="auto"/>
          </w:tcPr>
          <w:p w14:paraId="280A0350" w14:textId="472F1FB6" w:rsidR="009A7EC3" w:rsidRPr="00DE25AD" w:rsidRDefault="009A7EC3" w:rsidP="009A7EC3">
            <w:pPr>
              <w:pStyle w:val="ASSADACCESStablecentre"/>
            </w:pPr>
            <w:r w:rsidRPr="002E5727">
              <w:rPr>
                <w:bCs w:val="0"/>
                <w:color w:val="000000"/>
              </w:rPr>
              <w:t>51</w:t>
            </w:r>
          </w:p>
        </w:tc>
        <w:tc>
          <w:tcPr>
            <w:tcW w:w="879" w:type="dxa"/>
            <w:shd w:val="clear" w:color="auto" w:fill="auto"/>
          </w:tcPr>
          <w:p w14:paraId="232DDE05" w14:textId="75E07456" w:rsidR="009A7EC3" w:rsidRPr="00DE25AD" w:rsidRDefault="009A7EC3" w:rsidP="009A7EC3">
            <w:pPr>
              <w:pStyle w:val="ASSADACCESStablecentre"/>
            </w:pPr>
            <w:r w:rsidRPr="002E5727">
              <w:rPr>
                <w:bCs w:val="0"/>
                <w:color w:val="000000"/>
              </w:rPr>
              <w:t>52</w:t>
            </w:r>
          </w:p>
        </w:tc>
        <w:tc>
          <w:tcPr>
            <w:tcW w:w="879" w:type="dxa"/>
            <w:shd w:val="clear" w:color="auto" w:fill="auto"/>
          </w:tcPr>
          <w:p w14:paraId="31AB2402" w14:textId="3EDC04AC" w:rsidR="009A7EC3" w:rsidRPr="00DE25AD" w:rsidRDefault="009A7EC3" w:rsidP="009A7EC3">
            <w:pPr>
              <w:pStyle w:val="ASSADACCESStablecentre"/>
            </w:pPr>
            <w:r w:rsidRPr="002E5727">
              <w:rPr>
                <w:bCs w:val="0"/>
                <w:color w:val="000000"/>
              </w:rPr>
              <w:t>53</w:t>
            </w:r>
          </w:p>
        </w:tc>
        <w:tc>
          <w:tcPr>
            <w:tcW w:w="879" w:type="dxa"/>
            <w:shd w:val="clear" w:color="auto" w:fill="auto"/>
          </w:tcPr>
          <w:p w14:paraId="0D91316E" w14:textId="19AC1706" w:rsidR="009A7EC3" w:rsidRPr="00DE25AD" w:rsidRDefault="009A7EC3" w:rsidP="009A7EC3">
            <w:pPr>
              <w:pStyle w:val="ASSADACCESStablecentre"/>
            </w:pPr>
            <w:r w:rsidRPr="002E5727">
              <w:rPr>
                <w:bCs w:val="0"/>
                <w:color w:val="000000"/>
              </w:rPr>
              <w:t>53</w:t>
            </w:r>
          </w:p>
        </w:tc>
        <w:tc>
          <w:tcPr>
            <w:tcW w:w="879" w:type="dxa"/>
            <w:shd w:val="clear" w:color="auto" w:fill="auto"/>
          </w:tcPr>
          <w:p w14:paraId="1621EE21" w14:textId="79FC012A" w:rsidR="009A7EC3" w:rsidRPr="00DE25AD" w:rsidRDefault="009A7EC3" w:rsidP="009A7EC3">
            <w:pPr>
              <w:pStyle w:val="ASSADACCESStablecentre"/>
            </w:pPr>
            <w:r w:rsidRPr="002E5727">
              <w:rPr>
                <w:bCs w:val="0"/>
                <w:color w:val="000000"/>
              </w:rPr>
              <w:t>54</w:t>
            </w:r>
          </w:p>
        </w:tc>
      </w:tr>
      <w:tr w:rsidR="009A7EC3" w:rsidRPr="00DE25AD" w14:paraId="57D76FC7" w14:textId="77777777" w:rsidTr="005C5B03">
        <w:trPr>
          <w:trHeight w:val="247"/>
        </w:trPr>
        <w:tc>
          <w:tcPr>
            <w:tcW w:w="1517" w:type="dxa"/>
            <w:tcMar>
              <w:left w:w="57" w:type="dxa"/>
            </w:tcMar>
          </w:tcPr>
          <w:p w14:paraId="0EE96FB3" w14:textId="77777777" w:rsidR="009A7EC3" w:rsidRPr="00DE25AD" w:rsidRDefault="009A7EC3" w:rsidP="009A7EC3">
            <w:pPr>
              <w:pStyle w:val="ACCESSTableHeaderRow"/>
            </w:pPr>
          </w:p>
        </w:tc>
        <w:tc>
          <w:tcPr>
            <w:tcW w:w="1068" w:type="dxa"/>
            <w:shd w:val="clear" w:color="auto" w:fill="auto"/>
            <w:tcMar>
              <w:left w:w="57" w:type="dxa"/>
            </w:tcMar>
            <w:vAlign w:val="bottom"/>
          </w:tcPr>
          <w:p w14:paraId="2C6ED310" w14:textId="77777777" w:rsidR="009A7EC3" w:rsidRPr="00DE25AD" w:rsidRDefault="009A7EC3" w:rsidP="009A7EC3">
            <w:pPr>
              <w:pStyle w:val="ASSAD2017ACCESSBody1"/>
            </w:pPr>
            <w:r w:rsidRPr="00DE25AD">
              <w:t>Total</w:t>
            </w:r>
          </w:p>
        </w:tc>
        <w:tc>
          <w:tcPr>
            <w:tcW w:w="878" w:type="dxa"/>
            <w:shd w:val="clear" w:color="auto" w:fill="auto"/>
          </w:tcPr>
          <w:p w14:paraId="32A3C6A9" w14:textId="53C5AD1B" w:rsidR="009A7EC3" w:rsidRPr="00DE25AD" w:rsidRDefault="009A7EC3" w:rsidP="009A7EC3">
            <w:pPr>
              <w:pStyle w:val="ASSADACCESStablecentre"/>
            </w:pPr>
            <w:r w:rsidRPr="002E5727">
              <w:rPr>
                <w:bCs w:val="0"/>
                <w:color w:val="000000"/>
              </w:rPr>
              <w:t>43</w:t>
            </w:r>
          </w:p>
        </w:tc>
        <w:tc>
          <w:tcPr>
            <w:tcW w:w="879" w:type="dxa"/>
            <w:shd w:val="clear" w:color="auto" w:fill="auto"/>
          </w:tcPr>
          <w:p w14:paraId="5008FD90" w14:textId="618EC098" w:rsidR="009A7EC3" w:rsidRPr="00DE25AD" w:rsidRDefault="009A7EC3" w:rsidP="009A7EC3">
            <w:pPr>
              <w:pStyle w:val="ASSADACCESStablecentre"/>
            </w:pPr>
            <w:r w:rsidRPr="002E5727">
              <w:rPr>
                <w:bCs w:val="0"/>
                <w:color w:val="000000"/>
              </w:rPr>
              <w:t>44</w:t>
            </w:r>
          </w:p>
        </w:tc>
        <w:tc>
          <w:tcPr>
            <w:tcW w:w="879" w:type="dxa"/>
            <w:shd w:val="clear" w:color="auto" w:fill="auto"/>
          </w:tcPr>
          <w:p w14:paraId="03F451B0" w14:textId="3C7F749D" w:rsidR="009A7EC3" w:rsidRPr="00DE25AD" w:rsidRDefault="009A7EC3" w:rsidP="009A7EC3">
            <w:pPr>
              <w:pStyle w:val="ASSADACCESStablecentre"/>
            </w:pPr>
            <w:r w:rsidRPr="002E5727">
              <w:rPr>
                <w:bCs w:val="0"/>
                <w:color w:val="000000"/>
              </w:rPr>
              <w:t>44</w:t>
            </w:r>
          </w:p>
        </w:tc>
        <w:tc>
          <w:tcPr>
            <w:tcW w:w="879" w:type="dxa"/>
            <w:shd w:val="clear" w:color="auto" w:fill="auto"/>
          </w:tcPr>
          <w:p w14:paraId="4EEE6E48" w14:textId="00A98C5F" w:rsidR="009A7EC3" w:rsidRPr="00DE25AD" w:rsidRDefault="009A7EC3" w:rsidP="009A7EC3">
            <w:pPr>
              <w:pStyle w:val="ASSADACCESStablecentre"/>
            </w:pPr>
            <w:r w:rsidRPr="002E5727">
              <w:rPr>
                <w:bCs w:val="0"/>
                <w:color w:val="000000"/>
              </w:rPr>
              <w:t>43</w:t>
            </w:r>
          </w:p>
        </w:tc>
        <w:tc>
          <w:tcPr>
            <w:tcW w:w="879" w:type="dxa"/>
            <w:shd w:val="clear" w:color="auto" w:fill="auto"/>
          </w:tcPr>
          <w:p w14:paraId="2C09937A" w14:textId="037ACA1E" w:rsidR="009A7EC3" w:rsidRPr="00DE25AD" w:rsidRDefault="009A7EC3" w:rsidP="009A7EC3">
            <w:pPr>
              <w:pStyle w:val="ASSADACCESStablecentre"/>
            </w:pPr>
            <w:r w:rsidRPr="002E5727">
              <w:rPr>
                <w:bCs w:val="0"/>
                <w:color w:val="000000"/>
              </w:rPr>
              <w:t>43</w:t>
            </w:r>
          </w:p>
        </w:tc>
        <w:tc>
          <w:tcPr>
            <w:tcW w:w="879" w:type="dxa"/>
            <w:shd w:val="clear" w:color="auto" w:fill="auto"/>
          </w:tcPr>
          <w:p w14:paraId="066B8890" w14:textId="18A89DD2" w:rsidR="009A7EC3" w:rsidRPr="00DE25AD" w:rsidRDefault="009A7EC3" w:rsidP="009A7EC3">
            <w:pPr>
              <w:pStyle w:val="ASSADACCESStablecentre"/>
            </w:pPr>
            <w:r w:rsidRPr="002E5727">
              <w:rPr>
                <w:bCs w:val="0"/>
                <w:color w:val="000000"/>
              </w:rPr>
              <w:t>44</w:t>
            </w:r>
          </w:p>
        </w:tc>
        <w:tc>
          <w:tcPr>
            <w:tcW w:w="879" w:type="dxa"/>
            <w:shd w:val="clear" w:color="auto" w:fill="auto"/>
          </w:tcPr>
          <w:p w14:paraId="6662BC99" w14:textId="17BB33C0" w:rsidR="009A7EC3" w:rsidRPr="00DE25AD" w:rsidRDefault="009A7EC3" w:rsidP="009A7EC3">
            <w:pPr>
              <w:pStyle w:val="ASSADACCESStablecentre"/>
            </w:pPr>
            <w:r w:rsidRPr="002E5727">
              <w:rPr>
                <w:bCs w:val="0"/>
                <w:color w:val="000000"/>
              </w:rPr>
              <w:t>44</w:t>
            </w:r>
          </w:p>
        </w:tc>
        <w:tc>
          <w:tcPr>
            <w:tcW w:w="879" w:type="dxa"/>
            <w:shd w:val="clear" w:color="auto" w:fill="auto"/>
          </w:tcPr>
          <w:p w14:paraId="74EA33F0" w14:textId="03BD18A3" w:rsidR="009A7EC3" w:rsidRPr="00DE25AD" w:rsidRDefault="009A7EC3" w:rsidP="009A7EC3">
            <w:pPr>
              <w:pStyle w:val="ASSADACCESStablecentre"/>
            </w:pPr>
            <w:r w:rsidRPr="002E5727">
              <w:rPr>
                <w:bCs w:val="0"/>
                <w:color w:val="000000"/>
              </w:rPr>
              <w:t>4</w:t>
            </w:r>
            <w:r>
              <w:rPr>
                <w:bCs w:val="0"/>
                <w:color w:val="000000"/>
              </w:rPr>
              <w:t>5</w:t>
            </w:r>
          </w:p>
        </w:tc>
      </w:tr>
    </w:tbl>
    <w:p w14:paraId="5221ED39" w14:textId="77777777" w:rsidR="009D725E" w:rsidRDefault="007B514C" w:rsidP="00B17F4F">
      <w:pPr>
        <w:pStyle w:val="ASSAD2017CWTablenote1"/>
      </w:pPr>
      <w:r>
        <w:t>* Significantly different than 2017, p&lt;.01; ^ Significantly different than 1996, p&lt;.01.</w:t>
      </w:r>
    </w:p>
    <w:p w14:paraId="7C216118" w14:textId="77777777" w:rsidR="009D725E" w:rsidRDefault="009D725E" w:rsidP="00B17F4F">
      <w:pPr>
        <w:pStyle w:val="ASSAD2017CWTablenote1"/>
      </w:pPr>
    </w:p>
    <w:p w14:paraId="60B08F72" w14:textId="77777777" w:rsidR="009D725E" w:rsidRDefault="009D725E">
      <w:pPr>
        <w:suppressAutoHyphens w:val="0"/>
        <w:rPr>
          <w:rFonts w:ascii="Arial" w:eastAsia="Arial" w:hAnsi="Arial" w:cs="Arial"/>
          <w:sz w:val="18"/>
          <w:szCs w:val="18"/>
          <w:lang w:val="en-AU"/>
        </w:rPr>
      </w:pPr>
      <w:r>
        <w:br w:type="page"/>
      </w:r>
    </w:p>
    <w:p w14:paraId="707BEE2A" w14:textId="552B5A53" w:rsidR="009D725E" w:rsidRPr="0046446A" w:rsidRDefault="009D725E" w:rsidP="009D725E">
      <w:pPr>
        <w:pStyle w:val="ASSAD2017TableHeading"/>
      </w:pPr>
      <w:bookmarkStart w:id="78" w:name="_Toc44060494"/>
      <w:r w:rsidRPr="0046446A">
        <w:lastRenderedPageBreak/>
        <w:t xml:space="preserve">Table </w:t>
      </w:r>
      <w:r>
        <w:t>7</w:t>
      </w:r>
      <w:r w:rsidRPr="0046446A">
        <w:t xml:space="preserve"> </w:t>
      </w:r>
      <w:r>
        <w:t>Prevalence</w:t>
      </w:r>
      <w:r w:rsidRPr="0046446A">
        <w:t xml:space="preserve"> of </w:t>
      </w:r>
      <w:r>
        <w:t>analgesic</w:t>
      </w:r>
      <w:r w:rsidRPr="0046446A">
        <w:t xml:space="preserve"> use among secondary students aged 12-1</w:t>
      </w:r>
      <w:r>
        <w:t>7</w:t>
      </w:r>
      <w:r w:rsidRPr="0046446A">
        <w:t xml:space="preserve"> in Australia, ASSAD 1996-2017</w:t>
      </w:r>
      <w:bookmarkEnd w:id="78"/>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9D725E" w:rsidRPr="00DE25AD" w14:paraId="785B9E64" w14:textId="77777777" w:rsidTr="005C5B03">
        <w:trPr>
          <w:tblHeader/>
        </w:trPr>
        <w:tc>
          <w:tcPr>
            <w:tcW w:w="1517" w:type="dxa"/>
            <w:tcMar>
              <w:left w:w="57" w:type="dxa"/>
            </w:tcMar>
          </w:tcPr>
          <w:p w14:paraId="5D6CB4B9" w14:textId="77777777" w:rsidR="009D725E" w:rsidRPr="00DE25AD" w:rsidRDefault="009D725E"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2E5DF39A" w14:textId="77777777" w:rsidR="009D725E" w:rsidRPr="00DE25AD" w:rsidRDefault="009D725E" w:rsidP="005C5B03">
            <w:pPr>
              <w:pStyle w:val="ACCESSTableHeaderRow"/>
            </w:pPr>
          </w:p>
        </w:tc>
        <w:tc>
          <w:tcPr>
            <w:tcW w:w="878" w:type="dxa"/>
            <w:shd w:val="clear" w:color="auto" w:fill="auto"/>
            <w:vAlign w:val="bottom"/>
          </w:tcPr>
          <w:p w14:paraId="65571EFA" w14:textId="77777777" w:rsidR="009D725E" w:rsidRPr="00DE25AD" w:rsidRDefault="009D725E" w:rsidP="005C5B03">
            <w:pPr>
              <w:pStyle w:val="ACCESSTableHeaderRow"/>
              <w:jc w:val="center"/>
            </w:pPr>
            <w:r>
              <w:t>1996</w:t>
            </w:r>
          </w:p>
          <w:p w14:paraId="5A4C5A53" w14:textId="77777777" w:rsidR="009D725E" w:rsidRPr="00DE25AD" w:rsidRDefault="009D725E" w:rsidP="005C5B03">
            <w:pPr>
              <w:pStyle w:val="ACCESSTableHeaderRow"/>
              <w:jc w:val="center"/>
            </w:pPr>
            <w:r w:rsidRPr="00DE25AD">
              <w:t>(%)</w:t>
            </w:r>
          </w:p>
        </w:tc>
        <w:tc>
          <w:tcPr>
            <w:tcW w:w="879" w:type="dxa"/>
            <w:shd w:val="clear" w:color="auto" w:fill="auto"/>
            <w:vAlign w:val="bottom"/>
          </w:tcPr>
          <w:p w14:paraId="3E320582" w14:textId="77777777" w:rsidR="009D725E" w:rsidRPr="00DE25AD" w:rsidRDefault="009D725E" w:rsidP="005C5B03">
            <w:pPr>
              <w:pStyle w:val="ACCESSTableHeaderRow"/>
              <w:jc w:val="center"/>
            </w:pPr>
            <w:r w:rsidRPr="00DE25AD">
              <w:t>1</w:t>
            </w:r>
            <w:r>
              <w:t>999</w:t>
            </w:r>
          </w:p>
          <w:p w14:paraId="200A2086" w14:textId="77777777" w:rsidR="009D725E" w:rsidRPr="00DE25AD" w:rsidRDefault="009D725E" w:rsidP="005C5B03">
            <w:pPr>
              <w:pStyle w:val="ACCESSTableHeaderRow"/>
              <w:jc w:val="center"/>
            </w:pPr>
            <w:r w:rsidRPr="00DE25AD">
              <w:t>(%)</w:t>
            </w:r>
          </w:p>
        </w:tc>
        <w:tc>
          <w:tcPr>
            <w:tcW w:w="879" w:type="dxa"/>
            <w:shd w:val="clear" w:color="auto" w:fill="auto"/>
            <w:vAlign w:val="bottom"/>
          </w:tcPr>
          <w:p w14:paraId="3F8E756B" w14:textId="77777777" w:rsidR="009D725E" w:rsidRPr="00DE25AD" w:rsidRDefault="009D725E" w:rsidP="005C5B03">
            <w:pPr>
              <w:pStyle w:val="ACCESSTableHeaderRow"/>
              <w:jc w:val="center"/>
            </w:pPr>
            <w:r>
              <w:t>2002</w:t>
            </w:r>
          </w:p>
          <w:p w14:paraId="573B6150" w14:textId="77777777" w:rsidR="009D725E" w:rsidRPr="00DE25AD" w:rsidRDefault="009D725E" w:rsidP="005C5B03">
            <w:pPr>
              <w:pStyle w:val="ACCESSTableHeaderRow"/>
              <w:jc w:val="center"/>
            </w:pPr>
            <w:r w:rsidRPr="00DE25AD">
              <w:t>(%)</w:t>
            </w:r>
          </w:p>
        </w:tc>
        <w:tc>
          <w:tcPr>
            <w:tcW w:w="879" w:type="dxa"/>
            <w:shd w:val="clear" w:color="auto" w:fill="auto"/>
            <w:vAlign w:val="bottom"/>
          </w:tcPr>
          <w:p w14:paraId="1C1112EE" w14:textId="77777777" w:rsidR="009D725E" w:rsidRPr="00DE25AD" w:rsidRDefault="009D725E" w:rsidP="005C5B03">
            <w:pPr>
              <w:pStyle w:val="ACCESSTableHeaderRow"/>
              <w:jc w:val="center"/>
            </w:pPr>
            <w:r>
              <w:t>200</w:t>
            </w:r>
            <w:r w:rsidRPr="00DE25AD">
              <w:t>5</w:t>
            </w:r>
          </w:p>
          <w:p w14:paraId="560FF845" w14:textId="77777777" w:rsidR="009D725E" w:rsidRPr="00DE25AD" w:rsidRDefault="009D725E" w:rsidP="005C5B03">
            <w:pPr>
              <w:pStyle w:val="ACCESSTableHeaderRow"/>
              <w:jc w:val="center"/>
            </w:pPr>
            <w:r w:rsidRPr="00DE25AD">
              <w:t>(%)</w:t>
            </w:r>
          </w:p>
        </w:tc>
        <w:tc>
          <w:tcPr>
            <w:tcW w:w="879" w:type="dxa"/>
            <w:shd w:val="clear" w:color="auto" w:fill="auto"/>
            <w:vAlign w:val="bottom"/>
          </w:tcPr>
          <w:p w14:paraId="3DB457AB" w14:textId="77777777" w:rsidR="009D725E" w:rsidRPr="00DE25AD" w:rsidRDefault="009D725E" w:rsidP="005C5B03">
            <w:pPr>
              <w:pStyle w:val="ACCESSTableHeaderRow"/>
              <w:jc w:val="center"/>
            </w:pPr>
            <w:r>
              <w:t>2008</w:t>
            </w:r>
          </w:p>
          <w:p w14:paraId="4A94047A" w14:textId="77777777" w:rsidR="009D725E" w:rsidRPr="00DE25AD" w:rsidRDefault="009D725E" w:rsidP="005C5B03">
            <w:pPr>
              <w:pStyle w:val="ACCESSTableHeaderRow"/>
              <w:jc w:val="center"/>
            </w:pPr>
            <w:r w:rsidRPr="00DE25AD">
              <w:t>(%)</w:t>
            </w:r>
          </w:p>
        </w:tc>
        <w:tc>
          <w:tcPr>
            <w:tcW w:w="879" w:type="dxa"/>
            <w:shd w:val="clear" w:color="auto" w:fill="auto"/>
            <w:vAlign w:val="bottom"/>
          </w:tcPr>
          <w:p w14:paraId="2B7C8F7E" w14:textId="77777777" w:rsidR="009D725E" w:rsidRPr="00DE25AD" w:rsidRDefault="009D725E" w:rsidP="005C5B03">
            <w:pPr>
              <w:pStyle w:val="ACCESSTableHeaderRow"/>
              <w:jc w:val="center"/>
            </w:pPr>
            <w:r>
              <w:t>2011</w:t>
            </w:r>
          </w:p>
          <w:p w14:paraId="6499A013" w14:textId="77777777" w:rsidR="009D725E" w:rsidRPr="00DE25AD" w:rsidRDefault="009D725E" w:rsidP="005C5B03">
            <w:pPr>
              <w:pStyle w:val="ACCESSTableHeaderRow"/>
              <w:jc w:val="center"/>
            </w:pPr>
            <w:r w:rsidRPr="00DE25AD">
              <w:t>(%)</w:t>
            </w:r>
          </w:p>
        </w:tc>
        <w:tc>
          <w:tcPr>
            <w:tcW w:w="879" w:type="dxa"/>
            <w:shd w:val="clear" w:color="auto" w:fill="auto"/>
            <w:vAlign w:val="bottom"/>
          </w:tcPr>
          <w:p w14:paraId="749EE7CB" w14:textId="77777777" w:rsidR="009D725E" w:rsidRDefault="009D725E" w:rsidP="005C5B03">
            <w:pPr>
              <w:pStyle w:val="ACCESSTableHeaderRow"/>
              <w:jc w:val="center"/>
            </w:pPr>
            <w:r>
              <w:t>2014</w:t>
            </w:r>
          </w:p>
          <w:p w14:paraId="0F2F505C" w14:textId="77777777" w:rsidR="009D725E" w:rsidRPr="00DE25AD" w:rsidRDefault="009D725E" w:rsidP="005C5B03">
            <w:pPr>
              <w:pStyle w:val="ACCESSTableHeaderRow"/>
              <w:jc w:val="center"/>
            </w:pPr>
            <w:r>
              <w:t>(%)</w:t>
            </w:r>
          </w:p>
        </w:tc>
        <w:tc>
          <w:tcPr>
            <w:tcW w:w="879" w:type="dxa"/>
            <w:shd w:val="clear" w:color="auto" w:fill="auto"/>
            <w:vAlign w:val="bottom"/>
          </w:tcPr>
          <w:p w14:paraId="252A8568" w14:textId="77777777" w:rsidR="009D725E" w:rsidRDefault="009D725E" w:rsidP="005C5B03">
            <w:pPr>
              <w:pStyle w:val="ACCESSTableHeaderRow"/>
              <w:jc w:val="center"/>
            </w:pPr>
            <w:r>
              <w:t>2017</w:t>
            </w:r>
          </w:p>
          <w:p w14:paraId="6B4CB228" w14:textId="77777777" w:rsidR="009D725E" w:rsidRPr="00DE25AD" w:rsidRDefault="009D725E" w:rsidP="005C5B03">
            <w:pPr>
              <w:pStyle w:val="ACCESSTableHeaderRow"/>
              <w:jc w:val="center"/>
            </w:pPr>
            <w:r w:rsidRPr="00DE25AD">
              <w:t>(%)</w:t>
            </w:r>
          </w:p>
        </w:tc>
      </w:tr>
      <w:tr w:rsidR="009D725E" w:rsidRPr="00DE25AD" w14:paraId="13A9CEC3" w14:textId="77777777" w:rsidTr="005C5B03">
        <w:trPr>
          <w:tblHeader/>
        </w:trPr>
        <w:tc>
          <w:tcPr>
            <w:tcW w:w="1517" w:type="dxa"/>
            <w:tcMar>
              <w:left w:w="57" w:type="dxa"/>
            </w:tcMar>
          </w:tcPr>
          <w:p w14:paraId="6DD857E3" w14:textId="77777777" w:rsidR="009D725E" w:rsidRPr="00DE25AD" w:rsidRDefault="009D725E" w:rsidP="005C5B03">
            <w:pPr>
              <w:pStyle w:val="ACCESSTableHeaderRow"/>
            </w:pPr>
            <w:r w:rsidRPr="00DE25AD">
              <w:t>Recency</w:t>
            </w:r>
          </w:p>
        </w:tc>
        <w:tc>
          <w:tcPr>
            <w:tcW w:w="1068" w:type="dxa"/>
            <w:shd w:val="clear" w:color="auto" w:fill="auto"/>
            <w:tcMar>
              <w:left w:w="57" w:type="dxa"/>
            </w:tcMar>
            <w:vAlign w:val="center"/>
          </w:tcPr>
          <w:p w14:paraId="1FB09F85" w14:textId="77777777" w:rsidR="009D725E" w:rsidRPr="00DE25AD" w:rsidRDefault="009D725E" w:rsidP="005C5B03">
            <w:pPr>
              <w:pStyle w:val="ACCESSTableHeaderRow"/>
            </w:pPr>
            <w:r w:rsidRPr="00DE25AD">
              <w:t>Sex</w:t>
            </w:r>
          </w:p>
        </w:tc>
        <w:tc>
          <w:tcPr>
            <w:tcW w:w="878" w:type="dxa"/>
            <w:shd w:val="clear" w:color="auto" w:fill="auto"/>
            <w:vAlign w:val="bottom"/>
          </w:tcPr>
          <w:p w14:paraId="55E47520" w14:textId="77777777" w:rsidR="009D725E" w:rsidRPr="00DE25AD" w:rsidRDefault="009D725E" w:rsidP="005C5B03">
            <w:pPr>
              <w:pStyle w:val="ACCESSTableHeaderRow"/>
            </w:pPr>
          </w:p>
        </w:tc>
        <w:tc>
          <w:tcPr>
            <w:tcW w:w="879" w:type="dxa"/>
            <w:shd w:val="clear" w:color="auto" w:fill="auto"/>
            <w:vAlign w:val="bottom"/>
          </w:tcPr>
          <w:p w14:paraId="386E353A" w14:textId="77777777" w:rsidR="009D725E" w:rsidRPr="00DE25AD" w:rsidRDefault="009D725E" w:rsidP="005C5B03">
            <w:pPr>
              <w:pStyle w:val="ACCESSTableHeaderRow"/>
            </w:pPr>
          </w:p>
        </w:tc>
        <w:tc>
          <w:tcPr>
            <w:tcW w:w="879" w:type="dxa"/>
            <w:shd w:val="clear" w:color="auto" w:fill="auto"/>
            <w:vAlign w:val="bottom"/>
          </w:tcPr>
          <w:p w14:paraId="76FCBB6C" w14:textId="77777777" w:rsidR="009D725E" w:rsidRPr="00DE25AD" w:rsidRDefault="009D725E" w:rsidP="005C5B03">
            <w:pPr>
              <w:pStyle w:val="ACCESSTableHeaderRow"/>
            </w:pPr>
          </w:p>
        </w:tc>
        <w:tc>
          <w:tcPr>
            <w:tcW w:w="879" w:type="dxa"/>
            <w:shd w:val="clear" w:color="auto" w:fill="auto"/>
            <w:vAlign w:val="bottom"/>
          </w:tcPr>
          <w:p w14:paraId="58AF17C4" w14:textId="77777777" w:rsidR="009D725E" w:rsidRPr="00DE25AD" w:rsidRDefault="009D725E" w:rsidP="005C5B03">
            <w:pPr>
              <w:pStyle w:val="ACCESSTableHeaderRow"/>
            </w:pPr>
          </w:p>
        </w:tc>
        <w:tc>
          <w:tcPr>
            <w:tcW w:w="879" w:type="dxa"/>
            <w:shd w:val="clear" w:color="auto" w:fill="auto"/>
            <w:vAlign w:val="bottom"/>
          </w:tcPr>
          <w:p w14:paraId="502FAC05" w14:textId="77777777" w:rsidR="009D725E" w:rsidRPr="00DE25AD" w:rsidRDefault="009D725E" w:rsidP="005C5B03">
            <w:pPr>
              <w:pStyle w:val="ACCESSTableHeaderRow"/>
            </w:pPr>
          </w:p>
        </w:tc>
        <w:tc>
          <w:tcPr>
            <w:tcW w:w="879" w:type="dxa"/>
            <w:shd w:val="clear" w:color="auto" w:fill="auto"/>
            <w:vAlign w:val="bottom"/>
          </w:tcPr>
          <w:p w14:paraId="4FE71248" w14:textId="77777777" w:rsidR="009D725E" w:rsidRPr="00DE25AD" w:rsidRDefault="009D725E" w:rsidP="005C5B03">
            <w:pPr>
              <w:pStyle w:val="ACCESSTableHeaderRow"/>
            </w:pPr>
          </w:p>
        </w:tc>
        <w:tc>
          <w:tcPr>
            <w:tcW w:w="879" w:type="dxa"/>
            <w:shd w:val="clear" w:color="auto" w:fill="auto"/>
            <w:vAlign w:val="bottom"/>
          </w:tcPr>
          <w:p w14:paraId="6EB54585" w14:textId="77777777" w:rsidR="009D725E" w:rsidRPr="00DE25AD" w:rsidRDefault="009D725E" w:rsidP="005C5B03">
            <w:pPr>
              <w:pStyle w:val="ACCESSTableHeaderRow"/>
            </w:pPr>
          </w:p>
        </w:tc>
        <w:tc>
          <w:tcPr>
            <w:tcW w:w="879" w:type="dxa"/>
            <w:shd w:val="clear" w:color="auto" w:fill="auto"/>
            <w:vAlign w:val="bottom"/>
          </w:tcPr>
          <w:p w14:paraId="3B38F8B3" w14:textId="77777777" w:rsidR="009D725E" w:rsidRPr="00DE25AD" w:rsidRDefault="009D725E" w:rsidP="005C5B03">
            <w:pPr>
              <w:pStyle w:val="ACCESSTableHeaderRow"/>
            </w:pPr>
          </w:p>
        </w:tc>
      </w:tr>
      <w:tr w:rsidR="009A7EC3" w:rsidRPr="00DE25AD" w14:paraId="61CAE257" w14:textId="77777777" w:rsidTr="005C5B03">
        <w:tc>
          <w:tcPr>
            <w:tcW w:w="1517" w:type="dxa"/>
            <w:tcMar>
              <w:left w:w="57" w:type="dxa"/>
            </w:tcMar>
          </w:tcPr>
          <w:p w14:paraId="3E12F925"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78ECD196" w14:textId="77777777" w:rsidR="009A7EC3" w:rsidRPr="00DE25AD" w:rsidRDefault="009A7EC3" w:rsidP="009A7EC3">
            <w:pPr>
              <w:pStyle w:val="ASSAD2017ACCESSBody1"/>
            </w:pPr>
            <w:r w:rsidRPr="00DE25AD">
              <w:t>Male</w:t>
            </w:r>
          </w:p>
        </w:tc>
        <w:tc>
          <w:tcPr>
            <w:tcW w:w="878" w:type="dxa"/>
            <w:shd w:val="clear" w:color="auto" w:fill="auto"/>
          </w:tcPr>
          <w:p w14:paraId="30315CD5" w14:textId="00D6BCA5" w:rsidR="009A7EC3" w:rsidRPr="00DE25AD" w:rsidRDefault="009A7EC3" w:rsidP="009A7EC3">
            <w:pPr>
              <w:pStyle w:val="ASSADACCESStablecentre"/>
            </w:pPr>
            <w:r w:rsidRPr="002E5727">
              <w:rPr>
                <w:bCs w:val="0"/>
                <w:color w:val="000000"/>
              </w:rPr>
              <w:t>97*</w:t>
            </w:r>
          </w:p>
        </w:tc>
        <w:tc>
          <w:tcPr>
            <w:tcW w:w="879" w:type="dxa"/>
            <w:shd w:val="clear" w:color="auto" w:fill="auto"/>
          </w:tcPr>
          <w:p w14:paraId="70C31C3C" w14:textId="490FC209" w:rsidR="009A7EC3" w:rsidRPr="00DE25AD" w:rsidRDefault="009A7EC3" w:rsidP="009A7EC3">
            <w:pPr>
              <w:pStyle w:val="ASSADACCESStablecentre"/>
            </w:pPr>
            <w:r w:rsidRPr="002E5727">
              <w:rPr>
                <w:bCs w:val="0"/>
                <w:color w:val="000000"/>
              </w:rPr>
              <w:t>95*^</w:t>
            </w:r>
          </w:p>
        </w:tc>
        <w:tc>
          <w:tcPr>
            <w:tcW w:w="879" w:type="dxa"/>
            <w:shd w:val="clear" w:color="auto" w:fill="auto"/>
          </w:tcPr>
          <w:p w14:paraId="081F273B" w14:textId="7C93A0AB" w:rsidR="009A7EC3" w:rsidRPr="00DE25AD" w:rsidRDefault="009A7EC3" w:rsidP="009A7EC3">
            <w:pPr>
              <w:pStyle w:val="ASSADACCESStablecentre"/>
            </w:pPr>
            <w:r w:rsidRPr="002E5727">
              <w:rPr>
                <w:bCs w:val="0"/>
                <w:color w:val="000000"/>
              </w:rPr>
              <w:t>94^</w:t>
            </w:r>
          </w:p>
        </w:tc>
        <w:tc>
          <w:tcPr>
            <w:tcW w:w="879" w:type="dxa"/>
            <w:shd w:val="clear" w:color="auto" w:fill="auto"/>
          </w:tcPr>
          <w:p w14:paraId="2E30B89C" w14:textId="4687BDC7" w:rsidR="009A7EC3" w:rsidRPr="00DE25AD" w:rsidRDefault="009A7EC3" w:rsidP="009A7EC3">
            <w:pPr>
              <w:pStyle w:val="ASSADACCESStablecentre"/>
            </w:pPr>
            <w:r w:rsidRPr="002E5727">
              <w:rPr>
                <w:bCs w:val="0"/>
                <w:color w:val="000000"/>
              </w:rPr>
              <w:t>93^</w:t>
            </w:r>
          </w:p>
        </w:tc>
        <w:tc>
          <w:tcPr>
            <w:tcW w:w="879" w:type="dxa"/>
            <w:shd w:val="clear" w:color="auto" w:fill="auto"/>
          </w:tcPr>
          <w:p w14:paraId="1E26F8AA" w14:textId="6088464B" w:rsidR="009A7EC3" w:rsidRPr="00DE25AD" w:rsidRDefault="009A7EC3" w:rsidP="009A7EC3">
            <w:pPr>
              <w:pStyle w:val="ASSADACCESStablecentre"/>
            </w:pPr>
            <w:r w:rsidRPr="002E5727">
              <w:rPr>
                <w:bCs w:val="0"/>
                <w:color w:val="000000"/>
              </w:rPr>
              <w:t>94^</w:t>
            </w:r>
          </w:p>
        </w:tc>
        <w:tc>
          <w:tcPr>
            <w:tcW w:w="879" w:type="dxa"/>
            <w:shd w:val="clear" w:color="auto" w:fill="auto"/>
          </w:tcPr>
          <w:p w14:paraId="581E49E1" w14:textId="66FDA4A1" w:rsidR="009A7EC3" w:rsidRPr="00DE25AD" w:rsidRDefault="009A7EC3" w:rsidP="009A7EC3">
            <w:pPr>
              <w:pStyle w:val="ASSADACCESStablecentre"/>
            </w:pPr>
            <w:r w:rsidRPr="002E5727">
              <w:rPr>
                <w:bCs w:val="0"/>
                <w:color w:val="000000"/>
              </w:rPr>
              <w:t>95</w:t>
            </w:r>
            <w:r>
              <w:rPr>
                <w:bCs w:val="0"/>
                <w:color w:val="000000"/>
              </w:rPr>
              <w:t>*</w:t>
            </w:r>
            <w:r w:rsidRPr="002E5727">
              <w:rPr>
                <w:bCs w:val="0"/>
                <w:color w:val="000000"/>
              </w:rPr>
              <w:t>^</w:t>
            </w:r>
          </w:p>
        </w:tc>
        <w:tc>
          <w:tcPr>
            <w:tcW w:w="879" w:type="dxa"/>
            <w:shd w:val="clear" w:color="auto" w:fill="auto"/>
          </w:tcPr>
          <w:p w14:paraId="1D051874" w14:textId="2BA19838" w:rsidR="009A7EC3" w:rsidRPr="00DE25AD" w:rsidRDefault="009A7EC3" w:rsidP="009A7EC3">
            <w:pPr>
              <w:pStyle w:val="ASSADACCESStablecentre"/>
            </w:pPr>
            <w:r w:rsidRPr="002E5727">
              <w:rPr>
                <w:bCs w:val="0"/>
                <w:color w:val="000000"/>
              </w:rPr>
              <w:t>93^</w:t>
            </w:r>
          </w:p>
        </w:tc>
        <w:tc>
          <w:tcPr>
            <w:tcW w:w="879" w:type="dxa"/>
            <w:shd w:val="clear" w:color="auto" w:fill="auto"/>
          </w:tcPr>
          <w:p w14:paraId="6787DA34" w14:textId="71596D1D" w:rsidR="009A7EC3" w:rsidRPr="00DE25AD" w:rsidRDefault="009A7EC3" w:rsidP="009A7EC3">
            <w:pPr>
              <w:pStyle w:val="ASSADACCESStablecentre"/>
            </w:pPr>
            <w:r w:rsidRPr="002E5727">
              <w:rPr>
                <w:bCs w:val="0"/>
                <w:color w:val="000000"/>
              </w:rPr>
              <w:t>9</w:t>
            </w:r>
            <w:r>
              <w:rPr>
                <w:bCs w:val="0"/>
                <w:color w:val="000000"/>
              </w:rPr>
              <w:t>3</w:t>
            </w:r>
            <w:r w:rsidRPr="002E5727">
              <w:rPr>
                <w:bCs w:val="0"/>
                <w:color w:val="000000"/>
              </w:rPr>
              <w:t>^</w:t>
            </w:r>
          </w:p>
        </w:tc>
      </w:tr>
      <w:tr w:rsidR="009A7EC3" w:rsidRPr="00DE25AD" w14:paraId="52A176A2" w14:textId="77777777" w:rsidTr="005C5B03">
        <w:tc>
          <w:tcPr>
            <w:tcW w:w="1517" w:type="dxa"/>
            <w:tcMar>
              <w:left w:w="57" w:type="dxa"/>
            </w:tcMar>
          </w:tcPr>
          <w:p w14:paraId="3F5A218F" w14:textId="77777777" w:rsidR="009A7EC3" w:rsidRPr="00DE25AD" w:rsidRDefault="009A7EC3" w:rsidP="009A7EC3">
            <w:pPr>
              <w:pStyle w:val="ACCESSTableHeaderRow"/>
            </w:pPr>
          </w:p>
        </w:tc>
        <w:tc>
          <w:tcPr>
            <w:tcW w:w="1068" w:type="dxa"/>
            <w:shd w:val="clear" w:color="auto" w:fill="auto"/>
            <w:tcMar>
              <w:left w:w="57" w:type="dxa"/>
            </w:tcMar>
            <w:vAlign w:val="bottom"/>
          </w:tcPr>
          <w:p w14:paraId="7FC651BF" w14:textId="77777777" w:rsidR="009A7EC3" w:rsidRPr="00DE25AD" w:rsidRDefault="009A7EC3" w:rsidP="009A7EC3">
            <w:pPr>
              <w:pStyle w:val="ASSAD2017ACCESSBody1"/>
            </w:pPr>
            <w:r w:rsidRPr="00DE25AD">
              <w:t>Female</w:t>
            </w:r>
          </w:p>
        </w:tc>
        <w:tc>
          <w:tcPr>
            <w:tcW w:w="878" w:type="dxa"/>
            <w:shd w:val="clear" w:color="auto" w:fill="auto"/>
          </w:tcPr>
          <w:p w14:paraId="763B14AE" w14:textId="0EBBEA66" w:rsidR="009A7EC3" w:rsidRPr="00DE25AD" w:rsidRDefault="009A7EC3" w:rsidP="009A7EC3">
            <w:pPr>
              <w:pStyle w:val="ASSADACCESStablecentre"/>
            </w:pPr>
            <w:r w:rsidRPr="002E5727">
              <w:rPr>
                <w:bCs w:val="0"/>
                <w:color w:val="000000"/>
              </w:rPr>
              <w:t>98*</w:t>
            </w:r>
          </w:p>
        </w:tc>
        <w:tc>
          <w:tcPr>
            <w:tcW w:w="879" w:type="dxa"/>
            <w:shd w:val="clear" w:color="auto" w:fill="auto"/>
          </w:tcPr>
          <w:p w14:paraId="539540A2" w14:textId="5A1BFE14" w:rsidR="009A7EC3" w:rsidRPr="00DE25AD" w:rsidRDefault="009A7EC3" w:rsidP="009A7EC3">
            <w:pPr>
              <w:pStyle w:val="ASSADACCESStablecentre"/>
            </w:pPr>
            <w:r w:rsidRPr="002E5727">
              <w:rPr>
                <w:bCs w:val="0"/>
                <w:color w:val="000000"/>
              </w:rPr>
              <w:t>98</w:t>
            </w:r>
            <w:r>
              <w:rPr>
                <w:bCs w:val="0"/>
                <w:color w:val="000000"/>
              </w:rPr>
              <w:t>*</w:t>
            </w:r>
            <w:r w:rsidRPr="002E5727">
              <w:rPr>
                <w:bCs w:val="0"/>
                <w:color w:val="000000"/>
              </w:rPr>
              <w:t>^</w:t>
            </w:r>
          </w:p>
        </w:tc>
        <w:tc>
          <w:tcPr>
            <w:tcW w:w="879" w:type="dxa"/>
            <w:shd w:val="clear" w:color="auto" w:fill="auto"/>
          </w:tcPr>
          <w:p w14:paraId="1FDD7692" w14:textId="7EEF39DA" w:rsidR="009A7EC3" w:rsidRPr="00DE25AD" w:rsidRDefault="009A7EC3" w:rsidP="009A7EC3">
            <w:pPr>
              <w:pStyle w:val="ASSADACCESStablecentre"/>
            </w:pPr>
            <w:r w:rsidRPr="002E5727">
              <w:rPr>
                <w:bCs w:val="0"/>
                <w:color w:val="000000"/>
              </w:rPr>
              <w:t>96^</w:t>
            </w:r>
          </w:p>
        </w:tc>
        <w:tc>
          <w:tcPr>
            <w:tcW w:w="879" w:type="dxa"/>
            <w:shd w:val="clear" w:color="auto" w:fill="auto"/>
          </w:tcPr>
          <w:p w14:paraId="0E1A9236" w14:textId="3A8B5250" w:rsidR="009A7EC3" w:rsidRPr="00DE25AD" w:rsidRDefault="009A7EC3" w:rsidP="009A7EC3">
            <w:pPr>
              <w:pStyle w:val="ASSADACCESStablecentre"/>
            </w:pPr>
            <w:r w:rsidRPr="002E5727">
              <w:rPr>
                <w:bCs w:val="0"/>
                <w:color w:val="000000"/>
              </w:rPr>
              <w:t>96^</w:t>
            </w:r>
          </w:p>
        </w:tc>
        <w:tc>
          <w:tcPr>
            <w:tcW w:w="879" w:type="dxa"/>
            <w:shd w:val="clear" w:color="auto" w:fill="auto"/>
          </w:tcPr>
          <w:p w14:paraId="2C67ECEC" w14:textId="0DE1931E" w:rsidR="009A7EC3" w:rsidRPr="00DE25AD" w:rsidRDefault="009A7EC3" w:rsidP="009A7EC3">
            <w:pPr>
              <w:pStyle w:val="ASSADACCESStablecentre"/>
            </w:pPr>
            <w:r w:rsidRPr="002E5727">
              <w:rPr>
                <w:bCs w:val="0"/>
                <w:color w:val="000000"/>
              </w:rPr>
              <w:t>97^</w:t>
            </w:r>
          </w:p>
        </w:tc>
        <w:tc>
          <w:tcPr>
            <w:tcW w:w="879" w:type="dxa"/>
            <w:shd w:val="clear" w:color="auto" w:fill="auto"/>
          </w:tcPr>
          <w:p w14:paraId="29F8E244" w14:textId="21D5A763" w:rsidR="009A7EC3" w:rsidRPr="00DE25AD" w:rsidRDefault="009A7EC3" w:rsidP="009A7EC3">
            <w:pPr>
              <w:pStyle w:val="ASSADACCESStablecentre"/>
            </w:pPr>
            <w:r w:rsidRPr="002E5727">
              <w:rPr>
                <w:bCs w:val="0"/>
                <w:color w:val="000000"/>
              </w:rPr>
              <w:t>97^</w:t>
            </w:r>
          </w:p>
        </w:tc>
        <w:tc>
          <w:tcPr>
            <w:tcW w:w="879" w:type="dxa"/>
            <w:shd w:val="clear" w:color="auto" w:fill="auto"/>
          </w:tcPr>
          <w:p w14:paraId="4C0D1DF3" w14:textId="1C83515E" w:rsidR="009A7EC3" w:rsidRPr="00DE25AD" w:rsidRDefault="009A7EC3" w:rsidP="009A7EC3">
            <w:pPr>
              <w:pStyle w:val="ASSADACCESStablecentre"/>
            </w:pPr>
            <w:r w:rsidRPr="002E5727">
              <w:rPr>
                <w:bCs w:val="0"/>
                <w:color w:val="000000"/>
              </w:rPr>
              <w:t>97^</w:t>
            </w:r>
          </w:p>
        </w:tc>
        <w:tc>
          <w:tcPr>
            <w:tcW w:w="879" w:type="dxa"/>
            <w:shd w:val="clear" w:color="auto" w:fill="auto"/>
          </w:tcPr>
          <w:p w14:paraId="2E42C58D" w14:textId="74D532CD" w:rsidR="009A7EC3" w:rsidRPr="00DE25AD" w:rsidRDefault="009A7EC3" w:rsidP="009A7EC3">
            <w:pPr>
              <w:pStyle w:val="ASSADACCESStablecentre"/>
            </w:pPr>
            <w:r w:rsidRPr="002E5727">
              <w:rPr>
                <w:bCs w:val="0"/>
                <w:color w:val="000000"/>
              </w:rPr>
              <w:t>97^</w:t>
            </w:r>
          </w:p>
        </w:tc>
      </w:tr>
      <w:tr w:rsidR="009A7EC3" w:rsidRPr="00DE25AD" w14:paraId="1780E55D" w14:textId="77777777" w:rsidTr="005C5B03">
        <w:tc>
          <w:tcPr>
            <w:tcW w:w="1517" w:type="dxa"/>
            <w:tcMar>
              <w:left w:w="57" w:type="dxa"/>
            </w:tcMar>
          </w:tcPr>
          <w:p w14:paraId="1750F879" w14:textId="77777777" w:rsidR="009A7EC3" w:rsidRPr="00DE25AD" w:rsidRDefault="009A7EC3" w:rsidP="009A7EC3">
            <w:pPr>
              <w:pStyle w:val="ACCESSTableHeaderRow"/>
            </w:pPr>
          </w:p>
        </w:tc>
        <w:tc>
          <w:tcPr>
            <w:tcW w:w="1068" w:type="dxa"/>
            <w:shd w:val="clear" w:color="auto" w:fill="auto"/>
            <w:tcMar>
              <w:left w:w="57" w:type="dxa"/>
            </w:tcMar>
            <w:vAlign w:val="bottom"/>
          </w:tcPr>
          <w:p w14:paraId="185908B6" w14:textId="77777777" w:rsidR="009A7EC3" w:rsidRPr="00DE25AD" w:rsidRDefault="009A7EC3" w:rsidP="009A7EC3">
            <w:pPr>
              <w:pStyle w:val="ASSAD2017ACCESSBody1"/>
            </w:pPr>
            <w:r w:rsidRPr="00DE25AD">
              <w:t>Total</w:t>
            </w:r>
          </w:p>
        </w:tc>
        <w:tc>
          <w:tcPr>
            <w:tcW w:w="878" w:type="dxa"/>
            <w:shd w:val="clear" w:color="auto" w:fill="auto"/>
          </w:tcPr>
          <w:p w14:paraId="2AAFDDEC" w14:textId="320AD065" w:rsidR="009A7EC3" w:rsidRPr="00DE25AD" w:rsidRDefault="009A7EC3" w:rsidP="009A7EC3">
            <w:pPr>
              <w:pStyle w:val="ASSADACCESStablecentre"/>
            </w:pPr>
            <w:r w:rsidRPr="002E5727">
              <w:rPr>
                <w:bCs w:val="0"/>
                <w:color w:val="000000"/>
              </w:rPr>
              <w:t>98*</w:t>
            </w:r>
          </w:p>
        </w:tc>
        <w:tc>
          <w:tcPr>
            <w:tcW w:w="879" w:type="dxa"/>
            <w:shd w:val="clear" w:color="auto" w:fill="auto"/>
          </w:tcPr>
          <w:p w14:paraId="37E17C3A" w14:textId="63E97826" w:rsidR="009A7EC3" w:rsidRPr="00DE25AD" w:rsidRDefault="009A7EC3" w:rsidP="009A7EC3">
            <w:pPr>
              <w:pStyle w:val="ASSADACCESStablecentre"/>
            </w:pPr>
            <w:r w:rsidRPr="002E5727">
              <w:rPr>
                <w:bCs w:val="0"/>
                <w:color w:val="000000"/>
              </w:rPr>
              <w:t>97*^</w:t>
            </w:r>
          </w:p>
        </w:tc>
        <w:tc>
          <w:tcPr>
            <w:tcW w:w="879" w:type="dxa"/>
            <w:shd w:val="clear" w:color="auto" w:fill="auto"/>
          </w:tcPr>
          <w:p w14:paraId="6067A093" w14:textId="0EB33242" w:rsidR="009A7EC3" w:rsidRPr="00DE25AD" w:rsidRDefault="009A7EC3" w:rsidP="009A7EC3">
            <w:pPr>
              <w:pStyle w:val="ASSADACCESStablecentre"/>
            </w:pPr>
            <w:r w:rsidRPr="002E5727">
              <w:rPr>
                <w:bCs w:val="0"/>
                <w:color w:val="000000"/>
              </w:rPr>
              <w:t>95^</w:t>
            </w:r>
          </w:p>
        </w:tc>
        <w:tc>
          <w:tcPr>
            <w:tcW w:w="879" w:type="dxa"/>
            <w:shd w:val="clear" w:color="auto" w:fill="auto"/>
          </w:tcPr>
          <w:p w14:paraId="028809A3" w14:textId="0B9BC966" w:rsidR="009A7EC3" w:rsidRPr="00DE25AD" w:rsidRDefault="009A7EC3" w:rsidP="009A7EC3">
            <w:pPr>
              <w:pStyle w:val="ASSADACCESStablecentre"/>
            </w:pPr>
            <w:r w:rsidRPr="002E5727">
              <w:rPr>
                <w:bCs w:val="0"/>
                <w:color w:val="000000"/>
              </w:rPr>
              <w:t>95^</w:t>
            </w:r>
          </w:p>
        </w:tc>
        <w:tc>
          <w:tcPr>
            <w:tcW w:w="879" w:type="dxa"/>
            <w:shd w:val="clear" w:color="auto" w:fill="auto"/>
          </w:tcPr>
          <w:p w14:paraId="37E66AB6" w14:textId="728A031A" w:rsidR="009A7EC3" w:rsidRPr="00DE25AD" w:rsidRDefault="009A7EC3" w:rsidP="009A7EC3">
            <w:pPr>
              <w:pStyle w:val="ASSADACCESStablecentre"/>
            </w:pPr>
            <w:r w:rsidRPr="002E5727">
              <w:rPr>
                <w:bCs w:val="0"/>
                <w:color w:val="000000"/>
              </w:rPr>
              <w:t>95^</w:t>
            </w:r>
          </w:p>
        </w:tc>
        <w:tc>
          <w:tcPr>
            <w:tcW w:w="879" w:type="dxa"/>
            <w:shd w:val="clear" w:color="auto" w:fill="auto"/>
          </w:tcPr>
          <w:p w14:paraId="1D98A050" w14:textId="33A5ED5D" w:rsidR="009A7EC3" w:rsidRPr="00DE25AD" w:rsidRDefault="009A7EC3" w:rsidP="009A7EC3">
            <w:pPr>
              <w:pStyle w:val="ASSADACCESStablecentre"/>
            </w:pPr>
            <w:r w:rsidRPr="002E5727">
              <w:rPr>
                <w:bCs w:val="0"/>
                <w:color w:val="000000"/>
              </w:rPr>
              <w:t>96</w:t>
            </w:r>
            <w:r>
              <w:rPr>
                <w:bCs w:val="0"/>
                <w:color w:val="000000"/>
              </w:rPr>
              <w:t>*</w:t>
            </w:r>
            <w:r w:rsidRPr="002E5727">
              <w:rPr>
                <w:bCs w:val="0"/>
                <w:color w:val="000000"/>
              </w:rPr>
              <w:t>^</w:t>
            </w:r>
          </w:p>
        </w:tc>
        <w:tc>
          <w:tcPr>
            <w:tcW w:w="879" w:type="dxa"/>
            <w:shd w:val="clear" w:color="auto" w:fill="auto"/>
          </w:tcPr>
          <w:p w14:paraId="034ADF87" w14:textId="7F8FD86E" w:rsidR="009A7EC3" w:rsidRPr="00DE25AD" w:rsidRDefault="009A7EC3" w:rsidP="009A7EC3">
            <w:pPr>
              <w:pStyle w:val="ASSADACCESStablecentre"/>
            </w:pPr>
            <w:r w:rsidRPr="002E5727">
              <w:rPr>
                <w:bCs w:val="0"/>
                <w:color w:val="000000"/>
              </w:rPr>
              <w:t>95^</w:t>
            </w:r>
          </w:p>
        </w:tc>
        <w:tc>
          <w:tcPr>
            <w:tcW w:w="879" w:type="dxa"/>
            <w:shd w:val="clear" w:color="auto" w:fill="auto"/>
          </w:tcPr>
          <w:p w14:paraId="6A6DF5F0" w14:textId="4C6EF762" w:rsidR="009A7EC3" w:rsidRPr="00DE25AD" w:rsidRDefault="009A7EC3" w:rsidP="009A7EC3">
            <w:pPr>
              <w:pStyle w:val="ASSADACCESStablecentre"/>
            </w:pPr>
            <w:r w:rsidRPr="002E5727">
              <w:rPr>
                <w:bCs w:val="0"/>
                <w:color w:val="000000"/>
              </w:rPr>
              <w:t>95^</w:t>
            </w:r>
          </w:p>
        </w:tc>
      </w:tr>
      <w:tr w:rsidR="009A7EC3" w:rsidRPr="00DE25AD" w14:paraId="544D741A" w14:textId="77777777" w:rsidTr="00545FF4">
        <w:tc>
          <w:tcPr>
            <w:tcW w:w="1517" w:type="dxa"/>
            <w:tcMar>
              <w:left w:w="57" w:type="dxa"/>
            </w:tcMar>
          </w:tcPr>
          <w:p w14:paraId="46EBDDDA"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61AACF75" w14:textId="77777777" w:rsidR="009A7EC3" w:rsidRPr="00DE25AD" w:rsidRDefault="009A7EC3" w:rsidP="009A7EC3">
            <w:pPr>
              <w:pStyle w:val="ASSAD2017ACCESSBody1"/>
            </w:pPr>
            <w:r w:rsidRPr="00DE25AD">
              <w:t>Male</w:t>
            </w:r>
          </w:p>
        </w:tc>
        <w:tc>
          <w:tcPr>
            <w:tcW w:w="878" w:type="dxa"/>
            <w:shd w:val="clear" w:color="auto" w:fill="auto"/>
          </w:tcPr>
          <w:p w14:paraId="70E59E7B" w14:textId="58155B84" w:rsidR="009A7EC3" w:rsidRPr="00DE25AD" w:rsidRDefault="009A7EC3" w:rsidP="009A7EC3">
            <w:pPr>
              <w:pStyle w:val="ASSADACCESStablecentre"/>
            </w:pPr>
            <w:r w:rsidRPr="002E5727">
              <w:rPr>
                <w:bCs w:val="0"/>
                <w:color w:val="000000"/>
              </w:rPr>
              <w:t>94*</w:t>
            </w:r>
          </w:p>
        </w:tc>
        <w:tc>
          <w:tcPr>
            <w:tcW w:w="879" w:type="dxa"/>
            <w:shd w:val="clear" w:color="auto" w:fill="auto"/>
          </w:tcPr>
          <w:p w14:paraId="33FDD2DD" w14:textId="4664CCE4" w:rsidR="009A7EC3" w:rsidRPr="00DE25AD" w:rsidRDefault="009A7EC3" w:rsidP="009A7EC3">
            <w:pPr>
              <w:pStyle w:val="ASSADACCESStablecentre"/>
            </w:pPr>
            <w:r w:rsidRPr="002E5727">
              <w:rPr>
                <w:bCs w:val="0"/>
                <w:color w:val="000000"/>
              </w:rPr>
              <w:t>92*^</w:t>
            </w:r>
          </w:p>
        </w:tc>
        <w:tc>
          <w:tcPr>
            <w:tcW w:w="879" w:type="dxa"/>
            <w:shd w:val="clear" w:color="auto" w:fill="auto"/>
          </w:tcPr>
          <w:p w14:paraId="2B8F3DA1" w14:textId="24151CEC" w:rsidR="009A7EC3" w:rsidRPr="00DE25AD" w:rsidRDefault="009A7EC3" w:rsidP="009A7EC3">
            <w:pPr>
              <w:pStyle w:val="ASSADACCESStablecentre"/>
            </w:pPr>
            <w:r w:rsidRPr="002E5727">
              <w:rPr>
                <w:bCs w:val="0"/>
                <w:color w:val="000000"/>
              </w:rPr>
              <w:t>90^</w:t>
            </w:r>
          </w:p>
        </w:tc>
        <w:tc>
          <w:tcPr>
            <w:tcW w:w="879" w:type="dxa"/>
            <w:shd w:val="clear" w:color="auto" w:fill="auto"/>
          </w:tcPr>
          <w:p w14:paraId="313C1F0F" w14:textId="59035842" w:rsidR="009A7EC3" w:rsidRPr="00DE25AD" w:rsidRDefault="009A7EC3" w:rsidP="009A7EC3">
            <w:pPr>
              <w:pStyle w:val="ASSADACCESStablecentre"/>
            </w:pPr>
            <w:r w:rsidRPr="002E5727">
              <w:rPr>
                <w:bCs w:val="0"/>
                <w:color w:val="000000"/>
              </w:rPr>
              <w:t>90^</w:t>
            </w:r>
          </w:p>
        </w:tc>
        <w:tc>
          <w:tcPr>
            <w:tcW w:w="879" w:type="dxa"/>
            <w:shd w:val="clear" w:color="auto" w:fill="auto"/>
          </w:tcPr>
          <w:p w14:paraId="6A80468F" w14:textId="705DC39A" w:rsidR="009A7EC3" w:rsidRPr="00DE25AD" w:rsidRDefault="009A7EC3" w:rsidP="009A7EC3">
            <w:pPr>
              <w:pStyle w:val="ASSADACCESStablecentre"/>
            </w:pPr>
            <w:r w:rsidRPr="002E5727">
              <w:rPr>
                <w:bCs w:val="0"/>
                <w:color w:val="000000"/>
              </w:rPr>
              <w:t>90^</w:t>
            </w:r>
          </w:p>
        </w:tc>
        <w:tc>
          <w:tcPr>
            <w:tcW w:w="879" w:type="dxa"/>
            <w:shd w:val="clear" w:color="auto" w:fill="auto"/>
          </w:tcPr>
          <w:p w14:paraId="561FBA0F" w14:textId="5825CCCD" w:rsidR="009A7EC3" w:rsidRPr="00DE25AD" w:rsidRDefault="009A7EC3" w:rsidP="009A7EC3">
            <w:pPr>
              <w:pStyle w:val="ASSADACCESStablecentre"/>
            </w:pPr>
            <w:r w:rsidRPr="002E5727">
              <w:rPr>
                <w:bCs w:val="0"/>
                <w:color w:val="000000"/>
              </w:rPr>
              <w:t>91</w:t>
            </w:r>
            <w:r>
              <w:rPr>
                <w:bCs w:val="0"/>
                <w:color w:val="000000"/>
              </w:rPr>
              <w:t>*</w:t>
            </w:r>
            <w:r w:rsidRPr="002E5727">
              <w:rPr>
                <w:bCs w:val="0"/>
                <w:color w:val="000000"/>
              </w:rPr>
              <w:t>^</w:t>
            </w:r>
          </w:p>
        </w:tc>
        <w:tc>
          <w:tcPr>
            <w:tcW w:w="879" w:type="dxa"/>
            <w:shd w:val="clear" w:color="auto" w:fill="auto"/>
          </w:tcPr>
          <w:p w14:paraId="1A31B0B0" w14:textId="3D2EB701" w:rsidR="009A7EC3" w:rsidRPr="00DE25AD" w:rsidRDefault="009A7EC3" w:rsidP="009A7EC3">
            <w:pPr>
              <w:pStyle w:val="ASSADACCESStablecentre"/>
            </w:pPr>
            <w:r w:rsidRPr="002E5727">
              <w:rPr>
                <w:bCs w:val="0"/>
                <w:color w:val="000000"/>
              </w:rPr>
              <w:t>89^</w:t>
            </w:r>
          </w:p>
        </w:tc>
        <w:tc>
          <w:tcPr>
            <w:tcW w:w="879" w:type="dxa"/>
            <w:shd w:val="clear" w:color="auto" w:fill="auto"/>
          </w:tcPr>
          <w:p w14:paraId="7F53FE3D" w14:textId="442F75BC" w:rsidR="009A7EC3" w:rsidRPr="00DE25AD" w:rsidRDefault="009A7EC3" w:rsidP="009A7EC3">
            <w:pPr>
              <w:pStyle w:val="ASSADACCESStablecentre"/>
            </w:pPr>
            <w:r w:rsidRPr="002E5727">
              <w:rPr>
                <w:bCs w:val="0"/>
                <w:color w:val="000000"/>
              </w:rPr>
              <w:t>89^</w:t>
            </w:r>
          </w:p>
        </w:tc>
      </w:tr>
      <w:tr w:rsidR="009A7EC3" w:rsidRPr="00DE25AD" w14:paraId="6C97BE3E" w14:textId="77777777" w:rsidTr="005C5B03">
        <w:tc>
          <w:tcPr>
            <w:tcW w:w="1517" w:type="dxa"/>
            <w:tcMar>
              <w:left w:w="57" w:type="dxa"/>
            </w:tcMar>
          </w:tcPr>
          <w:p w14:paraId="3A6BF2B8" w14:textId="77777777" w:rsidR="009A7EC3" w:rsidRPr="00DE25AD" w:rsidRDefault="009A7EC3" w:rsidP="009A7EC3">
            <w:pPr>
              <w:pStyle w:val="ACCESSTableHeaderRow"/>
            </w:pPr>
          </w:p>
        </w:tc>
        <w:tc>
          <w:tcPr>
            <w:tcW w:w="1068" w:type="dxa"/>
            <w:shd w:val="clear" w:color="auto" w:fill="auto"/>
            <w:tcMar>
              <w:left w:w="57" w:type="dxa"/>
            </w:tcMar>
            <w:vAlign w:val="bottom"/>
          </w:tcPr>
          <w:p w14:paraId="5A4B5E8D" w14:textId="77777777" w:rsidR="009A7EC3" w:rsidRPr="00DE25AD" w:rsidRDefault="009A7EC3" w:rsidP="009A7EC3">
            <w:pPr>
              <w:pStyle w:val="ASSAD2017ACCESSBody1"/>
            </w:pPr>
            <w:r w:rsidRPr="00DE25AD">
              <w:t>Female</w:t>
            </w:r>
          </w:p>
        </w:tc>
        <w:tc>
          <w:tcPr>
            <w:tcW w:w="878" w:type="dxa"/>
            <w:shd w:val="clear" w:color="auto" w:fill="auto"/>
          </w:tcPr>
          <w:p w14:paraId="18771BAB" w14:textId="6BC47500" w:rsidR="009A7EC3" w:rsidRPr="00DE25AD" w:rsidRDefault="009A7EC3" w:rsidP="009A7EC3">
            <w:pPr>
              <w:pStyle w:val="ASSADACCESStablecentre"/>
            </w:pPr>
            <w:r w:rsidRPr="002E5727">
              <w:rPr>
                <w:bCs w:val="0"/>
                <w:color w:val="000000"/>
              </w:rPr>
              <w:t>97*</w:t>
            </w:r>
          </w:p>
        </w:tc>
        <w:tc>
          <w:tcPr>
            <w:tcW w:w="879" w:type="dxa"/>
            <w:shd w:val="clear" w:color="auto" w:fill="auto"/>
          </w:tcPr>
          <w:p w14:paraId="2C6D3DCC" w14:textId="6AC97AAE" w:rsidR="009A7EC3" w:rsidRPr="00DE25AD" w:rsidRDefault="009A7EC3" w:rsidP="009A7EC3">
            <w:pPr>
              <w:pStyle w:val="ASSADACCESStablecentre"/>
            </w:pPr>
            <w:r w:rsidRPr="002E5727">
              <w:rPr>
                <w:bCs w:val="0"/>
                <w:color w:val="000000"/>
              </w:rPr>
              <w:t>96</w:t>
            </w:r>
            <w:r>
              <w:rPr>
                <w:bCs w:val="0"/>
                <w:color w:val="000000"/>
              </w:rPr>
              <w:t>^</w:t>
            </w:r>
          </w:p>
        </w:tc>
        <w:tc>
          <w:tcPr>
            <w:tcW w:w="879" w:type="dxa"/>
            <w:shd w:val="clear" w:color="auto" w:fill="auto"/>
          </w:tcPr>
          <w:p w14:paraId="75E88A4E" w14:textId="4E7464D0" w:rsidR="009A7EC3" w:rsidRPr="00DE25AD" w:rsidRDefault="009A7EC3" w:rsidP="009A7EC3">
            <w:pPr>
              <w:pStyle w:val="ASSADACCESStablecentre"/>
            </w:pPr>
            <w:r w:rsidRPr="002E5727">
              <w:rPr>
                <w:bCs w:val="0"/>
                <w:color w:val="000000"/>
              </w:rPr>
              <w:t>94^</w:t>
            </w:r>
          </w:p>
        </w:tc>
        <w:tc>
          <w:tcPr>
            <w:tcW w:w="879" w:type="dxa"/>
            <w:shd w:val="clear" w:color="auto" w:fill="auto"/>
          </w:tcPr>
          <w:p w14:paraId="750ED24F" w14:textId="624C664A" w:rsidR="009A7EC3" w:rsidRPr="00DE25AD" w:rsidRDefault="009A7EC3" w:rsidP="009A7EC3">
            <w:pPr>
              <w:pStyle w:val="ASSADACCESStablecentre"/>
            </w:pPr>
            <w:r w:rsidRPr="002E5727">
              <w:rPr>
                <w:bCs w:val="0"/>
                <w:color w:val="000000"/>
              </w:rPr>
              <w:t>94^</w:t>
            </w:r>
          </w:p>
        </w:tc>
        <w:tc>
          <w:tcPr>
            <w:tcW w:w="879" w:type="dxa"/>
            <w:shd w:val="clear" w:color="auto" w:fill="auto"/>
          </w:tcPr>
          <w:p w14:paraId="54A72A31" w14:textId="27FCFFD9" w:rsidR="009A7EC3" w:rsidRPr="00DE25AD" w:rsidRDefault="009A7EC3" w:rsidP="009A7EC3">
            <w:pPr>
              <w:pStyle w:val="ASSADACCESStablecentre"/>
            </w:pPr>
            <w:r w:rsidRPr="002E5727">
              <w:rPr>
                <w:bCs w:val="0"/>
                <w:color w:val="000000"/>
              </w:rPr>
              <w:t>95^</w:t>
            </w:r>
          </w:p>
        </w:tc>
        <w:tc>
          <w:tcPr>
            <w:tcW w:w="879" w:type="dxa"/>
            <w:shd w:val="clear" w:color="auto" w:fill="auto"/>
          </w:tcPr>
          <w:p w14:paraId="2C0A7FA1" w14:textId="2FEFEEF1" w:rsidR="009A7EC3" w:rsidRPr="00DE25AD" w:rsidRDefault="009A7EC3" w:rsidP="009A7EC3">
            <w:pPr>
              <w:pStyle w:val="ASSADACCESStablecentre"/>
            </w:pPr>
            <w:r w:rsidRPr="002E5727">
              <w:rPr>
                <w:bCs w:val="0"/>
                <w:color w:val="000000"/>
              </w:rPr>
              <w:t>95^</w:t>
            </w:r>
          </w:p>
        </w:tc>
        <w:tc>
          <w:tcPr>
            <w:tcW w:w="879" w:type="dxa"/>
            <w:shd w:val="clear" w:color="auto" w:fill="auto"/>
          </w:tcPr>
          <w:p w14:paraId="29CF178F" w14:textId="22AE557D" w:rsidR="009A7EC3" w:rsidRPr="00DE25AD" w:rsidRDefault="009A7EC3" w:rsidP="009A7EC3">
            <w:pPr>
              <w:pStyle w:val="ASSADACCESStablecentre"/>
            </w:pPr>
            <w:r w:rsidRPr="002E5727">
              <w:rPr>
                <w:bCs w:val="0"/>
                <w:color w:val="000000"/>
              </w:rPr>
              <w:t>95^</w:t>
            </w:r>
          </w:p>
        </w:tc>
        <w:tc>
          <w:tcPr>
            <w:tcW w:w="879" w:type="dxa"/>
            <w:shd w:val="clear" w:color="auto" w:fill="auto"/>
          </w:tcPr>
          <w:p w14:paraId="08C79B26" w14:textId="15127042" w:rsidR="009A7EC3" w:rsidRPr="00DE25AD" w:rsidRDefault="009A7EC3" w:rsidP="009A7EC3">
            <w:pPr>
              <w:pStyle w:val="ASSADACCESStablecentre"/>
            </w:pPr>
            <w:r w:rsidRPr="002E5727">
              <w:rPr>
                <w:bCs w:val="0"/>
                <w:color w:val="000000"/>
              </w:rPr>
              <w:t>95^</w:t>
            </w:r>
          </w:p>
        </w:tc>
      </w:tr>
      <w:tr w:rsidR="009A7EC3" w:rsidRPr="00DE25AD" w14:paraId="658D056D" w14:textId="77777777" w:rsidTr="005C5B03">
        <w:tc>
          <w:tcPr>
            <w:tcW w:w="1517" w:type="dxa"/>
            <w:tcMar>
              <w:left w:w="57" w:type="dxa"/>
            </w:tcMar>
          </w:tcPr>
          <w:p w14:paraId="146A4EA1" w14:textId="77777777" w:rsidR="009A7EC3" w:rsidRPr="00DE25AD" w:rsidRDefault="009A7EC3" w:rsidP="009A7EC3">
            <w:pPr>
              <w:pStyle w:val="ACCESSTableHeaderRow"/>
            </w:pPr>
          </w:p>
        </w:tc>
        <w:tc>
          <w:tcPr>
            <w:tcW w:w="1068" w:type="dxa"/>
            <w:shd w:val="clear" w:color="auto" w:fill="auto"/>
            <w:tcMar>
              <w:left w:w="57" w:type="dxa"/>
            </w:tcMar>
            <w:vAlign w:val="bottom"/>
          </w:tcPr>
          <w:p w14:paraId="4D5744F0" w14:textId="77777777" w:rsidR="009A7EC3" w:rsidRPr="00DE25AD" w:rsidRDefault="009A7EC3" w:rsidP="009A7EC3">
            <w:pPr>
              <w:pStyle w:val="ASSAD2017ACCESSBody1"/>
            </w:pPr>
            <w:r w:rsidRPr="00DE25AD">
              <w:t>Total</w:t>
            </w:r>
          </w:p>
        </w:tc>
        <w:tc>
          <w:tcPr>
            <w:tcW w:w="878" w:type="dxa"/>
            <w:shd w:val="clear" w:color="auto" w:fill="auto"/>
          </w:tcPr>
          <w:p w14:paraId="27FC8BD9" w14:textId="7F695144" w:rsidR="009A7EC3" w:rsidRPr="00DE25AD" w:rsidRDefault="009A7EC3" w:rsidP="009A7EC3">
            <w:pPr>
              <w:pStyle w:val="ASSADACCESStablecentre"/>
            </w:pPr>
            <w:r w:rsidRPr="002E5727">
              <w:rPr>
                <w:bCs w:val="0"/>
                <w:color w:val="000000"/>
              </w:rPr>
              <w:t>95*</w:t>
            </w:r>
          </w:p>
        </w:tc>
        <w:tc>
          <w:tcPr>
            <w:tcW w:w="879" w:type="dxa"/>
            <w:shd w:val="clear" w:color="auto" w:fill="auto"/>
          </w:tcPr>
          <w:p w14:paraId="1E8DC373" w14:textId="065F8DE0" w:rsidR="009A7EC3" w:rsidRPr="00DE25AD" w:rsidRDefault="009A7EC3" w:rsidP="009A7EC3">
            <w:pPr>
              <w:pStyle w:val="ASSADACCESStablecentre"/>
            </w:pPr>
            <w:r w:rsidRPr="002E5727">
              <w:rPr>
                <w:bCs w:val="0"/>
                <w:color w:val="000000"/>
              </w:rPr>
              <w:t>94*^</w:t>
            </w:r>
          </w:p>
        </w:tc>
        <w:tc>
          <w:tcPr>
            <w:tcW w:w="879" w:type="dxa"/>
            <w:shd w:val="clear" w:color="auto" w:fill="auto"/>
          </w:tcPr>
          <w:p w14:paraId="3F8FCE6C" w14:textId="1AD27AB5" w:rsidR="009A7EC3" w:rsidRPr="00DE25AD" w:rsidRDefault="009A7EC3" w:rsidP="009A7EC3">
            <w:pPr>
              <w:pStyle w:val="ASSADACCESStablecentre"/>
            </w:pPr>
            <w:r w:rsidRPr="002E5727">
              <w:rPr>
                <w:bCs w:val="0"/>
                <w:color w:val="000000"/>
              </w:rPr>
              <w:t>92^</w:t>
            </w:r>
          </w:p>
        </w:tc>
        <w:tc>
          <w:tcPr>
            <w:tcW w:w="879" w:type="dxa"/>
            <w:shd w:val="clear" w:color="auto" w:fill="auto"/>
          </w:tcPr>
          <w:p w14:paraId="0AEECF31" w14:textId="17BA2B4D" w:rsidR="009A7EC3" w:rsidRPr="00DE25AD" w:rsidRDefault="009A7EC3" w:rsidP="009A7EC3">
            <w:pPr>
              <w:pStyle w:val="ASSADACCESStablecentre"/>
            </w:pPr>
            <w:r w:rsidRPr="002E5727">
              <w:rPr>
                <w:bCs w:val="0"/>
                <w:color w:val="000000"/>
              </w:rPr>
              <w:t>92^</w:t>
            </w:r>
          </w:p>
        </w:tc>
        <w:tc>
          <w:tcPr>
            <w:tcW w:w="879" w:type="dxa"/>
            <w:shd w:val="clear" w:color="auto" w:fill="auto"/>
          </w:tcPr>
          <w:p w14:paraId="068F48FF" w14:textId="5C1BEFA1" w:rsidR="009A7EC3" w:rsidRPr="00DE25AD" w:rsidRDefault="009A7EC3" w:rsidP="009A7EC3">
            <w:pPr>
              <w:pStyle w:val="ASSADACCESStablecentre"/>
            </w:pPr>
            <w:r w:rsidRPr="002E5727">
              <w:rPr>
                <w:bCs w:val="0"/>
                <w:color w:val="000000"/>
              </w:rPr>
              <w:t>92^</w:t>
            </w:r>
          </w:p>
        </w:tc>
        <w:tc>
          <w:tcPr>
            <w:tcW w:w="879" w:type="dxa"/>
            <w:shd w:val="clear" w:color="auto" w:fill="auto"/>
          </w:tcPr>
          <w:p w14:paraId="41F008F9" w14:textId="36C4D858" w:rsidR="009A7EC3" w:rsidRPr="00DE25AD" w:rsidRDefault="009A7EC3" w:rsidP="009A7EC3">
            <w:pPr>
              <w:pStyle w:val="ASSADACCESStablecentre"/>
            </w:pPr>
            <w:r w:rsidRPr="002E5727">
              <w:rPr>
                <w:bCs w:val="0"/>
                <w:color w:val="000000"/>
              </w:rPr>
              <w:t>93</w:t>
            </w:r>
            <w:r>
              <w:rPr>
                <w:bCs w:val="0"/>
                <w:color w:val="000000"/>
              </w:rPr>
              <w:t>*</w:t>
            </w:r>
            <w:r w:rsidRPr="002E5727">
              <w:rPr>
                <w:bCs w:val="0"/>
                <w:color w:val="000000"/>
              </w:rPr>
              <w:t>^</w:t>
            </w:r>
          </w:p>
        </w:tc>
        <w:tc>
          <w:tcPr>
            <w:tcW w:w="879" w:type="dxa"/>
            <w:shd w:val="clear" w:color="auto" w:fill="auto"/>
          </w:tcPr>
          <w:p w14:paraId="309503FC" w14:textId="38AC6E2D" w:rsidR="009A7EC3" w:rsidRPr="00DE25AD" w:rsidRDefault="009A7EC3" w:rsidP="009A7EC3">
            <w:pPr>
              <w:pStyle w:val="ASSADACCESStablecentre"/>
            </w:pPr>
            <w:r w:rsidRPr="002E5727">
              <w:rPr>
                <w:bCs w:val="0"/>
                <w:color w:val="000000"/>
              </w:rPr>
              <w:t>92^</w:t>
            </w:r>
          </w:p>
        </w:tc>
        <w:tc>
          <w:tcPr>
            <w:tcW w:w="879" w:type="dxa"/>
            <w:shd w:val="clear" w:color="auto" w:fill="auto"/>
          </w:tcPr>
          <w:p w14:paraId="5FC6B7FB" w14:textId="4A0B95C1" w:rsidR="009A7EC3" w:rsidRPr="00DE25AD" w:rsidRDefault="009A7EC3" w:rsidP="009A7EC3">
            <w:pPr>
              <w:pStyle w:val="ASSADACCESStablecentre"/>
            </w:pPr>
            <w:r w:rsidRPr="002E5727">
              <w:rPr>
                <w:bCs w:val="0"/>
                <w:color w:val="000000"/>
              </w:rPr>
              <w:t>9</w:t>
            </w:r>
            <w:r>
              <w:rPr>
                <w:bCs w:val="0"/>
                <w:color w:val="000000"/>
              </w:rPr>
              <w:t>2</w:t>
            </w:r>
            <w:r w:rsidRPr="002E5727">
              <w:rPr>
                <w:bCs w:val="0"/>
                <w:color w:val="000000"/>
              </w:rPr>
              <w:t>^</w:t>
            </w:r>
          </w:p>
        </w:tc>
      </w:tr>
      <w:tr w:rsidR="009A7EC3" w:rsidRPr="00DE25AD" w14:paraId="7405E563" w14:textId="77777777" w:rsidTr="005C5B03">
        <w:tc>
          <w:tcPr>
            <w:tcW w:w="1517" w:type="dxa"/>
            <w:tcMar>
              <w:left w:w="57" w:type="dxa"/>
            </w:tcMar>
          </w:tcPr>
          <w:p w14:paraId="6E16205B"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61E42344" w14:textId="77777777" w:rsidR="009A7EC3" w:rsidRPr="00DE25AD" w:rsidRDefault="009A7EC3" w:rsidP="009A7EC3">
            <w:pPr>
              <w:pStyle w:val="ASSAD2017ACCESSBody1"/>
            </w:pPr>
            <w:r w:rsidRPr="00DE25AD">
              <w:t>Male</w:t>
            </w:r>
          </w:p>
        </w:tc>
        <w:tc>
          <w:tcPr>
            <w:tcW w:w="878" w:type="dxa"/>
            <w:shd w:val="clear" w:color="auto" w:fill="auto"/>
          </w:tcPr>
          <w:p w14:paraId="0829CA3D" w14:textId="397CEC0C" w:rsidR="009A7EC3" w:rsidRPr="00DE25AD" w:rsidRDefault="009A7EC3" w:rsidP="009A7EC3">
            <w:pPr>
              <w:pStyle w:val="ASSADACCESStablecentre"/>
            </w:pPr>
            <w:r w:rsidRPr="002E5727">
              <w:rPr>
                <w:bCs w:val="0"/>
                <w:color w:val="000000"/>
              </w:rPr>
              <w:t>67*</w:t>
            </w:r>
          </w:p>
        </w:tc>
        <w:tc>
          <w:tcPr>
            <w:tcW w:w="879" w:type="dxa"/>
            <w:shd w:val="clear" w:color="auto" w:fill="auto"/>
          </w:tcPr>
          <w:p w14:paraId="4640342B" w14:textId="08786786" w:rsidR="009A7EC3" w:rsidRPr="00DE25AD" w:rsidRDefault="009A7EC3" w:rsidP="009A7EC3">
            <w:pPr>
              <w:pStyle w:val="ASSADACCESStablecentre"/>
            </w:pPr>
            <w:r w:rsidRPr="002E5727">
              <w:rPr>
                <w:bCs w:val="0"/>
                <w:color w:val="000000"/>
              </w:rPr>
              <w:t>66*</w:t>
            </w:r>
          </w:p>
        </w:tc>
        <w:tc>
          <w:tcPr>
            <w:tcW w:w="879" w:type="dxa"/>
            <w:shd w:val="clear" w:color="auto" w:fill="auto"/>
          </w:tcPr>
          <w:p w14:paraId="281E1D54" w14:textId="0E282705" w:rsidR="009A7EC3" w:rsidRPr="00DE25AD" w:rsidRDefault="009A7EC3" w:rsidP="009A7EC3">
            <w:pPr>
              <w:pStyle w:val="ASSADACCESStablecentre"/>
            </w:pPr>
            <w:r w:rsidRPr="002E5727">
              <w:rPr>
                <w:bCs w:val="0"/>
                <w:color w:val="000000"/>
              </w:rPr>
              <w:t>63*^</w:t>
            </w:r>
          </w:p>
        </w:tc>
        <w:tc>
          <w:tcPr>
            <w:tcW w:w="879" w:type="dxa"/>
            <w:shd w:val="clear" w:color="auto" w:fill="auto"/>
          </w:tcPr>
          <w:p w14:paraId="2657F2D6" w14:textId="356DAC28" w:rsidR="009A7EC3" w:rsidRPr="00DE25AD" w:rsidRDefault="009A7EC3" w:rsidP="009A7EC3">
            <w:pPr>
              <w:pStyle w:val="ASSADACCESStablecentre"/>
            </w:pPr>
            <w:r w:rsidRPr="002E5727">
              <w:rPr>
                <w:bCs w:val="0"/>
                <w:color w:val="000000"/>
              </w:rPr>
              <w:t>63*^</w:t>
            </w:r>
          </w:p>
        </w:tc>
        <w:tc>
          <w:tcPr>
            <w:tcW w:w="879" w:type="dxa"/>
            <w:shd w:val="clear" w:color="auto" w:fill="auto"/>
          </w:tcPr>
          <w:p w14:paraId="170BD4FC" w14:textId="4B723CFE" w:rsidR="009A7EC3" w:rsidRPr="00DE25AD" w:rsidRDefault="009A7EC3" w:rsidP="009A7EC3">
            <w:pPr>
              <w:pStyle w:val="ASSADACCESStablecentre"/>
            </w:pPr>
            <w:r w:rsidRPr="002E5727">
              <w:rPr>
                <w:bCs w:val="0"/>
                <w:color w:val="000000"/>
              </w:rPr>
              <w:t>63*^</w:t>
            </w:r>
          </w:p>
        </w:tc>
        <w:tc>
          <w:tcPr>
            <w:tcW w:w="879" w:type="dxa"/>
            <w:shd w:val="clear" w:color="auto" w:fill="auto"/>
          </w:tcPr>
          <w:p w14:paraId="3BF687D6" w14:textId="789ABA88" w:rsidR="009A7EC3" w:rsidRPr="00DE25AD" w:rsidRDefault="009A7EC3" w:rsidP="009A7EC3">
            <w:pPr>
              <w:pStyle w:val="ASSADACCESStablecentre"/>
            </w:pPr>
            <w:r w:rsidRPr="002E5727">
              <w:rPr>
                <w:bCs w:val="0"/>
                <w:color w:val="000000"/>
              </w:rPr>
              <w:t>62*^</w:t>
            </w:r>
          </w:p>
        </w:tc>
        <w:tc>
          <w:tcPr>
            <w:tcW w:w="879" w:type="dxa"/>
            <w:shd w:val="clear" w:color="auto" w:fill="auto"/>
          </w:tcPr>
          <w:p w14:paraId="7BC5F0BC" w14:textId="62F2E093" w:rsidR="009A7EC3" w:rsidRPr="00DE25AD" w:rsidRDefault="009A7EC3" w:rsidP="009A7EC3">
            <w:pPr>
              <w:pStyle w:val="ASSADACCESStablecentre"/>
            </w:pPr>
            <w:r w:rsidRPr="002E5727">
              <w:rPr>
                <w:bCs w:val="0"/>
                <w:color w:val="000000"/>
              </w:rPr>
              <w:t>61</w:t>
            </w:r>
            <w:r>
              <w:rPr>
                <w:bCs w:val="0"/>
                <w:color w:val="000000"/>
              </w:rPr>
              <w:t>*</w:t>
            </w:r>
            <w:r w:rsidRPr="002E5727">
              <w:rPr>
                <w:bCs w:val="0"/>
                <w:color w:val="000000"/>
              </w:rPr>
              <w:t>^</w:t>
            </w:r>
          </w:p>
        </w:tc>
        <w:tc>
          <w:tcPr>
            <w:tcW w:w="879" w:type="dxa"/>
            <w:shd w:val="clear" w:color="auto" w:fill="auto"/>
          </w:tcPr>
          <w:p w14:paraId="73B14DE3" w14:textId="1A9E5A45" w:rsidR="009A7EC3" w:rsidRPr="00DE25AD" w:rsidRDefault="009A7EC3" w:rsidP="009A7EC3">
            <w:pPr>
              <w:pStyle w:val="ASSADACCESStablecentre"/>
            </w:pPr>
            <w:r w:rsidRPr="002E5727">
              <w:rPr>
                <w:bCs w:val="0"/>
                <w:color w:val="000000"/>
              </w:rPr>
              <w:t>5</w:t>
            </w:r>
            <w:r>
              <w:rPr>
                <w:bCs w:val="0"/>
                <w:color w:val="000000"/>
              </w:rPr>
              <w:t>7</w:t>
            </w:r>
            <w:r w:rsidRPr="002E5727">
              <w:rPr>
                <w:bCs w:val="0"/>
                <w:color w:val="000000"/>
              </w:rPr>
              <w:t>^</w:t>
            </w:r>
          </w:p>
        </w:tc>
      </w:tr>
      <w:tr w:rsidR="009A7EC3" w:rsidRPr="00DE25AD" w14:paraId="25C7E053" w14:textId="77777777" w:rsidTr="005C5B03">
        <w:tc>
          <w:tcPr>
            <w:tcW w:w="1517" w:type="dxa"/>
            <w:tcMar>
              <w:left w:w="57" w:type="dxa"/>
            </w:tcMar>
          </w:tcPr>
          <w:p w14:paraId="213E04C6" w14:textId="77777777" w:rsidR="009A7EC3" w:rsidRPr="00DE25AD" w:rsidRDefault="009A7EC3" w:rsidP="009A7EC3">
            <w:pPr>
              <w:pStyle w:val="ACCESSTableHeaderRow"/>
            </w:pPr>
          </w:p>
        </w:tc>
        <w:tc>
          <w:tcPr>
            <w:tcW w:w="1068" w:type="dxa"/>
            <w:shd w:val="clear" w:color="auto" w:fill="auto"/>
            <w:tcMar>
              <w:left w:w="57" w:type="dxa"/>
            </w:tcMar>
            <w:vAlign w:val="bottom"/>
          </w:tcPr>
          <w:p w14:paraId="6349D281" w14:textId="77777777" w:rsidR="009A7EC3" w:rsidRPr="00DE25AD" w:rsidRDefault="009A7EC3" w:rsidP="009A7EC3">
            <w:pPr>
              <w:pStyle w:val="ASSAD2017ACCESSBody1"/>
            </w:pPr>
            <w:r w:rsidRPr="00DE25AD">
              <w:t>Female</w:t>
            </w:r>
          </w:p>
        </w:tc>
        <w:tc>
          <w:tcPr>
            <w:tcW w:w="878" w:type="dxa"/>
            <w:shd w:val="clear" w:color="auto" w:fill="auto"/>
          </w:tcPr>
          <w:p w14:paraId="221D9002" w14:textId="47F9CE00" w:rsidR="009A7EC3" w:rsidRPr="00DE25AD" w:rsidRDefault="009A7EC3" w:rsidP="009A7EC3">
            <w:pPr>
              <w:pStyle w:val="ASSADACCESStablecentre"/>
            </w:pPr>
            <w:r w:rsidRPr="002E5727">
              <w:rPr>
                <w:bCs w:val="0"/>
                <w:color w:val="000000"/>
              </w:rPr>
              <w:t>79*</w:t>
            </w:r>
          </w:p>
        </w:tc>
        <w:tc>
          <w:tcPr>
            <w:tcW w:w="879" w:type="dxa"/>
            <w:shd w:val="clear" w:color="auto" w:fill="auto"/>
          </w:tcPr>
          <w:p w14:paraId="632A5AD7" w14:textId="5560B409" w:rsidR="009A7EC3" w:rsidRPr="00DE25AD" w:rsidRDefault="009A7EC3" w:rsidP="009A7EC3">
            <w:pPr>
              <w:pStyle w:val="ASSADACCESStablecentre"/>
            </w:pPr>
            <w:r w:rsidRPr="002E5727">
              <w:rPr>
                <w:bCs w:val="0"/>
                <w:color w:val="000000"/>
              </w:rPr>
              <w:t>78*</w:t>
            </w:r>
          </w:p>
        </w:tc>
        <w:tc>
          <w:tcPr>
            <w:tcW w:w="879" w:type="dxa"/>
            <w:shd w:val="clear" w:color="auto" w:fill="auto"/>
          </w:tcPr>
          <w:p w14:paraId="6AEBDA32" w14:textId="79E79588" w:rsidR="009A7EC3" w:rsidRPr="00DE25AD" w:rsidRDefault="009A7EC3" w:rsidP="009A7EC3">
            <w:pPr>
              <w:pStyle w:val="ASSADACCESStablecentre"/>
            </w:pPr>
            <w:r w:rsidRPr="002E5727">
              <w:rPr>
                <w:bCs w:val="0"/>
                <w:color w:val="000000"/>
              </w:rPr>
              <w:t>76^</w:t>
            </w:r>
          </w:p>
        </w:tc>
        <w:tc>
          <w:tcPr>
            <w:tcW w:w="879" w:type="dxa"/>
            <w:shd w:val="clear" w:color="auto" w:fill="auto"/>
          </w:tcPr>
          <w:p w14:paraId="751EA62C" w14:textId="4460818F" w:rsidR="009A7EC3" w:rsidRPr="00DE25AD" w:rsidRDefault="009A7EC3" w:rsidP="009A7EC3">
            <w:pPr>
              <w:pStyle w:val="ASSADACCESStablecentre"/>
            </w:pPr>
            <w:r w:rsidRPr="002E5727">
              <w:rPr>
                <w:bCs w:val="0"/>
                <w:color w:val="000000"/>
              </w:rPr>
              <w:t>76^</w:t>
            </w:r>
          </w:p>
        </w:tc>
        <w:tc>
          <w:tcPr>
            <w:tcW w:w="879" w:type="dxa"/>
            <w:shd w:val="clear" w:color="auto" w:fill="auto"/>
          </w:tcPr>
          <w:p w14:paraId="33D9E97C" w14:textId="45572E3B" w:rsidR="009A7EC3" w:rsidRPr="00DE25AD" w:rsidRDefault="009A7EC3" w:rsidP="009A7EC3">
            <w:pPr>
              <w:pStyle w:val="ASSADACCESStablecentre"/>
            </w:pPr>
            <w:r w:rsidRPr="002E5727">
              <w:rPr>
                <w:bCs w:val="0"/>
                <w:color w:val="000000"/>
              </w:rPr>
              <w:t>77</w:t>
            </w:r>
            <w:r>
              <w:rPr>
                <w:bCs w:val="0"/>
                <w:color w:val="000000"/>
              </w:rPr>
              <w:t>*</w:t>
            </w:r>
            <w:r w:rsidRPr="002E5727">
              <w:rPr>
                <w:bCs w:val="0"/>
                <w:color w:val="000000"/>
              </w:rPr>
              <w:t>^</w:t>
            </w:r>
          </w:p>
        </w:tc>
        <w:tc>
          <w:tcPr>
            <w:tcW w:w="879" w:type="dxa"/>
            <w:shd w:val="clear" w:color="auto" w:fill="auto"/>
          </w:tcPr>
          <w:p w14:paraId="49DF0B7E" w14:textId="3C955AC3" w:rsidR="009A7EC3" w:rsidRPr="00DE25AD" w:rsidRDefault="009A7EC3" w:rsidP="009A7EC3">
            <w:pPr>
              <w:pStyle w:val="ASSADACCESStablecentre"/>
            </w:pPr>
            <w:r w:rsidRPr="002E5727">
              <w:rPr>
                <w:bCs w:val="0"/>
                <w:color w:val="000000"/>
              </w:rPr>
              <w:t>7</w:t>
            </w:r>
            <w:r>
              <w:rPr>
                <w:bCs w:val="0"/>
                <w:color w:val="000000"/>
              </w:rPr>
              <w:t>6</w:t>
            </w:r>
            <w:r w:rsidRPr="002E5727">
              <w:rPr>
                <w:bCs w:val="0"/>
                <w:color w:val="000000"/>
              </w:rPr>
              <w:t>^</w:t>
            </w:r>
          </w:p>
        </w:tc>
        <w:tc>
          <w:tcPr>
            <w:tcW w:w="879" w:type="dxa"/>
            <w:shd w:val="clear" w:color="auto" w:fill="auto"/>
          </w:tcPr>
          <w:p w14:paraId="0CC8CBA0" w14:textId="48C7AFB3" w:rsidR="009A7EC3" w:rsidRPr="00DE25AD" w:rsidRDefault="009A7EC3" w:rsidP="009A7EC3">
            <w:pPr>
              <w:pStyle w:val="ASSADACCESStablecentre"/>
            </w:pPr>
            <w:r w:rsidRPr="002E5727">
              <w:rPr>
                <w:bCs w:val="0"/>
                <w:color w:val="000000"/>
              </w:rPr>
              <w:t>77^</w:t>
            </w:r>
          </w:p>
        </w:tc>
        <w:tc>
          <w:tcPr>
            <w:tcW w:w="879" w:type="dxa"/>
            <w:shd w:val="clear" w:color="auto" w:fill="auto"/>
          </w:tcPr>
          <w:p w14:paraId="0E386D5A" w14:textId="2FAC3D18" w:rsidR="009A7EC3" w:rsidRPr="00DE25AD" w:rsidRDefault="009A7EC3" w:rsidP="009A7EC3">
            <w:pPr>
              <w:pStyle w:val="ASSADACCESStablecentre"/>
            </w:pPr>
            <w:r w:rsidRPr="002E5727">
              <w:rPr>
                <w:bCs w:val="0"/>
                <w:color w:val="000000"/>
              </w:rPr>
              <w:t>75^</w:t>
            </w:r>
          </w:p>
        </w:tc>
      </w:tr>
      <w:tr w:rsidR="009A7EC3" w:rsidRPr="00DE25AD" w14:paraId="501AD99E" w14:textId="77777777" w:rsidTr="005C5B03">
        <w:tc>
          <w:tcPr>
            <w:tcW w:w="1517" w:type="dxa"/>
            <w:tcMar>
              <w:left w:w="57" w:type="dxa"/>
            </w:tcMar>
          </w:tcPr>
          <w:p w14:paraId="7FF5A6B1" w14:textId="77777777" w:rsidR="009A7EC3" w:rsidRPr="00DE25AD" w:rsidRDefault="009A7EC3" w:rsidP="009A7EC3">
            <w:pPr>
              <w:pStyle w:val="ACCESSTableHeaderRow"/>
            </w:pPr>
          </w:p>
        </w:tc>
        <w:tc>
          <w:tcPr>
            <w:tcW w:w="1068" w:type="dxa"/>
            <w:shd w:val="clear" w:color="auto" w:fill="auto"/>
            <w:tcMar>
              <w:left w:w="57" w:type="dxa"/>
            </w:tcMar>
            <w:vAlign w:val="bottom"/>
          </w:tcPr>
          <w:p w14:paraId="0E08CCA4" w14:textId="77777777" w:rsidR="009A7EC3" w:rsidRPr="00DE25AD" w:rsidRDefault="009A7EC3" w:rsidP="009A7EC3">
            <w:pPr>
              <w:pStyle w:val="ASSAD2017ACCESSBody1"/>
            </w:pPr>
            <w:r w:rsidRPr="00DE25AD">
              <w:t>Total</w:t>
            </w:r>
          </w:p>
        </w:tc>
        <w:tc>
          <w:tcPr>
            <w:tcW w:w="878" w:type="dxa"/>
            <w:shd w:val="clear" w:color="auto" w:fill="auto"/>
          </w:tcPr>
          <w:p w14:paraId="029F5845" w14:textId="7DB09E1A" w:rsidR="009A7EC3" w:rsidRPr="00DE25AD" w:rsidRDefault="009A7EC3" w:rsidP="009A7EC3">
            <w:pPr>
              <w:pStyle w:val="ASSADACCESStablecentre"/>
            </w:pPr>
            <w:r w:rsidRPr="002E5727">
              <w:rPr>
                <w:bCs w:val="0"/>
                <w:color w:val="000000"/>
              </w:rPr>
              <w:t>73*</w:t>
            </w:r>
          </w:p>
        </w:tc>
        <w:tc>
          <w:tcPr>
            <w:tcW w:w="879" w:type="dxa"/>
            <w:shd w:val="clear" w:color="auto" w:fill="auto"/>
          </w:tcPr>
          <w:p w14:paraId="3609F462" w14:textId="7BAE4A38" w:rsidR="009A7EC3" w:rsidRPr="00DE25AD" w:rsidRDefault="009A7EC3" w:rsidP="009A7EC3">
            <w:pPr>
              <w:pStyle w:val="ASSADACCESStablecentre"/>
            </w:pPr>
            <w:r w:rsidRPr="002E5727">
              <w:rPr>
                <w:bCs w:val="0"/>
                <w:color w:val="000000"/>
              </w:rPr>
              <w:t>72*</w:t>
            </w:r>
          </w:p>
        </w:tc>
        <w:tc>
          <w:tcPr>
            <w:tcW w:w="879" w:type="dxa"/>
            <w:shd w:val="clear" w:color="auto" w:fill="auto"/>
          </w:tcPr>
          <w:p w14:paraId="36F1189D" w14:textId="6862536E" w:rsidR="009A7EC3" w:rsidRPr="00DE25AD" w:rsidRDefault="009A7EC3" w:rsidP="009A7EC3">
            <w:pPr>
              <w:pStyle w:val="ASSADACCESStablecentre"/>
            </w:pPr>
            <w:r w:rsidRPr="002E5727">
              <w:rPr>
                <w:bCs w:val="0"/>
                <w:color w:val="000000"/>
              </w:rPr>
              <w:t>70*^</w:t>
            </w:r>
          </w:p>
        </w:tc>
        <w:tc>
          <w:tcPr>
            <w:tcW w:w="879" w:type="dxa"/>
            <w:shd w:val="clear" w:color="auto" w:fill="auto"/>
          </w:tcPr>
          <w:p w14:paraId="5A4A14AD" w14:textId="1F27A45D" w:rsidR="009A7EC3" w:rsidRPr="00DE25AD" w:rsidRDefault="009A7EC3" w:rsidP="009A7EC3">
            <w:pPr>
              <w:pStyle w:val="ASSADACCESStablecentre"/>
            </w:pPr>
            <w:r w:rsidRPr="002E5727">
              <w:rPr>
                <w:bCs w:val="0"/>
                <w:color w:val="000000"/>
              </w:rPr>
              <w:t>70*^</w:t>
            </w:r>
          </w:p>
        </w:tc>
        <w:tc>
          <w:tcPr>
            <w:tcW w:w="879" w:type="dxa"/>
            <w:shd w:val="clear" w:color="auto" w:fill="auto"/>
          </w:tcPr>
          <w:p w14:paraId="67082249" w14:textId="4ED951DC" w:rsidR="009A7EC3" w:rsidRPr="00DE25AD" w:rsidRDefault="009A7EC3" w:rsidP="009A7EC3">
            <w:pPr>
              <w:pStyle w:val="ASSADACCESStablecentre"/>
            </w:pPr>
            <w:r w:rsidRPr="002E5727">
              <w:rPr>
                <w:bCs w:val="0"/>
                <w:color w:val="000000"/>
              </w:rPr>
              <w:t>70*^</w:t>
            </w:r>
          </w:p>
        </w:tc>
        <w:tc>
          <w:tcPr>
            <w:tcW w:w="879" w:type="dxa"/>
            <w:shd w:val="clear" w:color="auto" w:fill="auto"/>
          </w:tcPr>
          <w:p w14:paraId="3E184ADF" w14:textId="0226491B" w:rsidR="009A7EC3" w:rsidRPr="00DE25AD" w:rsidRDefault="009A7EC3" w:rsidP="009A7EC3">
            <w:pPr>
              <w:pStyle w:val="ASSADACCESStablecentre"/>
            </w:pPr>
            <w:r w:rsidRPr="002E5727">
              <w:rPr>
                <w:bCs w:val="0"/>
                <w:color w:val="000000"/>
              </w:rPr>
              <w:t>69*^</w:t>
            </w:r>
          </w:p>
        </w:tc>
        <w:tc>
          <w:tcPr>
            <w:tcW w:w="879" w:type="dxa"/>
            <w:shd w:val="clear" w:color="auto" w:fill="auto"/>
          </w:tcPr>
          <w:p w14:paraId="44FD2C9F" w14:textId="11CF3EAB" w:rsidR="009A7EC3" w:rsidRPr="00DE25AD" w:rsidRDefault="009A7EC3" w:rsidP="009A7EC3">
            <w:pPr>
              <w:pStyle w:val="ASSADACCESStablecentre"/>
            </w:pPr>
            <w:r w:rsidRPr="002E5727">
              <w:rPr>
                <w:bCs w:val="0"/>
                <w:color w:val="000000"/>
              </w:rPr>
              <w:t>69</w:t>
            </w:r>
            <w:r>
              <w:rPr>
                <w:bCs w:val="0"/>
                <w:color w:val="000000"/>
              </w:rPr>
              <w:t>*</w:t>
            </w:r>
            <w:r w:rsidRPr="002E5727">
              <w:rPr>
                <w:bCs w:val="0"/>
                <w:color w:val="000000"/>
              </w:rPr>
              <w:t>^</w:t>
            </w:r>
          </w:p>
        </w:tc>
        <w:tc>
          <w:tcPr>
            <w:tcW w:w="879" w:type="dxa"/>
            <w:shd w:val="clear" w:color="auto" w:fill="auto"/>
          </w:tcPr>
          <w:p w14:paraId="3FA5A0E9" w14:textId="56A3DFE4" w:rsidR="009A7EC3" w:rsidRPr="00DE25AD" w:rsidRDefault="009A7EC3" w:rsidP="009A7EC3">
            <w:pPr>
              <w:pStyle w:val="ASSADACCESStablecentre"/>
            </w:pPr>
            <w:r w:rsidRPr="002E5727">
              <w:rPr>
                <w:bCs w:val="0"/>
                <w:color w:val="000000"/>
              </w:rPr>
              <w:t>66^</w:t>
            </w:r>
          </w:p>
        </w:tc>
      </w:tr>
      <w:tr w:rsidR="009A7EC3" w:rsidRPr="00DE25AD" w14:paraId="10C3FE46" w14:textId="77777777" w:rsidTr="005C5B03">
        <w:tc>
          <w:tcPr>
            <w:tcW w:w="1517" w:type="dxa"/>
            <w:tcMar>
              <w:left w:w="57" w:type="dxa"/>
            </w:tcMar>
          </w:tcPr>
          <w:p w14:paraId="311B6D79"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04438417" w14:textId="77777777" w:rsidR="009A7EC3" w:rsidRPr="00DE25AD" w:rsidRDefault="009A7EC3" w:rsidP="009A7EC3">
            <w:pPr>
              <w:pStyle w:val="ASSAD2017ACCESSBody1"/>
            </w:pPr>
            <w:r w:rsidRPr="00DE25AD">
              <w:t>Male</w:t>
            </w:r>
          </w:p>
        </w:tc>
        <w:tc>
          <w:tcPr>
            <w:tcW w:w="878" w:type="dxa"/>
            <w:shd w:val="clear" w:color="auto" w:fill="auto"/>
          </w:tcPr>
          <w:p w14:paraId="2D2F249F" w14:textId="67D12064" w:rsidR="009A7EC3" w:rsidRPr="00DE25AD" w:rsidRDefault="009A7EC3" w:rsidP="009A7EC3">
            <w:pPr>
              <w:pStyle w:val="ASSADACCESStablecentre"/>
            </w:pPr>
            <w:r w:rsidRPr="002E5727">
              <w:rPr>
                <w:bCs w:val="0"/>
                <w:color w:val="000000"/>
              </w:rPr>
              <w:t>36*</w:t>
            </w:r>
          </w:p>
        </w:tc>
        <w:tc>
          <w:tcPr>
            <w:tcW w:w="879" w:type="dxa"/>
            <w:shd w:val="clear" w:color="auto" w:fill="auto"/>
          </w:tcPr>
          <w:p w14:paraId="049CBF6F" w14:textId="5CD4921D" w:rsidR="009A7EC3" w:rsidRPr="00DE25AD" w:rsidRDefault="009A7EC3" w:rsidP="009A7EC3">
            <w:pPr>
              <w:pStyle w:val="ASSADACCESStablecentre"/>
            </w:pPr>
            <w:r w:rsidRPr="002E5727">
              <w:rPr>
                <w:bCs w:val="0"/>
                <w:color w:val="000000"/>
              </w:rPr>
              <w:t>37*</w:t>
            </w:r>
          </w:p>
        </w:tc>
        <w:tc>
          <w:tcPr>
            <w:tcW w:w="879" w:type="dxa"/>
            <w:shd w:val="clear" w:color="auto" w:fill="auto"/>
          </w:tcPr>
          <w:p w14:paraId="0C68A65F" w14:textId="61F6510D" w:rsidR="009A7EC3" w:rsidRPr="00DE25AD" w:rsidRDefault="009A7EC3" w:rsidP="009A7EC3">
            <w:pPr>
              <w:pStyle w:val="ASSADACCESStablecentre"/>
            </w:pPr>
            <w:r w:rsidRPr="002E5727">
              <w:rPr>
                <w:bCs w:val="0"/>
                <w:color w:val="000000"/>
              </w:rPr>
              <w:t>35</w:t>
            </w:r>
            <w:r>
              <w:rPr>
                <w:bCs w:val="0"/>
                <w:color w:val="000000"/>
              </w:rPr>
              <w:t>*</w:t>
            </w:r>
          </w:p>
        </w:tc>
        <w:tc>
          <w:tcPr>
            <w:tcW w:w="879" w:type="dxa"/>
            <w:shd w:val="clear" w:color="auto" w:fill="auto"/>
          </w:tcPr>
          <w:p w14:paraId="25C341F6" w14:textId="41905CDA" w:rsidR="009A7EC3" w:rsidRPr="00DE25AD" w:rsidRDefault="009A7EC3" w:rsidP="009A7EC3">
            <w:pPr>
              <w:pStyle w:val="ASSADACCESStablecentre"/>
            </w:pPr>
            <w:r w:rsidRPr="002E5727">
              <w:rPr>
                <w:bCs w:val="0"/>
                <w:color w:val="000000"/>
              </w:rPr>
              <w:t>3</w:t>
            </w:r>
            <w:r>
              <w:rPr>
                <w:bCs w:val="0"/>
                <w:color w:val="000000"/>
              </w:rPr>
              <w:t>5</w:t>
            </w:r>
          </w:p>
        </w:tc>
        <w:tc>
          <w:tcPr>
            <w:tcW w:w="879" w:type="dxa"/>
            <w:shd w:val="clear" w:color="auto" w:fill="auto"/>
          </w:tcPr>
          <w:p w14:paraId="4EC63DBA" w14:textId="5A46FE12" w:rsidR="009A7EC3" w:rsidRPr="00DE25AD" w:rsidRDefault="009A7EC3" w:rsidP="009A7EC3">
            <w:pPr>
              <w:pStyle w:val="ASSADACCESStablecentre"/>
            </w:pPr>
            <w:r w:rsidRPr="002E5727">
              <w:rPr>
                <w:bCs w:val="0"/>
                <w:color w:val="000000"/>
              </w:rPr>
              <w:t>34</w:t>
            </w:r>
          </w:p>
        </w:tc>
        <w:tc>
          <w:tcPr>
            <w:tcW w:w="879" w:type="dxa"/>
            <w:shd w:val="clear" w:color="auto" w:fill="auto"/>
          </w:tcPr>
          <w:p w14:paraId="263AEDBA" w14:textId="708DE170" w:rsidR="009A7EC3" w:rsidRPr="00DE25AD" w:rsidRDefault="009A7EC3" w:rsidP="009A7EC3">
            <w:pPr>
              <w:pStyle w:val="ASSADACCESStablecentre"/>
            </w:pPr>
            <w:r w:rsidRPr="002E5727">
              <w:rPr>
                <w:bCs w:val="0"/>
                <w:color w:val="000000"/>
              </w:rPr>
              <w:t>33^</w:t>
            </w:r>
          </w:p>
        </w:tc>
        <w:tc>
          <w:tcPr>
            <w:tcW w:w="879" w:type="dxa"/>
            <w:shd w:val="clear" w:color="auto" w:fill="auto"/>
          </w:tcPr>
          <w:p w14:paraId="3DBEB44A" w14:textId="0E0E6AEB" w:rsidR="009A7EC3" w:rsidRPr="00DE25AD" w:rsidRDefault="009A7EC3" w:rsidP="009A7EC3">
            <w:pPr>
              <w:pStyle w:val="ASSADACCESStablecentre"/>
            </w:pPr>
            <w:r w:rsidRPr="002E5727">
              <w:rPr>
                <w:bCs w:val="0"/>
                <w:color w:val="000000"/>
              </w:rPr>
              <w:t>34</w:t>
            </w:r>
            <w:r>
              <w:rPr>
                <w:bCs w:val="0"/>
                <w:color w:val="000000"/>
              </w:rPr>
              <w:t>^</w:t>
            </w:r>
          </w:p>
        </w:tc>
        <w:tc>
          <w:tcPr>
            <w:tcW w:w="879" w:type="dxa"/>
            <w:shd w:val="clear" w:color="auto" w:fill="auto"/>
          </w:tcPr>
          <w:p w14:paraId="58174BCE" w14:textId="5A287C22" w:rsidR="009A7EC3" w:rsidRPr="00DE25AD" w:rsidRDefault="009A7EC3" w:rsidP="009A7EC3">
            <w:pPr>
              <w:pStyle w:val="ASSADACCESStablecentre"/>
            </w:pPr>
            <w:r w:rsidRPr="002E5727">
              <w:rPr>
                <w:bCs w:val="0"/>
                <w:color w:val="000000"/>
              </w:rPr>
              <w:t>32^</w:t>
            </w:r>
          </w:p>
        </w:tc>
      </w:tr>
      <w:tr w:rsidR="009A7EC3" w:rsidRPr="00DE25AD" w14:paraId="5F95F774" w14:textId="77777777" w:rsidTr="005C5B03">
        <w:tc>
          <w:tcPr>
            <w:tcW w:w="1517" w:type="dxa"/>
            <w:tcMar>
              <w:left w:w="57" w:type="dxa"/>
            </w:tcMar>
          </w:tcPr>
          <w:p w14:paraId="49FE6E23" w14:textId="77777777" w:rsidR="009A7EC3" w:rsidRPr="00DE25AD" w:rsidRDefault="009A7EC3" w:rsidP="009A7EC3">
            <w:pPr>
              <w:pStyle w:val="ACCESSTableHeaderRow"/>
            </w:pPr>
          </w:p>
        </w:tc>
        <w:tc>
          <w:tcPr>
            <w:tcW w:w="1068" w:type="dxa"/>
            <w:shd w:val="clear" w:color="auto" w:fill="auto"/>
            <w:tcMar>
              <w:left w:w="57" w:type="dxa"/>
            </w:tcMar>
            <w:vAlign w:val="bottom"/>
          </w:tcPr>
          <w:p w14:paraId="40D42316" w14:textId="77777777" w:rsidR="009A7EC3" w:rsidRPr="00DE25AD" w:rsidRDefault="009A7EC3" w:rsidP="009A7EC3">
            <w:pPr>
              <w:pStyle w:val="ASSAD2017ACCESSBody1"/>
            </w:pPr>
            <w:r w:rsidRPr="00DE25AD">
              <w:t>Female</w:t>
            </w:r>
          </w:p>
        </w:tc>
        <w:tc>
          <w:tcPr>
            <w:tcW w:w="878" w:type="dxa"/>
            <w:shd w:val="clear" w:color="auto" w:fill="auto"/>
          </w:tcPr>
          <w:p w14:paraId="2552CBD3" w14:textId="5E2EF81F" w:rsidR="009A7EC3" w:rsidRPr="00DE25AD" w:rsidRDefault="009A7EC3" w:rsidP="009A7EC3">
            <w:pPr>
              <w:pStyle w:val="ASSADACCESStablecentre"/>
            </w:pPr>
            <w:r w:rsidRPr="002E5727">
              <w:rPr>
                <w:bCs w:val="0"/>
                <w:color w:val="000000"/>
              </w:rPr>
              <w:t>47</w:t>
            </w:r>
          </w:p>
        </w:tc>
        <w:tc>
          <w:tcPr>
            <w:tcW w:w="879" w:type="dxa"/>
            <w:shd w:val="clear" w:color="auto" w:fill="auto"/>
          </w:tcPr>
          <w:p w14:paraId="74622668" w14:textId="4AF199F3" w:rsidR="009A7EC3" w:rsidRPr="00DE25AD" w:rsidRDefault="009A7EC3" w:rsidP="009A7EC3">
            <w:pPr>
              <w:pStyle w:val="ASSADACCESStablecentre"/>
            </w:pPr>
            <w:r w:rsidRPr="002E5727">
              <w:rPr>
                <w:bCs w:val="0"/>
                <w:color w:val="000000"/>
              </w:rPr>
              <w:t>47</w:t>
            </w:r>
          </w:p>
        </w:tc>
        <w:tc>
          <w:tcPr>
            <w:tcW w:w="879" w:type="dxa"/>
            <w:shd w:val="clear" w:color="auto" w:fill="auto"/>
          </w:tcPr>
          <w:p w14:paraId="74684BEE" w14:textId="31ABCD34" w:rsidR="009A7EC3" w:rsidRPr="00DE25AD" w:rsidRDefault="009A7EC3" w:rsidP="009A7EC3">
            <w:pPr>
              <w:pStyle w:val="ASSADACCESStablecentre"/>
            </w:pPr>
            <w:r w:rsidRPr="002E5727">
              <w:rPr>
                <w:bCs w:val="0"/>
                <w:color w:val="000000"/>
              </w:rPr>
              <w:t>46</w:t>
            </w:r>
          </w:p>
        </w:tc>
        <w:tc>
          <w:tcPr>
            <w:tcW w:w="879" w:type="dxa"/>
            <w:shd w:val="clear" w:color="auto" w:fill="auto"/>
          </w:tcPr>
          <w:p w14:paraId="6035D5E1" w14:textId="26EC1A23" w:rsidR="009A7EC3" w:rsidRPr="00DE25AD" w:rsidRDefault="009A7EC3" w:rsidP="009A7EC3">
            <w:pPr>
              <w:pStyle w:val="ASSADACCESStablecentre"/>
            </w:pPr>
            <w:r w:rsidRPr="002E5727">
              <w:rPr>
                <w:bCs w:val="0"/>
                <w:color w:val="000000"/>
              </w:rPr>
              <w:t>46</w:t>
            </w:r>
          </w:p>
        </w:tc>
        <w:tc>
          <w:tcPr>
            <w:tcW w:w="879" w:type="dxa"/>
            <w:shd w:val="clear" w:color="auto" w:fill="auto"/>
          </w:tcPr>
          <w:p w14:paraId="0C5B12A6" w14:textId="4AB366D0" w:rsidR="009A7EC3" w:rsidRPr="00DE25AD" w:rsidRDefault="009A7EC3" w:rsidP="009A7EC3">
            <w:pPr>
              <w:pStyle w:val="ASSADACCESStablecentre"/>
            </w:pPr>
            <w:r w:rsidRPr="002E5727">
              <w:rPr>
                <w:bCs w:val="0"/>
                <w:color w:val="000000"/>
              </w:rPr>
              <w:t>47</w:t>
            </w:r>
          </w:p>
        </w:tc>
        <w:tc>
          <w:tcPr>
            <w:tcW w:w="879" w:type="dxa"/>
            <w:shd w:val="clear" w:color="auto" w:fill="auto"/>
          </w:tcPr>
          <w:p w14:paraId="1CE73217" w14:textId="5F7C18F2" w:rsidR="009A7EC3" w:rsidRPr="00DE25AD" w:rsidRDefault="009A7EC3" w:rsidP="009A7EC3">
            <w:pPr>
              <w:pStyle w:val="ASSADACCESStablecentre"/>
            </w:pPr>
            <w:r w:rsidRPr="002E5727">
              <w:rPr>
                <w:bCs w:val="0"/>
                <w:color w:val="000000"/>
              </w:rPr>
              <w:t>45</w:t>
            </w:r>
          </w:p>
        </w:tc>
        <w:tc>
          <w:tcPr>
            <w:tcW w:w="879" w:type="dxa"/>
            <w:shd w:val="clear" w:color="auto" w:fill="auto"/>
          </w:tcPr>
          <w:p w14:paraId="6C795047" w14:textId="36D5DE85" w:rsidR="009A7EC3" w:rsidRPr="00DE25AD" w:rsidRDefault="009A7EC3" w:rsidP="009A7EC3">
            <w:pPr>
              <w:pStyle w:val="ASSADACCESStablecentre"/>
            </w:pPr>
            <w:r w:rsidRPr="002E5727">
              <w:rPr>
                <w:bCs w:val="0"/>
                <w:color w:val="000000"/>
              </w:rPr>
              <w:t>4</w:t>
            </w:r>
            <w:r>
              <w:rPr>
                <w:bCs w:val="0"/>
                <w:color w:val="000000"/>
              </w:rPr>
              <w:t>8</w:t>
            </w:r>
          </w:p>
        </w:tc>
        <w:tc>
          <w:tcPr>
            <w:tcW w:w="879" w:type="dxa"/>
            <w:shd w:val="clear" w:color="auto" w:fill="auto"/>
          </w:tcPr>
          <w:p w14:paraId="0509AF47" w14:textId="45C66FA7" w:rsidR="009A7EC3" w:rsidRPr="00DE25AD" w:rsidRDefault="009A7EC3" w:rsidP="009A7EC3">
            <w:pPr>
              <w:pStyle w:val="ASSADACCESStablecentre"/>
            </w:pPr>
            <w:r w:rsidRPr="002E5727">
              <w:rPr>
                <w:bCs w:val="0"/>
                <w:color w:val="000000"/>
              </w:rPr>
              <w:t>4</w:t>
            </w:r>
            <w:r>
              <w:rPr>
                <w:bCs w:val="0"/>
                <w:color w:val="000000"/>
              </w:rPr>
              <w:t>6</w:t>
            </w:r>
          </w:p>
        </w:tc>
      </w:tr>
      <w:tr w:rsidR="009A7EC3" w:rsidRPr="00DE25AD" w14:paraId="63A2A337" w14:textId="77777777" w:rsidTr="005C5B03">
        <w:tc>
          <w:tcPr>
            <w:tcW w:w="1517" w:type="dxa"/>
            <w:tcMar>
              <w:left w:w="57" w:type="dxa"/>
            </w:tcMar>
          </w:tcPr>
          <w:p w14:paraId="174313FB" w14:textId="77777777" w:rsidR="009A7EC3" w:rsidRPr="00DE25AD" w:rsidRDefault="009A7EC3" w:rsidP="009A7EC3">
            <w:pPr>
              <w:pStyle w:val="ACCESSTableHeaderRow"/>
            </w:pPr>
          </w:p>
        </w:tc>
        <w:tc>
          <w:tcPr>
            <w:tcW w:w="1068" w:type="dxa"/>
            <w:shd w:val="clear" w:color="auto" w:fill="auto"/>
            <w:tcMar>
              <w:left w:w="57" w:type="dxa"/>
            </w:tcMar>
            <w:vAlign w:val="bottom"/>
          </w:tcPr>
          <w:p w14:paraId="03623ACF" w14:textId="77777777" w:rsidR="009A7EC3" w:rsidRPr="00DE25AD" w:rsidRDefault="009A7EC3" w:rsidP="009A7EC3">
            <w:pPr>
              <w:pStyle w:val="ASSAD2017ACCESSBody1"/>
            </w:pPr>
            <w:r w:rsidRPr="00DE25AD">
              <w:t>Total</w:t>
            </w:r>
          </w:p>
        </w:tc>
        <w:tc>
          <w:tcPr>
            <w:tcW w:w="878" w:type="dxa"/>
            <w:shd w:val="clear" w:color="auto" w:fill="auto"/>
          </w:tcPr>
          <w:p w14:paraId="6A76DAA2" w14:textId="68B6439D" w:rsidR="009A7EC3" w:rsidRPr="00DE25AD" w:rsidRDefault="009A7EC3" w:rsidP="009A7EC3">
            <w:pPr>
              <w:pStyle w:val="ASSADACCESStablecentre"/>
            </w:pPr>
            <w:r w:rsidRPr="002E5727">
              <w:rPr>
                <w:bCs w:val="0"/>
                <w:color w:val="000000"/>
              </w:rPr>
              <w:t>41*</w:t>
            </w:r>
          </w:p>
        </w:tc>
        <w:tc>
          <w:tcPr>
            <w:tcW w:w="879" w:type="dxa"/>
            <w:shd w:val="clear" w:color="auto" w:fill="auto"/>
          </w:tcPr>
          <w:p w14:paraId="6CAE64F8" w14:textId="334CD818" w:rsidR="009A7EC3" w:rsidRPr="00DE25AD" w:rsidRDefault="009A7EC3" w:rsidP="009A7EC3">
            <w:pPr>
              <w:pStyle w:val="ASSADACCESStablecentre"/>
            </w:pPr>
            <w:r w:rsidRPr="002E5727">
              <w:rPr>
                <w:bCs w:val="0"/>
                <w:color w:val="000000"/>
              </w:rPr>
              <w:t>42*</w:t>
            </w:r>
          </w:p>
        </w:tc>
        <w:tc>
          <w:tcPr>
            <w:tcW w:w="879" w:type="dxa"/>
            <w:shd w:val="clear" w:color="auto" w:fill="auto"/>
          </w:tcPr>
          <w:p w14:paraId="7964826A" w14:textId="260AE670" w:rsidR="009A7EC3" w:rsidRPr="00DE25AD" w:rsidRDefault="009A7EC3" w:rsidP="009A7EC3">
            <w:pPr>
              <w:pStyle w:val="ASSADACCESStablecentre"/>
            </w:pPr>
            <w:r w:rsidRPr="002E5727">
              <w:rPr>
                <w:bCs w:val="0"/>
                <w:color w:val="000000"/>
              </w:rPr>
              <w:t>41</w:t>
            </w:r>
          </w:p>
        </w:tc>
        <w:tc>
          <w:tcPr>
            <w:tcW w:w="879" w:type="dxa"/>
            <w:shd w:val="clear" w:color="auto" w:fill="auto"/>
          </w:tcPr>
          <w:p w14:paraId="1FEC1452" w14:textId="0B3728BD" w:rsidR="009A7EC3" w:rsidRPr="00DE25AD" w:rsidRDefault="009A7EC3" w:rsidP="009A7EC3">
            <w:pPr>
              <w:pStyle w:val="ASSADACCESStablecentre"/>
            </w:pPr>
            <w:r w:rsidRPr="002E5727">
              <w:rPr>
                <w:bCs w:val="0"/>
                <w:color w:val="000000"/>
              </w:rPr>
              <w:t>40</w:t>
            </w:r>
          </w:p>
        </w:tc>
        <w:tc>
          <w:tcPr>
            <w:tcW w:w="879" w:type="dxa"/>
            <w:shd w:val="clear" w:color="auto" w:fill="auto"/>
          </w:tcPr>
          <w:p w14:paraId="3ED45259" w14:textId="5E228A2A" w:rsidR="009A7EC3" w:rsidRPr="00DE25AD" w:rsidRDefault="009A7EC3" w:rsidP="009A7EC3">
            <w:pPr>
              <w:pStyle w:val="ASSADACCESStablecentre"/>
            </w:pPr>
            <w:r w:rsidRPr="002E5727">
              <w:rPr>
                <w:bCs w:val="0"/>
                <w:color w:val="000000"/>
              </w:rPr>
              <w:t>41</w:t>
            </w:r>
          </w:p>
        </w:tc>
        <w:tc>
          <w:tcPr>
            <w:tcW w:w="879" w:type="dxa"/>
            <w:shd w:val="clear" w:color="auto" w:fill="auto"/>
          </w:tcPr>
          <w:p w14:paraId="726801E3" w14:textId="6E1B4D3D" w:rsidR="009A7EC3" w:rsidRPr="00DE25AD" w:rsidRDefault="009A7EC3" w:rsidP="009A7EC3">
            <w:pPr>
              <w:pStyle w:val="ASSADACCESStablecentre"/>
            </w:pPr>
            <w:r w:rsidRPr="002E5727">
              <w:rPr>
                <w:bCs w:val="0"/>
                <w:color w:val="000000"/>
              </w:rPr>
              <w:t>39</w:t>
            </w:r>
            <w:r>
              <w:rPr>
                <w:bCs w:val="0"/>
                <w:color w:val="000000"/>
              </w:rPr>
              <w:t>^</w:t>
            </w:r>
          </w:p>
        </w:tc>
        <w:tc>
          <w:tcPr>
            <w:tcW w:w="879" w:type="dxa"/>
            <w:shd w:val="clear" w:color="auto" w:fill="auto"/>
          </w:tcPr>
          <w:p w14:paraId="1B1D4E57" w14:textId="286F1127" w:rsidR="009A7EC3" w:rsidRPr="00DE25AD" w:rsidRDefault="009A7EC3" w:rsidP="009A7EC3">
            <w:pPr>
              <w:pStyle w:val="ASSADACCESStablecentre"/>
            </w:pPr>
            <w:r w:rsidRPr="002E5727">
              <w:rPr>
                <w:bCs w:val="0"/>
                <w:color w:val="000000"/>
              </w:rPr>
              <w:t>41</w:t>
            </w:r>
          </w:p>
        </w:tc>
        <w:tc>
          <w:tcPr>
            <w:tcW w:w="879" w:type="dxa"/>
            <w:shd w:val="clear" w:color="auto" w:fill="auto"/>
          </w:tcPr>
          <w:p w14:paraId="4E53103C" w14:textId="47F1BF89" w:rsidR="009A7EC3" w:rsidRPr="00DE25AD" w:rsidRDefault="009A7EC3" w:rsidP="009A7EC3">
            <w:pPr>
              <w:pStyle w:val="ASSADACCESStablecentre"/>
            </w:pPr>
            <w:r w:rsidRPr="002E5727">
              <w:rPr>
                <w:bCs w:val="0"/>
                <w:color w:val="000000"/>
              </w:rPr>
              <w:t>39^</w:t>
            </w:r>
          </w:p>
        </w:tc>
      </w:tr>
    </w:tbl>
    <w:p w14:paraId="54EDCAF0" w14:textId="77777777" w:rsidR="005D6965" w:rsidRDefault="009D725E" w:rsidP="00B17F4F">
      <w:pPr>
        <w:pStyle w:val="ASSAD2017CWTablenote1"/>
      </w:pPr>
      <w:r>
        <w:t>* Significantly different than 2017, p&lt;.01; ^ Significantly different than 1996, p&lt;.01.</w:t>
      </w:r>
    </w:p>
    <w:p w14:paraId="30266860" w14:textId="77777777" w:rsidR="005D6965" w:rsidRDefault="005D6965" w:rsidP="00B17F4F">
      <w:pPr>
        <w:pStyle w:val="ASSAD2017CWTablenote1"/>
      </w:pPr>
    </w:p>
    <w:p w14:paraId="40158FF4" w14:textId="77777777" w:rsidR="005D6965" w:rsidRDefault="005D6965">
      <w:pPr>
        <w:suppressAutoHyphens w:val="0"/>
        <w:rPr>
          <w:rFonts w:ascii="Arial" w:eastAsia="Arial" w:hAnsi="Arial" w:cs="Arial"/>
          <w:sz w:val="18"/>
          <w:szCs w:val="18"/>
          <w:lang w:val="en-AU"/>
        </w:rPr>
      </w:pPr>
      <w:r>
        <w:br w:type="page"/>
      </w:r>
    </w:p>
    <w:p w14:paraId="164063B4" w14:textId="03BB3908" w:rsidR="005D6965" w:rsidRPr="0046446A" w:rsidRDefault="005D6965" w:rsidP="005D6965">
      <w:pPr>
        <w:pStyle w:val="ASSAD2017TableHeading"/>
      </w:pPr>
      <w:bookmarkStart w:id="79" w:name="_Toc44060495"/>
      <w:r w:rsidRPr="0046446A">
        <w:lastRenderedPageBreak/>
        <w:t xml:space="preserve">Table </w:t>
      </w:r>
      <w:r>
        <w:t>8</w:t>
      </w:r>
      <w:r w:rsidRPr="0046446A">
        <w:t xml:space="preserve"> </w:t>
      </w:r>
      <w:r>
        <w:t>Prevalence</w:t>
      </w:r>
      <w:r w:rsidRPr="0046446A">
        <w:t xml:space="preserve"> of </w:t>
      </w:r>
      <w:r>
        <w:t>tranquiliser</w:t>
      </w:r>
      <w:r w:rsidRPr="0046446A">
        <w:t xml:space="preserve"> use among secondary students aged 12-1</w:t>
      </w:r>
      <w:r>
        <w:t>5 &amp; 16-17</w:t>
      </w:r>
      <w:r w:rsidRPr="0046446A">
        <w:t xml:space="preserve"> in Australia, ASSAD 1996-2017</w:t>
      </w:r>
      <w:bookmarkEnd w:id="79"/>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5D6965" w:rsidRPr="00DE25AD" w14:paraId="2315132A" w14:textId="77777777" w:rsidTr="005C5B03">
        <w:trPr>
          <w:tblHeader/>
        </w:trPr>
        <w:tc>
          <w:tcPr>
            <w:tcW w:w="1517" w:type="dxa"/>
            <w:tcMar>
              <w:left w:w="57" w:type="dxa"/>
            </w:tcMar>
          </w:tcPr>
          <w:p w14:paraId="3F3D9E9F" w14:textId="77777777" w:rsidR="005D6965" w:rsidRPr="00DE25AD" w:rsidRDefault="005D6965"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39FB1660" w14:textId="77777777" w:rsidR="005D6965" w:rsidRPr="00DE25AD" w:rsidRDefault="005D6965" w:rsidP="005C5B03">
            <w:pPr>
              <w:pStyle w:val="ACCESSTableHeaderRow"/>
            </w:pPr>
          </w:p>
        </w:tc>
        <w:tc>
          <w:tcPr>
            <w:tcW w:w="878" w:type="dxa"/>
            <w:shd w:val="clear" w:color="auto" w:fill="auto"/>
            <w:vAlign w:val="bottom"/>
          </w:tcPr>
          <w:p w14:paraId="709627D4" w14:textId="77777777" w:rsidR="005D6965" w:rsidRPr="00DE25AD" w:rsidRDefault="005D6965" w:rsidP="005C5B03">
            <w:pPr>
              <w:pStyle w:val="ACCESSTableHeaderRow"/>
              <w:jc w:val="center"/>
            </w:pPr>
            <w:r>
              <w:t>1996</w:t>
            </w:r>
          </w:p>
          <w:p w14:paraId="4B82F0BE"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795A8542" w14:textId="77777777" w:rsidR="005D6965" w:rsidRPr="00DE25AD" w:rsidRDefault="005D6965" w:rsidP="005C5B03">
            <w:pPr>
              <w:pStyle w:val="ACCESSTableHeaderRow"/>
              <w:jc w:val="center"/>
            </w:pPr>
            <w:r w:rsidRPr="00DE25AD">
              <w:t>1</w:t>
            </w:r>
            <w:r>
              <w:t>999</w:t>
            </w:r>
          </w:p>
          <w:p w14:paraId="20B725D2"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2D32B20C" w14:textId="77777777" w:rsidR="005D6965" w:rsidRPr="00DE25AD" w:rsidRDefault="005D6965" w:rsidP="005C5B03">
            <w:pPr>
              <w:pStyle w:val="ACCESSTableHeaderRow"/>
              <w:jc w:val="center"/>
            </w:pPr>
            <w:r>
              <w:t>2002</w:t>
            </w:r>
          </w:p>
          <w:p w14:paraId="0CE53826"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50A7CFB6" w14:textId="77777777" w:rsidR="005D6965" w:rsidRPr="00DE25AD" w:rsidRDefault="005D6965" w:rsidP="005C5B03">
            <w:pPr>
              <w:pStyle w:val="ACCESSTableHeaderRow"/>
              <w:jc w:val="center"/>
            </w:pPr>
            <w:r>
              <w:t>200</w:t>
            </w:r>
            <w:r w:rsidRPr="00DE25AD">
              <w:t>5</w:t>
            </w:r>
          </w:p>
          <w:p w14:paraId="50D86503"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18A81383" w14:textId="77777777" w:rsidR="005D6965" w:rsidRPr="00DE25AD" w:rsidRDefault="005D6965" w:rsidP="005C5B03">
            <w:pPr>
              <w:pStyle w:val="ACCESSTableHeaderRow"/>
              <w:jc w:val="center"/>
            </w:pPr>
            <w:r>
              <w:t>2008</w:t>
            </w:r>
          </w:p>
          <w:p w14:paraId="03013FE4"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61FCC340" w14:textId="77777777" w:rsidR="005D6965" w:rsidRPr="00DE25AD" w:rsidRDefault="005D6965" w:rsidP="005C5B03">
            <w:pPr>
              <w:pStyle w:val="ACCESSTableHeaderRow"/>
              <w:jc w:val="center"/>
            </w:pPr>
            <w:r>
              <w:t>2011</w:t>
            </w:r>
          </w:p>
          <w:p w14:paraId="38DB5BA6"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5257C147" w14:textId="77777777" w:rsidR="005D6965" w:rsidRDefault="005D6965" w:rsidP="005C5B03">
            <w:pPr>
              <w:pStyle w:val="ACCESSTableHeaderRow"/>
              <w:jc w:val="center"/>
            </w:pPr>
            <w:r>
              <w:t>2014</w:t>
            </w:r>
          </w:p>
          <w:p w14:paraId="0B9E8FB2" w14:textId="77777777" w:rsidR="005D6965" w:rsidRPr="00DE25AD" w:rsidRDefault="005D6965" w:rsidP="005C5B03">
            <w:pPr>
              <w:pStyle w:val="ACCESSTableHeaderRow"/>
              <w:jc w:val="center"/>
            </w:pPr>
            <w:r>
              <w:t>(%)</w:t>
            </w:r>
          </w:p>
        </w:tc>
        <w:tc>
          <w:tcPr>
            <w:tcW w:w="879" w:type="dxa"/>
            <w:shd w:val="clear" w:color="auto" w:fill="auto"/>
            <w:vAlign w:val="bottom"/>
          </w:tcPr>
          <w:p w14:paraId="5CFB5D67" w14:textId="77777777" w:rsidR="005D6965" w:rsidRDefault="005D6965" w:rsidP="005C5B03">
            <w:pPr>
              <w:pStyle w:val="ACCESSTableHeaderRow"/>
              <w:jc w:val="center"/>
            </w:pPr>
            <w:r>
              <w:t>2017</w:t>
            </w:r>
          </w:p>
          <w:p w14:paraId="323B2C09" w14:textId="77777777" w:rsidR="005D6965" w:rsidRPr="00DE25AD" w:rsidRDefault="005D6965" w:rsidP="005C5B03">
            <w:pPr>
              <w:pStyle w:val="ACCESSTableHeaderRow"/>
              <w:jc w:val="center"/>
            </w:pPr>
            <w:r w:rsidRPr="00DE25AD">
              <w:t>(%)</w:t>
            </w:r>
          </w:p>
        </w:tc>
      </w:tr>
      <w:tr w:rsidR="005D6965" w:rsidRPr="00DE25AD" w14:paraId="48480ED6" w14:textId="77777777" w:rsidTr="005C5B03">
        <w:trPr>
          <w:tblHeader/>
        </w:trPr>
        <w:tc>
          <w:tcPr>
            <w:tcW w:w="1517" w:type="dxa"/>
            <w:tcMar>
              <w:left w:w="57" w:type="dxa"/>
            </w:tcMar>
          </w:tcPr>
          <w:p w14:paraId="7A8CE714" w14:textId="1B9D282A" w:rsidR="005D6965" w:rsidRPr="00DE25AD" w:rsidRDefault="005C5B03" w:rsidP="005C5B03">
            <w:pPr>
              <w:pStyle w:val="ACCESSTableHeaderRow"/>
            </w:pPr>
            <w:r>
              <w:t>Aged 12-15</w:t>
            </w:r>
          </w:p>
        </w:tc>
        <w:tc>
          <w:tcPr>
            <w:tcW w:w="1068" w:type="dxa"/>
            <w:shd w:val="clear" w:color="auto" w:fill="auto"/>
            <w:tcMar>
              <w:left w:w="57" w:type="dxa"/>
            </w:tcMar>
            <w:vAlign w:val="center"/>
          </w:tcPr>
          <w:p w14:paraId="0A89ECA5" w14:textId="3A974D4F" w:rsidR="005D6965" w:rsidRPr="00DE25AD" w:rsidRDefault="005D6965" w:rsidP="005C5B03">
            <w:pPr>
              <w:pStyle w:val="ACCESSTableHeaderRow"/>
            </w:pPr>
          </w:p>
        </w:tc>
        <w:tc>
          <w:tcPr>
            <w:tcW w:w="878" w:type="dxa"/>
            <w:shd w:val="clear" w:color="auto" w:fill="auto"/>
            <w:vAlign w:val="bottom"/>
          </w:tcPr>
          <w:p w14:paraId="68482B83" w14:textId="77777777" w:rsidR="005D6965" w:rsidRPr="00DE25AD" w:rsidRDefault="005D6965" w:rsidP="005C5B03">
            <w:pPr>
              <w:pStyle w:val="ACCESSTableHeaderRow"/>
            </w:pPr>
          </w:p>
        </w:tc>
        <w:tc>
          <w:tcPr>
            <w:tcW w:w="879" w:type="dxa"/>
            <w:shd w:val="clear" w:color="auto" w:fill="auto"/>
            <w:vAlign w:val="bottom"/>
          </w:tcPr>
          <w:p w14:paraId="33BA3BEC" w14:textId="77777777" w:rsidR="005D6965" w:rsidRPr="00DE25AD" w:rsidRDefault="005D6965" w:rsidP="005C5B03">
            <w:pPr>
              <w:pStyle w:val="ACCESSTableHeaderRow"/>
            </w:pPr>
          </w:p>
        </w:tc>
        <w:tc>
          <w:tcPr>
            <w:tcW w:w="879" w:type="dxa"/>
            <w:shd w:val="clear" w:color="auto" w:fill="auto"/>
            <w:vAlign w:val="bottom"/>
          </w:tcPr>
          <w:p w14:paraId="0A99A5D4" w14:textId="77777777" w:rsidR="005D6965" w:rsidRPr="00DE25AD" w:rsidRDefault="005D6965" w:rsidP="005C5B03">
            <w:pPr>
              <w:pStyle w:val="ACCESSTableHeaderRow"/>
            </w:pPr>
          </w:p>
        </w:tc>
        <w:tc>
          <w:tcPr>
            <w:tcW w:w="879" w:type="dxa"/>
            <w:shd w:val="clear" w:color="auto" w:fill="auto"/>
            <w:vAlign w:val="bottom"/>
          </w:tcPr>
          <w:p w14:paraId="437B685E" w14:textId="77777777" w:rsidR="005D6965" w:rsidRPr="00DE25AD" w:rsidRDefault="005D6965" w:rsidP="005C5B03">
            <w:pPr>
              <w:pStyle w:val="ACCESSTableHeaderRow"/>
            </w:pPr>
          </w:p>
        </w:tc>
        <w:tc>
          <w:tcPr>
            <w:tcW w:w="879" w:type="dxa"/>
            <w:shd w:val="clear" w:color="auto" w:fill="auto"/>
            <w:vAlign w:val="bottom"/>
          </w:tcPr>
          <w:p w14:paraId="705FBA62" w14:textId="77777777" w:rsidR="005D6965" w:rsidRPr="00DE25AD" w:rsidRDefault="005D6965" w:rsidP="005C5B03">
            <w:pPr>
              <w:pStyle w:val="ACCESSTableHeaderRow"/>
            </w:pPr>
          </w:p>
        </w:tc>
        <w:tc>
          <w:tcPr>
            <w:tcW w:w="879" w:type="dxa"/>
            <w:shd w:val="clear" w:color="auto" w:fill="auto"/>
            <w:vAlign w:val="bottom"/>
          </w:tcPr>
          <w:p w14:paraId="237E3272" w14:textId="77777777" w:rsidR="005D6965" w:rsidRPr="00DE25AD" w:rsidRDefault="005D6965" w:rsidP="005C5B03">
            <w:pPr>
              <w:pStyle w:val="ACCESSTableHeaderRow"/>
            </w:pPr>
          </w:p>
        </w:tc>
        <w:tc>
          <w:tcPr>
            <w:tcW w:w="879" w:type="dxa"/>
            <w:shd w:val="clear" w:color="auto" w:fill="auto"/>
            <w:vAlign w:val="bottom"/>
          </w:tcPr>
          <w:p w14:paraId="3B62082C" w14:textId="77777777" w:rsidR="005D6965" w:rsidRPr="00DE25AD" w:rsidRDefault="005D6965" w:rsidP="005C5B03">
            <w:pPr>
              <w:pStyle w:val="ACCESSTableHeaderRow"/>
            </w:pPr>
          </w:p>
        </w:tc>
        <w:tc>
          <w:tcPr>
            <w:tcW w:w="879" w:type="dxa"/>
            <w:shd w:val="clear" w:color="auto" w:fill="auto"/>
            <w:vAlign w:val="bottom"/>
          </w:tcPr>
          <w:p w14:paraId="3AE041C6" w14:textId="77777777" w:rsidR="005D6965" w:rsidRPr="00DE25AD" w:rsidRDefault="005D6965" w:rsidP="005C5B03">
            <w:pPr>
              <w:pStyle w:val="ACCESSTableHeaderRow"/>
            </w:pPr>
          </w:p>
        </w:tc>
      </w:tr>
      <w:tr w:rsidR="005C5B03" w:rsidRPr="00DE25AD" w14:paraId="6BF034E0" w14:textId="77777777" w:rsidTr="005C5B03">
        <w:tc>
          <w:tcPr>
            <w:tcW w:w="1517" w:type="dxa"/>
            <w:tcMar>
              <w:left w:w="57" w:type="dxa"/>
            </w:tcMar>
          </w:tcPr>
          <w:p w14:paraId="0F6E13A4" w14:textId="7AD707B0" w:rsidR="005C5B03" w:rsidRDefault="005C5B03" w:rsidP="005C5B03">
            <w:pPr>
              <w:pStyle w:val="ACCESSTableHeaderRow"/>
            </w:pPr>
            <w:r w:rsidRPr="00DE25AD">
              <w:t>Recency</w:t>
            </w:r>
          </w:p>
        </w:tc>
        <w:tc>
          <w:tcPr>
            <w:tcW w:w="1068" w:type="dxa"/>
            <w:shd w:val="clear" w:color="auto" w:fill="auto"/>
            <w:tcMar>
              <w:left w:w="57" w:type="dxa"/>
            </w:tcMar>
            <w:vAlign w:val="center"/>
          </w:tcPr>
          <w:p w14:paraId="0CF443A3" w14:textId="264EDD94" w:rsidR="005C5B03" w:rsidRPr="005C5B03" w:rsidRDefault="005C5B03" w:rsidP="005C5B03">
            <w:pPr>
              <w:pStyle w:val="ASSAD2017ACCESSBody1"/>
              <w:rPr>
                <w:b/>
                <w:bCs w:val="0"/>
              </w:rPr>
            </w:pPr>
            <w:r w:rsidRPr="005C5B03">
              <w:rPr>
                <w:b/>
                <w:bCs w:val="0"/>
              </w:rPr>
              <w:t>Sex</w:t>
            </w:r>
          </w:p>
        </w:tc>
        <w:tc>
          <w:tcPr>
            <w:tcW w:w="878" w:type="dxa"/>
            <w:shd w:val="clear" w:color="auto" w:fill="auto"/>
          </w:tcPr>
          <w:p w14:paraId="11D37B84" w14:textId="77777777" w:rsidR="005C5B03" w:rsidRPr="00DE25AD" w:rsidRDefault="005C5B03" w:rsidP="005C5B03">
            <w:pPr>
              <w:pStyle w:val="ASSADACCESStablecentre"/>
            </w:pPr>
          </w:p>
        </w:tc>
        <w:tc>
          <w:tcPr>
            <w:tcW w:w="879" w:type="dxa"/>
            <w:shd w:val="clear" w:color="auto" w:fill="auto"/>
          </w:tcPr>
          <w:p w14:paraId="79362C60" w14:textId="77777777" w:rsidR="005C5B03" w:rsidRPr="00DE25AD" w:rsidRDefault="005C5B03" w:rsidP="005C5B03">
            <w:pPr>
              <w:pStyle w:val="ASSADACCESStablecentre"/>
            </w:pPr>
          </w:p>
        </w:tc>
        <w:tc>
          <w:tcPr>
            <w:tcW w:w="879" w:type="dxa"/>
            <w:shd w:val="clear" w:color="auto" w:fill="auto"/>
          </w:tcPr>
          <w:p w14:paraId="2E514C46" w14:textId="77777777" w:rsidR="005C5B03" w:rsidRPr="00DE25AD" w:rsidRDefault="005C5B03" w:rsidP="005C5B03">
            <w:pPr>
              <w:pStyle w:val="ASSADACCESStablecentre"/>
            </w:pPr>
          </w:p>
        </w:tc>
        <w:tc>
          <w:tcPr>
            <w:tcW w:w="879" w:type="dxa"/>
            <w:shd w:val="clear" w:color="auto" w:fill="auto"/>
          </w:tcPr>
          <w:p w14:paraId="7FE7D465" w14:textId="77777777" w:rsidR="005C5B03" w:rsidRPr="00DE25AD" w:rsidRDefault="005C5B03" w:rsidP="005C5B03">
            <w:pPr>
              <w:pStyle w:val="ASSADACCESStablecentre"/>
            </w:pPr>
          </w:p>
        </w:tc>
        <w:tc>
          <w:tcPr>
            <w:tcW w:w="879" w:type="dxa"/>
            <w:shd w:val="clear" w:color="auto" w:fill="auto"/>
          </w:tcPr>
          <w:p w14:paraId="7BCC2504" w14:textId="77777777" w:rsidR="005C5B03" w:rsidRPr="00DE25AD" w:rsidRDefault="005C5B03" w:rsidP="005C5B03">
            <w:pPr>
              <w:pStyle w:val="ASSADACCESStablecentre"/>
            </w:pPr>
          </w:p>
        </w:tc>
        <w:tc>
          <w:tcPr>
            <w:tcW w:w="879" w:type="dxa"/>
            <w:shd w:val="clear" w:color="auto" w:fill="auto"/>
          </w:tcPr>
          <w:p w14:paraId="61B5143F" w14:textId="77777777" w:rsidR="005C5B03" w:rsidRPr="00DE25AD" w:rsidRDefault="005C5B03" w:rsidP="005C5B03">
            <w:pPr>
              <w:pStyle w:val="ASSADACCESStablecentre"/>
            </w:pPr>
          </w:p>
        </w:tc>
        <w:tc>
          <w:tcPr>
            <w:tcW w:w="879" w:type="dxa"/>
            <w:shd w:val="clear" w:color="auto" w:fill="auto"/>
          </w:tcPr>
          <w:p w14:paraId="7AD69039" w14:textId="77777777" w:rsidR="005C5B03" w:rsidRPr="00DE25AD" w:rsidRDefault="005C5B03" w:rsidP="005C5B03">
            <w:pPr>
              <w:pStyle w:val="ASSADACCESStablecentre"/>
            </w:pPr>
          </w:p>
        </w:tc>
        <w:tc>
          <w:tcPr>
            <w:tcW w:w="879" w:type="dxa"/>
            <w:shd w:val="clear" w:color="auto" w:fill="auto"/>
          </w:tcPr>
          <w:p w14:paraId="1467C4A9" w14:textId="77777777" w:rsidR="005C5B03" w:rsidRPr="00DE25AD" w:rsidRDefault="005C5B03" w:rsidP="005C5B03">
            <w:pPr>
              <w:pStyle w:val="ASSADACCESStablecentre"/>
            </w:pPr>
          </w:p>
        </w:tc>
      </w:tr>
      <w:tr w:rsidR="009A7EC3" w:rsidRPr="00DE25AD" w14:paraId="0DC907F4" w14:textId="77777777" w:rsidTr="005C5B03">
        <w:tc>
          <w:tcPr>
            <w:tcW w:w="1517" w:type="dxa"/>
            <w:tcMar>
              <w:left w:w="57" w:type="dxa"/>
            </w:tcMar>
          </w:tcPr>
          <w:p w14:paraId="79295907"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424951DC" w14:textId="77777777" w:rsidR="009A7EC3" w:rsidRPr="00DE25AD" w:rsidRDefault="009A7EC3" w:rsidP="009A7EC3">
            <w:pPr>
              <w:pStyle w:val="ASSAD2017ACCESSBody1"/>
            </w:pPr>
            <w:r w:rsidRPr="00DE25AD">
              <w:t>Male</w:t>
            </w:r>
          </w:p>
        </w:tc>
        <w:tc>
          <w:tcPr>
            <w:tcW w:w="878" w:type="dxa"/>
            <w:shd w:val="clear" w:color="auto" w:fill="auto"/>
          </w:tcPr>
          <w:p w14:paraId="11D6498E" w14:textId="7A78E6A5" w:rsidR="009A7EC3" w:rsidRPr="00DE25AD" w:rsidRDefault="009A7EC3" w:rsidP="009A7EC3">
            <w:pPr>
              <w:pStyle w:val="ASSADACCESStablecentre"/>
            </w:pPr>
            <w:r w:rsidRPr="002E5727">
              <w:rPr>
                <w:bCs w:val="0"/>
                <w:color w:val="000000"/>
              </w:rPr>
              <w:t>19</w:t>
            </w:r>
          </w:p>
        </w:tc>
        <w:tc>
          <w:tcPr>
            <w:tcW w:w="879" w:type="dxa"/>
            <w:shd w:val="clear" w:color="auto" w:fill="auto"/>
          </w:tcPr>
          <w:p w14:paraId="64D07DE3" w14:textId="0B354DFE" w:rsidR="009A7EC3" w:rsidRPr="00DE25AD" w:rsidRDefault="009A7EC3" w:rsidP="009A7EC3">
            <w:pPr>
              <w:pStyle w:val="ASSADACCESStablecentre"/>
            </w:pPr>
            <w:r w:rsidRPr="002E5727">
              <w:rPr>
                <w:bCs w:val="0"/>
                <w:color w:val="000000"/>
              </w:rPr>
              <w:t>18</w:t>
            </w:r>
          </w:p>
        </w:tc>
        <w:tc>
          <w:tcPr>
            <w:tcW w:w="879" w:type="dxa"/>
            <w:shd w:val="clear" w:color="auto" w:fill="auto"/>
          </w:tcPr>
          <w:p w14:paraId="2D7A5B3C" w14:textId="16FDBB1B" w:rsidR="009A7EC3" w:rsidRPr="00DE25AD" w:rsidRDefault="009A7EC3" w:rsidP="009A7EC3">
            <w:pPr>
              <w:pStyle w:val="ASSADACCESStablecentre"/>
            </w:pPr>
            <w:r w:rsidRPr="002E5727">
              <w:rPr>
                <w:bCs w:val="0"/>
                <w:color w:val="000000"/>
              </w:rPr>
              <w:t>16</w:t>
            </w:r>
            <w:r>
              <w:rPr>
                <w:bCs w:val="0"/>
                <w:color w:val="000000"/>
              </w:rPr>
              <w:t>^</w:t>
            </w:r>
          </w:p>
        </w:tc>
        <w:tc>
          <w:tcPr>
            <w:tcW w:w="879" w:type="dxa"/>
            <w:shd w:val="clear" w:color="auto" w:fill="auto"/>
          </w:tcPr>
          <w:p w14:paraId="4A0AEA9B" w14:textId="1EFFA645" w:rsidR="009A7EC3" w:rsidRPr="00DE25AD" w:rsidRDefault="009A7EC3" w:rsidP="009A7EC3">
            <w:pPr>
              <w:pStyle w:val="ASSADACCESStablecentre"/>
            </w:pPr>
            <w:r w:rsidRPr="002E5727">
              <w:rPr>
                <w:bCs w:val="0"/>
                <w:color w:val="000000"/>
              </w:rPr>
              <w:t>14*^</w:t>
            </w:r>
          </w:p>
        </w:tc>
        <w:tc>
          <w:tcPr>
            <w:tcW w:w="879" w:type="dxa"/>
            <w:shd w:val="clear" w:color="auto" w:fill="auto"/>
          </w:tcPr>
          <w:p w14:paraId="1FD72609" w14:textId="509A6607" w:rsidR="009A7EC3" w:rsidRPr="00DE25AD" w:rsidRDefault="009A7EC3" w:rsidP="009A7EC3">
            <w:pPr>
              <w:pStyle w:val="ASSADACCESStablecentre"/>
            </w:pPr>
            <w:r w:rsidRPr="002E5727">
              <w:rPr>
                <w:bCs w:val="0"/>
                <w:color w:val="000000"/>
              </w:rPr>
              <w:t>15*^</w:t>
            </w:r>
          </w:p>
        </w:tc>
        <w:tc>
          <w:tcPr>
            <w:tcW w:w="879" w:type="dxa"/>
            <w:shd w:val="clear" w:color="auto" w:fill="auto"/>
          </w:tcPr>
          <w:p w14:paraId="1BDAE610" w14:textId="4E4906E4" w:rsidR="009A7EC3" w:rsidRPr="00DE25AD" w:rsidRDefault="009A7EC3" w:rsidP="009A7EC3">
            <w:pPr>
              <w:pStyle w:val="ASSADACCESStablecentre"/>
            </w:pPr>
            <w:r w:rsidRPr="002E5727">
              <w:rPr>
                <w:bCs w:val="0"/>
                <w:color w:val="000000"/>
              </w:rPr>
              <w:t>16</w:t>
            </w:r>
            <w:r>
              <w:rPr>
                <w:bCs w:val="0"/>
                <w:color w:val="000000"/>
              </w:rPr>
              <w:t>^</w:t>
            </w:r>
          </w:p>
        </w:tc>
        <w:tc>
          <w:tcPr>
            <w:tcW w:w="879" w:type="dxa"/>
            <w:shd w:val="clear" w:color="auto" w:fill="auto"/>
          </w:tcPr>
          <w:p w14:paraId="37B8AF88" w14:textId="547BB0AC" w:rsidR="009A7EC3" w:rsidRPr="00DE25AD" w:rsidRDefault="009A7EC3" w:rsidP="009A7EC3">
            <w:pPr>
              <w:pStyle w:val="ASSADACCESStablecentre"/>
            </w:pPr>
            <w:r w:rsidRPr="002E5727">
              <w:rPr>
                <w:bCs w:val="0"/>
                <w:color w:val="000000"/>
              </w:rPr>
              <w:t>16^</w:t>
            </w:r>
          </w:p>
        </w:tc>
        <w:tc>
          <w:tcPr>
            <w:tcW w:w="879" w:type="dxa"/>
            <w:shd w:val="clear" w:color="auto" w:fill="auto"/>
          </w:tcPr>
          <w:p w14:paraId="4332C554" w14:textId="4E96F2D0" w:rsidR="009A7EC3" w:rsidRPr="00DE25AD" w:rsidRDefault="009A7EC3" w:rsidP="009A7EC3">
            <w:pPr>
              <w:pStyle w:val="ASSADACCESStablecentre"/>
            </w:pPr>
            <w:r>
              <w:rPr>
                <w:bCs w:val="0"/>
                <w:color w:val="000000"/>
              </w:rPr>
              <w:t>19</w:t>
            </w:r>
          </w:p>
        </w:tc>
      </w:tr>
      <w:tr w:rsidR="009A7EC3" w:rsidRPr="00DE25AD" w14:paraId="1058F039" w14:textId="77777777" w:rsidTr="005C5B03">
        <w:tc>
          <w:tcPr>
            <w:tcW w:w="1517" w:type="dxa"/>
            <w:tcMar>
              <w:left w:w="57" w:type="dxa"/>
            </w:tcMar>
          </w:tcPr>
          <w:p w14:paraId="7442C659" w14:textId="77777777" w:rsidR="009A7EC3" w:rsidRPr="00DE25AD" w:rsidRDefault="009A7EC3" w:rsidP="009A7EC3">
            <w:pPr>
              <w:pStyle w:val="ACCESSTableHeaderRow"/>
            </w:pPr>
          </w:p>
        </w:tc>
        <w:tc>
          <w:tcPr>
            <w:tcW w:w="1068" w:type="dxa"/>
            <w:shd w:val="clear" w:color="auto" w:fill="auto"/>
            <w:tcMar>
              <w:left w:w="57" w:type="dxa"/>
            </w:tcMar>
            <w:vAlign w:val="bottom"/>
          </w:tcPr>
          <w:p w14:paraId="40C032B4" w14:textId="77777777" w:rsidR="009A7EC3" w:rsidRPr="00DE25AD" w:rsidRDefault="009A7EC3" w:rsidP="009A7EC3">
            <w:pPr>
              <w:pStyle w:val="ASSAD2017ACCESSBody1"/>
            </w:pPr>
            <w:r w:rsidRPr="00DE25AD">
              <w:t>Female</w:t>
            </w:r>
          </w:p>
        </w:tc>
        <w:tc>
          <w:tcPr>
            <w:tcW w:w="878" w:type="dxa"/>
            <w:shd w:val="clear" w:color="auto" w:fill="auto"/>
          </w:tcPr>
          <w:p w14:paraId="2865EC4C" w14:textId="0FEDF39A" w:rsidR="009A7EC3" w:rsidRPr="00DE25AD" w:rsidRDefault="009A7EC3" w:rsidP="009A7EC3">
            <w:pPr>
              <w:pStyle w:val="ASSADACCESStablecentre"/>
            </w:pPr>
            <w:r w:rsidRPr="002E5727">
              <w:rPr>
                <w:bCs w:val="0"/>
                <w:color w:val="000000"/>
              </w:rPr>
              <w:t>19</w:t>
            </w:r>
          </w:p>
        </w:tc>
        <w:tc>
          <w:tcPr>
            <w:tcW w:w="879" w:type="dxa"/>
            <w:shd w:val="clear" w:color="auto" w:fill="auto"/>
          </w:tcPr>
          <w:p w14:paraId="6926EF55" w14:textId="36A70CD9" w:rsidR="009A7EC3" w:rsidRPr="00DE25AD" w:rsidRDefault="009A7EC3" w:rsidP="009A7EC3">
            <w:pPr>
              <w:pStyle w:val="ASSADACCESStablecentre"/>
            </w:pPr>
            <w:r w:rsidRPr="002E5727">
              <w:rPr>
                <w:bCs w:val="0"/>
                <w:color w:val="000000"/>
              </w:rPr>
              <w:t>16^</w:t>
            </w:r>
          </w:p>
        </w:tc>
        <w:tc>
          <w:tcPr>
            <w:tcW w:w="879" w:type="dxa"/>
            <w:shd w:val="clear" w:color="auto" w:fill="auto"/>
          </w:tcPr>
          <w:p w14:paraId="15B873E9" w14:textId="41A4B99F" w:rsidR="009A7EC3" w:rsidRPr="00DE25AD" w:rsidRDefault="009A7EC3" w:rsidP="009A7EC3">
            <w:pPr>
              <w:pStyle w:val="ASSADACCESStablecentre"/>
            </w:pPr>
            <w:r w:rsidRPr="002E5727">
              <w:rPr>
                <w:bCs w:val="0"/>
                <w:color w:val="000000"/>
              </w:rPr>
              <w:t>15*^</w:t>
            </w:r>
          </w:p>
        </w:tc>
        <w:tc>
          <w:tcPr>
            <w:tcW w:w="879" w:type="dxa"/>
            <w:shd w:val="clear" w:color="auto" w:fill="auto"/>
          </w:tcPr>
          <w:p w14:paraId="604377ED" w14:textId="6771EBF7" w:rsidR="009A7EC3" w:rsidRPr="00DE25AD" w:rsidRDefault="009A7EC3" w:rsidP="009A7EC3">
            <w:pPr>
              <w:pStyle w:val="ASSADACCESStablecentre"/>
            </w:pPr>
            <w:r w:rsidRPr="002E5727">
              <w:rPr>
                <w:bCs w:val="0"/>
                <w:color w:val="000000"/>
              </w:rPr>
              <w:t>15*^</w:t>
            </w:r>
          </w:p>
        </w:tc>
        <w:tc>
          <w:tcPr>
            <w:tcW w:w="879" w:type="dxa"/>
            <w:shd w:val="clear" w:color="auto" w:fill="auto"/>
          </w:tcPr>
          <w:p w14:paraId="175CA77A" w14:textId="18764F74" w:rsidR="009A7EC3" w:rsidRPr="00DE25AD" w:rsidRDefault="009A7EC3" w:rsidP="009A7EC3">
            <w:pPr>
              <w:pStyle w:val="ASSADACCESStablecentre"/>
            </w:pPr>
            <w:r w:rsidRPr="002E5727">
              <w:rPr>
                <w:bCs w:val="0"/>
                <w:color w:val="000000"/>
              </w:rPr>
              <w:t>17</w:t>
            </w:r>
            <w:r>
              <w:rPr>
                <w:bCs w:val="0"/>
                <w:color w:val="000000"/>
              </w:rPr>
              <w:t>^</w:t>
            </w:r>
          </w:p>
        </w:tc>
        <w:tc>
          <w:tcPr>
            <w:tcW w:w="879" w:type="dxa"/>
            <w:shd w:val="clear" w:color="auto" w:fill="auto"/>
          </w:tcPr>
          <w:p w14:paraId="5891A7C5" w14:textId="0DD2DE20" w:rsidR="009A7EC3" w:rsidRPr="00DE25AD" w:rsidRDefault="009A7EC3" w:rsidP="009A7EC3">
            <w:pPr>
              <w:pStyle w:val="ASSADACCESStablecentre"/>
            </w:pPr>
            <w:r w:rsidRPr="002E5727">
              <w:rPr>
                <w:bCs w:val="0"/>
                <w:color w:val="000000"/>
              </w:rPr>
              <w:t>16^</w:t>
            </w:r>
          </w:p>
        </w:tc>
        <w:tc>
          <w:tcPr>
            <w:tcW w:w="879" w:type="dxa"/>
            <w:shd w:val="clear" w:color="auto" w:fill="auto"/>
          </w:tcPr>
          <w:p w14:paraId="66DE1019" w14:textId="6DA021F4" w:rsidR="009A7EC3" w:rsidRPr="00DE25AD" w:rsidRDefault="009A7EC3" w:rsidP="009A7EC3">
            <w:pPr>
              <w:pStyle w:val="ASSADACCESStablecentre"/>
            </w:pPr>
            <w:r w:rsidRPr="002E5727">
              <w:rPr>
                <w:bCs w:val="0"/>
                <w:color w:val="000000"/>
              </w:rPr>
              <w:t>19</w:t>
            </w:r>
          </w:p>
        </w:tc>
        <w:tc>
          <w:tcPr>
            <w:tcW w:w="879" w:type="dxa"/>
            <w:shd w:val="clear" w:color="auto" w:fill="auto"/>
          </w:tcPr>
          <w:p w14:paraId="701C7F9F" w14:textId="33436D8D" w:rsidR="009A7EC3" w:rsidRPr="00DE25AD" w:rsidRDefault="009A7EC3" w:rsidP="009A7EC3">
            <w:pPr>
              <w:pStyle w:val="ASSADACCESStablecentre"/>
            </w:pPr>
            <w:r w:rsidRPr="002E5727">
              <w:rPr>
                <w:bCs w:val="0"/>
                <w:color w:val="000000"/>
              </w:rPr>
              <w:t>1</w:t>
            </w:r>
            <w:r>
              <w:rPr>
                <w:bCs w:val="0"/>
                <w:color w:val="000000"/>
              </w:rPr>
              <w:t>7</w:t>
            </w:r>
          </w:p>
        </w:tc>
      </w:tr>
      <w:tr w:rsidR="009A7EC3" w:rsidRPr="00DE25AD" w14:paraId="594EC6C7" w14:textId="77777777" w:rsidTr="005C5B03">
        <w:tc>
          <w:tcPr>
            <w:tcW w:w="1517" w:type="dxa"/>
            <w:tcMar>
              <w:left w:w="57" w:type="dxa"/>
            </w:tcMar>
          </w:tcPr>
          <w:p w14:paraId="3F047F1E" w14:textId="77777777" w:rsidR="009A7EC3" w:rsidRPr="00DE25AD" w:rsidRDefault="009A7EC3" w:rsidP="009A7EC3">
            <w:pPr>
              <w:pStyle w:val="ACCESSTableHeaderRow"/>
            </w:pPr>
          </w:p>
        </w:tc>
        <w:tc>
          <w:tcPr>
            <w:tcW w:w="1068" w:type="dxa"/>
            <w:shd w:val="clear" w:color="auto" w:fill="auto"/>
            <w:tcMar>
              <w:left w:w="57" w:type="dxa"/>
            </w:tcMar>
            <w:vAlign w:val="bottom"/>
          </w:tcPr>
          <w:p w14:paraId="2A8D7585" w14:textId="77777777" w:rsidR="009A7EC3" w:rsidRPr="00DE25AD" w:rsidRDefault="009A7EC3" w:rsidP="009A7EC3">
            <w:pPr>
              <w:pStyle w:val="ASSAD2017ACCESSBody1"/>
            </w:pPr>
            <w:r w:rsidRPr="00DE25AD">
              <w:t>Total</w:t>
            </w:r>
          </w:p>
        </w:tc>
        <w:tc>
          <w:tcPr>
            <w:tcW w:w="878" w:type="dxa"/>
            <w:shd w:val="clear" w:color="auto" w:fill="auto"/>
          </w:tcPr>
          <w:p w14:paraId="0FE23E12" w14:textId="3CCE80E1" w:rsidR="009A7EC3" w:rsidRPr="00DE25AD" w:rsidRDefault="009A7EC3" w:rsidP="009A7EC3">
            <w:pPr>
              <w:pStyle w:val="ASSADACCESStablecentre"/>
            </w:pPr>
            <w:r w:rsidRPr="002E5727">
              <w:rPr>
                <w:bCs w:val="0"/>
                <w:color w:val="000000"/>
              </w:rPr>
              <w:t>19</w:t>
            </w:r>
          </w:p>
        </w:tc>
        <w:tc>
          <w:tcPr>
            <w:tcW w:w="879" w:type="dxa"/>
            <w:shd w:val="clear" w:color="auto" w:fill="auto"/>
          </w:tcPr>
          <w:p w14:paraId="7573E857" w14:textId="59331C97" w:rsidR="009A7EC3" w:rsidRPr="00DE25AD" w:rsidRDefault="009A7EC3" w:rsidP="009A7EC3">
            <w:pPr>
              <w:pStyle w:val="ASSADACCESStablecentre"/>
            </w:pPr>
            <w:r w:rsidRPr="002E5727">
              <w:rPr>
                <w:bCs w:val="0"/>
                <w:color w:val="000000"/>
              </w:rPr>
              <w:t>17^</w:t>
            </w:r>
          </w:p>
        </w:tc>
        <w:tc>
          <w:tcPr>
            <w:tcW w:w="879" w:type="dxa"/>
            <w:shd w:val="clear" w:color="auto" w:fill="auto"/>
          </w:tcPr>
          <w:p w14:paraId="7AA54D75" w14:textId="18DCB96E" w:rsidR="009A7EC3" w:rsidRPr="00DE25AD" w:rsidRDefault="009A7EC3" w:rsidP="009A7EC3">
            <w:pPr>
              <w:pStyle w:val="ASSADACCESStablecentre"/>
            </w:pPr>
            <w:r w:rsidRPr="002E5727">
              <w:rPr>
                <w:bCs w:val="0"/>
                <w:color w:val="000000"/>
              </w:rPr>
              <w:t>16*^</w:t>
            </w:r>
          </w:p>
        </w:tc>
        <w:tc>
          <w:tcPr>
            <w:tcW w:w="879" w:type="dxa"/>
            <w:shd w:val="clear" w:color="auto" w:fill="auto"/>
          </w:tcPr>
          <w:p w14:paraId="32998B73" w14:textId="66C26C01" w:rsidR="009A7EC3" w:rsidRPr="00DE25AD" w:rsidRDefault="009A7EC3" w:rsidP="009A7EC3">
            <w:pPr>
              <w:pStyle w:val="ASSADACCESStablecentre"/>
            </w:pPr>
            <w:r w:rsidRPr="002E5727">
              <w:rPr>
                <w:bCs w:val="0"/>
                <w:color w:val="000000"/>
              </w:rPr>
              <w:t>15*^</w:t>
            </w:r>
          </w:p>
        </w:tc>
        <w:tc>
          <w:tcPr>
            <w:tcW w:w="879" w:type="dxa"/>
            <w:shd w:val="clear" w:color="auto" w:fill="auto"/>
          </w:tcPr>
          <w:p w14:paraId="47877DB0" w14:textId="4BB6414C" w:rsidR="009A7EC3" w:rsidRPr="00DE25AD" w:rsidRDefault="009A7EC3" w:rsidP="009A7EC3">
            <w:pPr>
              <w:pStyle w:val="ASSADACCESStablecentre"/>
            </w:pPr>
            <w:r w:rsidRPr="002E5727">
              <w:rPr>
                <w:bCs w:val="0"/>
                <w:color w:val="000000"/>
              </w:rPr>
              <w:t>16^</w:t>
            </w:r>
          </w:p>
        </w:tc>
        <w:tc>
          <w:tcPr>
            <w:tcW w:w="879" w:type="dxa"/>
            <w:shd w:val="clear" w:color="auto" w:fill="auto"/>
          </w:tcPr>
          <w:p w14:paraId="33EDAAA5" w14:textId="29F3DFC5" w:rsidR="009A7EC3" w:rsidRPr="00DE25AD" w:rsidRDefault="009A7EC3" w:rsidP="009A7EC3">
            <w:pPr>
              <w:pStyle w:val="ASSADACCESStablecentre"/>
            </w:pPr>
            <w:r w:rsidRPr="002E5727">
              <w:rPr>
                <w:bCs w:val="0"/>
                <w:color w:val="000000"/>
              </w:rPr>
              <w:t>16^</w:t>
            </w:r>
          </w:p>
        </w:tc>
        <w:tc>
          <w:tcPr>
            <w:tcW w:w="879" w:type="dxa"/>
            <w:shd w:val="clear" w:color="auto" w:fill="auto"/>
          </w:tcPr>
          <w:p w14:paraId="3FB85063" w14:textId="0BDC5645" w:rsidR="009A7EC3" w:rsidRPr="00DE25AD" w:rsidRDefault="009A7EC3" w:rsidP="009A7EC3">
            <w:pPr>
              <w:pStyle w:val="ASSADACCESStablecentre"/>
            </w:pPr>
            <w:r w:rsidRPr="002E5727">
              <w:rPr>
                <w:bCs w:val="0"/>
                <w:color w:val="000000"/>
              </w:rPr>
              <w:t>17</w:t>
            </w:r>
            <w:r>
              <w:rPr>
                <w:bCs w:val="0"/>
                <w:color w:val="000000"/>
              </w:rPr>
              <w:t>^</w:t>
            </w:r>
          </w:p>
        </w:tc>
        <w:tc>
          <w:tcPr>
            <w:tcW w:w="879" w:type="dxa"/>
            <w:shd w:val="clear" w:color="auto" w:fill="auto"/>
          </w:tcPr>
          <w:p w14:paraId="1CF0B4A4" w14:textId="1EE65668" w:rsidR="009A7EC3" w:rsidRPr="00DE25AD" w:rsidRDefault="009A7EC3" w:rsidP="009A7EC3">
            <w:pPr>
              <w:pStyle w:val="ASSADACCESStablecentre"/>
            </w:pPr>
            <w:r w:rsidRPr="002E5727">
              <w:rPr>
                <w:bCs w:val="0"/>
                <w:color w:val="000000"/>
              </w:rPr>
              <w:t>1</w:t>
            </w:r>
            <w:r>
              <w:rPr>
                <w:bCs w:val="0"/>
                <w:color w:val="000000"/>
              </w:rPr>
              <w:t>8</w:t>
            </w:r>
          </w:p>
        </w:tc>
      </w:tr>
      <w:tr w:rsidR="009A7EC3" w:rsidRPr="00DE25AD" w14:paraId="534DC0D3" w14:textId="77777777" w:rsidTr="00545FF4">
        <w:tc>
          <w:tcPr>
            <w:tcW w:w="1517" w:type="dxa"/>
            <w:tcMar>
              <w:left w:w="57" w:type="dxa"/>
            </w:tcMar>
          </w:tcPr>
          <w:p w14:paraId="3E2C99E8"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50193C69" w14:textId="77777777" w:rsidR="009A7EC3" w:rsidRPr="00DE25AD" w:rsidRDefault="009A7EC3" w:rsidP="009A7EC3">
            <w:pPr>
              <w:pStyle w:val="ASSAD2017ACCESSBody1"/>
            </w:pPr>
            <w:r w:rsidRPr="00DE25AD">
              <w:t>Male</w:t>
            </w:r>
          </w:p>
        </w:tc>
        <w:tc>
          <w:tcPr>
            <w:tcW w:w="878" w:type="dxa"/>
            <w:shd w:val="clear" w:color="auto" w:fill="auto"/>
          </w:tcPr>
          <w:p w14:paraId="732F6DE5" w14:textId="058D963F" w:rsidR="009A7EC3" w:rsidRPr="00DE25AD" w:rsidRDefault="009A7EC3" w:rsidP="009A7EC3">
            <w:pPr>
              <w:pStyle w:val="ASSADACCESStablecentre"/>
            </w:pPr>
            <w:r w:rsidRPr="002E5727">
              <w:rPr>
                <w:bCs w:val="0"/>
                <w:color w:val="000000"/>
              </w:rPr>
              <w:t>11</w:t>
            </w:r>
          </w:p>
        </w:tc>
        <w:tc>
          <w:tcPr>
            <w:tcW w:w="879" w:type="dxa"/>
            <w:shd w:val="clear" w:color="auto" w:fill="auto"/>
          </w:tcPr>
          <w:p w14:paraId="7D97DDA7" w14:textId="23C9A6C9" w:rsidR="009A7EC3" w:rsidRPr="00DE25AD" w:rsidRDefault="009A7EC3" w:rsidP="009A7EC3">
            <w:pPr>
              <w:pStyle w:val="ASSADACCESStablecentre"/>
            </w:pPr>
            <w:r w:rsidRPr="002E5727">
              <w:rPr>
                <w:bCs w:val="0"/>
                <w:color w:val="000000"/>
              </w:rPr>
              <w:t>10</w:t>
            </w:r>
          </w:p>
        </w:tc>
        <w:tc>
          <w:tcPr>
            <w:tcW w:w="879" w:type="dxa"/>
            <w:shd w:val="clear" w:color="auto" w:fill="auto"/>
          </w:tcPr>
          <w:p w14:paraId="461F4C6C" w14:textId="0A1033D5" w:rsidR="009A7EC3" w:rsidRPr="00DE25AD" w:rsidRDefault="009A7EC3" w:rsidP="009A7EC3">
            <w:pPr>
              <w:pStyle w:val="ASSADACCESStablecentre"/>
            </w:pPr>
            <w:r w:rsidRPr="002E5727">
              <w:rPr>
                <w:bCs w:val="0"/>
                <w:color w:val="000000"/>
              </w:rPr>
              <w:t>8*^</w:t>
            </w:r>
          </w:p>
        </w:tc>
        <w:tc>
          <w:tcPr>
            <w:tcW w:w="879" w:type="dxa"/>
            <w:shd w:val="clear" w:color="auto" w:fill="auto"/>
          </w:tcPr>
          <w:p w14:paraId="39C3B5B5" w14:textId="2AA11872" w:rsidR="009A7EC3" w:rsidRPr="00DE25AD" w:rsidRDefault="009A7EC3" w:rsidP="009A7EC3">
            <w:pPr>
              <w:pStyle w:val="ASSADACCESStablecentre"/>
            </w:pPr>
            <w:r w:rsidRPr="002E5727">
              <w:rPr>
                <w:bCs w:val="0"/>
                <w:color w:val="000000"/>
              </w:rPr>
              <w:t>9*^</w:t>
            </w:r>
          </w:p>
        </w:tc>
        <w:tc>
          <w:tcPr>
            <w:tcW w:w="879" w:type="dxa"/>
            <w:shd w:val="clear" w:color="auto" w:fill="auto"/>
          </w:tcPr>
          <w:p w14:paraId="241EBEDE" w14:textId="01338B62" w:rsidR="009A7EC3" w:rsidRPr="00DE25AD" w:rsidRDefault="009A7EC3" w:rsidP="009A7EC3">
            <w:pPr>
              <w:pStyle w:val="ASSADACCESStablecentre"/>
            </w:pPr>
            <w:r w:rsidRPr="002E5727">
              <w:rPr>
                <w:bCs w:val="0"/>
                <w:color w:val="000000"/>
              </w:rPr>
              <w:t>8*^</w:t>
            </w:r>
          </w:p>
        </w:tc>
        <w:tc>
          <w:tcPr>
            <w:tcW w:w="879" w:type="dxa"/>
            <w:shd w:val="clear" w:color="auto" w:fill="auto"/>
          </w:tcPr>
          <w:p w14:paraId="4A8D0385" w14:textId="3176EA65" w:rsidR="009A7EC3" w:rsidRPr="00DE25AD" w:rsidRDefault="009A7EC3" w:rsidP="009A7EC3">
            <w:pPr>
              <w:pStyle w:val="ASSADACCESStablecentre"/>
            </w:pPr>
            <w:r w:rsidRPr="002E5727">
              <w:rPr>
                <w:bCs w:val="0"/>
                <w:color w:val="000000"/>
              </w:rPr>
              <w:t>10</w:t>
            </w:r>
          </w:p>
        </w:tc>
        <w:tc>
          <w:tcPr>
            <w:tcW w:w="879" w:type="dxa"/>
            <w:shd w:val="clear" w:color="auto" w:fill="auto"/>
          </w:tcPr>
          <w:p w14:paraId="1ECCD9FD" w14:textId="3A0AFC96" w:rsidR="009A7EC3" w:rsidRPr="00DE25AD" w:rsidRDefault="009A7EC3" w:rsidP="009A7EC3">
            <w:pPr>
              <w:pStyle w:val="ASSADACCESStablecentre"/>
            </w:pPr>
            <w:r w:rsidRPr="002E5727">
              <w:rPr>
                <w:bCs w:val="0"/>
                <w:color w:val="000000"/>
              </w:rPr>
              <w:t>10</w:t>
            </w:r>
          </w:p>
        </w:tc>
        <w:tc>
          <w:tcPr>
            <w:tcW w:w="879" w:type="dxa"/>
            <w:shd w:val="clear" w:color="auto" w:fill="auto"/>
          </w:tcPr>
          <w:p w14:paraId="33D37C21" w14:textId="5288C7F1" w:rsidR="009A7EC3" w:rsidRPr="00DE25AD" w:rsidRDefault="009A7EC3" w:rsidP="009A7EC3">
            <w:pPr>
              <w:pStyle w:val="ASSADACCESStablecentre"/>
            </w:pPr>
            <w:r w:rsidRPr="002E5727">
              <w:rPr>
                <w:bCs w:val="0"/>
                <w:color w:val="000000"/>
              </w:rPr>
              <w:t>12</w:t>
            </w:r>
          </w:p>
        </w:tc>
      </w:tr>
      <w:tr w:rsidR="009A7EC3" w:rsidRPr="00DE25AD" w14:paraId="1EF81C8A" w14:textId="77777777" w:rsidTr="005C5B03">
        <w:tc>
          <w:tcPr>
            <w:tcW w:w="1517" w:type="dxa"/>
            <w:tcMar>
              <w:left w:w="57" w:type="dxa"/>
            </w:tcMar>
          </w:tcPr>
          <w:p w14:paraId="68EB3963" w14:textId="77777777" w:rsidR="009A7EC3" w:rsidRPr="00DE25AD" w:rsidRDefault="009A7EC3" w:rsidP="009A7EC3">
            <w:pPr>
              <w:pStyle w:val="ACCESSTableHeaderRow"/>
            </w:pPr>
          </w:p>
        </w:tc>
        <w:tc>
          <w:tcPr>
            <w:tcW w:w="1068" w:type="dxa"/>
            <w:shd w:val="clear" w:color="auto" w:fill="auto"/>
            <w:tcMar>
              <w:left w:w="57" w:type="dxa"/>
            </w:tcMar>
            <w:vAlign w:val="bottom"/>
          </w:tcPr>
          <w:p w14:paraId="230589E5" w14:textId="77777777" w:rsidR="009A7EC3" w:rsidRPr="00DE25AD" w:rsidRDefault="009A7EC3" w:rsidP="009A7EC3">
            <w:pPr>
              <w:pStyle w:val="ASSAD2017ACCESSBody1"/>
            </w:pPr>
            <w:r w:rsidRPr="00DE25AD">
              <w:t>Female</w:t>
            </w:r>
          </w:p>
        </w:tc>
        <w:tc>
          <w:tcPr>
            <w:tcW w:w="878" w:type="dxa"/>
            <w:shd w:val="clear" w:color="auto" w:fill="auto"/>
          </w:tcPr>
          <w:p w14:paraId="2687E47E" w14:textId="646B489B" w:rsidR="009A7EC3" w:rsidRPr="00DE25AD" w:rsidRDefault="009A7EC3" w:rsidP="009A7EC3">
            <w:pPr>
              <w:pStyle w:val="ASSADACCESStablecentre"/>
            </w:pPr>
            <w:r w:rsidRPr="002E5727">
              <w:rPr>
                <w:bCs w:val="0"/>
                <w:color w:val="000000"/>
              </w:rPr>
              <w:t>12</w:t>
            </w:r>
          </w:p>
        </w:tc>
        <w:tc>
          <w:tcPr>
            <w:tcW w:w="879" w:type="dxa"/>
            <w:shd w:val="clear" w:color="auto" w:fill="auto"/>
          </w:tcPr>
          <w:p w14:paraId="4655887F" w14:textId="02CD5D45" w:rsidR="009A7EC3" w:rsidRPr="00DE25AD" w:rsidRDefault="009A7EC3" w:rsidP="009A7EC3">
            <w:pPr>
              <w:pStyle w:val="ASSADACCESStablecentre"/>
            </w:pPr>
            <w:r w:rsidRPr="002E5727">
              <w:rPr>
                <w:bCs w:val="0"/>
                <w:color w:val="000000"/>
              </w:rPr>
              <w:t>9</w:t>
            </w:r>
            <w:r>
              <w:rPr>
                <w:bCs w:val="0"/>
                <w:color w:val="000000"/>
              </w:rPr>
              <w:t>*</w:t>
            </w:r>
            <w:r w:rsidRPr="002E5727">
              <w:rPr>
                <w:bCs w:val="0"/>
                <w:color w:val="000000"/>
              </w:rPr>
              <w:t>^</w:t>
            </w:r>
          </w:p>
        </w:tc>
        <w:tc>
          <w:tcPr>
            <w:tcW w:w="879" w:type="dxa"/>
            <w:shd w:val="clear" w:color="auto" w:fill="auto"/>
          </w:tcPr>
          <w:p w14:paraId="5A6237FE" w14:textId="1B7FD651" w:rsidR="009A7EC3" w:rsidRPr="00DE25AD" w:rsidRDefault="009A7EC3" w:rsidP="009A7EC3">
            <w:pPr>
              <w:pStyle w:val="ASSADACCESStablecentre"/>
            </w:pPr>
            <w:r w:rsidRPr="002E5727">
              <w:rPr>
                <w:bCs w:val="0"/>
                <w:color w:val="000000"/>
              </w:rPr>
              <w:t>9*^</w:t>
            </w:r>
          </w:p>
        </w:tc>
        <w:tc>
          <w:tcPr>
            <w:tcW w:w="879" w:type="dxa"/>
            <w:shd w:val="clear" w:color="auto" w:fill="auto"/>
          </w:tcPr>
          <w:p w14:paraId="050AEC89" w14:textId="124DA863" w:rsidR="009A7EC3" w:rsidRPr="00DE25AD" w:rsidRDefault="009A7EC3" w:rsidP="009A7EC3">
            <w:pPr>
              <w:pStyle w:val="ASSADACCESStablecentre"/>
            </w:pPr>
            <w:r w:rsidRPr="002E5727">
              <w:rPr>
                <w:bCs w:val="0"/>
                <w:color w:val="000000"/>
              </w:rPr>
              <w:t>9*^</w:t>
            </w:r>
          </w:p>
        </w:tc>
        <w:tc>
          <w:tcPr>
            <w:tcW w:w="879" w:type="dxa"/>
            <w:shd w:val="clear" w:color="auto" w:fill="auto"/>
          </w:tcPr>
          <w:p w14:paraId="0F20EE68" w14:textId="4841A8F8" w:rsidR="009A7EC3" w:rsidRPr="00DE25AD" w:rsidRDefault="009A7EC3" w:rsidP="009A7EC3">
            <w:pPr>
              <w:pStyle w:val="ASSADACCESStablecentre"/>
            </w:pPr>
            <w:r w:rsidRPr="002E5727">
              <w:rPr>
                <w:bCs w:val="0"/>
                <w:color w:val="000000"/>
              </w:rPr>
              <w:t>10^</w:t>
            </w:r>
          </w:p>
        </w:tc>
        <w:tc>
          <w:tcPr>
            <w:tcW w:w="879" w:type="dxa"/>
            <w:shd w:val="clear" w:color="auto" w:fill="auto"/>
          </w:tcPr>
          <w:p w14:paraId="7D66CCD1" w14:textId="19FC051E" w:rsidR="009A7EC3" w:rsidRPr="00DE25AD" w:rsidRDefault="009A7EC3" w:rsidP="009A7EC3">
            <w:pPr>
              <w:pStyle w:val="ASSADACCESStablecentre"/>
            </w:pPr>
            <w:r w:rsidRPr="002E5727">
              <w:rPr>
                <w:bCs w:val="0"/>
                <w:color w:val="000000"/>
              </w:rPr>
              <w:t>11</w:t>
            </w:r>
          </w:p>
        </w:tc>
        <w:tc>
          <w:tcPr>
            <w:tcW w:w="879" w:type="dxa"/>
            <w:shd w:val="clear" w:color="auto" w:fill="auto"/>
          </w:tcPr>
          <w:p w14:paraId="6BCC613D" w14:textId="745D0D43" w:rsidR="009A7EC3" w:rsidRPr="00DE25AD" w:rsidRDefault="009A7EC3" w:rsidP="009A7EC3">
            <w:pPr>
              <w:pStyle w:val="ASSADACCESStablecentre"/>
            </w:pPr>
            <w:r w:rsidRPr="002E5727">
              <w:rPr>
                <w:bCs w:val="0"/>
                <w:color w:val="000000"/>
              </w:rPr>
              <w:t>12</w:t>
            </w:r>
          </w:p>
        </w:tc>
        <w:tc>
          <w:tcPr>
            <w:tcW w:w="879" w:type="dxa"/>
            <w:shd w:val="clear" w:color="auto" w:fill="auto"/>
          </w:tcPr>
          <w:p w14:paraId="1ABB4FFB" w14:textId="30D2BA7A" w:rsidR="009A7EC3" w:rsidRPr="00DE25AD" w:rsidRDefault="009A7EC3" w:rsidP="009A7EC3">
            <w:pPr>
              <w:pStyle w:val="ASSADACCESStablecentre"/>
            </w:pPr>
            <w:r w:rsidRPr="002E5727">
              <w:rPr>
                <w:bCs w:val="0"/>
                <w:color w:val="000000"/>
              </w:rPr>
              <w:t>11</w:t>
            </w:r>
          </w:p>
        </w:tc>
      </w:tr>
      <w:tr w:rsidR="009A7EC3" w:rsidRPr="00DE25AD" w14:paraId="7C578568" w14:textId="77777777" w:rsidTr="005C5B03">
        <w:tc>
          <w:tcPr>
            <w:tcW w:w="1517" w:type="dxa"/>
            <w:tcMar>
              <w:left w:w="57" w:type="dxa"/>
            </w:tcMar>
          </w:tcPr>
          <w:p w14:paraId="2F6B9122" w14:textId="77777777" w:rsidR="009A7EC3" w:rsidRPr="00DE25AD" w:rsidRDefault="009A7EC3" w:rsidP="009A7EC3">
            <w:pPr>
              <w:pStyle w:val="ACCESSTableHeaderRow"/>
            </w:pPr>
          </w:p>
        </w:tc>
        <w:tc>
          <w:tcPr>
            <w:tcW w:w="1068" w:type="dxa"/>
            <w:shd w:val="clear" w:color="auto" w:fill="auto"/>
            <w:tcMar>
              <w:left w:w="57" w:type="dxa"/>
            </w:tcMar>
            <w:vAlign w:val="bottom"/>
          </w:tcPr>
          <w:p w14:paraId="4CAB8544" w14:textId="77777777" w:rsidR="009A7EC3" w:rsidRPr="00DE25AD" w:rsidRDefault="009A7EC3" w:rsidP="009A7EC3">
            <w:pPr>
              <w:pStyle w:val="ASSAD2017ACCESSBody1"/>
            </w:pPr>
            <w:r w:rsidRPr="00DE25AD">
              <w:t>Total</w:t>
            </w:r>
          </w:p>
        </w:tc>
        <w:tc>
          <w:tcPr>
            <w:tcW w:w="878" w:type="dxa"/>
            <w:shd w:val="clear" w:color="auto" w:fill="auto"/>
          </w:tcPr>
          <w:p w14:paraId="6B245938" w14:textId="1F48ACF8" w:rsidR="009A7EC3" w:rsidRPr="00DE25AD" w:rsidRDefault="009A7EC3" w:rsidP="009A7EC3">
            <w:pPr>
              <w:pStyle w:val="ASSADACCESStablecentre"/>
            </w:pPr>
            <w:r w:rsidRPr="002E5727">
              <w:rPr>
                <w:bCs w:val="0"/>
                <w:color w:val="000000"/>
              </w:rPr>
              <w:t>12</w:t>
            </w:r>
          </w:p>
        </w:tc>
        <w:tc>
          <w:tcPr>
            <w:tcW w:w="879" w:type="dxa"/>
            <w:shd w:val="clear" w:color="auto" w:fill="auto"/>
          </w:tcPr>
          <w:p w14:paraId="6C7F992D" w14:textId="422066FB" w:rsidR="009A7EC3" w:rsidRPr="00DE25AD" w:rsidRDefault="009A7EC3" w:rsidP="009A7EC3">
            <w:pPr>
              <w:pStyle w:val="ASSADACCESStablecentre"/>
            </w:pPr>
            <w:r w:rsidRPr="002E5727">
              <w:rPr>
                <w:bCs w:val="0"/>
                <w:color w:val="000000"/>
              </w:rPr>
              <w:t>10*^</w:t>
            </w:r>
          </w:p>
        </w:tc>
        <w:tc>
          <w:tcPr>
            <w:tcW w:w="879" w:type="dxa"/>
            <w:shd w:val="clear" w:color="auto" w:fill="auto"/>
          </w:tcPr>
          <w:p w14:paraId="76243979" w14:textId="701B908F" w:rsidR="009A7EC3" w:rsidRPr="00DE25AD" w:rsidRDefault="009A7EC3" w:rsidP="009A7EC3">
            <w:pPr>
              <w:pStyle w:val="ASSADACCESStablecentre"/>
            </w:pPr>
            <w:r w:rsidRPr="002E5727">
              <w:rPr>
                <w:bCs w:val="0"/>
                <w:color w:val="000000"/>
              </w:rPr>
              <w:t>9*^</w:t>
            </w:r>
          </w:p>
        </w:tc>
        <w:tc>
          <w:tcPr>
            <w:tcW w:w="879" w:type="dxa"/>
            <w:shd w:val="clear" w:color="auto" w:fill="auto"/>
          </w:tcPr>
          <w:p w14:paraId="66BDC6F9" w14:textId="6C85B4EF" w:rsidR="009A7EC3" w:rsidRPr="00DE25AD" w:rsidRDefault="009A7EC3" w:rsidP="009A7EC3">
            <w:pPr>
              <w:pStyle w:val="ASSADACCESStablecentre"/>
            </w:pPr>
            <w:r w:rsidRPr="002E5727">
              <w:rPr>
                <w:bCs w:val="0"/>
                <w:color w:val="000000"/>
              </w:rPr>
              <w:t>9*^</w:t>
            </w:r>
          </w:p>
        </w:tc>
        <w:tc>
          <w:tcPr>
            <w:tcW w:w="879" w:type="dxa"/>
            <w:shd w:val="clear" w:color="auto" w:fill="auto"/>
          </w:tcPr>
          <w:p w14:paraId="19872D94" w14:textId="607B1FBF" w:rsidR="009A7EC3" w:rsidRPr="00DE25AD" w:rsidRDefault="009A7EC3" w:rsidP="009A7EC3">
            <w:pPr>
              <w:pStyle w:val="ASSADACCESStablecentre"/>
            </w:pPr>
            <w:r w:rsidRPr="002E5727">
              <w:rPr>
                <w:bCs w:val="0"/>
                <w:color w:val="000000"/>
              </w:rPr>
              <w:t>9*^</w:t>
            </w:r>
          </w:p>
        </w:tc>
        <w:tc>
          <w:tcPr>
            <w:tcW w:w="879" w:type="dxa"/>
            <w:shd w:val="clear" w:color="auto" w:fill="auto"/>
          </w:tcPr>
          <w:p w14:paraId="71EC488D" w14:textId="6E7DC404" w:rsidR="009A7EC3" w:rsidRPr="00DE25AD" w:rsidRDefault="009A7EC3" w:rsidP="009A7EC3">
            <w:pPr>
              <w:pStyle w:val="ASSADACCESStablecentre"/>
            </w:pPr>
            <w:r w:rsidRPr="002E5727">
              <w:rPr>
                <w:bCs w:val="0"/>
                <w:color w:val="000000"/>
              </w:rPr>
              <w:t>10</w:t>
            </w:r>
            <w:r>
              <w:rPr>
                <w:bCs w:val="0"/>
                <w:color w:val="000000"/>
              </w:rPr>
              <w:t>^</w:t>
            </w:r>
          </w:p>
        </w:tc>
        <w:tc>
          <w:tcPr>
            <w:tcW w:w="879" w:type="dxa"/>
            <w:shd w:val="clear" w:color="auto" w:fill="auto"/>
          </w:tcPr>
          <w:p w14:paraId="10A8357F" w14:textId="69D5C14A" w:rsidR="009A7EC3" w:rsidRPr="00DE25AD" w:rsidRDefault="009A7EC3" w:rsidP="009A7EC3">
            <w:pPr>
              <w:pStyle w:val="ASSADACCESStablecentre"/>
            </w:pPr>
            <w:r w:rsidRPr="002E5727">
              <w:rPr>
                <w:bCs w:val="0"/>
                <w:color w:val="000000"/>
              </w:rPr>
              <w:t>11</w:t>
            </w:r>
          </w:p>
        </w:tc>
        <w:tc>
          <w:tcPr>
            <w:tcW w:w="879" w:type="dxa"/>
            <w:shd w:val="clear" w:color="auto" w:fill="auto"/>
          </w:tcPr>
          <w:p w14:paraId="20190EBF" w14:textId="48652D31" w:rsidR="009A7EC3" w:rsidRPr="00DE25AD" w:rsidRDefault="009A7EC3" w:rsidP="009A7EC3">
            <w:pPr>
              <w:pStyle w:val="ASSADACCESStablecentre"/>
            </w:pPr>
            <w:r w:rsidRPr="002E5727">
              <w:rPr>
                <w:bCs w:val="0"/>
                <w:color w:val="000000"/>
              </w:rPr>
              <w:t>1</w:t>
            </w:r>
            <w:r>
              <w:rPr>
                <w:bCs w:val="0"/>
                <w:color w:val="000000"/>
              </w:rPr>
              <w:t>1</w:t>
            </w:r>
          </w:p>
        </w:tc>
      </w:tr>
      <w:tr w:rsidR="009A7EC3" w:rsidRPr="00DE25AD" w14:paraId="4F9EA4A5" w14:textId="77777777" w:rsidTr="005C5B03">
        <w:tc>
          <w:tcPr>
            <w:tcW w:w="1517" w:type="dxa"/>
            <w:tcMar>
              <w:left w:w="57" w:type="dxa"/>
            </w:tcMar>
          </w:tcPr>
          <w:p w14:paraId="44A5E6AF"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2B8FA3D0" w14:textId="77777777" w:rsidR="009A7EC3" w:rsidRPr="00DE25AD" w:rsidRDefault="009A7EC3" w:rsidP="009A7EC3">
            <w:pPr>
              <w:pStyle w:val="ASSAD2017ACCESSBody1"/>
            </w:pPr>
            <w:r w:rsidRPr="00DE25AD">
              <w:t>Male</w:t>
            </w:r>
          </w:p>
        </w:tc>
        <w:tc>
          <w:tcPr>
            <w:tcW w:w="878" w:type="dxa"/>
            <w:shd w:val="clear" w:color="auto" w:fill="auto"/>
          </w:tcPr>
          <w:p w14:paraId="408C2D0B" w14:textId="6C838D8F" w:rsidR="009A7EC3" w:rsidRPr="00DE25AD" w:rsidRDefault="009A7EC3" w:rsidP="009A7EC3">
            <w:pPr>
              <w:pStyle w:val="ASSADACCESStablecentre"/>
            </w:pPr>
            <w:r w:rsidRPr="002E5727">
              <w:rPr>
                <w:bCs w:val="0"/>
                <w:color w:val="000000"/>
              </w:rPr>
              <w:t>5</w:t>
            </w:r>
          </w:p>
        </w:tc>
        <w:tc>
          <w:tcPr>
            <w:tcW w:w="879" w:type="dxa"/>
            <w:shd w:val="clear" w:color="auto" w:fill="auto"/>
          </w:tcPr>
          <w:p w14:paraId="5CA8C79A" w14:textId="0DDAA236" w:rsidR="009A7EC3" w:rsidRPr="00DE25AD" w:rsidRDefault="009A7EC3" w:rsidP="009A7EC3">
            <w:pPr>
              <w:pStyle w:val="ASSADACCESStablecentre"/>
            </w:pPr>
            <w:r w:rsidRPr="002E5727">
              <w:rPr>
                <w:bCs w:val="0"/>
                <w:color w:val="000000"/>
              </w:rPr>
              <w:t>4</w:t>
            </w:r>
          </w:p>
        </w:tc>
        <w:tc>
          <w:tcPr>
            <w:tcW w:w="879" w:type="dxa"/>
            <w:shd w:val="clear" w:color="auto" w:fill="auto"/>
          </w:tcPr>
          <w:p w14:paraId="51FE3929" w14:textId="178D9D74" w:rsidR="009A7EC3" w:rsidRPr="00DE25AD" w:rsidRDefault="009A7EC3" w:rsidP="009A7EC3">
            <w:pPr>
              <w:pStyle w:val="ASSADACCESStablecentre"/>
            </w:pPr>
            <w:r w:rsidRPr="002E5727">
              <w:rPr>
                <w:bCs w:val="0"/>
                <w:color w:val="000000"/>
              </w:rPr>
              <w:t>4</w:t>
            </w:r>
          </w:p>
        </w:tc>
        <w:tc>
          <w:tcPr>
            <w:tcW w:w="879" w:type="dxa"/>
            <w:shd w:val="clear" w:color="auto" w:fill="auto"/>
          </w:tcPr>
          <w:p w14:paraId="20E3A80C" w14:textId="2EDE2895" w:rsidR="009A7EC3" w:rsidRPr="00DE25AD" w:rsidRDefault="009A7EC3" w:rsidP="009A7EC3">
            <w:pPr>
              <w:pStyle w:val="ASSADACCESStablecentre"/>
            </w:pPr>
            <w:r w:rsidRPr="002E5727">
              <w:rPr>
                <w:bCs w:val="0"/>
                <w:color w:val="000000"/>
              </w:rPr>
              <w:t>4</w:t>
            </w:r>
          </w:p>
        </w:tc>
        <w:tc>
          <w:tcPr>
            <w:tcW w:w="879" w:type="dxa"/>
            <w:shd w:val="clear" w:color="auto" w:fill="auto"/>
          </w:tcPr>
          <w:p w14:paraId="58B29924" w14:textId="1BC7B3DF" w:rsidR="009A7EC3" w:rsidRPr="00DE25AD" w:rsidRDefault="009A7EC3" w:rsidP="009A7EC3">
            <w:pPr>
              <w:pStyle w:val="ASSADACCESStablecentre"/>
            </w:pPr>
            <w:r w:rsidRPr="002E5727">
              <w:rPr>
                <w:bCs w:val="0"/>
                <w:color w:val="000000"/>
              </w:rPr>
              <w:t>4</w:t>
            </w:r>
          </w:p>
        </w:tc>
        <w:tc>
          <w:tcPr>
            <w:tcW w:w="879" w:type="dxa"/>
            <w:shd w:val="clear" w:color="auto" w:fill="auto"/>
          </w:tcPr>
          <w:p w14:paraId="56A9F08A" w14:textId="574C4063" w:rsidR="009A7EC3" w:rsidRPr="00DE25AD" w:rsidRDefault="009A7EC3" w:rsidP="009A7EC3">
            <w:pPr>
              <w:pStyle w:val="ASSADACCESStablecentre"/>
            </w:pPr>
            <w:r w:rsidRPr="002E5727">
              <w:rPr>
                <w:bCs w:val="0"/>
                <w:color w:val="000000"/>
              </w:rPr>
              <w:t>4</w:t>
            </w:r>
          </w:p>
        </w:tc>
        <w:tc>
          <w:tcPr>
            <w:tcW w:w="879" w:type="dxa"/>
            <w:shd w:val="clear" w:color="auto" w:fill="auto"/>
          </w:tcPr>
          <w:p w14:paraId="507DBEA4" w14:textId="234EEFA8" w:rsidR="009A7EC3" w:rsidRPr="00DE25AD" w:rsidRDefault="009A7EC3" w:rsidP="009A7EC3">
            <w:pPr>
              <w:pStyle w:val="ASSADACCESStablecentre"/>
            </w:pPr>
            <w:r w:rsidRPr="002E5727">
              <w:rPr>
                <w:bCs w:val="0"/>
                <w:color w:val="000000"/>
              </w:rPr>
              <w:t>4</w:t>
            </w:r>
          </w:p>
        </w:tc>
        <w:tc>
          <w:tcPr>
            <w:tcW w:w="879" w:type="dxa"/>
            <w:shd w:val="clear" w:color="auto" w:fill="auto"/>
          </w:tcPr>
          <w:p w14:paraId="0307719F" w14:textId="264CC3C5" w:rsidR="009A7EC3" w:rsidRPr="00DE25AD" w:rsidRDefault="009A7EC3" w:rsidP="009A7EC3">
            <w:pPr>
              <w:pStyle w:val="ASSADACCESStablecentre"/>
            </w:pPr>
            <w:r w:rsidRPr="002E5727">
              <w:rPr>
                <w:bCs w:val="0"/>
                <w:color w:val="000000"/>
              </w:rPr>
              <w:t>5</w:t>
            </w:r>
          </w:p>
        </w:tc>
      </w:tr>
      <w:tr w:rsidR="009A7EC3" w:rsidRPr="00DE25AD" w14:paraId="2FAE7D9A" w14:textId="77777777" w:rsidTr="005C5B03">
        <w:tc>
          <w:tcPr>
            <w:tcW w:w="1517" w:type="dxa"/>
            <w:tcMar>
              <w:left w:w="57" w:type="dxa"/>
            </w:tcMar>
          </w:tcPr>
          <w:p w14:paraId="141F3D84" w14:textId="77777777" w:rsidR="009A7EC3" w:rsidRPr="00DE25AD" w:rsidRDefault="009A7EC3" w:rsidP="009A7EC3">
            <w:pPr>
              <w:pStyle w:val="ACCESSTableHeaderRow"/>
            </w:pPr>
          </w:p>
        </w:tc>
        <w:tc>
          <w:tcPr>
            <w:tcW w:w="1068" w:type="dxa"/>
            <w:shd w:val="clear" w:color="auto" w:fill="auto"/>
            <w:tcMar>
              <w:left w:w="57" w:type="dxa"/>
            </w:tcMar>
            <w:vAlign w:val="bottom"/>
          </w:tcPr>
          <w:p w14:paraId="0D87A6D4" w14:textId="77777777" w:rsidR="009A7EC3" w:rsidRPr="00DE25AD" w:rsidRDefault="009A7EC3" w:rsidP="009A7EC3">
            <w:pPr>
              <w:pStyle w:val="ASSAD2017ACCESSBody1"/>
            </w:pPr>
            <w:r w:rsidRPr="00DE25AD">
              <w:t>Female</w:t>
            </w:r>
          </w:p>
        </w:tc>
        <w:tc>
          <w:tcPr>
            <w:tcW w:w="878" w:type="dxa"/>
            <w:shd w:val="clear" w:color="auto" w:fill="auto"/>
          </w:tcPr>
          <w:p w14:paraId="2817DD7F" w14:textId="69FF17D5" w:rsidR="009A7EC3" w:rsidRPr="00DE25AD" w:rsidRDefault="009A7EC3" w:rsidP="009A7EC3">
            <w:pPr>
              <w:pStyle w:val="ASSADACCESStablecentre"/>
            </w:pPr>
            <w:r w:rsidRPr="002E5727">
              <w:rPr>
                <w:bCs w:val="0"/>
                <w:color w:val="000000"/>
              </w:rPr>
              <w:t>5</w:t>
            </w:r>
          </w:p>
        </w:tc>
        <w:tc>
          <w:tcPr>
            <w:tcW w:w="879" w:type="dxa"/>
            <w:shd w:val="clear" w:color="auto" w:fill="auto"/>
          </w:tcPr>
          <w:p w14:paraId="369919BE" w14:textId="7A423A37" w:rsidR="009A7EC3" w:rsidRPr="00DE25AD" w:rsidRDefault="009A7EC3" w:rsidP="009A7EC3">
            <w:pPr>
              <w:pStyle w:val="ASSADACCESStablecentre"/>
            </w:pPr>
            <w:r w:rsidRPr="002E5727">
              <w:rPr>
                <w:bCs w:val="0"/>
                <w:color w:val="000000"/>
              </w:rPr>
              <w:t>4</w:t>
            </w:r>
          </w:p>
        </w:tc>
        <w:tc>
          <w:tcPr>
            <w:tcW w:w="879" w:type="dxa"/>
            <w:shd w:val="clear" w:color="auto" w:fill="auto"/>
          </w:tcPr>
          <w:p w14:paraId="2A7D683D" w14:textId="59C04923"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2814BA50" w14:textId="40C2B8FA"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3E3C53D9" w14:textId="093F32EE"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2B697BEF" w14:textId="58917B59" w:rsidR="009A7EC3" w:rsidRPr="00DE25AD" w:rsidRDefault="009A7EC3" w:rsidP="009A7EC3">
            <w:pPr>
              <w:pStyle w:val="ASSADACCESStablecentre"/>
            </w:pPr>
            <w:r w:rsidRPr="002E5727">
              <w:rPr>
                <w:bCs w:val="0"/>
                <w:color w:val="000000"/>
              </w:rPr>
              <w:t>4</w:t>
            </w:r>
          </w:p>
        </w:tc>
        <w:tc>
          <w:tcPr>
            <w:tcW w:w="879" w:type="dxa"/>
            <w:shd w:val="clear" w:color="auto" w:fill="auto"/>
          </w:tcPr>
          <w:p w14:paraId="08C439F9" w14:textId="6035E996" w:rsidR="009A7EC3" w:rsidRPr="00DE25AD" w:rsidRDefault="009A7EC3" w:rsidP="009A7EC3">
            <w:pPr>
              <w:pStyle w:val="ASSADACCESStablecentre"/>
            </w:pPr>
            <w:r w:rsidRPr="002E5727">
              <w:rPr>
                <w:bCs w:val="0"/>
                <w:color w:val="000000"/>
              </w:rPr>
              <w:t>5</w:t>
            </w:r>
          </w:p>
        </w:tc>
        <w:tc>
          <w:tcPr>
            <w:tcW w:w="879" w:type="dxa"/>
            <w:shd w:val="clear" w:color="auto" w:fill="auto"/>
          </w:tcPr>
          <w:p w14:paraId="6AF0B722" w14:textId="0F4EFAAF" w:rsidR="009A7EC3" w:rsidRPr="00DE25AD" w:rsidRDefault="009A7EC3" w:rsidP="009A7EC3">
            <w:pPr>
              <w:pStyle w:val="ASSADACCESStablecentre"/>
            </w:pPr>
            <w:r w:rsidRPr="002E5727">
              <w:rPr>
                <w:bCs w:val="0"/>
                <w:color w:val="000000"/>
              </w:rPr>
              <w:t>5</w:t>
            </w:r>
          </w:p>
        </w:tc>
      </w:tr>
      <w:tr w:rsidR="009A7EC3" w:rsidRPr="00DE25AD" w14:paraId="20FC30EE" w14:textId="77777777" w:rsidTr="005C5B03">
        <w:tc>
          <w:tcPr>
            <w:tcW w:w="1517" w:type="dxa"/>
            <w:tcMar>
              <w:left w:w="57" w:type="dxa"/>
            </w:tcMar>
          </w:tcPr>
          <w:p w14:paraId="5415464D" w14:textId="77777777" w:rsidR="009A7EC3" w:rsidRPr="00DE25AD" w:rsidRDefault="009A7EC3" w:rsidP="009A7EC3">
            <w:pPr>
              <w:pStyle w:val="ACCESSTableHeaderRow"/>
            </w:pPr>
          </w:p>
        </w:tc>
        <w:tc>
          <w:tcPr>
            <w:tcW w:w="1068" w:type="dxa"/>
            <w:shd w:val="clear" w:color="auto" w:fill="auto"/>
            <w:tcMar>
              <w:left w:w="57" w:type="dxa"/>
            </w:tcMar>
            <w:vAlign w:val="bottom"/>
          </w:tcPr>
          <w:p w14:paraId="4F36CB24" w14:textId="77777777" w:rsidR="009A7EC3" w:rsidRPr="00DE25AD" w:rsidRDefault="009A7EC3" w:rsidP="009A7EC3">
            <w:pPr>
              <w:pStyle w:val="ASSAD2017ACCESSBody1"/>
            </w:pPr>
            <w:r w:rsidRPr="00DE25AD">
              <w:t>Total</w:t>
            </w:r>
          </w:p>
        </w:tc>
        <w:tc>
          <w:tcPr>
            <w:tcW w:w="878" w:type="dxa"/>
            <w:shd w:val="clear" w:color="auto" w:fill="auto"/>
          </w:tcPr>
          <w:p w14:paraId="041C15C0" w14:textId="63F3C139" w:rsidR="009A7EC3" w:rsidRPr="00DE25AD" w:rsidRDefault="009A7EC3" w:rsidP="009A7EC3">
            <w:pPr>
              <w:pStyle w:val="ASSADACCESStablecentre"/>
            </w:pPr>
            <w:r w:rsidRPr="002E5727">
              <w:rPr>
                <w:bCs w:val="0"/>
                <w:color w:val="000000"/>
              </w:rPr>
              <w:t>5</w:t>
            </w:r>
          </w:p>
        </w:tc>
        <w:tc>
          <w:tcPr>
            <w:tcW w:w="879" w:type="dxa"/>
            <w:shd w:val="clear" w:color="auto" w:fill="auto"/>
          </w:tcPr>
          <w:p w14:paraId="447B08EB" w14:textId="194883A6"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3F11F29E" w14:textId="0DEF25EA" w:rsidR="009A7EC3" w:rsidRPr="00DE25AD" w:rsidRDefault="009A7EC3" w:rsidP="009A7EC3">
            <w:pPr>
              <w:pStyle w:val="ASSADACCESStablecentre"/>
            </w:pPr>
            <w:r w:rsidRPr="002E5727">
              <w:rPr>
                <w:bCs w:val="0"/>
                <w:color w:val="000000"/>
              </w:rPr>
              <w:t>4*^</w:t>
            </w:r>
          </w:p>
        </w:tc>
        <w:tc>
          <w:tcPr>
            <w:tcW w:w="879" w:type="dxa"/>
            <w:shd w:val="clear" w:color="auto" w:fill="auto"/>
          </w:tcPr>
          <w:p w14:paraId="2E9569AC" w14:textId="2A8E34BC" w:rsidR="009A7EC3" w:rsidRPr="00DE25AD" w:rsidRDefault="009A7EC3" w:rsidP="009A7EC3">
            <w:pPr>
              <w:pStyle w:val="ASSADACCESStablecentre"/>
            </w:pPr>
            <w:r w:rsidRPr="002E5727">
              <w:rPr>
                <w:bCs w:val="0"/>
                <w:color w:val="000000"/>
              </w:rPr>
              <w:t>4</w:t>
            </w:r>
          </w:p>
        </w:tc>
        <w:tc>
          <w:tcPr>
            <w:tcW w:w="879" w:type="dxa"/>
            <w:shd w:val="clear" w:color="auto" w:fill="auto"/>
          </w:tcPr>
          <w:p w14:paraId="3503AFE5" w14:textId="2C89E903"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697FB7CF" w14:textId="41BCF454" w:rsidR="009A7EC3" w:rsidRPr="00DE25AD" w:rsidRDefault="009A7EC3" w:rsidP="009A7EC3">
            <w:pPr>
              <w:pStyle w:val="ASSADACCESStablecentre"/>
            </w:pPr>
            <w:r w:rsidRPr="002E5727">
              <w:rPr>
                <w:bCs w:val="0"/>
                <w:color w:val="000000"/>
              </w:rPr>
              <w:t>4</w:t>
            </w:r>
          </w:p>
        </w:tc>
        <w:tc>
          <w:tcPr>
            <w:tcW w:w="879" w:type="dxa"/>
            <w:shd w:val="clear" w:color="auto" w:fill="auto"/>
          </w:tcPr>
          <w:p w14:paraId="63BB754F" w14:textId="08F604FF" w:rsidR="009A7EC3" w:rsidRPr="00DE25AD" w:rsidRDefault="009A7EC3" w:rsidP="009A7EC3">
            <w:pPr>
              <w:pStyle w:val="ASSADACCESStablecentre"/>
            </w:pPr>
            <w:r w:rsidRPr="002E5727">
              <w:rPr>
                <w:bCs w:val="0"/>
                <w:color w:val="000000"/>
              </w:rPr>
              <w:t>5</w:t>
            </w:r>
          </w:p>
        </w:tc>
        <w:tc>
          <w:tcPr>
            <w:tcW w:w="879" w:type="dxa"/>
            <w:shd w:val="clear" w:color="auto" w:fill="auto"/>
          </w:tcPr>
          <w:p w14:paraId="2990543B" w14:textId="612A733E" w:rsidR="009A7EC3" w:rsidRPr="00DE25AD" w:rsidRDefault="009A7EC3" w:rsidP="009A7EC3">
            <w:pPr>
              <w:pStyle w:val="ASSADACCESStablecentre"/>
            </w:pPr>
            <w:r w:rsidRPr="002E5727">
              <w:rPr>
                <w:bCs w:val="0"/>
                <w:color w:val="000000"/>
              </w:rPr>
              <w:t>5</w:t>
            </w:r>
          </w:p>
        </w:tc>
      </w:tr>
      <w:tr w:rsidR="009A7EC3" w:rsidRPr="00DE25AD" w14:paraId="181F0C18" w14:textId="77777777" w:rsidTr="005C5B03">
        <w:tc>
          <w:tcPr>
            <w:tcW w:w="1517" w:type="dxa"/>
            <w:tcMar>
              <w:left w:w="57" w:type="dxa"/>
            </w:tcMar>
          </w:tcPr>
          <w:p w14:paraId="05EDD79B"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1075112E" w14:textId="77777777" w:rsidR="009A7EC3" w:rsidRPr="00DE25AD" w:rsidRDefault="009A7EC3" w:rsidP="009A7EC3">
            <w:pPr>
              <w:pStyle w:val="ASSAD2017ACCESSBody1"/>
            </w:pPr>
            <w:r w:rsidRPr="00DE25AD">
              <w:t>Male</w:t>
            </w:r>
          </w:p>
        </w:tc>
        <w:tc>
          <w:tcPr>
            <w:tcW w:w="878" w:type="dxa"/>
            <w:shd w:val="clear" w:color="auto" w:fill="auto"/>
          </w:tcPr>
          <w:p w14:paraId="7620CA34" w14:textId="3493EBBD" w:rsidR="009A7EC3" w:rsidRPr="00DE25AD" w:rsidRDefault="009A7EC3" w:rsidP="009A7EC3">
            <w:pPr>
              <w:pStyle w:val="ASSADACCESStablecentre"/>
            </w:pPr>
            <w:r w:rsidRPr="002E5727">
              <w:rPr>
                <w:bCs w:val="0"/>
                <w:color w:val="000000"/>
              </w:rPr>
              <w:t>3</w:t>
            </w:r>
          </w:p>
        </w:tc>
        <w:tc>
          <w:tcPr>
            <w:tcW w:w="879" w:type="dxa"/>
            <w:shd w:val="clear" w:color="auto" w:fill="auto"/>
          </w:tcPr>
          <w:p w14:paraId="62FA2B71" w14:textId="29C77FD0" w:rsidR="009A7EC3" w:rsidRPr="00DE25AD" w:rsidRDefault="009A7EC3" w:rsidP="009A7EC3">
            <w:pPr>
              <w:pStyle w:val="ASSADACCESStablecentre"/>
            </w:pPr>
            <w:r w:rsidRPr="002E5727">
              <w:rPr>
                <w:bCs w:val="0"/>
                <w:color w:val="000000"/>
              </w:rPr>
              <w:t>2</w:t>
            </w:r>
          </w:p>
        </w:tc>
        <w:tc>
          <w:tcPr>
            <w:tcW w:w="879" w:type="dxa"/>
            <w:shd w:val="clear" w:color="auto" w:fill="auto"/>
          </w:tcPr>
          <w:p w14:paraId="32618650" w14:textId="657F1358" w:rsidR="009A7EC3" w:rsidRPr="00DE25AD" w:rsidRDefault="009A7EC3" w:rsidP="009A7EC3">
            <w:pPr>
              <w:pStyle w:val="ASSADACCESStablecentre"/>
            </w:pPr>
            <w:r w:rsidRPr="002E5727">
              <w:rPr>
                <w:bCs w:val="0"/>
                <w:color w:val="000000"/>
              </w:rPr>
              <w:t>2</w:t>
            </w:r>
          </w:p>
        </w:tc>
        <w:tc>
          <w:tcPr>
            <w:tcW w:w="879" w:type="dxa"/>
            <w:shd w:val="clear" w:color="auto" w:fill="auto"/>
          </w:tcPr>
          <w:p w14:paraId="626A72FE" w14:textId="57160D6E" w:rsidR="009A7EC3" w:rsidRPr="00DE25AD" w:rsidRDefault="009A7EC3" w:rsidP="009A7EC3">
            <w:pPr>
              <w:pStyle w:val="ASSADACCESStablecentre"/>
            </w:pPr>
            <w:r w:rsidRPr="002E5727">
              <w:rPr>
                <w:bCs w:val="0"/>
                <w:color w:val="000000"/>
              </w:rPr>
              <w:t>2</w:t>
            </w:r>
          </w:p>
        </w:tc>
        <w:tc>
          <w:tcPr>
            <w:tcW w:w="879" w:type="dxa"/>
            <w:shd w:val="clear" w:color="auto" w:fill="auto"/>
          </w:tcPr>
          <w:p w14:paraId="28CA6280" w14:textId="040E1579" w:rsidR="009A7EC3" w:rsidRPr="00DE25AD" w:rsidRDefault="009A7EC3" w:rsidP="009A7EC3">
            <w:pPr>
              <w:pStyle w:val="ASSADACCESStablecentre"/>
            </w:pPr>
            <w:r w:rsidRPr="002E5727">
              <w:rPr>
                <w:bCs w:val="0"/>
                <w:color w:val="000000"/>
              </w:rPr>
              <w:t>3</w:t>
            </w:r>
          </w:p>
        </w:tc>
        <w:tc>
          <w:tcPr>
            <w:tcW w:w="879" w:type="dxa"/>
            <w:shd w:val="clear" w:color="auto" w:fill="auto"/>
          </w:tcPr>
          <w:p w14:paraId="77319560" w14:textId="2B5A74A3" w:rsidR="009A7EC3" w:rsidRPr="00DE25AD" w:rsidRDefault="009A7EC3" w:rsidP="009A7EC3">
            <w:pPr>
              <w:pStyle w:val="ASSADACCESStablecentre"/>
            </w:pPr>
            <w:r w:rsidRPr="002E5727">
              <w:rPr>
                <w:bCs w:val="0"/>
                <w:color w:val="000000"/>
              </w:rPr>
              <w:t>2</w:t>
            </w:r>
          </w:p>
        </w:tc>
        <w:tc>
          <w:tcPr>
            <w:tcW w:w="879" w:type="dxa"/>
            <w:shd w:val="clear" w:color="auto" w:fill="auto"/>
          </w:tcPr>
          <w:p w14:paraId="443C6BA7" w14:textId="4839551A" w:rsidR="009A7EC3" w:rsidRPr="00DE25AD" w:rsidRDefault="009A7EC3" w:rsidP="009A7EC3">
            <w:pPr>
              <w:pStyle w:val="ASSADACCESStablecentre"/>
            </w:pPr>
            <w:r w:rsidRPr="002E5727">
              <w:rPr>
                <w:bCs w:val="0"/>
                <w:color w:val="000000"/>
              </w:rPr>
              <w:t>2</w:t>
            </w:r>
          </w:p>
        </w:tc>
        <w:tc>
          <w:tcPr>
            <w:tcW w:w="879" w:type="dxa"/>
            <w:shd w:val="clear" w:color="auto" w:fill="auto"/>
          </w:tcPr>
          <w:p w14:paraId="5CFAAF2C" w14:textId="5A828FA6" w:rsidR="009A7EC3" w:rsidRPr="00DE25AD" w:rsidRDefault="009A7EC3" w:rsidP="009A7EC3">
            <w:pPr>
              <w:pStyle w:val="ASSADACCESStablecentre"/>
            </w:pPr>
            <w:r w:rsidRPr="002E5727">
              <w:rPr>
                <w:bCs w:val="0"/>
                <w:color w:val="000000"/>
              </w:rPr>
              <w:t>3</w:t>
            </w:r>
          </w:p>
        </w:tc>
      </w:tr>
      <w:tr w:rsidR="009A7EC3" w:rsidRPr="00DE25AD" w14:paraId="2668DA38" w14:textId="77777777" w:rsidTr="005C5B03">
        <w:tc>
          <w:tcPr>
            <w:tcW w:w="1517" w:type="dxa"/>
            <w:tcMar>
              <w:left w:w="57" w:type="dxa"/>
            </w:tcMar>
          </w:tcPr>
          <w:p w14:paraId="7A1FB7C7" w14:textId="77777777" w:rsidR="009A7EC3" w:rsidRPr="00DE25AD" w:rsidRDefault="009A7EC3" w:rsidP="009A7EC3">
            <w:pPr>
              <w:pStyle w:val="ACCESSTableHeaderRow"/>
            </w:pPr>
          </w:p>
        </w:tc>
        <w:tc>
          <w:tcPr>
            <w:tcW w:w="1068" w:type="dxa"/>
            <w:shd w:val="clear" w:color="auto" w:fill="auto"/>
            <w:tcMar>
              <w:left w:w="57" w:type="dxa"/>
            </w:tcMar>
            <w:vAlign w:val="bottom"/>
          </w:tcPr>
          <w:p w14:paraId="2DDA3CF0" w14:textId="77777777" w:rsidR="009A7EC3" w:rsidRPr="00DE25AD" w:rsidRDefault="009A7EC3" w:rsidP="009A7EC3">
            <w:pPr>
              <w:pStyle w:val="ASSAD2017ACCESSBody1"/>
            </w:pPr>
            <w:r w:rsidRPr="00DE25AD">
              <w:t>Female</w:t>
            </w:r>
          </w:p>
        </w:tc>
        <w:tc>
          <w:tcPr>
            <w:tcW w:w="878" w:type="dxa"/>
            <w:shd w:val="clear" w:color="auto" w:fill="auto"/>
          </w:tcPr>
          <w:p w14:paraId="28608F8B" w14:textId="5DCDBEE6" w:rsidR="009A7EC3" w:rsidRPr="00DE25AD" w:rsidRDefault="009A7EC3" w:rsidP="009A7EC3">
            <w:pPr>
              <w:pStyle w:val="ASSADACCESStablecentre"/>
            </w:pPr>
            <w:r w:rsidRPr="002E5727">
              <w:rPr>
                <w:bCs w:val="0"/>
                <w:color w:val="000000"/>
              </w:rPr>
              <w:t>2</w:t>
            </w:r>
          </w:p>
        </w:tc>
        <w:tc>
          <w:tcPr>
            <w:tcW w:w="879" w:type="dxa"/>
            <w:shd w:val="clear" w:color="auto" w:fill="auto"/>
          </w:tcPr>
          <w:p w14:paraId="1B6F7E7F" w14:textId="39217777" w:rsidR="009A7EC3" w:rsidRPr="00DE25AD" w:rsidRDefault="009A7EC3" w:rsidP="009A7EC3">
            <w:pPr>
              <w:pStyle w:val="ASSADACCESStablecentre"/>
            </w:pPr>
            <w:r w:rsidRPr="002E5727">
              <w:rPr>
                <w:bCs w:val="0"/>
                <w:color w:val="000000"/>
              </w:rPr>
              <w:t>2*</w:t>
            </w:r>
          </w:p>
        </w:tc>
        <w:tc>
          <w:tcPr>
            <w:tcW w:w="879" w:type="dxa"/>
            <w:shd w:val="clear" w:color="auto" w:fill="auto"/>
          </w:tcPr>
          <w:p w14:paraId="1F548E0E" w14:textId="53F0D803" w:rsidR="009A7EC3" w:rsidRPr="00DE25AD" w:rsidRDefault="009A7EC3" w:rsidP="009A7EC3">
            <w:pPr>
              <w:pStyle w:val="ASSADACCESStablecentre"/>
            </w:pPr>
            <w:r w:rsidRPr="002E5727">
              <w:rPr>
                <w:bCs w:val="0"/>
                <w:color w:val="000000"/>
              </w:rPr>
              <w:t>2</w:t>
            </w:r>
          </w:p>
        </w:tc>
        <w:tc>
          <w:tcPr>
            <w:tcW w:w="879" w:type="dxa"/>
            <w:shd w:val="clear" w:color="auto" w:fill="auto"/>
          </w:tcPr>
          <w:p w14:paraId="09DA603E" w14:textId="599BC561"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19AAE3FF" w14:textId="47EFEF5B"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4BF96D53" w14:textId="5ABE5D15" w:rsidR="009A7EC3" w:rsidRPr="00DE25AD" w:rsidRDefault="009A7EC3" w:rsidP="009A7EC3">
            <w:pPr>
              <w:pStyle w:val="ASSADACCESStablecentre"/>
            </w:pPr>
            <w:r w:rsidRPr="002E5727">
              <w:rPr>
                <w:bCs w:val="0"/>
                <w:color w:val="000000"/>
              </w:rPr>
              <w:t>2</w:t>
            </w:r>
          </w:p>
        </w:tc>
        <w:tc>
          <w:tcPr>
            <w:tcW w:w="879" w:type="dxa"/>
            <w:shd w:val="clear" w:color="auto" w:fill="auto"/>
          </w:tcPr>
          <w:p w14:paraId="3AE3F221" w14:textId="5405E577" w:rsidR="009A7EC3" w:rsidRPr="00DE25AD" w:rsidRDefault="009A7EC3" w:rsidP="009A7EC3">
            <w:pPr>
              <w:pStyle w:val="ASSADACCESStablecentre"/>
            </w:pPr>
            <w:r w:rsidRPr="002E5727">
              <w:rPr>
                <w:bCs w:val="0"/>
                <w:color w:val="000000"/>
              </w:rPr>
              <w:t>3</w:t>
            </w:r>
          </w:p>
        </w:tc>
        <w:tc>
          <w:tcPr>
            <w:tcW w:w="879" w:type="dxa"/>
            <w:shd w:val="clear" w:color="auto" w:fill="auto"/>
          </w:tcPr>
          <w:p w14:paraId="55CCA1D2" w14:textId="0140E338" w:rsidR="009A7EC3" w:rsidRPr="00DE25AD" w:rsidRDefault="009A7EC3" w:rsidP="009A7EC3">
            <w:pPr>
              <w:pStyle w:val="ASSADACCESStablecentre"/>
            </w:pPr>
            <w:r w:rsidRPr="002E5727">
              <w:rPr>
                <w:bCs w:val="0"/>
                <w:color w:val="000000"/>
              </w:rPr>
              <w:t>3</w:t>
            </w:r>
          </w:p>
        </w:tc>
      </w:tr>
      <w:tr w:rsidR="009A7EC3" w:rsidRPr="00DE25AD" w14:paraId="22182927" w14:textId="77777777" w:rsidTr="005C5B03">
        <w:tc>
          <w:tcPr>
            <w:tcW w:w="1517" w:type="dxa"/>
            <w:tcMar>
              <w:left w:w="57" w:type="dxa"/>
            </w:tcMar>
          </w:tcPr>
          <w:p w14:paraId="1F886386" w14:textId="77777777" w:rsidR="009A7EC3" w:rsidRPr="00DE25AD" w:rsidRDefault="009A7EC3" w:rsidP="009A7EC3">
            <w:pPr>
              <w:pStyle w:val="ACCESSTableHeaderRow"/>
            </w:pPr>
          </w:p>
        </w:tc>
        <w:tc>
          <w:tcPr>
            <w:tcW w:w="1068" w:type="dxa"/>
            <w:shd w:val="clear" w:color="auto" w:fill="auto"/>
            <w:tcMar>
              <w:left w:w="57" w:type="dxa"/>
            </w:tcMar>
            <w:vAlign w:val="bottom"/>
          </w:tcPr>
          <w:p w14:paraId="4E5EC29A" w14:textId="77777777" w:rsidR="009A7EC3" w:rsidRPr="00DE25AD" w:rsidRDefault="009A7EC3" w:rsidP="009A7EC3">
            <w:pPr>
              <w:pStyle w:val="ASSAD2017ACCESSBody1"/>
            </w:pPr>
            <w:r w:rsidRPr="00DE25AD">
              <w:t>Total</w:t>
            </w:r>
          </w:p>
        </w:tc>
        <w:tc>
          <w:tcPr>
            <w:tcW w:w="878" w:type="dxa"/>
            <w:shd w:val="clear" w:color="auto" w:fill="auto"/>
          </w:tcPr>
          <w:p w14:paraId="245C6D42" w14:textId="31599EC8" w:rsidR="009A7EC3" w:rsidRPr="00DE25AD" w:rsidRDefault="009A7EC3" w:rsidP="009A7EC3">
            <w:pPr>
              <w:pStyle w:val="ASSADACCESStablecentre"/>
            </w:pPr>
            <w:r w:rsidRPr="002E5727">
              <w:rPr>
                <w:bCs w:val="0"/>
                <w:color w:val="000000"/>
              </w:rPr>
              <w:t>3</w:t>
            </w:r>
          </w:p>
        </w:tc>
        <w:tc>
          <w:tcPr>
            <w:tcW w:w="879" w:type="dxa"/>
            <w:shd w:val="clear" w:color="auto" w:fill="auto"/>
          </w:tcPr>
          <w:p w14:paraId="08D83241" w14:textId="562D246A" w:rsidR="009A7EC3" w:rsidRPr="00DE25AD" w:rsidRDefault="009A7EC3" w:rsidP="009A7EC3">
            <w:pPr>
              <w:pStyle w:val="ASSADACCESStablecentre"/>
            </w:pPr>
            <w:r w:rsidRPr="002E5727">
              <w:rPr>
                <w:bCs w:val="0"/>
                <w:color w:val="000000"/>
              </w:rPr>
              <w:t>2*</w:t>
            </w:r>
          </w:p>
        </w:tc>
        <w:tc>
          <w:tcPr>
            <w:tcW w:w="879" w:type="dxa"/>
            <w:shd w:val="clear" w:color="auto" w:fill="auto"/>
          </w:tcPr>
          <w:p w14:paraId="690CA0B5" w14:textId="1CDADFF9" w:rsidR="009A7EC3" w:rsidRPr="00DE25AD" w:rsidRDefault="009A7EC3" w:rsidP="009A7EC3">
            <w:pPr>
              <w:pStyle w:val="ASSADACCESStablecentre"/>
            </w:pPr>
            <w:r w:rsidRPr="002E5727">
              <w:rPr>
                <w:bCs w:val="0"/>
                <w:color w:val="000000"/>
              </w:rPr>
              <w:t>2*</w:t>
            </w:r>
          </w:p>
        </w:tc>
        <w:tc>
          <w:tcPr>
            <w:tcW w:w="879" w:type="dxa"/>
            <w:shd w:val="clear" w:color="auto" w:fill="auto"/>
          </w:tcPr>
          <w:p w14:paraId="247E2954" w14:textId="13CF0D01" w:rsidR="009A7EC3" w:rsidRPr="00DE25AD" w:rsidRDefault="009A7EC3" w:rsidP="009A7EC3">
            <w:pPr>
              <w:pStyle w:val="ASSADACCESStablecentre"/>
            </w:pPr>
            <w:r w:rsidRPr="002E5727">
              <w:rPr>
                <w:bCs w:val="0"/>
                <w:color w:val="000000"/>
              </w:rPr>
              <w:t>2*</w:t>
            </w:r>
          </w:p>
        </w:tc>
        <w:tc>
          <w:tcPr>
            <w:tcW w:w="879" w:type="dxa"/>
            <w:shd w:val="clear" w:color="auto" w:fill="auto"/>
          </w:tcPr>
          <w:p w14:paraId="170452BC" w14:textId="0932A606"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1BE6BA42" w14:textId="7717F2AB" w:rsidR="009A7EC3" w:rsidRPr="00DE25AD" w:rsidRDefault="009A7EC3" w:rsidP="009A7EC3">
            <w:pPr>
              <w:pStyle w:val="ASSADACCESStablecentre"/>
            </w:pPr>
            <w:r w:rsidRPr="002E5727">
              <w:rPr>
                <w:bCs w:val="0"/>
                <w:color w:val="000000"/>
              </w:rPr>
              <w:t>2*</w:t>
            </w:r>
          </w:p>
        </w:tc>
        <w:tc>
          <w:tcPr>
            <w:tcW w:w="879" w:type="dxa"/>
            <w:shd w:val="clear" w:color="auto" w:fill="auto"/>
          </w:tcPr>
          <w:p w14:paraId="7D844625" w14:textId="6CC576B1" w:rsidR="009A7EC3" w:rsidRPr="00DE25AD" w:rsidRDefault="009A7EC3" w:rsidP="009A7EC3">
            <w:pPr>
              <w:pStyle w:val="ASSADACCESStablecentre"/>
            </w:pPr>
            <w:r w:rsidRPr="002E5727">
              <w:rPr>
                <w:bCs w:val="0"/>
                <w:color w:val="000000"/>
              </w:rPr>
              <w:t>3</w:t>
            </w:r>
          </w:p>
        </w:tc>
        <w:tc>
          <w:tcPr>
            <w:tcW w:w="879" w:type="dxa"/>
            <w:shd w:val="clear" w:color="auto" w:fill="auto"/>
          </w:tcPr>
          <w:p w14:paraId="56840748" w14:textId="6E6745C8" w:rsidR="009A7EC3" w:rsidRPr="00DE25AD" w:rsidRDefault="009A7EC3" w:rsidP="009A7EC3">
            <w:pPr>
              <w:pStyle w:val="ASSADACCESStablecentre"/>
            </w:pPr>
            <w:r w:rsidRPr="002E5727">
              <w:rPr>
                <w:bCs w:val="0"/>
                <w:color w:val="000000"/>
              </w:rPr>
              <w:t>3</w:t>
            </w:r>
          </w:p>
        </w:tc>
      </w:tr>
      <w:tr w:rsidR="009A7EC3" w:rsidRPr="00DE25AD" w14:paraId="31525476" w14:textId="77777777" w:rsidTr="005C5B03">
        <w:tc>
          <w:tcPr>
            <w:tcW w:w="1517" w:type="dxa"/>
            <w:tcMar>
              <w:left w:w="57" w:type="dxa"/>
            </w:tcMar>
          </w:tcPr>
          <w:p w14:paraId="13EF8866" w14:textId="77777777" w:rsidR="009A7EC3" w:rsidRDefault="009A7EC3" w:rsidP="009A7EC3">
            <w:pPr>
              <w:pStyle w:val="ACCESSTableHeaderRow"/>
            </w:pPr>
            <w:r>
              <w:t>Aged 16-17</w:t>
            </w:r>
          </w:p>
        </w:tc>
        <w:tc>
          <w:tcPr>
            <w:tcW w:w="1068" w:type="dxa"/>
            <w:shd w:val="clear" w:color="auto" w:fill="auto"/>
            <w:tcMar>
              <w:left w:w="57" w:type="dxa"/>
            </w:tcMar>
            <w:vAlign w:val="bottom"/>
          </w:tcPr>
          <w:p w14:paraId="6750729D" w14:textId="77777777" w:rsidR="009A7EC3" w:rsidRPr="00DE25AD" w:rsidRDefault="009A7EC3" w:rsidP="009A7EC3">
            <w:pPr>
              <w:pStyle w:val="ASSAD2017ACCESSBody1"/>
            </w:pPr>
          </w:p>
        </w:tc>
        <w:tc>
          <w:tcPr>
            <w:tcW w:w="878" w:type="dxa"/>
            <w:shd w:val="clear" w:color="auto" w:fill="auto"/>
            <w:vAlign w:val="bottom"/>
          </w:tcPr>
          <w:p w14:paraId="1449EEC5" w14:textId="77777777" w:rsidR="009A7EC3" w:rsidRPr="00DE25AD" w:rsidRDefault="009A7EC3" w:rsidP="009A7EC3">
            <w:pPr>
              <w:pStyle w:val="ASSADACCESStablecentre"/>
            </w:pPr>
          </w:p>
        </w:tc>
        <w:tc>
          <w:tcPr>
            <w:tcW w:w="879" w:type="dxa"/>
            <w:shd w:val="clear" w:color="auto" w:fill="auto"/>
            <w:vAlign w:val="bottom"/>
          </w:tcPr>
          <w:p w14:paraId="7359A719" w14:textId="77777777" w:rsidR="009A7EC3" w:rsidRPr="00DE25AD" w:rsidRDefault="009A7EC3" w:rsidP="009A7EC3">
            <w:pPr>
              <w:pStyle w:val="ASSADACCESStablecentre"/>
            </w:pPr>
          </w:p>
        </w:tc>
        <w:tc>
          <w:tcPr>
            <w:tcW w:w="879" w:type="dxa"/>
            <w:shd w:val="clear" w:color="auto" w:fill="auto"/>
            <w:vAlign w:val="bottom"/>
          </w:tcPr>
          <w:p w14:paraId="516C5860" w14:textId="77777777" w:rsidR="009A7EC3" w:rsidRPr="00DE25AD" w:rsidRDefault="009A7EC3" w:rsidP="009A7EC3">
            <w:pPr>
              <w:pStyle w:val="ASSADACCESStablecentre"/>
            </w:pPr>
          </w:p>
        </w:tc>
        <w:tc>
          <w:tcPr>
            <w:tcW w:w="879" w:type="dxa"/>
            <w:shd w:val="clear" w:color="auto" w:fill="auto"/>
            <w:vAlign w:val="bottom"/>
          </w:tcPr>
          <w:p w14:paraId="4487431A" w14:textId="77777777" w:rsidR="009A7EC3" w:rsidRPr="00DE25AD" w:rsidRDefault="009A7EC3" w:rsidP="009A7EC3">
            <w:pPr>
              <w:pStyle w:val="ASSADACCESStablecentre"/>
            </w:pPr>
          </w:p>
        </w:tc>
        <w:tc>
          <w:tcPr>
            <w:tcW w:w="879" w:type="dxa"/>
            <w:shd w:val="clear" w:color="auto" w:fill="auto"/>
            <w:vAlign w:val="bottom"/>
          </w:tcPr>
          <w:p w14:paraId="14260953" w14:textId="77777777" w:rsidR="009A7EC3" w:rsidRPr="00DE25AD" w:rsidRDefault="009A7EC3" w:rsidP="009A7EC3">
            <w:pPr>
              <w:pStyle w:val="ASSADACCESStablecentre"/>
            </w:pPr>
          </w:p>
        </w:tc>
        <w:tc>
          <w:tcPr>
            <w:tcW w:w="879" w:type="dxa"/>
            <w:shd w:val="clear" w:color="auto" w:fill="auto"/>
            <w:vAlign w:val="bottom"/>
          </w:tcPr>
          <w:p w14:paraId="12407691" w14:textId="77777777" w:rsidR="009A7EC3" w:rsidRPr="00DE25AD" w:rsidRDefault="009A7EC3" w:rsidP="009A7EC3">
            <w:pPr>
              <w:pStyle w:val="ASSADACCESStablecentre"/>
            </w:pPr>
          </w:p>
        </w:tc>
        <w:tc>
          <w:tcPr>
            <w:tcW w:w="879" w:type="dxa"/>
            <w:shd w:val="clear" w:color="auto" w:fill="auto"/>
            <w:vAlign w:val="bottom"/>
          </w:tcPr>
          <w:p w14:paraId="4E11621B" w14:textId="77777777" w:rsidR="009A7EC3" w:rsidRPr="00DE25AD" w:rsidRDefault="009A7EC3" w:rsidP="009A7EC3">
            <w:pPr>
              <w:pStyle w:val="ASSADACCESStablecentre"/>
            </w:pPr>
          </w:p>
        </w:tc>
        <w:tc>
          <w:tcPr>
            <w:tcW w:w="879" w:type="dxa"/>
            <w:shd w:val="clear" w:color="auto" w:fill="auto"/>
            <w:vAlign w:val="bottom"/>
          </w:tcPr>
          <w:p w14:paraId="0BED7FF3" w14:textId="77777777" w:rsidR="009A7EC3" w:rsidRPr="00DE25AD" w:rsidRDefault="009A7EC3" w:rsidP="009A7EC3">
            <w:pPr>
              <w:pStyle w:val="ASSADACCESStablecentre"/>
            </w:pPr>
          </w:p>
        </w:tc>
      </w:tr>
      <w:tr w:rsidR="009A7EC3" w:rsidRPr="00DE25AD" w14:paraId="36DE4BE8" w14:textId="77777777" w:rsidTr="005C5B03">
        <w:tc>
          <w:tcPr>
            <w:tcW w:w="1517" w:type="dxa"/>
            <w:tcMar>
              <w:left w:w="57" w:type="dxa"/>
            </w:tcMar>
          </w:tcPr>
          <w:p w14:paraId="6CE15548" w14:textId="22534B42" w:rsidR="009A7EC3" w:rsidRDefault="009A7EC3" w:rsidP="009A7EC3">
            <w:pPr>
              <w:pStyle w:val="ACCESSTableHeaderRow"/>
            </w:pPr>
            <w:r w:rsidRPr="00DE25AD">
              <w:t>Recency</w:t>
            </w:r>
          </w:p>
        </w:tc>
        <w:tc>
          <w:tcPr>
            <w:tcW w:w="1068" w:type="dxa"/>
            <w:shd w:val="clear" w:color="auto" w:fill="auto"/>
            <w:tcMar>
              <w:left w:w="57" w:type="dxa"/>
            </w:tcMar>
            <w:vAlign w:val="center"/>
          </w:tcPr>
          <w:p w14:paraId="1B919E2D" w14:textId="707AF2D9" w:rsidR="009A7EC3" w:rsidRPr="005C5B03" w:rsidRDefault="009A7EC3" w:rsidP="009A7EC3">
            <w:pPr>
              <w:pStyle w:val="ASSAD2017ACCESSBody1"/>
              <w:rPr>
                <w:b/>
                <w:bCs w:val="0"/>
              </w:rPr>
            </w:pPr>
            <w:r w:rsidRPr="005C5B03">
              <w:rPr>
                <w:b/>
                <w:bCs w:val="0"/>
              </w:rPr>
              <w:t>Sex</w:t>
            </w:r>
          </w:p>
        </w:tc>
        <w:tc>
          <w:tcPr>
            <w:tcW w:w="878" w:type="dxa"/>
            <w:shd w:val="clear" w:color="auto" w:fill="auto"/>
            <w:vAlign w:val="bottom"/>
          </w:tcPr>
          <w:p w14:paraId="3C6DDF51" w14:textId="77777777" w:rsidR="009A7EC3" w:rsidRPr="00DE25AD" w:rsidRDefault="009A7EC3" w:rsidP="009A7EC3">
            <w:pPr>
              <w:pStyle w:val="ASSADACCESStablecentre"/>
            </w:pPr>
          </w:p>
        </w:tc>
        <w:tc>
          <w:tcPr>
            <w:tcW w:w="879" w:type="dxa"/>
            <w:shd w:val="clear" w:color="auto" w:fill="auto"/>
            <w:vAlign w:val="bottom"/>
          </w:tcPr>
          <w:p w14:paraId="5E1CFE64" w14:textId="77777777" w:rsidR="009A7EC3" w:rsidRPr="00DE25AD" w:rsidRDefault="009A7EC3" w:rsidP="009A7EC3">
            <w:pPr>
              <w:pStyle w:val="ASSADACCESStablecentre"/>
            </w:pPr>
          </w:p>
        </w:tc>
        <w:tc>
          <w:tcPr>
            <w:tcW w:w="879" w:type="dxa"/>
            <w:shd w:val="clear" w:color="auto" w:fill="auto"/>
            <w:vAlign w:val="bottom"/>
          </w:tcPr>
          <w:p w14:paraId="1958259C" w14:textId="77777777" w:rsidR="009A7EC3" w:rsidRPr="00DE25AD" w:rsidRDefault="009A7EC3" w:rsidP="009A7EC3">
            <w:pPr>
              <w:pStyle w:val="ASSADACCESStablecentre"/>
            </w:pPr>
          </w:p>
        </w:tc>
        <w:tc>
          <w:tcPr>
            <w:tcW w:w="879" w:type="dxa"/>
            <w:shd w:val="clear" w:color="auto" w:fill="auto"/>
            <w:vAlign w:val="bottom"/>
          </w:tcPr>
          <w:p w14:paraId="65A79EFF" w14:textId="77777777" w:rsidR="009A7EC3" w:rsidRPr="00DE25AD" w:rsidRDefault="009A7EC3" w:rsidP="009A7EC3">
            <w:pPr>
              <w:pStyle w:val="ASSADACCESStablecentre"/>
            </w:pPr>
          </w:p>
        </w:tc>
        <w:tc>
          <w:tcPr>
            <w:tcW w:w="879" w:type="dxa"/>
            <w:shd w:val="clear" w:color="auto" w:fill="auto"/>
            <w:vAlign w:val="bottom"/>
          </w:tcPr>
          <w:p w14:paraId="6A8B87DB" w14:textId="77777777" w:rsidR="009A7EC3" w:rsidRPr="00DE25AD" w:rsidRDefault="009A7EC3" w:rsidP="009A7EC3">
            <w:pPr>
              <w:pStyle w:val="ASSADACCESStablecentre"/>
            </w:pPr>
          </w:p>
        </w:tc>
        <w:tc>
          <w:tcPr>
            <w:tcW w:w="879" w:type="dxa"/>
            <w:shd w:val="clear" w:color="auto" w:fill="auto"/>
            <w:vAlign w:val="bottom"/>
          </w:tcPr>
          <w:p w14:paraId="05E7D9FE" w14:textId="77777777" w:rsidR="009A7EC3" w:rsidRPr="00DE25AD" w:rsidRDefault="009A7EC3" w:rsidP="009A7EC3">
            <w:pPr>
              <w:pStyle w:val="ASSADACCESStablecentre"/>
            </w:pPr>
          </w:p>
        </w:tc>
        <w:tc>
          <w:tcPr>
            <w:tcW w:w="879" w:type="dxa"/>
            <w:shd w:val="clear" w:color="auto" w:fill="auto"/>
            <w:vAlign w:val="bottom"/>
          </w:tcPr>
          <w:p w14:paraId="2AA29B4C" w14:textId="77777777" w:rsidR="009A7EC3" w:rsidRPr="00DE25AD" w:rsidRDefault="009A7EC3" w:rsidP="009A7EC3">
            <w:pPr>
              <w:pStyle w:val="ASSADACCESStablecentre"/>
            </w:pPr>
          </w:p>
        </w:tc>
        <w:tc>
          <w:tcPr>
            <w:tcW w:w="879" w:type="dxa"/>
            <w:shd w:val="clear" w:color="auto" w:fill="auto"/>
            <w:vAlign w:val="bottom"/>
          </w:tcPr>
          <w:p w14:paraId="3B2C8B06" w14:textId="77777777" w:rsidR="009A7EC3" w:rsidRPr="00DE25AD" w:rsidRDefault="009A7EC3" w:rsidP="009A7EC3">
            <w:pPr>
              <w:pStyle w:val="ASSADACCESStablecentre"/>
            </w:pPr>
          </w:p>
        </w:tc>
      </w:tr>
      <w:tr w:rsidR="009A7EC3" w:rsidRPr="00DE25AD" w14:paraId="6AF2BCAF" w14:textId="77777777" w:rsidTr="00545FF4">
        <w:tc>
          <w:tcPr>
            <w:tcW w:w="1517" w:type="dxa"/>
            <w:tcMar>
              <w:left w:w="57" w:type="dxa"/>
            </w:tcMar>
          </w:tcPr>
          <w:p w14:paraId="3E7EFBC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288DAAA8" w14:textId="77777777" w:rsidR="009A7EC3" w:rsidRPr="00DE25AD" w:rsidRDefault="009A7EC3" w:rsidP="009A7EC3">
            <w:pPr>
              <w:pStyle w:val="ASSAD2017ACCESSBody1"/>
            </w:pPr>
            <w:r w:rsidRPr="00DE25AD">
              <w:t>Male</w:t>
            </w:r>
          </w:p>
        </w:tc>
        <w:tc>
          <w:tcPr>
            <w:tcW w:w="878" w:type="dxa"/>
            <w:shd w:val="clear" w:color="auto" w:fill="auto"/>
          </w:tcPr>
          <w:p w14:paraId="5DD8ACB2" w14:textId="53DC75ED" w:rsidR="009A7EC3" w:rsidRPr="00DE25AD" w:rsidRDefault="009A7EC3" w:rsidP="009A7EC3">
            <w:pPr>
              <w:pStyle w:val="ASSADACCESStablecentre"/>
            </w:pPr>
            <w:r w:rsidRPr="002E5727">
              <w:rPr>
                <w:bCs w:val="0"/>
                <w:color w:val="000000"/>
              </w:rPr>
              <w:t>19</w:t>
            </w:r>
          </w:p>
        </w:tc>
        <w:tc>
          <w:tcPr>
            <w:tcW w:w="879" w:type="dxa"/>
            <w:shd w:val="clear" w:color="auto" w:fill="auto"/>
          </w:tcPr>
          <w:p w14:paraId="5C66154F" w14:textId="4BA4F411" w:rsidR="009A7EC3" w:rsidRPr="00DE25AD" w:rsidRDefault="009A7EC3" w:rsidP="009A7EC3">
            <w:pPr>
              <w:pStyle w:val="ASSADACCESStablecentre"/>
            </w:pPr>
            <w:r w:rsidRPr="002E5727">
              <w:rPr>
                <w:bCs w:val="0"/>
                <w:color w:val="000000"/>
              </w:rPr>
              <w:t>21</w:t>
            </w:r>
          </w:p>
        </w:tc>
        <w:tc>
          <w:tcPr>
            <w:tcW w:w="879" w:type="dxa"/>
            <w:shd w:val="clear" w:color="auto" w:fill="auto"/>
          </w:tcPr>
          <w:p w14:paraId="534C6013" w14:textId="12340A64" w:rsidR="009A7EC3" w:rsidRPr="00DE25AD" w:rsidRDefault="009A7EC3" w:rsidP="009A7EC3">
            <w:pPr>
              <w:pStyle w:val="ASSADACCESStablecentre"/>
            </w:pPr>
            <w:r w:rsidRPr="002E5727">
              <w:rPr>
                <w:bCs w:val="0"/>
                <w:color w:val="000000"/>
              </w:rPr>
              <w:t>17*</w:t>
            </w:r>
          </w:p>
        </w:tc>
        <w:tc>
          <w:tcPr>
            <w:tcW w:w="879" w:type="dxa"/>
            <w:shd w:val="clear" w:color="auto" w:fill="auto"/>
          </w:tcPr>
          <w:p w14:paraId="340E93B7" w14:textId="717F6C7A" w:rsidR="009A7EC3" w:rsidRPr="00DE25AD" w:rsidRDefault="009A7EC3" w:rsidP="009A7EC3">
            <w:pPr>
              <w:pStyle w:val="ASSADACCESStablecentre"/>
            </w:pPr>
            <w:r w:rsidRPr="002E5727">
              <w:rPr>
                <w:bCs w:val="0"/>
                <w:color w:val="000000"/>
              </w:rPr>
              <w:t>16*</w:t>
            </w:r>
            <w:r>
              <w:rPr>
                <w:bCs w:val="0"/>
                <w:color w:val="000000"/>
              </w:rPr>
              <w:t>^</w:t>
            </w:r>
          </w:p>
        </w:tc>
        <w:tc>
          <w:tcPr>
            <w:tcW w:w="879" w:type="dxa"/>
            <w:shd w:val="clear" w:color="auto" w:fill="auto"/>
          </w:tcPr>
          <w:p w14:paraId="2E45B304" w14:textId="40716F78" w:rsidR="009A7EC3" w:rsidRPr="00DE25AD" w:rsidRDefault="009A7EC3" w:rsidP="009A7EC3">
            <w:pPr>
              <w:pStyle w:val="ASSADACCESStablecentre"/>
            </w:pPr>
            <w:r w:rsidRPr="002E5727">
              <w:rPr>
                <w:bCs w:val="0"/>
                <w:color w:val="000000"/>
              </w:rPr>
              <w:t>18</w:t>
            </w:r>
          </w:p>
        </w:tc>
        <w:tc>
          <w:tcPr>
            <w:tcW w:w="879" w:type="dxa"/>
            <w:shd w:val="clear" w:color="auto" w:fill="auto"/>
          </w:tcPr>
          <w:p w14:paraId="42F16AA2" w14:textId="5ACE1ED7" w:rsidR="009A7EC3" w:rsidRPr="00DE25AD" w:rsidRDefault="009A7EC3" w:rsidP="009A7EC3">
            <w:pPr>
              <w:pStyle w:val="ASSADACCESStablecentre"/>
            </w:pPr>
            <w:r w:rsidRPr="002E5727">
              <w:rPr>
                <w:bCs w:val="0"/>
                <w:color w:val="000000"/>
              </w:rPr>
              <w:t>19</w:t>
            </w:r>
          </w:p>
        </w:tc>
        <w:tc>
          <w:tcPr>
            <w:tcW w:w="879" w:type="dxa"/>
            <w:shd w:val="clear" w:color="auto" w:fill="auto"/>
          </w:tcPr>
          <w:p w14:paraId="42949BF2" w14:textId="30820C8D" w:rsidR="009A7EC3" w:rsidRPr="00DE25AD" w:rsidRDefault="009A7EC3" w:rsidP="009A7EC3">
            <w:pPr>
              <w:pStyle w:val="ASSADACCESStablecentre"/>
            </w:pPr>
            <w:r w:rsidRPr="002E5727">
              <w:rPr>
                <w:bCs w:val="0"/>
                <w:color w:val="000000"/>
              </w:rPr>
              <w:t>20</w:t>
            </w:r>
          </w:p>
        </w:tc>
        <w:tc>
          <w:tcPr>
            <w:tcW w:w="879" w:type="dxa"/>
            <w:shd w:val="clear" w:color="auto" w:fill="auto"/>
          </w:tcPr>
          <w:p w14:paraId="5A2F7D9C" w14:textId="08284D06" w:rsidR="009A7EC3" w:rsidRPr="00DE25AD" w:rsidRDefault="009A7EC3" w:rsidP="009A7EC3">
            <w:pPr>
              <w:pStyle w:val="ASSADACCESStablecentre"/>
            </w:pPr>
            <w:r w:rsidRPr="002E5727">
              <w:rPr>
                <w:bCs w:val="0"/>
                <w:color w:val="000000"/>
              </w:rPr>
              <w:t>22</w:t>
            </w:r>
          </w:p>
        </w:tc>
      </w:tr>
      <w:tr w:rsidR="009A7EC3" w:rsidRPr="00DE25AD" w14:paraId="727037A2" w14:textId="77777777" w:rsidTr="005C5B03">
        <w:tc>
          <w:tcPr>
            <w:tcW w:w="1517" w:type="dxa"/>
            <w:tcMar>
              <w:left w:w="57" w:type="dxa"/>
            </w:tcMar>
          </w:tcPr>
          <w:p w14:paraId="7D3D7ECE" w14:textId="77777777" w:rsidR="009A7EC3" w:rsidRPr="00DE25AD" w:rsidRDefault="009A7EC3" w:rsidP="009A7EC3">
            <w:pPr>
              <w:pStyle w:val="ACCESSTableHeaderRow"/>
            </w:pPr>
          </w:p>
        </w:tc>
        <w:tc>
          <w:tcPr>
            <w:tcW w:w="1068" w:type="dxa"/>
            <w:shd w:val="clear" w:color="auto" w:fill="auto"/>
            <w:tcMar>
              <w:left w:w="57" w:type="dxa"/>
            </w:tcMar>
            <w:vAlign w:val="bottom"/>
          </w:tcPr>
          <w:p w14:paraId="3B36A125" w14:textId="77777777" w:rsidR="009A7EC3" w:rsidRPr="00DE25AD" w:rsidRDefault="009A7EC3" w:rsidP="009A7EC3">
            <w:pPr>
              <w:pStyle w:val="ASSAD2017ACCESSBody1"/>
            </w:pPr>
            <w:r w:rsidRPr="00DE25AD">
              <w:t>Female</w:t>
            </w:r>
          </w:p>
        </w:tc>
        <w:tc>
          <w:tcPr>
            <w:tcW w:w="878" w:type="dxa"/>
            <w:shd w:val="clear" w:color="auto" w:fill="auto"/>
          </w:tcPr>
          <w:p w14:paraId="39D0C91B" w14:textId="0D1FA3D1" w:rsidR="009A7EC3" w:rsidRPr="00DE25AD" w:rsidRDefault="009A7EC3" w:rsidP="009A7EC3">
            <w:pPr>
              <w:pStyle w:val="ASSADACCESStablecentre"/>
            </w:pPr>
            <w:r w:rsidRPr="002E5727">
              <w:rPr>
                <w:bCs w:val="0"/>
                <w:color w:val="000000"/>
              </w:rPr>
              <w:t>21</w:t>
            </w:r>
          </w:p>
        </w:tc>
        <w:tc>
          <w:tcPr>
            <w:tcW w:w="879" w:type="dxa"/>
            <w:shd w:val="clear" w:color="auto" w:fill="auto"/>
          </w:tcPr>
          <w:p w14:paraId="19BFE149" w14:textId="11DC4B17" w:rsidR="009A7EC3" w:rsidRPr="00DE25AD" w:rsidRDefault="009A7EC3" w:rsidP="009A7EC3">
            <w:pPr>
              <w:pStyle w:val="ASSADACCESStablecentre"/>
            </w:pPr>
            <w:r w:rsidRPr="002E5727">
              <w:rPr>
                <w:bCs w:val="0"/>
                <w:color w:val="000000"/>
              </w:rPr>
              <w:t>24</w:t>
            </w:r>
          </w:p>
        </w:tc>
        <w:tc>
          <w:tcPr>
            <w:tcW w:w="879" w:type="dxa"/>
            <w:shd w:val="clear" w:color="auto" w:fill="auto"/>
          </w:tcPr>
          <w:p w14:paraId="71326424" w14:textId="4B3973BE" w:rsidR="009A7EC3" w:rsidRPr="00DE25AD" w:rsidRDefault="009A7EC3" w:rsidP="009A7EC3">
            <w:pPr>
              <w:pStyle w:val="ASSADACCESStablecentre"/>
            </w:pPr>
            <w:r w:rsidRPr="002E5727">
              <w:rPr>
                <w:bCs w:val="0"/>
                <w:color w:val="000000"/>
              </w:rPr>
              <w:t>19</w:t>
            </w:r>
          </w:p>
        </w:tc>
        <w:tc>
          <w:tcPr>
            <w:tcW w:w="879" w:type="dxa"/>
            <w:shd w:val="clear" w:color="auto" w:fill="auto"/>
          </w:tcPr>
          <w:p w14:paraId="3538A2E1" w14:textId="761A1750" w:rsidR="009A7EC3" w:rsidRPr="00DE25AD" w:rsidRDefault="009A7EC3" w:rsidP="009A7EC3">
            <w:pPr>
              <w:pStyle w:val="ASSADACCESStablecentre"/>
            </w:pPr>
            <w:r w:rsidRPr="002E5727">
              <w:rPr>
                <w:bCs w:val="0"/>
                <w:color w:val="000000"/>
              </w:rPr>
              <w:t>17*^</w:t>
            </w:r>
          </w:p>
        </w:tc>
        <w:tc>
          <w:tcPr>
            <w:tcW w:w="879" w:type="dxa"/>
            <w:shd w:val="clear" w:color="auto" w:fill="auto"/>
          </w:tcPr>
          <w:p w14:paraId="58CD577F" w14:textId="61FD495A" w:rsidR="009A7EC3" w:rsidRPr="00DE25AD" w:rsidRDefault="009A7EC3" w:rsidP="009A7EC3">
            <w:pPr>
              <w:pStyle w:val="ASSADACCESStablecentre"/>
            </w:pPr>
            <w:r w:rsidRPr="002E5727">
              <w:rPr>
                <w:bCs w:val="0"/>
                <w:color w:val="000000"/>
              </w:rPr>
              <w:t>20</w:t>
            </w:r>
          </w:p>
        </w:tc>
        <w:tc>
          <w:tcPr>
            <w:tcW w:w="879" w:type="dxa"/>
            <w:shd w:val="clear" w:color="auto" w:fill="auto"/>
          </w:tcPr>
          <w:p w14:paraId="58A28118" w14:textId="4CF3F41C" w:rsidR="009A7EC3" w:rsidRPr="00DE25AD" w:rsidRDefault="009A7EC3" w:rsidP="009A7EC3">
            <w:pPr>
              <w:pStyle w:val="ASSADACCESStablecentre"/>
            </w:pPr>
            <w:r w:rsidRPr="002E5727">
              <w:rPr>
                <w:bCs w:val="0"/>
                <w:color w:val="000000"/>
              </w:rPr>
              <w:t>19</w:t>
            </w:r>
          </w:p>
        </w:tc>
        <w:tc>
          <w:tcPr>
            <w:tcW w:w="879" w:type="dxa"/>
            <w:shd w:val="clear" w:color="auto" w:fill="auto"/>
          </w:tcPr>
          <w:p w14:paraId="6D3F6D60" w14:textId="45E8BE06" w:rsidR="009A7EC3" w:rsidRPr="00DE25AD" w:rsidRDefault="009A7EC3" w:rsidP="009A7EC3">
            <w:pPr>
              <w:pStyle w:val="ASSADACCESStablecentre"/>
            </w:pPr>
            <w:r w:rsidRPr="002E5727">
              <w:rPr>
                <w:bCs w:val="0"/>
                <w:color w:val="000000"/>
              </w:rPr>
              <w:t>21</w:t>
            </w:r>
          </w:p>
        </w:tc>
        <w:tc>
          <w:tcPr>
            <w:tcW w:w="879" w:type="dxa"/>
            <w:shd w:val="clear" w:color="auto" w:fill="auto"/>
          </w:tcPr>
          <w:p w14:paraId="3553FF26" w14:textId="0CCEBC95" w:rsidR="009A7EC3" w:rsidRPr="00DE25AD" w:rsidRDefault="009A7EC3" w:rsidP="009A7EC3">
            <w:pPr>
              <w:pStyle w:val="ASSADACCESStablecentre"/>
            </w:pPr>
            <w:r w:rsidRPr="002E5727">
              <w:rPr>
                <w:bCs w:val="0"/>
                <w:color w:val="000000"/>
              </w:rPr>
              <w:t>21</w:t>
            </w:r>
          </w:p>
        </w:tc>
      </w:tr>
      <w:tr w:rsidR="009A7EC3" w:rsidRPr="00DE25AD" w14:paraId="54EC4794" w14:textId="77777777" w:rsidTr="005C5B03">
        <w:trPr>
          <w:trHeight w:val="247"/>
        </w:trPr>
        <w:tc>
          <w:tcPr>
            <w:tcW w:w="1517" w:type="dxa"/>
            <w:tcMar>
              <w:left w:w="57" w:type="dxa"/>
            </w:tcMar>
          </w:tcPr>
          <w:p w14:paraId="56133218" w14:textId="77777777" w:rsidR="009A7EC3" w:rsidRPr="00DE25AD" w:rsidRDefault="009A7EC3" w:rsidP="009A7EC3">
            <w:pPr>
              <w:pStyle w:val="ACCESSTableHeaderRow"/>
            </w:pPr>
          </w:p>
        </w:tc>
        <w:tc>
          <w:tcPr>
            <w:tcW w:w="1068" w:type="dxa"/>
            <w:shd w:val="clear" w:color="auto" w:fill="auto"/>
            <w:tcMar>
              <w:left w:w="57" w:type="dxa"/>
            </w:tcMar>
            <w:vAlign w:val="bottom"/>
          </w:tcPr>
          <w:p w14:paraId="3975A074" w14:textId="77777777" w:rsidR="009A7EC3" w:rsidRPr="00DE25AD" w:rsidRDefault="009A7EC3" w:rsidP="009A7EC3">
            <w:pPr>
              <w:pStyle w:val="ASSAD2017ACCESSBody1"/>
            </w:pPr>
            <w:r w:rsidRPr="00DE25AD">
              <w:t>Total</w:t>
            </w:r>
          </w:p>
        </w:tc>
        <w:tc>
          <w:tcPr>
            <w:tcW w:w="878" w:type="dxa"/>
            <w:shd w:val="clear" w:color="auto" w:fill="auto"/>
          </w:tcPr>
          <w:p w14:paraId="709964E5" w14:textId="72254FC8" w:rsidR="009A7EC3" w:rsidRPr="00DE25AD" w:rsidRDefault="009A7EC3" w:rsidP="009A7EC3">
            <w:pPr>
              <w:pStyle w:val="ASSADACCESStablecentre"/>
            </w:pPr>
            <w:r w:rsidRPr="002E5727">
              <w:rPr>
                <w:bCs w:val="0"/>
                <w:color w:val="000000"/>
              </w:rPr>
              <w:t>20</w:t>
            </w:r>
          </w:p>
        </w:tc>
        <w:tc>
          <w:tcPr>
            <w:tcW w:w="879" w:type="dxa"/>
            <w:shd w:val="clear" w:color="auto" w:fill="auto"/>
          </w:tcPr>
          <w:p w14:paraId="47C08E77" w14:textId="1C729994" w:rsidR="009A7EC3" w:rsidRPr="00DE25AD" w:rsidRDefault="009A7EC3" w:rsidP="009A7EC3">
            <w:pPr>
              <w:pStyle w:val="ASSADACCESStablecentre"/>
            </w:pPr>
            <w:r w:rsidRPr="002E5727">
              <w:rPr>
                <w:bCs w:val="0"/>
                <w:color w:val="000000"/>
              </w:rPr>
              <w:t>22</w:t>
            </w:r>
          </w:p>
        </w:tc>
        <w:tc>
          <w:tcPr>
            <w:tcW w:w="879" w:type="dxa"/>
            <w:shd w:val="clear" w:color="auto" w:fill="auto"/>
          </w:tcPr>
          <w:p w14:paraId="41264D03" w14:textId="737A8839" w:rsidR="009A7EC3" w:rsidRPr="00DE25AD" w:rsidRDefault="009A7EC3" w:rsidP="009A7EC3">
            <w:pPr>
              <w:pStyle w:val="ASSADACCESStablecentre"/>
            </w:pPr>
            <w:r w:rsidRPr="002E5727">
              <w:rPr>
                <w:bCs w:val="0"/>
                <w:color w:val="000000"/>
              </w:rPr>
              <w:t>18*</w:t>
            </w:r>
          </w:p>
        </w:tc>
        <w:tc>
          <w:tcPr>
            <w:tcW w:w="879" w:type="dxa"/>
            <w:shd w:val="clear" w:color="auto" w:fill="auto"/>
          </w:tcPr>
          <w:p w14:paraId="75654780" w14:textId="3EC8DB28" w:rsidR="009A7EC3" w:rsidRPr="00DE25AD" w:rsidRDefault="009A7EC3" w:rsidP="009A7EC3">
            <w:pPr>
              <w:pStyle w:val="ASSADACCESStablecentre"/>
            </w:pPr>
            <w:r w:rsidRPr="002E5727">
              <w:rPr>
                <w:bCs w:val="0"/>
                <w:color w:val="000000"/>
              </w:rPr>
              <w:t>1</w:t>
            </w:r>
            <w:r>
              <w:rPr>
                <w:bCs w:val="0"/>
                <w:color w:val="000000"/>
              </w:rPr>
              <w:t>7</w:t>
            </w:r>
            <w:r w:rsidRPr="002E5727">
              <w:rPr>
                <w:bCs w:val="0"/>
                <w:color w:val="000000"/>
              </w:rPr>
              <w:t>*^</w:t>
            </w:r>
          </w:p>
        </w:tc>
        <w:tc>
          <w:tcPr>
            <w:tcW w:w="879" w:type="dxa"/>
            <w:shd w:val="clear" w:color="auto" w:fill="auto"/>
          </w:tcPr>
          <w:p w14:paraId="4974EA6B" w14:textId="3A8C6F77" w:rsidR="009A7EC3" w:rsidRPr="00DE25AD" w:rsidRDefault="009A7EC3" w:rsidP="009A7EC3">
            <w:pPr>
              <w:pStyle w:val="ASSADACCESStablecentre"/>
            </w:pPr>
            <w:r w:rsidRPr="002E5727">
              <w:rPr>
                <w:bCs w:val="0"/>
                <w:color w:val="000000"/>
              </w:rPr>
              <w:t>19</w:t>
            </w:r>
          </w:p>
        </w:tc>
        <w:tc>
          <w:tcPr>
            <w:tcW w:w="879" w:type="dxa"/>
            <w:shd w:val="clear" w:color="auto" w:fill="auto"/>
          </w:tcPr>
          <w:p w14:paraId="2551DA86" w14:textId="389CEB38" w:rsidR="009A7EC3" w:rsidRPr="00DE25AD" w:rsidRDefault="009A7EC3" w:rsidP="009A7EC3">
            <w:pPr>
              <w:pStyle w:val="ASSADACCESStablecentre"/>
            </w:pPr>
            <w:r w:rsidRPr="002E5727">
              <w:rPr>
                <w:bCs w:val="0"/>
                <w:color w:val="000000"/>
              </w:rPr>
              <w:t>19</w:t>
            </w:r>
          </w:p>
        </w:tc>
        <w:tc>
          <w:tcPr>
            <w:tcW w:w="879" w:type="dxa"/>
            <w:shd w:val="clear" w:color="auto" w:fill="auto"/>
          </w:tcPr>
          <w:p w14:paraId="5038FD60" w14:textId="76F885A7" w:rsidR="009A7EC3" w:rsidRPr="00DE25AD" w:rsidRDefault="009A7EC3" w:rsidP="009A7EC3">
            <w:pPr>
              <w:pStyle w:val="ASSADACCESStablecentre"/>
            </w:pPr>
            <w:r w:rsidRPr="002E5727">
              <w:rPr>
                <w:bCs w:val="0"/>
                <w:color w:val="000000"/>
              </w:rPr>
              <w:t>20</w:t>
            </w:r>
          </w:p>
        </w:tc>
        <w:tc>
          <w:tcPr>
            <w:tcW w:w="879" w:type="dxa"/>
            <w:shd w:val="clear" w:color="auto" w:fill="auto"/>
          </w:tcPr>
          <w:p w14:paraId="355D3CA5" w14:textId="372C4E5B" w:rsidR="009A7EC3" w:rsidRPr="00DE25AD" w:rsidRDefault="009A7EC3" w:rsidP="009A7EC3">
            <w:pPr>
              <w:pStyle w:val="ASSADACCESStablecentre"/>
            </w:pPr>
            <w:r w:rsidRPr="002E5727">
              <w:rPr>
                <w:bCs w:val="0"/>
                <w:color w:val="000000"/>
              </w:rPr>
              <w:t>2</w:t>
            </w:r>
            <w:r>
              <w:rPr>
                <w:bCs w:val="0"/>
                <w:color w:val="000000"/>
              </w:rPr>
              <w:t>1</w:t>
            </w:r>
          </w:p>
        </w:tc>
      </w:tr>
      <w:tr w:rsidR="009A7EC3" w:rsidRPr="00DE25AD" w14:paraId="2845A9C8" w14:textId="77777777" w:rsidTr="00545FF4">
        <w:trPr>
          <w:trHeight w:val="247"/>
        </w:trPr>
        <w:tc>
          <w:tcPr>
            <w:tcW w:w="1517" w:type="dxa"/>
            <w:tcMar>
              <w:left w:w="57" w:type="dxa"/>
            </w:tcMar>
          </w:tcPr>
          <w:p w14:paraId="0782D71B" w14:textId="77777777" w:rsidR="009A7EC3" w:rsidRPr="00DE25AD" w:rsidRDefault="009A7EC3" w:rsidP="009A7EC3">
            <w:pPr>
              <w:pStyle w:val="ACCESSTableHeaderRow"/>
              <w:rPr>
                <w:vertAlign w:val="superscript"/>
              </w:rPr>
            </w:pPr>
            <w:r>
              <w:t>Past year</w:t>
            </w:r>
          </w:p>
        </w:tc>
        <w:tc>
          <w:tcPr>
            <w:tcW w:w="1068" w:type="dxa"/>
            <w:shd w:val="clear" w:color="auto" w:fill="auto"/>
            <w:tcMar>
              <w:left w:w="57" w:type="dxa"/>
            </w:tcMar>
            <w:vAlign w:val="bottom"/>
          </w:tcPr>
          <w:p w14:paraId="4182CE39" w14:textId="77777777" w:rsidR="009A7EC3" w:rsidRPr="00DE25AD" w:rsidRDefault="009A7EC3" w:rsidP="009A7EC3">
            <w:pPr>
              <w:pStyle w:val="ASSAD2017ACCESSBody1"/>
            </w:pPr>
            <w:r w:rsidRPr="00DE25AD">
              <w:t>Male</w:t>
            </w:r>
          </w:p>
        </w:tc>
        <w:tc>
          <w:tcPr>
            <w:tcW w:w="878" w:type="dxa"/>
            <w:shd w:val="clear" w:color="auto" w:fill="auto"/>
          </w:tcPr>
          <w:p w14:paraId="522E2903" w14:textId="39C6C81C" w:rsidR="009A7EC3" w:rsidRPr="00DE25AD" w:rsidRDefault="009A7EC3" w:rsidP="009A7EC3">
            <w:pPr>
              <w:pStyle w:val="ASSADACCESStablecentre"/>
            </w:pPr>
            <w:r w:rsidRPr="002E5727">
              <w:rPr>
                <w:bCs w:val="0"/>
                <w:color w:val="000000"/>
              </w:rPr>
              <w:t>12*</w:t>
            </w:r>
          </w:p>
        </w:tc>
        <w:tc>
          <w:tcPr>
            <w:tcW w:w="879" w:type="dxa"/>
            <w:shd w:val="clear" w:color="auto" w:fill="auto"/>
          </w:tcPr>
          <w:p w14:paraId="4FE83CCB" w14:textId="19F7A5DA" w:rsidR="009A7EC3" w:rsidRPr="00DE25AD" w:rsidRDefault="009A7EC3" w:rsidP="009A7EC3">
            <w:pPr>
              <w:pStyle w:val="ASSADACCESStablecentre"/>
            </w:pPr>
            <w:r w:rsidRPr="002E5727">
              <w:rPr>
                <w:bCs w:val="0"/>
                <w:color w:val="000000"/>
              </w:rPr>
              <w:t>11*</w:t>
            </w:r>
          </w:p>
        </w:tc>
        <w:tc>
          <w:tcPr>
            <w:tcW w:w="879" w:type="dxa"/>
            <w:shd w:val="clear" w:color="auto" w:fill="auto"/>
          </w:tcPr>
          <w:p w14:paraId="1B711662" w14:textId="4CA26134" w:rsidR="009A7EC3" w:rsidRPr="00DE25AD" w:rsidRDefault="009A7EC3" w:rsidP="009A7EC3">
            <w:pPr>
              <w:pStyle w:val="ASSADACCESStablecentre"/>
            </w:pPr>
            <w:r w:rsidRPr="002E5727">
              <w:rPr>
                <w:bCs w:val="0"/>
                <w:color w:val="000000"/>
              </w:rPr>
              <w:t>10*</w:t>
            </w:r>
          </w:p>
        </w:tc>
        <w:tc>
          <w:tcPr>
            <w:tcW w:w="879" w:type="dxa"/>
            <w:shd w:val="clear" w:color="auto" w:fill="auto"/>
          </w:tcPr>
          <w:p w14:paraId="5C7470E3" w14:textId="0C77ECE6" w:rsidR="009A7EC3" w:rsidRPr="00DE25AD" w:rsidRDefault="009A7EC3" w:rsidP="009A7EC3">
            <w:pPr>
              <w:pStyle w:val="ASSADACCESStablecentre"/>
            </w:pPr>
            <w:r w:rsidRPr="002E5727">
              <w:rPr>
                <w:bCs w:val="0"/>
                <w:color w:val="000000"/>
              </w:rPr>
              <w:t>9*^</w:t>
            </w:r>
          </w:p>
        </w:tc>
        <w:tc>
          <w:tcPr>
            <w:tcW w:w="879" w:type="dxa"/>
            <w:shd w:val="clear" w:color="auto" w:fill="auto"/>
          </w:tcPr>
          <w:p w14:paraId="7A1B92A6" w14:textId="6FC7E155" w:rsidR="009A7EC3" w:rsidRPr="00DE25AD" w:rsidRDefault="009A7EC3" w:rsidP="009A7EC3">
            <w:pPr>
              <w:pStyle w:val="ASSADACCESStablecentre"/>
            </w:pPr>
            <w:r w:rsidRPr="002E5727">
              <w:rPr>
                <w:bCs w:val="0"/>
                <w:color w:val="000000"/>
              </w:rPr>
              <w:t>10*</w:t>
            </w:r>
          </w:p>
        </w:tc>
        <w:tc>
          <w:tcPr>
            <w:tcW w:w="879" w:type="dxa"/>
            <w:shd w:val="clear" w:color="auto" w:fill="auto"/>
          </w:tcPr>
          <w:p w14:paraId="0ED5D083" w14:textId="621C7968" w:rsidR="009A7EC3" w:rsidRPr="00DE25AD" w:rsidRDefault="009A7EC3" w:rsidP="009A7EC3">
            <w:pPr>
              <w:pStyle w:val="ASSADACCESStablecentre"/>
            </w:pPr>
            <w:r w:rsidRPr="002E5727">
              <w:rPr>
                <w:bCs w:val="0"/>
                <w:color w:val="000000"/>
              </w:rPr>
              <w:t>12</w:t>
            </w:r>
          </w:p>
        </w:tc>
        <w:tc>
          <w:tcPr>
            <w:tcW w:w="879" w:type="dxa"/>
            <w:shd w:val="clear" w:color="auto" w:fill="auto"/>
          </w:tcPr>
          <w:p w14:paraId="3BACDBC6" w14:textId="796A6A9D" w:rsidR="009A7EC3" w:rsidRPr="00DE25AD" w:rsidRDefault="009A7EC3" w:rsidP="009A7EC3">
            <w:pPr>
              <w:pStyle w:val="ASSADACCESStablecentre"/>
            </w:pPr>
            <w:r w:rsidRPr="002E5727">
              <w:rPr>
                <w:bCs w:val="0"/>
                <w:color w:val="000000"/>
              </w:rPr>
              <w:t>13</w:t>
            </w:r>
          </w:p>
        </w:tc>
        <w:tc>
          <w:tcPr>
            <w:tcW w:w="879" w:type="dxa"/>
            <w:shd w:val="clear" w:color="auto" w:fill="auto"/>
          </w:tcPr>
          <w:p w14:paraId="71781EE2" w14:textId="0288EF17" w:rsidR="009A7EC3" w:rsidRPr="00DE25AD" w:rsidRDefault="009A7EC3" w:rsidP="009A7EC3">
            <w:pPr>
              <w:pStyle w:val="ASSADACCESStablecentre"/>
            </w:pPr>
            <w:r w:rsidRPr="002E5727">
              <w:rPr>
                <w:bCs w:val="0"/>
                <w:color w:val="000000"/>
              </w:rPr>
              <w:t>16</w:t>
            </w:r>
            <w:r>
              <w:rPr>
                <w:bCs w:val="0"/>
                <w:color w:val="000000"/>
              </w:rPr>
              <w:t>^</w:t>
            </w:r>
          </w:p>
        </w:tc>
      </w:tr>
      <w:tr w:rsidR="009A7EC3" w:rsidRPr="00DE25AD" w14:paraId="75533D98" w14:textId="77777777" w:rsidTr="005C5B03">
        <w:trPr>
          <w:trHeight w:val="247"/>
        </w:trPr>
        <w:tc>
          <w:tcPr>
            <w:tcW w:w="1517" w:type="dxa"/>
            <w:tcMar>
              <w:left w:w="57" w:type="dxa"/>
            </w:tcMar>
          </w:tcPr>
          <w:p w14:paraId="138F23DE" w14:textId="77777777" w:rsidR="009A7EC3" w:rsidRPr="00DE25AD" w:rsidRDefault="009A7EC3" w:rsidP="009A7EC3">
            <w:pPr>
              <w:pStyle w:val="ACCESSTableHeaderRow"/>
            </w:pPr>
          </w:p>
        </w:tc>
        <w:tc>
          <w:tcPr>
            <w:tcW w:w="1068" w:type="dxa"/>
            <w:shd w:val="clear" w:color="auto" w:fill="auto"/>
            <w:tcMar>
              <w:left w:w="57" w:type="dxa"/>
            </w:tcMar>
            <w:vAlign w:val="bottom"/>
          </w:tcPr>
          <w:p w14:paraId="755FB6B0" w14:textId="77777777" w:rsidR="009A7EC3" w:rsidRPr="00DE25AD" w:rsidRDefault="009A7EC3" w:rsidP="009A7EC3">
            <w:pPr>
              <w:pStyle w:val="ASSAD2017ACCESSBody1"/>
            </w:pPr>
            <w:r w:rsidRPr="00DE25AD">
              <w:t>Female</w:t>
            </w:r>
          </w:p>
        </w:tc>
        <w:tc>
          <w:tcPr>
            <w:tcW w:w="878" w:type="dxa"/>
            <w:shd w:val="clear" w:color="auto" w:fill="auto"/>
          </w:tcPr>
          <w:p w14:paraId="73F0833B" w14:textId="5A49081E" w:rsidR="009A7EC3" w:rsidRPr="00DE25AD" w:rsidRDefault="009A7EC3" w:rsidP="009A7EC3">
            <w:pPr>
              <w:pStyle w:val="ASSADACCESStablecentre"/>
            </w:pPr>
            <w:r w:rsidRPr="002E5727">
              <w:rPr>
                <w:bCs w:val="0"/>
                <w:color w:val="000000"/>
              </w:rPr>
              <w:t>15</w:t>
            </w:r>
          </w:p>
        </w:tc>
        <w:tc>
          <w:tcPr>
            <w:tcW w:w="879" w:type="dxa"/>
            <w:shd w:val="clear" w:color="auto" w:fill="auto"/>
          </w:tcPr>
          <w:p w14:paraId="6CE77407" w14:textId="3EC93AAC" w:rsidR="009A7EC3" w:rsidRPr="00DE25AD" w:rsidRDefault="009A7EC3" w:rsidP="009A7EC3">
            <w:pPr>
              <w:pStyle w:val="ASSADACCESStablecentre"/>
            </w:pPr>
            <w:r w:rsidRPr="002E5727">
              <w:rPr>
                <w:bCs w:val="0"/>
                <w:color w:val="000000"/>
              </w:rPr>
              <w:t>16</w:t>
            </w:r>
          </w:p>
        </w:tc>
        <w:tc>
          <w:tcPr>
            <w:tcW w:w="879" w:type="dxa"/>
            <w:shd w:val="clear" w:color="auto" w:fill="auto"/>
          </w:tcPr>
          <w:p w14:paraId="065B2BA7" w14:textId="48DCA5CF" w:rsidR="009A7EC3" w:rsidRPr="00DE25AD" w:rsidRDefault="009A7EC3" w:rsidP="009A7EC3">
            <w:pPr>
              <w:pStyle w:val="ASSADACCESStablecentre"/>
            </w:pPr>
            <w:r w:rsidRPr="002E5727">
              <w:rPr>
                <w:bCs w:val="0"/>
                <w:color w:val="000000"/>
              </w:rPr>
              <w:t>13</w:t>
            </w:r>
          </w:p>
        </w:tc>
        <w:tc>
          <w:tcPr>
            <w:tcW w:w="879" w:type="dxa"/>
            <w:shd w:val="clear" w:color="auto" w:fill="auto"/>
          </w:tcPr>
          <w:p w14:paraId="72A669ED" w14:textId="53D1E16C" w:rsidR="009A7EC3" w:rsidRPr="00DE25AD" w:rsidRDefault="009A7EC3" w:rsidP="009A7EC3">
            <w:pPr>
              <w:pStyle w:val="ASSADACCESStablecentre"/>
            </w:pPr>
            <w:r w:rsidRPr="002E5727">
              <w:rPr>
                <w:bCs w:val="0"/>
                <w:color w:val="000000"/>
              </w:rPr>
              <w:t>11*^</w:t>
            </w:r>
          </w:p>
        </w:tc>
        <w:tc>
          <w:tcPr>
            <w:tcW w:w="879" w:type="dxa"/>
            <w:shd w:val="clear" w:color="auto" w:fill="auto"/>
          </w:tcPr>
          <w:p w14:paraId="753A9524" w14:textId="35C1C34D" w:rsidR="009A7EC3" w:rsidRPr="00DE25AD" w:rsidRDefault="009A7EC3" w:rsidP="009A7EC3">
            <w:pPr>
              <w:pStyle w:val="ASSADACCESStablecentre"/>
            </w:pPr>
            <w:r w:rsidRPr="002E5727">
              <w:rPr>
                <w:bCs w:val="0"/>
                <w:color w:val="000000"/>
              </w:rPr>
              <w:t>12</w:t>
            </w:r>
          </w:p>
        </w:tc>
        <w:tc>
          <w:tcPr>
            <w:tcW w:w="879" w:type="dxa"/>
            <w:shd w:val="clear" w:color="auto" w:fill="auto"/>
          </w:tcPr>
          <w:p w14:paraId="63788395" w14:textId="656E3D5B" w:rsidR="009A7EC3" w:rsidRPr="00DE25AD" w:rsidRDefault="009A7EC3" w:rsidP="009A7EC3">
            <w:pPr>
              <w:pStyle w:val="ASSADACCESStablecentre"/>
            </w:pPr>
            <w:r w:rsidRPr="002E5727">
              <w:rPr>
                <w:bCs w:val="0"/>
                <w:color w:val="000000"/>
              </w:rPr>
              <w:t>14</w:t>
            </w:r>
          </w:p>
        </w:tc>
        <w:tc>
          <w:tcPr>
            <w:tcW w:w="879" w:type="dxa"/>
            <w:shd w:val="clear" w:color="auto" w:fill="auto"/>
          </w:tcPr>
          <w:p w14:paraId="215CCE90" w14:textId="5134CAD6" w:rsidR="009A7EC3" w:rsidRPr="00DE25AD" w:rsidRDefault="009A7EC3" w:rsidP="009A7EC3">
            <w:pPr>
              <w:pStyle w:val="ASSADACCESStablecentre"/>
            </w:pPr>
            <w:r w:rsidRPr="002E5727">
              <w:rPr>
                <w:bCs w:val="0"/>
                <w:color w:val="000000"/>
              </w:rPr>
              <w:t>15</w:t>
            </w:r>
          </w:p>
        </w:tc>
        <w:tc>
          <w:tcPr>
            <w:tcW w:w="879" w:type="dxa"/>
            <w:shd w:val="clear" w:color="auto" w:fill="auto"/>
          </w:tcPr>
          <w:p w14:paraId="006D1F37" w14:textId="71565A77" w:rsidR="009A7EC3" w:rsidRPr="00DE25AD" w:rsidRDefault="009A7EC3" w:rsidP="009A7EC3">
            <w:pPr>
              <w:pStyle w:val="ASSADACCESStablecentre"/>
            </w:pPr>
            <w:r w:rsidRPr="002E5727">
              <w:rPr>
                <w:bCs w:val="0"/>
                <w:color w:val="000000"/>
              </w:rPr>
              <w:t>15</w:t>
            </w:r>
          </w:p>
        </w:tc>
      </w:tr>
      <w:tr w:rsidR="009A7EC3" w:rsidRPr="00DE25AD" w14:paraId="61A257F1" w14:textId="77777777" w:rsidTr="005C5B03">
        <w:trPr>
          <w:trHeight w:val="247"/>
        </w:trPr>
        <w:tc>
          <w:tcPr>
            <w:tcW w:w="1517" w:type="dxa"/>
            <w:tcMar>
              <w:left w:w="57" w:type="dxa"/>
            </w:tcMar>
          </w:tcPr>
          <w:p w14:paraId="156EEE67" w14:textId="77777777" w:rsidR="009A7EC3" w:rsidRPr="00DE25AD" w:rsidRDefault="009A7EC3" w:rsidP="009A7EC3">
            <w:pPr>
              <w:pStyle w:val="ACCESSTableHeaderRow"/>
            </w:pPr>
          </w:p>
        </w:tc>
        <w:tc>
          <w:tcPr>
            <w:tcW w:w="1068" w:type="dxa"/>
            <w:shd w:val="clear" w:color="auto" w:fill="auto"/>
            <w:tcMar>
              <w:left w:w="57" w:type="dxa"/>
            </w:tcMar>
            <w:vAlign w:val="bottom"/>
          </w:tcPr>
          <w:p w14:paraId="5BBC9FF0" w14:textId="77777777" w:rsidR="009A7EC3" w:rsidRPr="00DE25AD" w:rsidRDefault="009A7EC3" w:rsidP="009A7EC3">
            <w:pPr>
              <w:pStyle w:val="ASSAD2017ACCESSBody1"/>
            </w:pPr>
            <w:r w:rsidRPr="00DE25AD">
              <w:t>Total</w:t>
            </w:r>
          </w:p>
        </w:tc>
        <w:tc>
          <w:tcPr>
            <w:tcW w:w="878" w:type="dxa"/>
            <w:shd w:val="clear" w:color="auto" w:fill="auto"/>
          </w:tcPr>
          <w:p w14:paraId="6E508EB4" w14:textId="18D9888F" w:rsidR="009A7EC3" w:rsidRPr="00DE25AD" w:rsidRDefault="009A7EC3" w:rsidP="009A7EC3">
            <w:pPr>
              <w:pStyle w:val="ASSADACCESStablecentre"/>
            </w:pPr>
            <w:r w:rsidRPr="002E5727">
              <w:rPr>
                <w:bCs w:val="0"/>
                <w:color w:val="000000"/>
              </w:rPr>
              <w:t>13</w:t>
            </w:r>
          </w:p>
        </w:tc>
        <w:tc>
          <w:tcPr>
            <w:tcW w:w="879" w:type="dxa"/>
            <w:shd w:val="clear" w:color="auto" w:fill="auto"/>
          </w:tcPr>
          <w:p w14:paraId="237F8B66" w14:textId="6C589D34" w:rsidR="009A7EC3" w:rsidRPr="00DE25AD" w:rsidRDefault="009A7EC3" w:rsidP="009A7EC3">
            <w:pPr>
              <w:pStyle w:val="ASSADACCESStablecentre"/>
            </w:pPr>
            <w:r w:rsidRPr="002E5727">
              <w:rPr>
                <w:bCs w:val="0"/>
                <w:color w:val="000000"/>
              </w:rPr>
              <w:t>14</w:t>
            </w:r>
          </w:p>
        </w:tc>
        <w:tc>
          <w:tcPr>
            <w:tcW w:w="879" w:type="dxa"/>
            <w:shd w:val="clear" w:color="auto" w:fill="auto"/>
          </w:tcPr>
          <w:p w14:paraId="6F139335" w14:textId="1E93CA21" w:rsidR="009A7EC3" w:rsidRPr="00DE25AD" w:rsidRDefault="009A7EC3" w:rsidP="009A7EC3">
            <w:pPr>
              <w:pStyle w:val="ASSADACCESStablecentre"/>
            </w:pPr>
            <w:r w:rsidRPr="002E5727">
              <w:rPr>
                <w:bCs w:val="0"/>
                <w:color w:val="000000"/>
              </w:rPr>
              <w:t>1</w:t>
            </w:r>
            <w:r>
              <w:rPr>
                <w:bCs w:val="0"/>
                <w:color w:val="000000"/>
              </w:rPr>
              <w:t>1</w:t>
            </w:r>
            <w:r w:rsidRPr="002E5727">
              <w:rPr>
                <w:bCs w:val="0"/>
                <w:color w:val="000000"/>
              </w:rPr>
              <w:t>*</w:t>
            </w:r>
          </w:p>
        </w:tc>
        <w:tc>
          <w:tcPr>
            <w:tcW w:w="879" w:type="dxa"/>
            <w:shd w:val="clear" w:color="auto" w:fill="auto"/>
          </w:tcPr>
          <w:p w14:paraId="5D033936" w14:textId="26BE1FBE" w:rsidR="009A7EC3" w:rsidRPr="00DE25AD" w:rsidRDefault="009A7EC3" w:rsidP="009A7EC3">
            <w:pPr>
              <w:pStyle w:val="ASSADACCESStablecentre"/>
            </w:pPr>
            <w:r w:rsidRPr="002E5727">
              <w:rPr>
                <w:bCs w:val="0"/>
                <w:color w:val="000000"/>
              </w:rPr>
              <w:t>10*^</w:t>
            </w:r>
          </w:p>
        </w:tc>
        <w:tc>
          <w:tcPr>
            <w:tcW w:w="879" w:type="dxa"/>
            <w:shd w:val="clear" w:color="auto" w:fill="auto"/>
          </w:tcPr>
          <w:p w14:paraId="5FB6A841" w14:textId="66D48800" w:rsidR="009A7EC3" w:rsidRPr="00DE25AD" w:rsidRDefault="009A7EC3" w:rsidP="009A7EC3">
            <w:pPr>
              <w:pStyle w:val="ASSADACCESStablecentre"/>
            </w:pPr>
            <w:r w:rsidRPr="002E5727">
              <w:rPr>
                <w:bCs w:val="0"/>
                <w:color w:val="000000"/>
              </w:rPr>
              <w:t>11*</w:t>
            </w:r>
            <w:r>
              <w:rPr>
                <w:bCs w:val="0"/>
                <w:color w:val="000000"/>
              </w:rPr>
              <w:t>^</w:t>
            </w:r>
          </w:p>
        </w:tc>
        <w:tc>
          <w:tcPr>
            <w:tcW w:w="879" w:type="dxa"/>
            <w:shd w:val="clear" w:color="auto" w:fill="auto"/>
          </w:tcPr>
          <w:p w14:paraId="7D61A512" w14:textId="027248E3" w:rsidR="009A7EC3" w:rsidRPr="00DE25AD" w:rsidRDefault="009A7EC3" w:rsidP="009A7EC3">
            <w:pPr>
              <w:pStyle w:val="ASSADACCESStablecentre"/>
            </w:pPr>
            <w:r w:rsidRPr="002E5727">
              <w:rPr>
                <w:bCs w:val="0"/>
                <w:color w:val="000000"/>
              </w:rPr>
              <w:t>13</w:t>
            </w:r>
          </w:p>
        </w:tc>
        <w:tc>
          <w:tcPr>
            <w:tcW w:w="879" w:type="dxa"/>
            <w:shd w:val="clear" w:color="auto" w:fill="auto"/>
          </w:tcPr>
          <w:p w14:paraId="26068D1D" w14:textId="7562DA9E" w:rsidR="009A7EC3" w:rsidRPr="00DE25AD" w:rsidRDefault="009A7EC3" w:rsidP="009A7EC3">
            <w:pPr>
              <w:pStyle w:val="ASSADACCESStablecentre"/>
            </w:pPr>
            <w:r w:rsidRPr="002E5727">
              <w:rPr>
                <w:bCs w:val="0"/>
                <w:color w:val="000000"/>
              </w:rPr>
              <w:t>14</w:t>
            </w:r>
          </w:p>
        </w:tc>
        <w:tc>
          <w:tcPr>
            <w:tcW w:w="879" w:type="dxa"/>
            <w:shd w:val="clear" w:color="auto" w:fill="auto"/>
          </w:tcPr>
          <w:p w14:paraId="646068D3" w14:textId="6C69DB68" w:rsidR="009A7EC3" w:rsidRPr="00DE25AD" w:rsidRDefault="009A7EC3" w:rsidP="009A7EC3">
            <w:pPr>
              <w:pStyle w:val="ASSADACCESStablecentre"/>
            </w:pPr>
            <w:r w:rsidRPr="002E5727">
              <w:rPr>
                <w:bCs w:val="0"/>
                <w:color w:val="000000"/>
              </w:rPr>
              <w:t>1</w:t>
            </w:r>
            <w:r>
              <w:rPr>
                <w:bCs w:val="0"/>
                <w:color w:val="000000"/>
              </w:rPr>
              <w:t>5</w:t>
            </w:r>
          </w:p>
        </w:tc>
      </w:tr>
      <w:tr w:rsidR="009A7EC3" w:rsidRPr="00DE25AD" w14:paraId="1C7E9C12" w14:textId="77777777" w:rsidTr="005C5B03">
        <w:trPr>
          <w:trHeight w:val="247"/>
        </w:trPr>
        <w:tc>
          <w:tcPr>
            <w:tcW w:w="1517" w:type="dxa"/>
            <w:tcMar>
              <w:left w:w="57" w:type="dxa"/>
            </w:tcMar>
          </w:tcPr>
          <w:p w14:paraId="2C14AAF8"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2FEFAD95" w14:textId="77777777" w:rsidR="009A7EC3" w:rsidRPr="00DE25AD" w:rsidRDefault="009A7EC3" w:rsidP="009A7EC3">
            <w:pPr>
              <w:pStyle w:val="ASSAD2017ACCESSBody1"/>
            </w:pPr>
            <w:r w:rsidRPr="00DE25AD">
              <w:t>Male</w:t>
            </w:r>
          </w:p>
        </w:tc>
        <w:tc>
          <w:tcPr>
            <w:tcW w:w="878" w:type="dxa"/>
            <w:shd w:val="clear" w:color="auto" w:fill="auto"/>
          </w:tcPr>
          <w:p w14:paraId="18E2FD88" w14:textId="341306DD" w:rsidR="009A7EC3" w:rsidRPr="00DE25AD" w:rsidRDefault="009A7EC3" w:rsidP="009A7EC3">
            <w:pPr>
              <w:pStyle w:val="ASSADACCESStablecentre"/>
            </w:pPr>
            <w:r w:rsidRPr="002E5727">
              <w:rPr>
                <w:bCs w:val="0"/>
                <w:color w:val="000000"/>
              </w:rPr>
              <w:t>5*</w:t>
            </w:r>
          </w:p>
        </w:tc>
        <w:tc>
          <w:tcPr>
            <w:tcW w:w="879" w:type="dxa"/>
            <w:shd w:val="clear" w:color="auto" w:fill="auto"/>
          </w:tcPr>
          <w:p w14:paraId="5724FA0F" w14:textId="58FB1D48" w:rsidR="009A7EC3" w:rsidRPr="00DE25AD" w:rsidRDefault="009A7EC3" w:rsidP="009A7EC3">
            <w:pPr>
              <w:pStyle w:val="ASSADACCESStablecentre"/>
            </w:pPr>
            <w:r w:rsidRPr="002E5727">
              <w:rPr>
                <w:bCs w:val="0"/>
                <w:color w:val="000000"/>
              </w:rPr>
              <w:t>5</w:t>
            </w:r>
          </w:p>
        </w:tc>
        <w:tc>
          <w:tcPr>
            <w:tcW w:w="879" w:type="dxa"/>
            <w:shd w:val="clear" w:color="auto" w:fill="auto"/>
          </w:tcPr>
          <w:p w14:paraId="4099FF5F" w14:textId="349F3A8F" w:rsidR="009A7EC3" w:rsidRPr="00DE25AD" w:rsidRDefault="009A7EC3" w:rsidP="009A7EC3">
            <w:pPr>
              <w:pStyle w:val="ASSADACCESStablecentre"/>
            </w:pPr>
            <w:r w:rsidRPr="002E5727">
              <w:rPr>
                <w:bCs w:val="0"/>
                <w:color w:val="000000"/>
              </w:rPr>
              <w:t>4*</w:t>
            </w:r>
          </w:p>
        </w:tc>
        <w:tc>
          <w:tcPr>
            <w:tcW w:w="879" w:type="dxa"/>
            <w:shd w:val="clear" w:color="auto" w:fill="auto"/>
          </w:tcPr>
          <w:p w14:paraId="6EE6A4E5" w14:textId="5B964CE6"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2150C6AD" w14:textId="3011024D" w:rsidR="009A7EC3" w:rsidRPr="00DE25AD" w:rsidRDefault="009A7EC3" w:rsidP="009A7EC3">
            <w:pPr>
              <w:pStyle w:val="ASSADACCESStablecentre"/>
            </w:pPr>
            <w:r w:rsidRPr="002E5727">
              <w:rPr>
                <w:bCs w:val="0"/>
                <w:color w:val="000000"/>
              </w:rPr>
              <w:t>4*</w:t>
            </w:r>
          </w:p>
        </w:tc>
        <w:tc>
          <w:tcPr>
            <w:tcW w:w="879" w:type="dxa"/>
            <w:shd w:val="clear" w:color="auto" w:fill="auto"/>
          </w:tcPr>
          <w:p w14:paraId="32E29A77" w14:textId="17920949" w:rsidR="009A7EC3" w:rsidRPr="00DE25AD" w:rsidRDefault="009A7EC3" w:rsidP="009A7EC3">
            <w:pPr>
              <w:pStyle w:val="ASSADACCESStablecentre"/>
            </w:pPr>
            <w:r w:rsidRPr="002E5727">
              <w:rPr>
                <w:bCs w:val="0"/>
                <w:color w:val="000000"/>
              </w:rPr>
              <w:t>5</w:t>
            </w:r>
          </w:p>
        </w:tc>
        <w:tc>
          <w:tcPr>
            <w:tcW w:w="879" w:type="dxa"/>
            <w:shd w:val="clear" w:color="auto" w:fill="auto"/>
          </w:tcPr>
          <w:p w14:paraId="3A4C82E0" w14:textId="587AE9AB" w:rsidR="009A7EC3" w:rsidRPr="00DE25AD" w:rsidRDefault="009A7EC3" w:rsidP="009A7EC3">
            <w:pPr>
              <w:pStyle w:val="ASSADACCESStablecentre"/>
            </w:pPr>
            <w:r w:rsidRPr="002E5727">
              <w:rPr>
                <w:bCs w:val="0"/>
                <w:color w:val="000000"/>
              </w:rPr>
              <w:t>5</w:t>
            </w:r>
          </w:p>
        </w:tc>
        <w:tc>
          <w:tcPr>
            <w:tcW w:w="879" w:type="dxa"/>
            <w:shd w:val="clear" w:color="auto" w:fill="auto"/>
          </w:tcPr>
          <w:p w14:paraId="24459555" w14:textId="7E632F24" w:rsidR="009A7EC3" w:rsidRPr="00DE25AD" w:rsidRDefault="009A7EC3" w:rsidP="009A7EC3">
            <w:pPr>
              <w:pStyle w:val="ASSADACCESStablecentre"/>
            </w:pPr>
            <w:r w:rsidRPr="002E5727">
              <w:rPr>
                <w:bCs w:val="0"/>
                <w:color w:val="000000"/>
              </w:rPr>
              <w:t>8^</w:t>
            </w:r>
          </w:p>
        </w:tc>
      </w:tr>
      <w:tr w:rsidR="009A7EC3" w:rsidRPr="00DE25AD" w14:paraId="5C35DCD9" w14:textId="77777777" w:rsidTr="005C5B03">
        <w:trPr>
          <w:trHeight w:val="247"/>
        </w:trPr>
        <w:tc>
          <w:tcPr>
            <w:tcW w:w="1517" w:type="dxa"/>
            <w:tcMar>
              <w:left w:w="57" w:type="dxa"/>
            </w:tcMar>
          </w:tcPr>
          <w:p w14:paraId="40362F3D" w14:textId="77777777" w:rsidR="009A7EC3" w:rsidRPr="00DE25AD" w:rsidRDefault="009A7EC3" w:rsidP="009A7EC3">
            <w:pPr>
              <w:pStyle w:val="ACCESSTableHeaderRow"/>
            </w:pPr>
          </w:p>
        </w:tc>
        <w:tc>
          <w:tcPr>
            <w:tcW w:w="1068" w:type="dxa"/>
            <w:shd w:val="clear" w:color="auto" w:fill="auto"/>
            <w:tcMar>
              <w:left w:w="57" w:type="dxa"/>
            </w:tcMar>
            <w:vAlign w:val="bottom"/>
          </w:tcPr>
          <w:p w14:paraId="79BF02AF" w14:textId="77777777" w:rsidR="009A7EC3" w:rsidRPr="00DE25AD" w:rsidRDefault="009A7EC3" w:rsidP="009A7EC3">
            <w:pPr>
              <w:pStyle w:val="ASSAD2017ACCESSBody1"/>
            </w:pPr>
            <w:r w:rsidRPr="00DE25AD">
              <w:t>Female</w:t>
            </w:r>
          </w:p>
        </w:tc>
        <w:tc>
          <w:tcPr>
            <w:tcW w:w="878" w:type="dxa"/>
            <w:shd w:val="clear" w:color="auto" w:fill="auto"/>
          </w:tcPr>
          <w:p w14:paraId="2FD6F760" w14:textId="3E14791B" w:rsidR="009A7EC3" w:rsidRPr="00DE25AD" w:rsidRDefault="009A7EC3" w:rsidP="009A7EC3">
            <w:pPr>
              <w:pStyle w:val="ASSADACCESStablecentre"/>
            </w:pPr>
            <w:r w:rsidRPr="002E5727">
              <w:rPr>
                <w:bCs w:val="0"/>
                <w:color w:val="000000"/>
              </w:rPr>
              <w:t>5</w:t>
            </w:r>
          </w:p>
        </w:tc>
        <w:tc>
          <w:tcPr>
            <w:tcW w:w="879" w:type="dxa"/>
            <w:shd w:val="clear" w:color="auto" w:fill="auto"/>
          </w:tcPr>
          <w:p w14:paraId="64DCE4D5" w14:textId="3276D28E" w:rsidR="009A7EC3" w:rsidRPr="00DE25AD" w:rsidRDefault="009A7EC3" w:rsidP="009A7EC3">
            <w:pPr>
              <w:pStyle w:val="ASSADACCESStablecentre"/>
            </w:pPr>
            <w:r w:rsidRPr="002E5727">
              <w:rPr>
                <w:bCs w:val="0"/>
                <w:color w:val="000000"/>
              </w:rPr>
              <w:t>5</w:t>
            </w:r>
          </w:p>
        </w:tc>
        <w:tc>
          <w:tcPr>
            <w:tcW w:w="879" w:type="dxa"/>
            <w:shd w:val="clear" w:color="auto" w:fill="auto"/>
          </w:tcPr>
          <w:p w14:paraId="094399BF" w14:textId="137871F2" w:rsidR="009A7EC3" w:rsidRPr="00DE25AD" w:rsidRDefault="009A7EC3" w:rsidP="009A7EC3">
            <w:pPr>
              <w:pStyle w:val="ASSADACCESStablecentre"/>
            </w:pPr>
            <w:r w:rsidRPr="002E5727">
              <w:rPr>
                <w:bCs w:val="0"/>
                <w:color w:val="000000"/>
              </w:rPr>
              <w:t>5</w:t>
            </w:r>
          </w:p>
        </w:tc>
        <w:tc>
          <w:tcPr>
            <w:tcW w:w="879" w:type="dxa"/>
            <w:shd w:val="clear" w:color="auto" w:fill="auto"/>
          </w:tcPr>
          <w:p w14:paraId="016DEA1D" w14:textId="0EB81B05"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70BB1713" w14:textId="47F15AF2"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54712B1D" w14:textId="113ABE5F" w:rsidR="009A7EC3" w:rsidRPr="00DE25AD" w:rsidRDefault="009A7EC3" w:rsidP="009A7EC3">
            <w:pPr>
              <w:pStyle w:val="ASSADACCESStablecentre"/>
            </w:pPr>
            <w:r w:rsidRPr="002E5727">
              <w:rPr>
                <w:bCs w:val="0"/>
                <w:color w:val="000000"/>
              </w:rPr>
              <w:t>5</w:t>
            </w:r>
          </w:p>
        </w:tc>
        <w:tc>
          <w:tcPr>
            <w:tcW w:w="879" w:type="dxa"/>
            <w:shd w:val="clear" w:color="auto" w:fill="auto"/>
          </w:tcPr>
          <w:p w14:paraId="148FDC9E" w14:textId="15A60ECB" w:rsidR="009A7EC3" w:rsidRPr="00DE25AD" w:rsidRDefault="009A7EC3" w:rsidP="009A7EC3">
            <w:pPr>
              <w:pStyle w:val="ASSADACCESStablecentre"/>
            </w:pPr>
            <w:r w:rsidRPr="002E5727">
              <w:rPr>
                <w:bCs w:val="0"/>
                <w:color w:val="000000"/>
              </w:rPr>
              <w:t>6</w:t>
            </w:r>
          </w:p>
        </w:tc>
        <w:tc>
          <w:tcPr>
            <w:tcW w:w="879" w:type="dxa"/>
            <w:shd w:val="clear" w:color="auto" w:fill="auto"/>
          </w:tcPr>
          <w:p w14:paraId="6E0F4E25" w14:textId="1E9231C7" w:rsidR="009A7EC3" w:rsidRPr="00DE25AD" w:rsidRDefault="009A7EC3" w:rsidP="009A7EC3">
            <w:pPr>
              <w:pStyle w:val="ASSADACCESStablecentre"/>
            </w:pPr>
            <w:r w:rsidRPr="002E5727">
              <w:rPr>
                <w:bCs w:val="0"/>
                <w:color w:val="000000"/>
              </w:rPr>
              <w:t>6</w:t>
            </w:r>
          </w:p>
        </w:tc>
      </w:tr>
      <w:tr w:rsidR="009A7EC3" w:rsidRPr="00DE25AD" w14:paraId="58370A34" w14:textId="77777777" w:rsidTr="005C5B03">
        <w:trPr>
          <w:trHeight w:val="247"/>
        </w:trPr>
        <w:tc>
          <w:tcPr>
            <w:tcW w:w="1517" w:type="dxa"/>
            <w:tcMar>
              <w:left w:w="57" w:type="dxa"/>
            </w:tcMar>
          </w:tcPr>
          <w:p w14:paraId="196650F8" w14:textId="77777777" w:rsidR="009A7EC3" w:rsidRPr="00DE25AD" w:rsidRDefault="009A7EC3" w:rsidP="009A7EC3">
            <w:pPr>
              <w:pStyle w:val="ACCESSTableHeaderRow"/>
            </w:pPr>
          </w:p>
        </w:tc>
        <w:tc>
          <w:tcPr>
            <w:tcW w:w="1068" w:type="dxa"/>
            <w:shd w:val="clear" w:color="auto" w:fill="auto"/>
            <w:tcMar>
              <w:left w:w="57" w:type="dxa"/>
            </w:tcMar>
            <w:vAlign w:val="bottom"/>
          </w:tcPr>
          <w:p w14:paraId="053CEF4C" w14:textId="77777777" w:rsidR="009A7EC3" w:rsidRPr="00DE25AD" w:rsidRDefault="009A7EC3" w:rsidP="009A7EC3">
            <w:pPr>
              <w:pStyle w:val="ASSAD2017ACCESSBody1"/>
            </w:pPr>
            <w:r w:rsidRPr="00DE25AD">
              <w:t>Total</w:t>
            </w:r>
          </w:p>
        </w:tc>
        <w:tc>
          <w:tcPr>
            <w:tcW w:w="878" w:type="dxa"/>
            <w:shd w:val="clear" w:color="auto" w:fill="auto"/>
          </w:tcPr>
          <w:p w14:paraId="0DB4E8BD" w14:textId="698C6353" w:rsidR="009A7EC3" w:rsidRPr="00DE25AD" w:rsidRDefault="009A7EC3" w:rsidP="009A7EC3">
            <w:pPr>
              <w:pStyle w:val="ASSADACCESStablecentre"/>
            </w:pPr>
            <w:r w:rsidRPr="002E5727">
              <w:rPr>
                <w:bCs w:val="0"/>
                <w:color w:val="000000"/>
              </w:rPr>
              <w:t>5*</w:t>
            </w:r>
          </w:p>
        </w:tc>
        <w:tc>
          <w:tcPr>
            <w:tcW w:w="879" w:type="dxa"/>
            <w:shd w:val="clear" w:color="auto" w:fill="auto"/>
          </w:tcPr>
          <w:p w14:paraId="705161FD" w14:textId="49CB64A8" w:rsidR="009A7EC3" w:rsidRPr="00DE25AD" w:rsidRDefault="009A7EC3" w:rsidP="009A7EC3">
            <w:pPr>
              <w:pStyle w:val="ASSADACCESStablecentre"/>
            </w:pPr>
            <w:r w:rsidRPr="002E5727">
              <w:rPr>
                <w:bCs w:val="0"/>
                <w:color w:val="000000"/>
              </w:rPr>
              <w:t>5</w:t>
            </w:r>
            <w:r>
              <w:rPr>
                <w:bCs w:val="0"/>
                <w:color w:val="000000"/>
              </w:rPr>
              <w:t>*</w:t>
            </w:r>
          </w:p>
        </w:tc>
        <w:tc>
          <w:tcPr>
            <w:tcW w:w="879" w:type="dxa"/>
            <w:shd w:val="clear" w:color="auto" w:fill="auto"/>
          </w:tcPr>
          <w:p w14:paraId="7D29241D" w14:textId="1AE16464" w:rsidR="009A7EC3" w:rsidRPr="00DE25AD" w:rsidRDefault="009A7EC3" w:rsidP="009A7EC3">
            <w:pPr>
              <w:pStyle w:val="ASSADACCESStablecentre"/>
            </w:pPr>
            <w:r w:rsidRPr="002E5727">
              <w:rPr>
                <w:bCs w:val="0"/>
                <w:color w:val="000000"/>
              </w:rPr>
              <w:t>5*</w:t>
            </w:r>
          </w:p>
        </w:tc>
        <w:tc>
          <w:tcPr>
            <w:tcW w:w="879" w:type="dxa"/>
            <w:shd w:val="clear" w:color="auto" w:fill="auto"/>
          </w:tcPr>
          <w:p w14:paraId="2E5B5A75" w14:textId="53D4FE42"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01A9FFF7" w14:textId="2D2B1114" w:rsidR="009A7EC3" w:rsidRPr="00DE25AD" w:rsidRDefault="009A7EC3" w:rsidP="009A7EC3">
            <w:pPr>
              <w:pStyle w:val="ASSADACCESStablecentre"/>
            </w:pPr>
            <w:r w:rsidRPr="002E5727">
              <w:rPr>
                <w:bCs w:val="0"/>
                <w:color w:val="000000"/>
              </w:rPr>
              <w:t>4*</w:t>
            </w:r>
          </w:p>
        </w:tc>
        <w:tc>
          <w:tcPr>
            <w:tcW w:w="879" w:type="dxa"/>
            <w:shd w:val="clear" w:color="auto" w:fill="auto"/>
          </w:tcPr>
          <w:p w14:paraId="71CD68D1" w14:textId="683B03B4" w:rsidR="009A7EC3" w:rsidRPr="00DE25AD" w:rsidRDefault="009A7EC3" w:rsidP="009A7EC3">
            <w:pPr>
              <w:pStyle w:val="ASSADACCESStablecentre"/>
            </w:pPr>
            <w:r w:rsidRPr="002E5727">
              <w:rPr>
                <w:bCs w:val="0"/>
                <w:color w:val="000000"/>
              </w:rPr>
              <w:t>5</w:t>
            </w:r>
            <w:r>
              <w:rPr>
                <w:bCs w:val="0"/>
                <w:color w:val="000000"/>
              </w:rPr>
              <w:t>*</w:t>
            </w:r>
          </w:p>
        </w:tc>
        <w:tc>
          <w:tcPr>
            <w:tcW w:w="879" w:type="dxa"/>
            <w:shd w:val="clear" w:color="auto" w:fill="auto"/>
          </w:tcPr>
          <w:p w14:paraId="703AFBB5" w14:textId="3B0A0F9F" w:rsidR="009A7EC3" w:rsidRPr="00DE25AD" w:rsidRDefault="009A7EC3" w:rsidP="009A7EC3">
            <w:pPr>
              <w:pStyle w:val="ASSADACCESStablecentre"/>
            </w:pPr>
            <w:r w:rsidRPr="002E5727">
              <w:rPr>
                <w:bCs w:val="0"/>
                <w:color w:val="000000"/>
              </w:rPr>
              <w:t>5</w:t>
            </w:r>
          </w:p>
        </w:tc>
        <w:tc>
          <w:tcPr>
            <w:tcW w:w="879" w:type="dxa"/>
            <w:shd w:val="clear" w:color="auto" w:fill="auto"/>
          </w:tcPr>
          <w:p w14:paraId="21D735C8" w14:textId="0C060A93" w:rsidR="009A7EC3" w:rsidRPr="00DE25AD" w:rsidRDefault="009A7EC3" w:rsidP="009A7EC3">
            <w:pPr>
              <w:pStyle w:val="ASSADACCESStablecentre"/>
            </w:pPr>
            <w:r w:rsidRPr="002E5727">
              <w:rPr>
                <w:bCs w:val="0"/>
                <w:color w:val="000000"/>
              </w:rPr>
              <w:t>7^</w:t>
            </w:r>
          </w:p>
        </w:tc>
      </w:tr>
      <w:tr w:rsidR="009A7EC3" w:rsidRPr="00DE25AD" w14:paraId="644BDA83" w14:textId="77777777" w:rsidTr="005C5B03">
        <w:trPr>
          <w:trHeight w:val="247"/>
        </w:trPr>
        <w:tc>
          <w:tcPr>
            <w:tcW w:w="1517" w:type="dxa"/>
            <w:tcMar>
              <w:left w:w="57" w:type="dxa"/>
            </w:tcMar>
          </w:tcPr>
          <w:p w14:paraId="528F50D8"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5F1D5425" w14:textId="77777777" w:rsidR="009A7EC3" w:rsidRPr="00DE25AD" w:rsidRDefault="009A7EC3" w:rsidP="009A7EC3">
            <w:pPr>
              <w:pStyle w:val="ASSAD2017ACCESSBody1"/>
            </w:pPr>
            <w:r w:rsidRPr="00DE25AD">
              <w:t>Male</w:t>
            </w:r>
          </w:p>
        </w:tc>
        <w:tc>
          <w:tcPr>
            <w:tcW w:w="878" w:type="dxa"/>
            <w:shd w:val="clear" w:color="auto" w:fill="auto"/>
          </w:tcPr>
          <w:p w14:paraId="0331FBF1" w14:textId="5ED06BA3" w:rsidR="009A7EC3" w:rsidRPr="00DE25AD" w:rsidRDefault="009A7EC3" w:rsidP="009A7EC3">
            <w:pPr>
              <w:pStyle w:val="ASSADACCESStablecentre"/>
            </w:pPr>
            <w:r w:rsidRPr="002E5727">
              <w:rPr>
                <w:bCs w:val="0"/>
                <w:color w:val="000000"/>
              </w:rPr>
              <w:t>3*</w:t>
            </w:r>
          </w:p>
        </w:tc>
        <w:tc>
          <w:tcPr>
            <w:tcW w:w="879" w:type="dxa"/>
            <w:shd w:val="clear" w:color="auto" w:fill="auto"/>
          </w:tcPr>
          <w:p w14:paraId="2F9B00A1" w14:textId="7CBE3BEE" w:rsidR="009A7EC3" w:rsidRPr="00DE25AD" w:rsidRDefault="009A7EC3" w:rsidP="009A7EC3">
            <w:pPr>
              <w:pStyle w:val="ASSADACCESStablecentre"/>
            </w:pPr>
            <w:r w:rsidRPr="002E5727">
              <w:rPr>
                <w:bCs w:val="0"/>
                <w:color w:val="000000"/>
              </w:rPr>
              <w:t>3</w:t>
            </w:r>
          </w:p>
        </w:tc>
        <w:tc>
          <w:tcPr>
            <w:tcW w:w="879" w:type="dxa"/>
            <w:shd w:val="clear" w:color="auto" w:fill="auto"/>
          </w:tcPr>
          <w:p w14:paraId="6873DD2E" w14:textId="290E12FF" w:rsidR="009A7EC3" w:rsidRPr="00DE25AD" w:rsidRDefault="009A7EC3" w:rsidP="009A7EC3">
            <w:pPr>
              <w:pStyle w:val="ASSADACCESStablecentre"/>
            </w:pPr>
            <w:r w:rsidRPr="002E5727">
              <w:rPr>
                <w:bCs w:val="0"/>
                <w:color w:val="000000"/>
              </w:rPr>
              <w:t>3</w:t>
            </w:r>
          </w:p>
        </w:tc>
        <w:tc>
          <w:tcPr>
            <w:tcW w:w="879" w:type="dxa"/>
            <w:shd w:val="clear" w:color="auto" w:fill="auto"/>
          </w:tcPr>
          <w:p w14:paraId="3FF92380" w14:textId="1BFB8C18" w:rsidR="009A7EC3" w:rsidRPr="00DE25AD" w:rsidRDefault="009A7EC3" w:rsidP="009A7EC3">
            <w:pPr>
              <w:pStyle w:val="ASSADACCESStablecentre"/>
            </w:pPr>
            <w:r w:rsidRPr="002E5727">
              <w:rPr>
                <w:bCs w:val="0"/>
                <w:color w:val="000000"/>
              </w:rPr>
              <w:t>2*</w:t>
            </w:r>
          </w:p>
        </w:tc>
        <w:tc>
          <w:tcPr>
            <w:tcW w:w="879" w:type="dxa"/>
            <w:shd w:val="clear" w:color="auto" w:fill="auto"/>
          </w:tcPr>
          <w:p w14:paraId="53D3ADA8" w14:textId="1C3A24D3"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7AB9DCCC" w14:textId="7DA37DA7" w:rsidR="009A7EC3" w:rsidRPr="00DE25AD" w:rsidRDefault="009A7EC3" w:rsidP="009A7EC3">
            <w:pPr>
              <w:pStyle w:val="ASSADACCESStablecentre"/>
            </w:pPr>
            <w:r w:rsidRPr="002E5727">
              <w:rPr>
                <w:bCs w:val="0"/>
                <w:color w:val="000000"/>
              </w:rPr>
              <w:t>3*</w:t>
            </w:r>
          </w:p>
        </w:tc>
        <w:tc>
          <w:tcPr>
            <w:tcW w:w="879" w:type="dxa"/>
            <w:shd w:val="clear" w:color="auto" w:fill="auto"/>
          </w:tcPr>
          <w:p w14:paraId="475864FC" w14:textId="0418690E" w:rsidR="009A7EC3" w:rsidRPr="00DE25AD" w:rsidRDefault="009A7EC3" w:rsidP="009A7EC3">
            <w:pPr>
              <w:pStyle w:val="ASSADACCESStablecentre"/>
            </w:pPr>
            <w:r w:rsidRPr="002E5727">
              <w:rPr>
                <w:bCs w:val="0"/>
                <w:color w:val="000000"/>
              </w:rPr>
              <w:t>3</w:t>
            </w:r>
          </w:p>
        </w:tc>
        <w:tc>
          <w:tcPr>
            <w:tcW w:w="879" w:type="dxa"/>
            <w:shd w:val="clear" w:color="auto" w:fill="auto"/>
          </w:tcPr>
          <w:p w14:paraId="25270086" w14:textId="3782FB74" w:rsidR="009A7EC3" w:rsidRPr="00DE25AD" w:rsidRDefault="009A7EC3" w:rsidP="009A7EC3">
            <w:pPr>
              <w:pStyle w:val="ASSADACCESStablecentre"/>
            </w:pPr>
            <w:r w:rsidRPr="002E5727">
              <w:rPr>
                <w:bCs w:val="0"/>
                <w:color w:val="000000"/>
              </w:rPr>
              <w:t>5^</w:t>
            </w:r>
          </w:p>
        </w:tc>
      </w:tr>
      <w:tr w:rsidR="009A7EC3" w:rsidRPr="00DE25AD" w14:paraId="43A3FE51" w14:textId="77777777" w:rsidTr="005C5B03">
        <w:trPr>
          <w:trHeight w:val="247"/>
        </w:trPr>
        <w:tc>
          <w:tcPr>
            <w:tcW w:w="1517" w:type="dxa"/>
            <w:tcMar>
              <w:left w:w="57" w:type="dxa"/>
            </w:tcMar>
          </w:tcPr>
          <w:p w14:paraId="4D0AB885" w14:textId="77777777" w:rsidR="009A7EC3" w:rsidRPr="00DE25AD" w:rsidRDefault="009A7EC3" w:rsidP="009A7EC3">
            <w:pPr>
              <w:pStyle w:val="ACCESSTableHeaderRow"/>
            </w:pPr>
          </w:p>
        </w:tc>
        <w:tc>
          <w:tcPr>
            <w:tcW w:w="1068" w:type="dxa"/>
            <w:shd w:val="clear" w:color="auto" w:fill="auto"/>
            <w:tcMar>
              <w:left w:w="57" w:type="dxa"/>
            </w:tcMar>
            <w:vAlign w:val="bottom"/>
          </w:tcPr>
          <w:p w14:paraId="2F55937E" w14:textId="77777777" w:rsidR="009A7EC3" w:rsidRPr="00DE25AD" w:rsidRDefault="009A7EC3" w:rsidP="009A7EC3">
            <w:pPr>
              <w:pStyle w:val="ASSAD2017ACCESSBody1"/>
            </w:pPr>
            <w:r w:rsidRPr="00DE25AD">
              <w:t>Female</w:t>
            </w:r>
          </w:p>
        </w:tc>
        <w:tc>
          <w:tcPr>
            <w:tcW w:w="878" w:type="dxa"/>
            <w:shd w:val="clear" w:color="auto" w:fill="auto"/>
          </w:tcPr>
          <w:p w14:paraId="01082610" w14:textId="36F561EA" w:rsidR="009A7EC3" w:rsidRPr="00DE25AD" w:rsidRDefault="009A7EC3" w:rsidP="009A7EC3">
            <w:pPr>
              <w:pStyle w:val="ASSADACCESStablecentre"/>
            </w:pPr>
            <w:r w:rsidRPr="002E5727">
              <w:rPr>
                <w:bCs w:val="0"/>
                <w:color w:val="000000"/>
              </w:rPr>
              <w:t>2</w:t>
            </w:r>
          </w:p>
        </w:tc>
        <w:tc>
          <w:tcPr>
            <w:tcW w:w="879" w:type="dxa"/>
            <w:shd w:val="clear" w:color="auto" w:fill="auto"/>
          </w:tcPr>
          <w:p w14:paraId="30A8ECC2" w14:textId="7EBA2080" w:rsidR="009A7EC3" w:rsidRPr="00DE25AD" w:rsidRDefault="009A7EC3" w:rsidP="009A7EC3">
            <w:pPr>
              <w:pStyle w:val="ASSADACCESStablecentre"/>
            </w:pPr>
            <w:r w:rsidRPr="002E5727">
              <w:rPr>
                <w:bCs w:val="0"/>
                <w:color w:val="000000"/>
              </w:rPr>
              <w:t>2</w:t>
            </w:r>
          </w:p>
        </w:tc>
        <w:tc>
          <w:tcPr>
            <w:tcW w:w="879" w:type="dxa"/>
            <w:shd w:val="clear" w:color="auto" w:fill="auto"/>
          </w:tcPr>
          <w:p w14:paraId="5B8FAA1D" w14:textId="457DCE2E" w:rsidR="009A7EC3" w:rsidRPr="00DE25AD" w:rsidRDefault="009A7EC3" w:rsidP="009A7EC3">
            <w:pPr>
              <w:pStyle w:val="ASSADACCESStablecentre"/>
            </w:pPr>
            <w:r w:rsidRPr="002E5727">
              <w:rPr>
                <w:bCs w:val="0"/>
                <w:color w:val="000000"/>
              </w:rPr>
              <w:t>3</w:t>
            </w:r>
          </w:p>
        </w:tc>
        <w:tc>
          <w:tcPr>
            <w:tcW w:w="879" w:type="dxa"/>
            <w:shd w:val="clear" w:color="auto" w:fill="auto"/>
          </w:tcPr>
          <w:p w14:paraId="317E057F" w14:textId="065B81F9" w:rsidR="009A7EC3" w:rsidRPr="00DE25AD" w:rsidRDefault="009A7EC3" w:rsidP="009A7EC3">
            <w:pPr>
              <w:pStyle w:val="ASSADACCESStablecentre"/>
            </w:pPr>
            <w:r w:rsidRPr="002E5727">
              <w:rPr>
                <w:bCs w:val="0"/>
                <w:color w:val="000000"/>
              </w:rPr>
              <w:t>2</w:t>
            </w:r>
          </w:p>
        </w:tc>
        <w:tc>
          <w:tcPr>
            <w:tcW w:w="879" w:type="dxa"/>
            <w:shd w:val="clear" w:color="auto" w:fill="auto"/>
          </w:tcPr>
          <w:p w14:paraId="4AA5AAF5" w14:textId="7F95D6F7" w:rsidR="009A7EC3" w:rsidRPr="00DE25AD" w:rsidRDefault="009A7EC3" w:rsidP="009A7EC3">
            <w:pPr>
              <w:pStyle w:val="ASSADACCESStablecentre"/>
            </w:pPr>
            <w:r w:rsidRPr="002E5727">
              <w:rPr>
                <w:bCs w:val="0"/>
                <w:color w:val="000000"/>
              </w:rPr>
              <w:t>2</w:t>
            </w:r>
          </w:p>
        </w:tc>
        <w:tc>
          <w:tcPr>
            <w:tcW w:w="879" w:type="dxa"/>
            <w:shd w:val="clear" w:color="auto" w:fill="auto"/>
          </w:tcPr>
          <w:p w14:paraId="509C6054" w14:textId="3264B3B3" w:rsidR="009A7EC3" w:rsidRPr="00DE25AD" w:rsidRDefault="009A7EC3" w:rsidP="009A7EC3">
            <w:pPr>
              <w:pStyle w:val="ASSADACCESStablecentre"/>
            </w:pPr>
            <w:r w:rsidRPr="002E5727">
              <w:rPr>
                <w:bCs w:val="0"/>
                <w:color w:val="000000"/>
              </w:rPr>
              <w:t>3</w:t>
            </w:r>
          </w:p>
        </w:tc>
        <w:tc>
          <w:tcPr>
            <w:tcW w:w="879" w:type="dxa"/>
            <w:shd w:val="clear" w:color="auto" w:fill="auto"/>
          </w:tcPr>
          <w:p w14:paraId="1A2862DD" w14:textId="5C4E9824" w:rsidR="009A7EC3" w:rsidRPr="00DE25AD" w:rsidRDefault="009A7EC3" w:rsidP="009A7EC3">
            <w:pPr>
              <w:pStyle w:val="ASSADACCESStablecentre"/>
            </w:pPr>
            <w:r w:rsidRPr="002E5727">
              <w:rPr>
                <w:bCs w:val="0"/>
                <w:color w:val="000000"/>
              </w:rPr>
              <w:t>3</w:t>
            </w:r>
          </w:p>
        </w:tc>
        <w:tc>
          <w:tcPr>
            <w:tcW w:w="879" w:type="dxa"/>
            <w:shd w:val="clear" w:color="auto" w:fill="auto"/>
          </w:tcPr>
          <w:p w14:paraId="1A6584CA" w14:textId="4E2F8D2C" w:rsidR="009A7EC3" w:rsidRPr="00DE25AD" w:rsidRDefault="009A7EC3" w:rsidP="009A7EC3">
            <w:pPr>
              <w:pStyle w:val="ASSADACCESStablecentre"/>
            </w:pPr>
            <w:r w:rsidRPr="002E5727">
              <w:rPr>
                <w:bCs w:val="0"/>
                <w:color w:val="000000"/>
              </w:rPr>
              <w:t>3</w:t>
            </w:r>
          </w:p>
        </w:tc>
      </w:tr>
      <w:tr w:rsidR="009A7EC3" w:rsidRPr="00DE25AD" w14:paraId="474092DE" w14:textId="77777777" w:rsidTr="005C5B03">
        <w:trPr>
          <w:trHeight w:val="247"/>
        </w:trPr>
        <w:tc>
          <w:tcPr>
            <w:tcW w:w="1517" w:type="dxa"/>
            <w:tcMar>
              <w:left w:w="57" w:type="dxa"/>
            </w:tcMar>
          </w:tcPr>
          <w:p w14:paraId="05604777" w14:textId="77777777" w:rsidR="009A7EC3" w:rsidRPr="00DE25AD" w:rsidRDefault="009A7EC3" w:rsidP="009A7EC3">
            <w:pPr>
              <w:pStyle w:val="ACCESSTableHeaderRow"/>
            </w:pPr>
          </w:p>
        </w:tc>
        <w:tc>
          <w:tcPr>
            <w:tcW w:w="1068" w:type="dxa"/>
            <w:shd w:val="clear" w:color="auto" w:fill="auto"/>
            <w:tcMar>
              <w:left w:w="57" w:type="dxa"/>
            </w:tcMar>
            <w:vAlign w:val="bottom"/>
          </w:tcPr>
          <w:p w14:paraId="59A25222" w14:textId="77777777" w:rsidR="009A7EC3" w:rsidRPr="00DE25AD" w:rsidRDefault="009A7EC3" w:rsidP="009A7EC3">
            <w:pPr>
              <w:pStyle w:val="ASSAD2017ACCESSBody1"/>
            </w:pPr>
            <w:r w:rsidRPr="00DE25AD">
              <w:t>Total</w:t>
            </w:r>
          </w:p>
        </w:tc>
        <w:tc>
          <w:tcPr>
            <w:tcW w:w="878" w:type="dxa"/>
            <w:shd w:val="clear" w:color="auto" w:fill="auto"/>
          </w:tcPr>
          <w:p w14:paraId="4335BB24" w14:textId="1147A0A3" w:rsidR="009A7EC3" w:rsidRPr="00DE25AD" w:rsidRDefault="009A7EC3" w:rsidP="009A7EC3">
            <w:pPr>
              <w:pStyle w:val="ASSADACCESStablecentre"/>
            </w:pPr>
            <w:r w:rsidRPr="002E5727">
              <w:rPr>
                <w:bCs w:val="0"/>
                <w:color w:val="000000"/>
              </w:rPr>
              <w:t>3*</w:t>
            </w:r>
          </w:p>
        </w:tc>
        <w:tc>
          <w:tcPr>
            <w:tcW w:w="879" w:type="dxa"/>
            <w:shd w:val="clear" w:color="auto" w:fill="auto"/>
          </w:tcPr>
          <w:p w14:paraId="7F593748" w14:textId="03EA43EB" w:rsidR="009A7EC3" w:rsidRPr="00DE25AD" w:rsidRDefault="009A7EC3" w:rsidP="009A7EC3">
            <w:pPr>
              <w:pStyle w:val="ASSADACCESStablecentre"/>
            </w:pPr>
            <w:r w:rsidRPr="002E5727">
              <w:rPr>
                <w:bCs w:val="0"/>
                <w:color w:val="000000"/>
              </w:rPr>
              <w:t>2*</w:t>
            </w:r>
          </w:p>
        </w:tc>
        <w:tc>
          <w:tcPr>
            <w:tcW w:w="879" w:type="dxa"/>
            <w:shd w:val="clear" w:color="auto" w:fill="auto"/>
          </w:tcPr>
          <w:p w14:paraId="1CAAB1E1" w14:textId="4D3C3269" w:rsidR="009A7EC3" w:rsidRPr="00DE25AD" w:rsidRDefault="009A7EC3" w:rsidP="009A7EC3">
            <w:pPr>
              <w:pStyle w:val="ASSADACCESStablecentre"/>
            </w:pPr>
            <w:r w:rsidRPr="002E5727">
              <w:rPr>
                <w:bCs w:val="0"/>
                <w:color w:val="000000"/>
              </w:rPr>
              <w:t>3</w:t>
            </w:r>
          </w:p>
        </w:tc>
        <w:tc>
          <w:tcPr>
            <w:tcW w:w="879" w:type="dxa"/>
            <w:shd w:val="clear" w:color="auto" w:fill="auto"/>
          </w:tcPr>
          <w:p w14:paraId="5B76CDCB" w14:textId="1966CE26" w:rsidR="009A7EC3" w:rsidRPr="00DE25AD" w:rsidRDefault="009A7EC3" w:rsidP="009A7EC3">
            <w:pPr>
              <w:pStyle w:val="ASSADACCESStablecentre"/>
            </w:pPr>
            <w:r w:rsidRPr="002E5727">
              <w:rPr>
                <w:bCs w:val="0"/>
                <w:color w:val="000000"/>
              </w:rPr>
              <w:t>2*</w:t>
            </w:r>
          </w:p>
        </w:tc>
        <w:tc>
          <w:tcPr>
            <w:tcW w:w="879" w:type="dxa"/>
            <w:shd w:val="clear" w:color="auto" w:fill="auto"/>
          </w:tcPr>
          <w:p w14:paraId="77C1C267" w14:textId="17FF3FC7" w:rsidR="009A7EC3" w:rsidRPr="00DE25AD" w:rsidRDefault="009A7EC3" w:rsidP="009A7EC3">
            <w:pPr>
              <w:pStyle w:val="ASSADACCESStablecentre"/>
            </w:pPr>
            <w:r w:rsidRPr="002E5727">
              <w:rPr>
                <w:bCs w:val="0"/>
                <w:color w:val="000000"/>
              </w:rPr>
              <w:t>2*</w:t>
            </w:r>
          </w:p>
        </w:tc>
        <w:tc>
          <w:tcPr>
            <w:tcW w:w="879" w:type="dxa"/>
            <w:shd w:val="clear" w:color="auto" w:fill="auto"/>
          </w:tcPr>
          <w:p w14:paraId="5F4BEB91" w14:textId="363E8312"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7E990724" w14:textId="173711D9" w:rsidR="009A7EC3" w:rsidRPr="00DE25AD" w:rsidRDefault="009A7EC3" w:rsidP="009A7EC3">
            <w:pPr>
              <w:pStyle w:val="ASSADACCESStablecentre"/>
            </w:pPr>
            <w:r w:rsidRPr="002E5727">
              <w:rPr>
                <w:bCs w:val="0"/>
                <w:color w:val="000000"/>
              </w:rPr>
              <w:t>3</w:t>
            </w:r>
          </w:p>
        </w:tc>
        <w:tc>
          <w:tcPr>
            <w:tcW w:w="879" w:type="dxa"/>
            <w:shd w:val="clear" w:color="auto" w:fill="auto"/>
          </w:tcPr>
          <w:p w14:paraId="4FB3FEBE" w14:textId="36B4702C" w:rsidR="009A7EC3" w:rsidRPr="00DE25AD" w:rsidRDefault="009A7EC3" w:rsidP="009A7EC3">
            <w:pPr>
              <w:pStyle w:val="ASSADACCESStablecentre"/>
            </w:pPr>
            <w:r w:rsidRPr="002E5727">
              <w:rPr>
                <w:bCs w:val="0"/>
                <w:color w:val="000000"/>
              </w:rPr>
              <w:t>4^</w:t>
            </w:r>
          </w:p>
        </w:tc>
      </w:tr>
    </w:tbl>
    <w:p w14:paraId="134F324E" w14:textId="77777777" w:rsidR="005D6965" w:rsidRDefault="005D6965" w:rsidP="005D6965">
      <w:pPr>
        <w:pStyle w:val="ASSAD2017CWTablenote1"/>
      </w:pPr>
      <w:r>
        <w:t>* Significantly different than 2017, p&lt;.01; ^ Significantly different than 1996, p&lt;.01.</w:t>
      </w:r>
    </w:p>
    <w:p w14:paraId="6049A423" w14:textId="77777777" w:rsidR="005D6965" w:rsidRDefault="005D6965" w:rsidP="005D6965">
      <w:pPr>
        <w:pStyle w:val="ASSAD2017CWTablenote1"/>
      </w:pPr>
    </w:p>
    <w:p w14:paraId="042ACFB3" w14:textId="77777777" w:rsidR="005D6965" w:rsidRDefault="005D6965" w:rsidP="005D6965">
      <w:pPr>
        <w:suppressAutoHyphens w:val="0"/>
        <w:rPr>
          <w:rFonts w:ascii="Arial" w:eastAsia="Arial" w:hAnsi="Arial" w:cs="Arial"/>
          <w:sz w:val="18"/>
          <w:szCs w:val="18"/>
          <w:lang w:val="en-AU"/>
        </w:rPr>
      </w:pPr>
      <w:r>
        <w:br w:type="page"/>
      </w:r>
    </w:p>
    <w:p w14:paraId="796EB89A" w14:textId="025436DE" w:rsidR="005D6965" w:rsidRPr="0046446A" w:rsidRDefault="005D6965" w:rsidP="005D6965">
      <w:pPr>
        <w:pStyle w:val="ASSAD2017TableHeading"/>
      </w:pPr>
      <w:bookmarkStart w:id="80" w:name="_Toc44060496"/>
      <w:r w:rsidRPr="0046446A">
        <w:lastRenderedPageBreak/>
        <w:t xml:space="preserve">Table </w:t>
      </w:r>
      <w:r>
        <w:t>9</w:t>
      </w:r>
      <w:r w:rsidRPr="0046446A">
        <w:t xml:space="preserve"> </w:t>
      </w:r>
      <w:r>
        <w:t>Prevalence</w:t>
      </w:r>
      <w:r w:rsidRPr="0046446A">
        <w:t xml:space="preserve"> of </w:t>
      </w:r>
      <w:r>
        <w:t>tranquiliser</w:t>
      </w:r>
      <w:r w:rsidRPr="0046446A">
        <w:t xml:space="preserve"> use among secondary students aged 12-1</w:t>
      </w:r>
      <w:r>
        <w:t>7</w:t>
      </w:r>
      <w:r w:rsidRPr="0046446A">
        <w:t xml:space="preserve"> in Australia, ASSAD 1996-2017</w:t>
      </w:r>
      <w:bookmarkEnd w:id="80"/>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5D6965" w:rsidRPr="00DE25AD" w14:paraId="415BFA27" w14:textId="77777777" w:rsidTr="005C5B03">
        <w:trPr>
          <w:tblHeader/>
        </w:trPr>
        <w:tc>
          <w:tcPr>
            <w:tcW w:w="1517" w:type="dxa"/>
            <w:tcMar>
              <w:left w:w="57" w:type="dxa"/>
            </w:tcMar>
          </w:tcPr>
          <w:p w14:paraId="27ACDD17" w14:textId="77777777" w:rsidR="005D6965" w:rsidRPr="00DE25AD" w:rsidRDefault="005D6965"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2DAA799F" w14:textId="77777777" w:rsidR="005D6965" w:rsidRPr="00DE25AD" w:rsidRDefault="005D6965" w:rsidP="005C5B03">
            <w:pPr>
              <w:pStyle w:val="ACCESSTableHeaderRow"/>
            </w:pPr>
          </w:p>
        </w:tc>
        <w:tc>
          <w:tcPr>
            <w:tcW w:w="878" w:type="dxa"/>
            <w:shd w:val="clear" w:color="auto" w:fill="auto"/>
            <w:vAlign w:val="bottom"/>
          </w:tcPr>
          <w:p w14:paraId="0008A06F" w14:textId="77777777" w:rsidR="005D6965" w:rsidRPr="00DE25AD" w:rsidRDefault="005D6965" w:rsidP="005C5B03">
            <w:pPr>
              <w:pStyle w:val="ACCESSTableHeaderRow"/>
              <w:jc w:val="center"/>
            </w:pPr>
            <w:r>
              <w:t>1996</w:t>
            </w:r>
          </w:p>
          <w:p w14:paraId="65FF635E"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1193EAF7" w14:textId="77777777" w:rsidR="005D6965" w:rsidRPr="00DE25AD" w:rsidRDefault="005D6965" w:rsidP="005C5B03">
            <w:pPr>
              <w:pStyle w:val="ACCESSTableHeaderRow"/>
              <w:jc w:val="center"/>
            </w:pPr>
            <w:r w:rsidRPr="00DE25AD">
              <w:t>1</w:t>
            </w:r>
            <w:r>
              <w:t>999</w:t>
            </w:r>
          </w:p>
          <w:p w14:paraId="72A9B05D"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72DFC72F" w14:textId="77777777" w:rsidR="005D6965" w:rsidRPr="00DE25AD" w:rsidRDefault="005D6965" w:rsidP="005C5B03">
            <w:pPr>
              <w:pStyle w:val="ACCESSTableHeaderRow"/>
              <w:jc w:val="center"/>
            </w:pPr>
            <w:r>
              <w:t>2002</w:t>
            </w:r>
          </w:p>
          <w:p w14:paraId="0DE94964"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49B149C9" w14:textId="77777777" w:rsidR="005D6965" w:rsidRPr="00DE25AD" w:rsidRDefault="005D6965" w:rsidP="005C5B03">
            <w:pPr>
              <w:pStyle w:val="ACCESSTableHeaderRow"/>
              <w:jc w:val="center"/>
            </w:pPr>
            <w:r>
              <w:t>200</w:t>
            </w:r>
            <w:r w:rsidRPr="00DE25AD">
              <w:t>5</w:t>
            </w:r>
          </w:p>
          <w:p w14:paraId="3168704C"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0EA8EA01" w14:textId="77777777" w:rsidR="005D6965" w:rsidRPr="00DE25AD" w:rsidRDefault="005D6965" w:rsidP="005C5B03">
            <w:pPr>
              <w:pStyle w:val="ACCESSTableHeaderRow"/>
              <w:jc w:val="center"/>
            </w:pPr>
            <w:r>
              <w:t>2008</w:t>
            </w:r>
          </w:p>
          <w:p w14:paraId="0125EC67"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26EADC33" w14:textId="77777777" w:rsidR="005D6965" w:rsidRPr="00DE25AD" w:rsidRDefault="005D6965" w:rsidP="005C5B03">
            <w:pPr>
              <w:pStyle w:val="ACCESSTableHeaderRow"/>
              <w:jc w:val="center"/>
            </w:pPr>
            <w:r>
              <w:t>2011</w:t>
            </w:r>
          </w:p>
          <w:p w14:paraId="1B0E4D86" w14:textId="77777777" w:rsidR="005D6965" w:rsidRPr="00DE25AD" w:rsidRDefault="005D6965" w:rsidP="005C5B03">
            <w:pPr>
              <w:pStyle w:val="ACCESSTableHeaderRow"/>
              <w:jc w:val="center"/>
            </w:pPr>
            <w:r w:rsidRPr="00DE25AD">
              <w:t>(%)</w:t>
            </w:r>
          </w:p>
        </w:tc>
        <w:tc>
          <w:tcPr>
            <w:tcW w:w="879" w:type="dxa"/>
            <w:shd w:val="clear" w:color="auto" w:fill="auto"/>
            <w:vAlign w:val="bottom"/>
          </w:tcPr>
          <w:p w14:paraId="0EC0C71E" w14:textId="77777777" w:rsidR="005D6965" w:rsidRDefault="005D6965" w:rsidP="005C5B03">
            <w:pPr>
              <w:pStyle w:val="ACCESSTableHeaderRow"/>
              <w:jc w:val="center"/>
            </w:pPr>
            <w:r>
              <w:t>2014</w:t>
            </w:r>
          </w:p>
          <w:p w14:paraId="14A372ED" w14:textId="77777777" w:rsidR="005D6965" w:rsidRPr="00DE25AD" w:rsidRDefault="005D6965" w:rsidP="005C5B03">
            <w:pPr>
              <w:pStyle w:val="ACCESSTableHeaderRow"/>
              <w:jc w:val="center"/>
            </w:pPr>
            <w:r>
              <w:t>(%)</w:t>
            </w:r>
          </w:p>
        </w:tc>
        <w:tc>
          <w:tcPr>
            <w:tcW w:w="879" w:type="dxa"/>
            <w:shd w:val="clear" w:color="auto" w:fill="auto"/>
            <w:vAlign w:val="bottom"/>
          </w:tcPr>
          <w:p w14:paraId="5D7C9F96" w14:textId="77777777" w:rsidR="005D6965" w:rsidRDefault="005D6965" w:rsidP="005C5B03">
            <w:pPr>
              <w:pStyle w:val="ACCESSTableHeaderRow"/>
              <w:jc w:val="center"/>
            </w:pPr>
            <w:r>
              <w:t>2017</w:t>
            </w:r>
          </w:p>
          <w:p w14:paraId="11032981" w14:textId="77777777" w:rsidR="005D6965" w:rsidRPr="00DE25AD" w:rsidRDefault="005D6965" w:rsidP="005C5B03">
            <w:pPr>
              <w:pStyle w:val="ACCESSTableHeaderRow"/>
              <w:jc w:val="center"/>
            </w:pPr>
            <w:r w:rsidRPr="00DE25AD">
              <w:t>(%)</w:t>
            </w:r>
          </w:p>
        </w:tc>
      </w:tr>
      <w:tr w:rsidR="005D6965" w:rsidRPr="00DE25AD" w14:paraId="3087EA43" w14:textId="77777777" w:rsidTr="005C5B03">
        <w:trPr>
          <w:tblHeader/>
        </w:trPr>
        <w:tc>
          <w:tcPr>
            <w:tcW w:w="1517" w:type="dxa"/>
            <w:tcMar>
              <w:left w:w="57" w:type="dxa"/>
            </w:tcMar>
          </w:tcPr>
          <w:p w14:paraId="00987E2B" w14:textId="77777777" w:rsidR="005D6965" w:rsidRPr="00DE25AD" w:rsidRDefault="005D6965" w:rsidP="005C5B03">
            <w:pPr>
              <w:pStyle w:val="ACCESSTableHeaderRow"/>
            </w:pPr>
            <w:r w:rsidRPr="00DE25AD">
              <w:t>Recency</w:t>
            </w:r>
          </w:p>
        </w:tc>
        <w:tc>
          <w:tcPr>
            <w:tcW w:w="1068" w:type="dxa"/>
            <w:shd w:val="clear" w:color="auto" w:fill="auto"/>
            <w:tcMar>
              <w:left w:w="57" w:type="dxa"/>
            </w:tcMar>
            <w:vAlign w:val="center"/>
          </w:tcPr>
          <w:p w14:paraId="752CDC7C" w14:textId="77777777" w:rsidR="005D6965" w:rsidRPr="00DE25AD" w:rsidRDefault="005D6965" w:rsidP="005C5B03">
            <w:pPr>
              <w:pStyle w:val="ACCESSTableHeaderRow"/>
            </w:pPr>
            <w:r w:rsidRPr="00DE25AD">
              <w:t>Sex</w:t>
            </w:r>
          </w:p>
        </w:tc>
        <w:tc>
          <w:tcPr>
            <w:tcW w:w="878" w:type="dxa"/>
            <w:shd w:val="clear" w:color="auto" w:fill="auto"/>
            <w:vAlign w:val="bottom"/>
          </w:tcPr>
          <w:p w14:paraId="551368F9" w14:textId="77777777" w:rsidR="005D6965" w:rsidRPr="00DE25AD" w:rsidRDefault="005D6965" w:rsidP="005C5B03">
            <w:pPr>
              <w:pStyle w:val="ACCESSTableHeaderRow"/>
            </w:pPr>
          </w:p>
        </w:tc>
        <w:tc>
          <w:tcPr>
            <w:tcW w:w="879" w:type="dxa"/>
            <w:shd w:val="clear" w:color="auto" w:fill="auto"/>
            <w:vAlign w:val="bottom"/>
          </w:tcPr>
          <w:p w14:paraId="64AEFB6F" w14:textId="77777777" w:rsidR="005D6965" w:rsidRPr="00DE25AD" w:rsidRDefault="005D6965" w:rsidP="005C5B03">
            <w:pPr>
              <w:pStyle w:val="ACCESSTableHeaderRow"/>
            </w:pPr>
          </w:p>
        </w:tc>
        <w:tc>
          <w:tcPr>
            <w:tcW w:w="879" w:type="dxa"/>
            <w:shd w:val="clear" w:color="auto" w:fill="auto"/>
            <w:vAlign w:val="bottom"/>
          </w:tcPr>
          <w:p w14:paraId="27F0CF81" w14:textId="77777777" w:rsidR="005D6965" w:rsidRPr="00DE25AD" w:rsidRDefault="005D6965" w:rsidP="005C5B03">
            <w:pPr>
              <w:pStyle w:val="ACCESSTableHeaderRow"/>
            </w:pPr>
          </w:p>
        </w:tc>
        <w:tc>
          <w:tcPr>
            <w:tcW w:w="879" w:type="dxa"/>
            <w:shd w:val="clear" w:color="auto" w:fill="auto"/>
            <w:vAlign w:val="bottom"/>
          </w:tcPr>
          <w:p w14:paraId="5C555D35" w14:textId="77777777" w:rsidR="005D6965" w:rsidRPr="00DE25AD" w:rsidRDefault="005D6965" w:rsidP="005C5B03">
            <w:pPr>
              <w:pStyle w:val="ACCESSTableHeaderRow"/>
            </w:pPr>
          </w:p>
        </w:tc>
        <w:tc>
          <w:tcPr>
            <w:tcW w:w="879" w:type="dxa"/>
            <w:shd w:val="clear" w:color="auto" w:fill="auto"/>
            <w:vAlign w:val="bottom"/>
          </w:tcPr>
          <w:p w14:paraId="51E58FD2" w14:textId="77777777" w:rsidR="005D6965" w:rsidRPr="00DE25AD" w:rsidRDefault="005D6965" w:rsidP="005C5B03">
            <w:pPr>
              <w:pStyle w:val="ACCESSTableHeaderRow"/>
            </w:pPr>
          </w:p>
        </w:tc>
        <w:tc>
          <w:tcPr>
            <w:tcW w:w="879" w:type="dxa"/>
            <w:shd w:val="clear" w:color="auto" w:fill="auto"/>
            <w:vAlign w:val="bottom"/>
          </w:tcPr>
          <w:p w14:paraId="6ECB55C2" w14:textId="77777777" w:rsidR="005D6965" w:rsidRPr="00DE25AD" w:rsidRDefault="005D6965" w:rsidP="005C5B03">
            <w:pPr>
              <w:pStyle w:val="ACCESSTableHeaderRow"/>
            </w:pPr>
          </w:p>
        </w:tc>
        <w:tc>
          <w:tcPr>
            <w:tcW w:w="879" w:type="dxa"/>
            <w:shd w:val="clear" w:color="auto" w:fill="auto"/>
            <w:vAlign w:val="bottom"/>
          </w:tcPr>
          <w:p w14:paraId="09A5F7F4" w14:textId="77777777" w:rsidR="005D6965" w:rsidRPr="00DE25AD" w:rsidRDefault="005D6965" w:rsidP="005C5B03">
            <w:pPr>
              <w:pStyle w:val="ACCESSTableHeaderRow"/>
            </w:pPr>
          </w:p>
        </w:tc>
        <w:tc>
          <w:tcPr>
            <w:tcW w:w="879" w:type="dxa"/>
            <w:shd w:val="clear" w:color="auto" w:fill="auto"/>
            <w:vAlign w:val="bottom"/>
          </w:tcPr>
          <w:p w14:paraId="3F260483" w14:textId="77777777" w:rsidR="005D6965" w:rsidRPr="00DE25AD" w:rsidRDefault="005D6965" w:rsidP="005C5B03">
            <w:pPr>
              <w:pStyle w:val="ACCESSTableHeaderRow"/>
            </w:pPr>
          </w:p>
        </w:tc>
      </w:tr>
      <w:tr w:rsidR="009A7EC3" w:rsidRPr="00DE25AD" w14:paraId="61B28D5B" w14:textId="77777777" w:rsidTr="005C5B03">
        <w:tc>
          <w:tcPr>
            <w:tcW w:w="1517" w:type="dxa"/>
            <w:tcMar>
              <w:left w:w="57" w:type="dxa"/>
            </w:tcMar>
          </w:tcPr>
          <w:p w14:paraId="6932C98E"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5C6B35C9" w14:textId="77777777" w:rsidR="009A7EC3" w:rsidRPr="00DE25AD" w:rsidRDefault="009A7EC3" w:rsidP="009A7EC3">
            <w:pPr>
              <w:pStyle w:val="ASSAD2017ACCESSBody1"/>
            </w:pPr>
            <w:r w:rsidRPr="00DE25AD">
              <w:t>Male</w:t>
            </w:r>
          </w:p>
        </w:tc>
        <w:tc>
          <w:tcPr>
            <w:tcW w:w="878" w:type="dxa"/>
            <w:shd w:val="clear" w:color="auto" w:fill="auto"/>
          </w:tcPr>
          <w:p w14:paraId="17FB3AC3" w14:textId="0B259E48" w:rsidR="009A7EC3" w:rsidRPr="00DE25AD" w:rsidRDefault="009A7EC3" w:rsidP="009A7EC3">
            <w:pPr>
              <w:pStyle w:val="ASSADACCESStablecentre"/>
            </w:pPr>
            <w:r w:rsidRPr="002E5727">
              <w:rPr>
                <w:bCs w:val="0"/>
                <w:color w:val="000000"/>
              </w:rPr>
              <w:t>19</w:t>
            </w:r>
          </w:p>
        </w:tc>
        <w:tc>
          <w:tcPr>
            <w:tcW w:w="879" w:type="dxa"/>
            <w:shd w:val="clear" w:color="auto" w:fill="auto"/>
          </w:tcPr>
          <w:p w14:paraId="1C09FD0B" w14:textId="3D35E894" w:rsidR="009A7EC3" w:rsidRPr="00DE25AD" w:rsidRDefault="009A7EC3" w:rsidP="009A7EC3">
            <w:pPr>
              <w:pStyle w:val="ASSADACCESStablecentre"/>
            </w:pPr>
            <w:r w:rsidRPr="002E5727">
              <w:rPr>
                <w:bCs w:val="0"/>
                <w:color w:val="000000"/>
              </w:rPr>
              <w:t>19</w:t>
            </w:r>
          </w:p>
        </w:tc>
        <w:tc>
          <w:tcPr>
            <w:tcW w:w="879" w:type="dxa"/>
            <w:shd w:val="clear" w:color="auto" w:fill="auto"/>
          </w:tcPr>
          <w:p w14:paraId="463D5D4C" w14:textId="582846FD" w:rsidR="009A7EC3" w:rsidRPr="00DE25AD" w:rsidRDefault="009A7EC3" w:rsidP="009A7EC3">
            <w:pPr>
              <w:pStyle w:val="ASSADACCESStablecentre"/>
            </w:pPr>
            <w:r w:rsidRPr="002E5727">
              <w:rPr>
                <w:bCs w:val="0"/>
                <w:color w:val="000000"/>
              </w:rPr>
              <w:t>16*</w:t>
            </w:r>
            <w:r>
              <w:rPr>
                <w:bCs w:val="0"/>
                <w:color w:val="000000"/>
              </w:rPr>
              <w:t>^</w:t>
            </w:r>
          </w:p>
        </w:tc>
        <w:tc>
          <w:tcPr>
            <w:tcW w:w="879" w:type="dxa"/>
            <w:shd w:val="clear" w:color="auto" w:fill="auto"/>
          </w:tcPr>
          <w:p w14:paraId="3B30FF55" w14:textId="1C382DDB" w:rsidR="009A7EC3" w:rsidRPr="00DE25AD" w:rsidRDefault="009A7EC3" w:rsidP="009A7EC3">
            <w:pPr>
              <w:pStyle w:val="ASSADACCESStablecentre"/>
            </w:pPr>
            <w:r w:rsidRPr="002E5727">
              <w:rPr>
                <w:bCs w:val="0"/>
                <w:color w:val="000000"/>
              </w:rPr>
              <w:t>15*^</w:t>
            </w:r>
          </w:p>
        </w:tc>
        <w:tc>
          <w:tcPr>
            <w:tcW w:w="879" w:type="dxa"/>
            <w:shd w:val="clear" w:color="auto" w:fill="auto"/>
          </w:tcPr>
          <w:p w14:paraId="61C027BC" w14:textId="3243EB26" w:rsidR="009A7EC3" w:rsidRPr="00DE25AD" w:rsidRDefault="009A7EC3" w:rsidP="009A7EC3">
            <w:pPr>
              <w:pStyle w:val="ASSADACCESStablecentre"/>
            </w:pPr>
            <w:r w:rsidRPr="002E5727">
              <w:rPr>
                <w:bCs w:val="0"/>
                <w:color w:val="000000"/>
              </w:rPr>
              <w:t>16*^</w:t>
            </w:r>
          </w:p>
        </w:tc>
        <w:tc>
          <w:tcPr>
            <w:tcW w:w="879" w:type="dxa"/>
            <w:shd w:val="clear" w:color="auto" w:fill="auto"/>
          </w:tcPr>
          <w:p w14:paraId="23C1388E" w14:textId="72A0DA4E" w:rsidR="009A7EC3" w:rsidRPr="00DE25AD" w:rsidRDefault="009A7EC3" w:rsidP="009A7EC3">
            <w:pPr>
              <w:pStyle w:val="ASSADACCESStablecentre"/>
            </w:pPr>
            <w:r w:rsidRPr="002E5727">
              <w:rPr>
                <w:bCs w:val="0"/>
                <w:color w:val="000000"/>
              </w:rPr>
              <w:t>17*</w:t>
            </w:r>
            <w:r>
              <w:rPr>
                <w:bCs w:val="0"/>
                <w:color w:val="000000"/>
              </w:rPr>
              <w:t>^</w:t>
            </w:r>
          </w:p>
        </w:tc>
        <w:tc>
          <w:tcPr>
            <w:tcW w:w="879" w:type="dxa"/>
            <w:shd w:val="clear" w:color="auto" w:fill="auto"/>
          </w:tcPr>
          <w:p w14:paraId="46A37095" w14:textId="1FE3E9CF" w:rsidR="009A7EC3" w:rsidRPr="00DE25AD" w:rsidRDefault="009A7EC3" w:rsidP="009A7EC3">
            <w:pPr>
              <w:pStyle w:val="ASSADACCESStablecentre"/>
            </w:pPr>
            <w:r w:rsidRPr="002E5727">
              <w:rPr>
                <w:bCs w:val="0"/>
                <w:color w:val="000000"/>
              </w:rPr>
              <w:t>17</w:t>
            </w:r>
            <w:r>
              <w:rPr>
                <w:bCs w:val="0"/>
                <w:color w:val="000000"/>
              </w:rPr>
              <w:t>^</w:t>
            </w:r>
          </w:p>
        </w:tc>
        <w:tc>
          <w:tcPr>
            <w:tcW w:w="879" w:type="dxa"/>
            <w:shd w:val="clear" w:color="auto" w:fill="auto"/>
          </w:tcPr>
          <w:p w14:paraId="0722EB89" w14:textId="058D6D44" w:rsidR="009A7EC3" w:rsidRPr="00DE25AD" w:rsidRDefault="009A7EC3" w:rsidP="009A7EC3">
            <w:pPr>
              <w:pStyle w:val="ASSADACCESStablecentre"/>
            </w:pPr>
            <w:r w:rsidRPr="002E5727">
              <w:rPr>
                <w:bCs w:val="0"/>
                <w:color w:val="000000"/>
              </w:rPr>
              <w:t>20</w:t>
            </w:r>
          </w:p>
        </w:tc>
      </w:tr>
      <w:tr w:rsidR="009A7EC3" w:rsidRPr="00DE25AD" w14:paraId="2B0FF8A1" w14:textId="77777777" w:rsidTr="005C5B03">
        <w:tc>
          <w:tcPr>
            <w:tcW w:w="1517" w:type="dxa"/>
            <w:tcMar>
              <w:left w:w="57" w:type="dxa"/>
            </w:tcMar>
          </w:tcPr>
          <w:p w14:paraId="19E5CACE" w14:textId="77777777" w:rsidR="009A7EC3" w:rsidRPr="00DE25AD" w:rsidRDefault="009A7EC3" w:rsidP="009A7EC3">
            <w:pPr>
              <w:pStyle w:val="ACCESSTableHeaderRow"/>
            </w:pPr>
          </w:p>
        </w:tc>
        <w:tc>
          <w:tcPr>
            <w:tcW w:w="1068" w:type="dxa"/>
            <w:shd w:val="clear" w:color="auto" w:fill="auto"/>
            <w:tcMar>
              <w:left w:w="57" w:type="dxa"/>
            </w:tcMar>
            <w:vAlign w:val="bottom"/>
          </w:tcPr>
          <w:p w14:paraId="1FA20626" w14:textId="77777777" w:rsidR="009A7EC3" w:rsidRPr="00DE25AD" w:rsidRDefault="009A7EC3" w:rsidP="009A7EC3">
            <w:pPr>
              <w:pStyle w:val="ASSAD2017ACCESSBody1"/>
            </w:pPr>
            <w:r w:rsidRPr="00DE25AD">
              <w:t>Female</w:t>
            </w:r>
          </w:p>
        </w:tc>
        <w:tc>
          <w:tcPr>
            <w:tcW w:w="878" w:type="dxa"/>
            <w:shd w:val="clear" w:color="auto" w:fill="auto"/>
          </w:tcPr>
          <w:p w14:paraId="25D293F5" w14:textId="1DA56C9F" w:rsidR="009A7EC3" w:rsidRPr="00DE25AD" w:rsidRDefault="009A7EC3" w:rsidP="009A7EC3">
            <w:pPr>
              <w:pStyle w:val="ASSADACCESStablecentre"/>
            </w:pPr>
            <w:r w:rsidRPr="002E5727">
              <w:rPr>
                <w:bCs w:val="0"/>
                <w:color w:val="000000"/>
              </w:rPr>
              <w:t>20</w:t>
            </w:r>
          </w:p>
        </w:tc>
        <w:tc>
          <w:tcPr>
            <w:tcW w:w="879" w:type="dxa"/>
            <w:shd w:val="clear" w:color="auto" w:fill="auto"/>
          </w:tcPr>
          <w:p w14:paraId="1A82E1AB" w14:textId="6E44DBF6" w:rsidR="009A7EC3" w:rsidRPr="00DE25AD" w:rsidRDefault="009A7EC3" w:rsidP="009A7EC3">
            <w:pPr>
              <w:pStyle w:val="ASSADACCESStablecentre"/>
            </w:pPr>
            <w:r w:rsidRPr="002E5727">
              <w:rPr>
                <w:bCs w:val="0"/>
                <w:color w:val="000000"/>
              </w:rPr>
              <w:t>18</w:t>
            </w:r>
          </w:p>
        </w:tc>
        <w:tc>
          <w:tcPr>
            <w:tcW w:w="879" w:type="dxa"/>
            <w:shd w:val="clear" w:color="auto" w:fill="auto"/>
          </w:tcPr>
          <w:p w14:paraId="2A18116C" w14:textId="62B76227" w:rsidR="009A7EC3" w:rsidRPr="00DE25AD" w:rsidRDefault="009A7EC3" w:rsidP="009A7EC3">
            <w:pPr>
              <w:pStyle w:val="ASSADACCESStablecentre"/>
            </w:pPr>
            <w:r w:rsidRPr="002E5727">
              <w:rPr>
                <w:bCs w:val="0"/>
                <w:color w:val="000000"/>
              </w:rPr>
              <w:t>16*^</w:t>
            </w:r>
          </w:p>
        </w:tc>
        <w:tc>
          <w:tcPr>
            <w:tcW w:w="879" w:type="dxa"/>
            <w:shd w:val="clear" w:color="auto" w:fill="auto"/>
          </w:tcPr>
          <w:p w14:paraId="78612DD4" w14:textId="303D60B0" w:rsidR="009A7EC3" w:rsidRPr="00DE25AD" w:rsidRDefault="009A7EC3" w:rsidP="009A7EC3">
            <w:pPr>
              <w:pStyle w:val="ASSADACCESStablecentre"/>
            </w:pPr>
            <w:r w:rsidRPr="002E5727">
              <w:rPr>
                <w:bCs w:val="0"/>
                <w:color w:val="000000"/>
              </w:rPr>
              <w:t>15*^</w:t>
            </w:r>
          </w:p>
        </w:tc>
        <w:tc>
          <w:tcPr>
            <w:tcW w:w="879" w:type="dxa"/>
            <w:shd w:val="clear" w:color="auto" w:fill="auto"/>
          </w:tcPr>
          <w:p w14:paraId="432816CD" w14:textId="3DB316B4" w:rsidR="009A7EC3" w:rsidRPr="00DE25AD" w:rsidRDefault="009A7EC3" w:rsidP="009A7EC3">
            <w:pPr>
              <w:pStyle w:val="ASSADACCESStablecentre"/>
            </w:pPr>
            <w:r w:rsidRPr="002E5727">
              <w:rPr>
                <w:bCs w:val="0"/>
                <w:color w:val="000000"/>
              </w:rPr>
              <w:t>18^</w:t>
            </w:r>
          </w:p>
        </w:tc>
        <w:tc>
          <w:tcPr>
            <w:tcW w:w="879" w:type="dxa"/>
            <w:shd w:val="clear" w:color="auto" w:fill="auto"/>
          </w:tcPr>
          <w:p w14:paraId="73FF88D1" w14:textId="1A7ADE45" w:rsidR="009A7EC3" w:rsidRPr="00DE25AD" w:rsidRDefault="009A7EC3" w:rsidP="009A7EC3">
            <w:pPr>
              <w:pStyle w:val="ASSADACCESStablecentre"/>
            </w:pPr>
            <w:r w:rsidRPr="002E5727">
              <w:rPr>
                <w:bCs w:val="0"/>
                <w:color w:val="000000"/>
              </w:rPr>
              <w:t>17^</w:t>
            </w:r>
          </w:p>
        </w:tc>
        <w:tc>
          <w:tcPr>
            <w:tcW w:w="879" w:type="dxa"/>
            <w:shd w:val="clear" w:color="auto" w:fill="auto"/>
          </w:tcPr>
          <w:p w14:paraId="2D30ABAB" w14:textId="76ADBF9A" w:rsidR="009A7EC3" w:rsidRPr="00DE25AD" w:rsidRDefault="009A7EC3" w:rsidP="009A7EC3">
            <w:pPr>
              <w:pStyle w:val="ASSADACCESStablecentre"/>
            </w:pPr>
            <w:r>
              <w:rPr>
                <w:bCs w:val="0"/>
                <w:color w:val="000000"/>
              </w:rPr>
              <w:t>19</w:t>
            </w:r>
          </w:p>
        </w:tc>
        <w:tc>
          <w:tcPr>
            <w:tcW w:w="879" w:type="dxa"/>
            <w:shd w:val="clear" w:color="auto" w:fill="auto"/>
          </w:tcPr>
          <w:p w14:paraId="3F368EC5" w14:textId="029C5C2D" w:rsidR="009A7EC3" w:rsidRPr="00DE25AD" w:rsidRDefault="009A7EC3" w:rsidP="009A7EC3">
            <w:pPr>
              <w:pStyle w:val="ASSADACCESStablecentre"/>
            </w:pPr>
            <w:r w:rsidRPr="002E5727">
              <w:rPr>
                <w:bCs w:val="0"/>
                <w:color w:val="000000"/>
              </w:rPr>
              <w:t>1</w:t>
            </w:r>
            <w:r>
              <w:rPr>
                <w:bCs w:val="0"/>
                <w:color w:val="000000"/>
              </w:rPr>
              <w:t>8</w:t>
            </w:r>
          </w:p>
        </w:tc>
      </w:tr>
      <w:tr w:rsidR="009A7EC3" w:rsidRPr="00DE25AD" w14:paraId="5C972F01" w14:textId="77777777" w:rsidTr="005C5B03">
        <w:tc>
          <w:tcPr>
            <w:tcW w:w="1517" w:type="dxa"/>
            <w:tcMar>
              <w:left w:w="57" w:type="dxa"/>
            </w:tcMar>
          </w:tcPr>
          <w:p w14:paraId="1EC202E5" w14:textId="77777777" w:rsidR="009A7EC3" w:rsidRPr="00DE25AD" w:rsidRDefault="009A7EC3" w:rsidP="009A7EC3">
            <w:pPr>
              <w:pStyle w:val="ACCESSTableHeaderRow"/>
            </w:pPr>
          </w:p>
        </w:tc>
        <w:tc>
          <w:tcPr>
            <w:tcW w:w="1068" w:type="dxa"/>
            <w:shd w:val="clear" w:color="auto" w:fill="auto"/>
            <w:tcMar>
              <w:left w:w="57" w:type="dxa"/>
            </w:tcMar>
            <w:vAlign w:val="bottom"/>
          </w:tcPr>
          <w:p w14:paraId="13F5CCD5" w14:textId="77777777" w:rsidR="009A7EC3" w:rsidRPr="00DE25AD" w:rsidRDefault="009A7EC3" w:rsidP="009A7EC3">
            <w:pPr>
              <w:pStyle w:val="ASSAD2017ACCESSBody1"/>
            </w:pPr>
            <w:r w:rsidRPr="00DE25AD">
              <w:t>Total</w:t>
            </w:r>
          </w:p>
        </w:tc>
        <w:tc>
          <w:tcPr>
            <w:tcW w:w="878" w:type="dxa"/>
            <w:shd w:val="clear" w:color="auto" w:fill="auto"/>
          </w:tcPr>
          <w:p w14:paraId="57BFBF59" w14:textId="4388ED1C" w:rsidR="009A7EC3" w:rsidRPr="00DE25AD" w:rsidRDefault="009A7EC3" w:rsidP="009A7EC3">
            <w:pPr>
              <w:pStyle w:val="ASSADACCESStablecentre"/>
            </w:pPr>
            <w:r w:rsidRPr="002E5727">
              <w:rPr>
                <w:bCs w:val="0"/>
                <w:color w:val="000000"/>
              </w:rPr>
              <w:t>19</w:t>
            </w:r>
          </w:p>
        </w:tc>
        <w:tc>
          <w:tcPr>
            <w:tcW w:w="879" w:type="dxa"/>
            <w:shd w:val="clear" w:color="auto" w:fill="auto"/>
          </w:tcPr>
          <w:p w14:paraId="721CAD78" w14:textId="76FD1EF1" w:rsidR="009A7EC3" w:rsidRPr="00DE25AD" w:rsidRDefault="009A7EC3" w:rsidP="009A7EC3">
            <w:pPr>
              <w:pStyle w:val="ASSADACCESStablecentre"/>
            </w:pPr>
            <w:r w:rsidRPr="002E5727">
              <w:rPr>
                <w:bCs w:val="0"/>
                <w:color w:val="000000"/>
              </w:rPr>
              <w:t>18</w:t>
            </w:r>
          </w:p>
        </w:tc>
        <w:tc>
          <w:tcPr>
            <w:tcW w:w="879" w:type="dxa"/>
            <w:shd w:val="clear" w:color="auto" w:fill="auto"/>
          </w:tcPr>
          <w:p w14:paraId="5137C343" w14:textId="6798F73D" w:rsidR="009A7EC3" w:rsidRPr="00DE25AD" w:rsidRDefault="009A7EC3" w:rsidP="009A7EC3">
            <w:pPr>
              <w:pStyle w:val="ASSADACCESStablecentre"/>
            </w:pPr>
            <w:r w:rsidRPr="002E5727">
              <w:rPr>
                <w:bCs w:val="0"/>
                <w:color w:val="000000"/>
              </w:rPr>
              <w:t>16*^</w:t>
            </w:r>
          </w:p>
        </w:tc>
        <w:tc>
          <w:tcPr>
            <w:tcW w:w="879" w:type="dxa"/>
            <w:shd w:val="clear" w:color="auto" w:fill="auto"/>
          </w:tcPr>
          <w:p w14:paraId="634AC61E" w14:textId="7251CA61" w:rsidR="009A7EC3" w:rsidRPr="00DE25AD" w:rsidRDefault="009A7EC3" w:rsidP="009A7EC3">
            <w:pPr>
              <w:pStyle w:val="ASSADACCESStablecentre"/>
            </w:pPr>
            <w:r w:rsidRPr="002E5727">
              <w:rPr>
                <w:bCs w:val="0"/>
                <w:color w:val="000000"/>
              </w:rPr>
              <w:t>15*^</w:t>
            </w:r>
          </w:p>
        </w:tc>
        <w:tc>
          <w:tcPr>
            <w:tcW w:w="879" w:type="dxa"/>
            <w:shd w:val="clear" w:color="auto" w:fill="auto"/>
          </w:tcPr>
          <w:p w14:paraId="469F5280" w14:textId="46CDE8AB" w:rsidR="009A7EC3" w:rsidRPr="00DE25AD" w:rsidRDefault="009A7EC3" w:rsidP="009A7EC3">
            <w:pPr>
              <w:pStyle w:val="ASSADACCESStablecentre"/>
            </w:pPr>
            <w:r w:rsidRPr="002E5727">
              <w:rPr>
                <w:bCs w:val="0"/>
                <w:color w:val="000000"/>
              </w:rPr>
              <w:t>17*^</w:t>
            </w:r>
          </w:p>
        </w:tc>
        <w:tc>
          <w:tcPr>
            <w:tcW w:w="879" w:type="dxa"/>
            <w:shd w:val="clear" w:color="auto" w:fill="auto"/>
          </w:tcPr>
          <w:p w14:paraId="692CDE07" w14:textId="6463C4A8" w:rsidR="009A7EC3" w:rsidRPr="00DE25AD" w:rsidRDefault="009A7EC3" w:rsidP="009A7EC3">
            <w:pPr>
              <w:pStyle w:val="ASSADACCESStablecentre"/>
            </w:pPr>
            <w:r w:rsidRPr="002E5727">
              <w:rPr>
                <w:bCs w:val="0"/>
                <w:color w:val="000000"/>
              </w:rPr>
              <w:t>17*^</w:t>
            </w:r>
          </w:p>
        </w:tc>
        <w:tc>
          <w:tcPr>
            <w:tcW w:w="879" w:type="dxa"/>
            <w:shd w:val="clear" w:color="auto" w:fill="auto"/>
          </w:tcPr>
          <w:p w14:paraId="794E9119" w14:textId="627C4762" w:rsidR="009A7EC3" w:rsidRPr="00DE25AD" w:rsidRDefault="009A7EC3" w:rsidP="009A7EC3">
            <w:pPr>
              <w:pStyle w:val="ASSADACCESStablecentre"/>
            </w:pPr>
            <w:r w:rsidRPr="002E5727">
              <w:rPr>
                <w:bCs w:val="0"/>
                <w:color w:val="000000"/>
              </w:rPr>
              <w:t>18</w:t>
            </w:r>
          </w:p>
        </w:tc>
        <w:tc>
          <w:tcPr>
            <w:tcW w:w="879" w:type="dxa"/>
            <w:shd w:val="clear" w:color="auto" w:fill="auto"/>
          </w:tcPr>
          <w:p w14:paraId="56217520" w14:textId="54CB5916" w:rsidR="009A7EC3" w:rsidRPr="00DE25AD" w:rsidRDefault="009A7EC3" w:rsidP="009A7EC3">
            <w:pPr>
              <w:pStyle w:val="ASSADACCESStablecentre"/>
            </w:pPr>
            <w:r>
              <w:rPr>
                <w:bCs w:val="0"/>
                <w:color w:val="000000"/>
              </w:rPr>
              <w:t>19</w:t>
            </w:r>
          </w:p>
        </w:tc>
      </w:tr>
      <w:tr w:rsidR="009A7EC3" w:rsidRPr="00DE25AD" w14:paraId="25443DE0" w14:textId="77777777" w:rsidTr="00545FF4">
        <w:tc>
          <w:tcPr>
            <w:tcW w:w="1517" w:type="dxa"/>
            <w:tcMar>
              <w:left w:w="57" w:type="dxa"/>
            </w:tcMar>
          </w:tcPr>
          <w:p w14:paraId="2EF32629"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410BC2D8" w14:textId="77777777" w:rsidR="009A7EC3" w:rsidRPr="00DE25AD" w:rsidRDefault="009A7EC3" w:rsidP="009A7EC3">
            <w:pPr>
              <w:pStyle w:val="ASSAD2017ACCESSBody1"/>
            </w:pPr>
            <w:r w:rsidRPr="00DE25AD">
              <w:t>Male</w:t>
            </w:r>
          </w:p>
        </w:tc>
        <w:tc>
          <w:tcPr>
            <w:tcW w:w="878" w:type="dxa"/>
            <w:shd w:val="clear" w:color="auto" w:fill="auto"/>
          </w:tcPr>
          <w:p w14:paraId="7B3EAB09" w14:textId="18257CB5" w:rsidR="009A7EC3" w:rsidRPr="00DE25AD" w:rsidRDefault="009A7EC3" w:rsidP="009A7EC3">
            <w:pPr>
              <w:pStyle w:val="ASSADACCESStablecentre"/>
            </w:pPr>
            <w:r w:rsidRPr="002E5727">
              <w:rPr>
                <w:bCs w:val="0"/>
                <w:color w:val="000000"/>
              </w:rPr>
              <w:t>11</w:t>
            </w:r>
          </w:p>
        </w:tc>
        <w:tc>
          <w:tcPr>
            <w:tcW w:w="879" w:type="dxa"/>
            <w:shd w:val="clear" w:color="auto" w:fill="auto"/>
          </w:tcPr>
          <w:p w14:paraId="2E347EEB" w14:textId="712DEBD1" w:rsidR="009A7EC3" w:rsidRPr="00DE25AD" w:rsidRDefault="009A7EC3" w:rsidP="009A7EC3">
            <w:pPr>
              <w:pStyle w:val="ASSADACCESStablecentre"/>
            </w:pPr>
            <w:r w:rsidRPr="002E5727">
              <w:rPr>
                <w:bCs w:val="0"/>
                <w:color w:val="000000"/>
              </w:rPr>
              <w:t>10*</w:t>
            </w:r>
          </w:p>
        </w:tc>
        <w:tc>
          <w:tcPr>
            <w:tcW w:w="879" w:type="dxa"/>
            <w:shd w:val="clear" w:color="auto" w:fill="auto"/>
          </w:tcPr>
          <w:p w14:paraId="2EF5C095" w14:textId="09BC9662" w:rsidR="009A7EC3" w:rsidRPr="00DE25AD" w:rsidRDefault="009A7EC3" w:rsidP="009A7EC3">
            <w:pPr>
              <w:pStyle w:val="ASSADACCESStablecentre"/>
            </w:pPr>
            <w:r w:rsidRPr="002E5727">
              <w:rPr>
                <w:bCs w:val="0"/>
                <w:color w:val="000000"/>
              </w:rPr>
              <w:t>9*^</w:t>
            </w:r>
          </w:p>
        </w:tc>
        <w:tc>
          <w:tcPr>
            <w:tcW w:w="879" w:type="dxa"/>
            <w:shd w:val="clear" w:color="auto" w:fill="auto"/>
          </w:tcPr>
          <w:p w14:paraId="24E9EB59" w14:textId="22E1DEFB" w:rsidR="009A7EC3" w:rsidRPr="00DE25AD" w:rsidRDefault="009A7EC3" w:rsidP="009A7EC3">
            <w:pPr>
              <w:pStyle w:val="ASSADACCESStablecentre"/>
            </w:pPr>
            <w:r w:rsidRPr="002E5727">
              <w:rPr>
                <w:bCs w:val="0"/>
                <w:color w:val="000000"/>
              </w:rPr>
              <w:t>9*^</w:t>
            </w:r>
          </w:p>
        </w:tc>
        <w:tc>
          <w:tcPr>
            <w:tcW w:w="879" w:type="dxa"/>
            <w:shd w:val="clear" w:color="auto" w:fill="auto"/>
          </w:tcPr>
          <w:p w14:paraId="3CF6794B" w14:textId="4E34118F" w:rsidR="009A7EC3" w:rsidRPr="00DE25AD" w:rsidRDefault="009A7EC3" w:rsidP="009A7EC3">
            <w:pPr>
              <w:pStyle w:val="ASSADACCESStablecentre"/>
            </w:pPr>
            <w:r w:rsidRPr="002E5727">
              <w:rPr>
                <w:bCs w:val="0"/>
                <w:color w:val="000000"/>
              </w:rPr>
              <w:t>9*^</w:t>
            </w:r>
          </w:p>
        </w:tc>
        <w:tc>
          <w:tcPr>
            <w:tcW w:w="879" w:type="dxa"/>
            <w:shd w:val="clear" w:color="auto" w:fill="auto"/>
          </w:tcPr>
          <w:p w14:paraId="5698026B" w14:textId="3E9274A4" w:rsidR="009A7EC3" w:rsidRPr="00DE25AD" w:rsidRDefault="009A7EC3" w:rsidP="009A7EC3">
            <w:pPr>
              <w:pStyle w:val="ASSADACCESStablecentre"/>
            </w:pPr>
            <w:r w:rsidRPr="002E5727">
              <w:rPr>
                <w:bCs w:val="0"/>
                <w:color w:val="000000"/>
              </w:rPr>
              <w:t>11</w:t>
            </w:r>
            <w:r>
              <w:rPr>
                <w:bCs w:val="0"/>
                <w:color w:val="000000"/>
              </w:rPr>
              <w:t>*</w:t>
            </w:r>
          </w:p>
        </w:tc>
        <w:tc>
          <w:tcPr>
            <w:tcW w:w="879" w:type="dxa"/>
            <w:shd w:val="clear" w:color="auto" w:fill="auto"/>
          </w:tcPr>
          <w:p w14:paraId="20A1AA59" w14:textId="13917B51" w:rsidR="009A7EC3" w:rsidRPr="00DE25AD" w:rsidRDefault="009A7EC3" w:rsidP="009A7EC3">
            <w:pPr>
              <w:pStyle w:val="ASSADACCESStablecentre"/>
            </w:pPr>
            <w:r w:rsidRPr="002E5727">
              <w:rPr>
                <w:bCs w:val="0"/>
                <w:color w:val="000000"/>
              </w:rPr>
              <w:t>11*</w:t>
            </w:r>
          </w:p>
        </w:tc>
        <w:tc>
          <w:tcPr>
            <w:tcW w:w="879" w:type="dxa"/>
            <w:shd w:val="clear" w:color="auto" w:fill="auto"/>
          </w:tcPr>
          <w:p w14:paraId="7510EC40" w14:textId="4F348DB2" w:rsidR="009A7EC3" w:rsidRPr="00DE25AD" w:rsidRDefault="009A7EC3" w:rsidP="009A7EC3">
            <w:pPr>
              <w:pStyle w:val="ASSADACCESStablecentre"/>
            </w:pPr>
            <w:r w:rsidRPr="002E5727">
              <w:rPr>
                <w:bCs w:val="0"/>
                <w:color w:val="000000"/>
              </w:rPr>
              <w:t>13</w:t>
            </w:r>
          </w:p>
        </w:tc>
      </w:tr>
      <w:tr w:rsidR="009A7EC3" w:rsidRPr="00DE25AD" w14:paraId="35D54BE9" w14:textId="77777777" w:rsidTr="005C5B03">
        <w:tc>
          <w:tcPr>
            <w:tcW w:w="1517" w:type="dxa"/>
            <w:tcMar>
              <w:left w:w="57" w:type="dxa"/>
            </w:tcMar>
          </w:tcPr>
          <w:p w14:paraId="46068022" w14:textId="77777777" w:rsidR="009A7EC3" w:rsidRPr="00DE25AD" w:rsidRDefault="009A7EC3" w:rsidP="009A7EC3">
            <w:pPr>
              <w:pStyle w:val="ACCESSTableHeaderRow"/>
            </w:pPr>
          </w:p>
        </w:tc>
        <w:tc>
          <w:tcPr>
            <w:tcW w:w="1068" w:type="dxa"/>
            <w:shd w:val="clear" w:color="auto" w:fill="auto"/>
            <w:tcMar>
              <w:left w:w="57" w:type="dxa"/>
            </w:tcMar>
            <w:vAlign w:val="bottom"/>
          </w:tcPr>
          <w:p w14:paraId="026E7651" w14:textId="77777777" w:rsidR="009A7EC3" w:rsidRPr="00DE25AD" w:rsidRDefault="009A7EC3" w:rsidP="009A7EC3">
            <w:pPr>
              <w:pStyle w:val="ASSAD2017ACCESSBody1"/>
            </w:pPr>
            <w:r w:rsidRPr="00DE25AD">
              <w:t>Female</w:t>
            </w:r>
          </w:p>
        </w:tc>
        <w:tc>
          <w:tcPr>
            <w:tcW w:w="878" w:type="dxa"/>
            <w:shd w:val="clear" w:color="auto" w:fill="auto"/>
          </w:tcPr>
          <w:p w14:paraId="62BDAC5C" w14:textId="2E2CB324" w:rsidR="009A7EC3" w:rsidRPr="00DE25AD" w:rsidRDefault="009A7EC3" w:rsidP="009A7EC3">
            <w:pPr>
              <w:pStyle w:val="ASSADACCESStablecentre"/>
            </w:pPr>
            <w:r w:rsidRPr="002E5727">
              <w:rPr>
                <w:bCs w:val="0"/>
                <w:color w:val="000000"/>
              </w:rPr>
              <w:t>13</w:t>
            </w:r>
          </w:p>
        </w:tc>
        <w:tc>
          <w:tcPr>
            <w:tcW w:w="879" w:type="dxa"/>
            <w:shd w:val="clear" w:color="auto" w:fill="auto"/>
          </w:tcPr>
          <w:p w14:paraId="218A2256" w14:textId="03E13EE1" w:rsidR="009A7EC3" w:rsidRPr="00DE25AD" w:rsidRDefault="009A7EC3" w:rsidP="009A7EC3">
            <w:pPr>
              <w:pStyle w:val="ASSADACCESStablecentre"/>
            </w:pPr>
            <w:r w:rsidRPr="002E5727">
              <w:rPr>
                <w:bCs w:val="0"/>
                <w:color w:val="000000"/>
              </w:rPr>
              <w:t>11</w:t>
            </w:r>
          </w:p>
        </w:tc>
        <w:tc>
          <w:tcPr>
            <w:tcW w:w="879" w:type="dxa"/>
            <w:shd w:val="clear" w:color="auto" w:fill="auto"/>
          </w:tcPr>
          <w:p w14:paraId="4B5410B6" w14:textId="7335E632" w:rsidR="009A7EC3" w:rsidRPr="00DE25AD" w:rsidRDefault="009A7EC3" w:rsidP="009A7EC3">
            <w:pPr>
              <w:pStyle w:val="ASSADACCESStablecentre"/>
            </w:pPr>
            <w:r w:rsidRPr="002E5727">
              <w:rPr>
                <w:bCs w:val="0"/>
                <w:color w:val="000000"/>
              </w:rPr>
              <w:t>10*^</w:t>
            </w:r>
          </w:p>
        </w:tc>
        <w:tc>
          <w:tcPr>
            <w:tcW w:w="879" w:type="dxa"/>
            <w:shd w:val="clear" w:color="auto" w:fill="auto"/>
          </w:tcPr>
          <w:p w14:paraId="7311FD4A" w14:textId="75CD0FA9" w:rsidR="009A7EC3" w:rsidRPr="00DE25AD" w:rsidRDefault="009A7EC3" w:rsidP="009A7EC3">
            <w:pPr>
              <w:pStyle w:val="ASSADACCESStablecentre"/>
            </w:pPr>
            <w:r w:rsidRPr="002E5727">
              <w:rPr>
                <w:bCs w:val="0"/>
                <w:color w:val="000000"/>
              </w:rPr>
              <w:t>9*^</w:t>
            </w:r>
          </w:p>
        </w:tc>
        <w:tc>
          <w:tcPr>
            <w:tcW w:w="879" w:type="dxa"/>
            <w:shd w:val="clear" w:color="auto" w:fill="auto"/>
          </w:tcPr>
          <w:p w14:paraId="142F04A9" w14:textId="56DEBE34" w:rsidR="009A7EC3" w:rsidRPr="00DE25AD" w:rsidRDefault="009A7EC3" w:rsidP="009A7EC3">
            <w:pPr>
              <w:pStyle w:val="ASSADACCESStablecentre"/>
            </w:pPr>
            <w:r w:rsidRPr="002E5727">
              <w:rPr>
                <w:bCs w:val="0"/>
                <w:color w:val="000000"/>
              </w:rPr>
              <w:t>11*^</w:t>
            </w:r>
          </w:p>
        </w:tc>
        <w:tc>
          <w:tcPr>
            <w:tcW w:w="879" w:type="dxa"/>
            <w:shd w:val="clear" w:color="auto" w:fill="auto"/>
          </w:tcPr>
          <w:p w14:paraId="6AD275C6" w14:textId="3A33BBD0" w:rsidR="009A7EC3" w:rsidRPr="00DE25AD" w:rsidRDefault="009A7EC3" w:rsidP="009A7EC3">
            <w:pPr>
              <w:pStyle w:val="ASSADACCESStablecentre"/>
            </w:pPr>
            <w:r w:rsidRPr="002E5727">
              <w:rPr>
                <w:bCs w:val="0"/>
                <w:color w:val="000000"/>
              </w:rPr>
              <w:t>12</w:t>
            </w:r>
            <w:r>
              <w:rPr>
                <w:bCs w:val="0"/>
                <w:color w:val="000000"/>
              </w:rPr>
              <w:t>^</w:t>
            </w:r>
          </w:p>
        </w:tc>
        <w:tc>
          <w:tcPr>
            <w:tcW w:w="879" w:type="dxa"/>
            <w:shd w:val="clear" w:color="auto" w:fill="auto"/>
          </w:tcPr>
          <w:p w14:paraId="26FD177B" w14:textId="6DB8FC1E" w:rsidR="009A7EC3" w:rsidRPr="00DE25AD" w:rsidRDefault="009A7EC3" w:rsidP="009A7EC3">
            <w:pPr>
              <w:pStyle w:val="ASSADACCESStablecentre"/>
            </w:pPr>
            <w:r w:rsidRPr="002E5727">
              <w:rPr>
                <w:bCs w:val="0"/>
                <w:color w:val="000000"/>
              </w:rPr>
              <w:t>13</w:t>
            </w:r>
          </w:p>
        </w:tc>
        <w:tc>
          <w:tcPr>
            <w:tcW w:w="879" w:type="dxa"/>
            <w:shd w:val="clear" w:color="auto" w:fill="auto"/>
          </w:tcPr>
          <w:p w14:paraId="567A888C" w14:textId="6CACF7C4" w:rsidR="009A7EC3" w:rsidRPr="00DE25AD" w:rsidRDefault="009A7EC3" w:rsidP="009A7EC3">
            <w:pPr>
              <w:pStyle w:val="ASSADACCESStablecentre"/>
            </w:pPr>
            <w:r w:rsidRPr="002E5727">
              <w:rPr>
                <w:bCs w:val="0"/>
                <w:color w:val="000000"/>
              </w:rPr>
              <w:t>1</w:t>
            </w:r>
            <w:r>
              <w:rPr>
                <w:bCs w:val="0"/>
                <w:color w:val="000000"/>
              </w:rPr>
              <w:t>2</w:t>
            </w:r>
          </w:p>
        </w:tc>
      </w:tr>
      <w:tr w:rsidR="009A7EC3" w:rsidRPr="00DE25AD" w14:paraId="74773DE7" w14:textId="77777777" w:rsidTr="005C5B03">
        <w:tc>
          <w:tcPr>
            <w:tcW w:w="1517" w:type="dxa"/>
            <w:tcMar>
              <w:left w:w="57" w:type="dxa"/>
            </w:tcMar>
          </w:tcPr>
          <w:p w14:paraId="52CDF672" w14:textId="77777777" w:rsidR="009A7EC3" w:rsidRPr="00DE25AD" w:rsidRDefault="009A7EC3" w:rsidP="009A7EC3">
            <w:pPr>
              <w:pStyle w:val="ACCESSTableHeaderRow"/>
            </w:pPr>
          </w:p>
        </w:tc>
        <w:tc>
          <w:tcPr>
            <w:tcW w:w="1068" w:type="dxa"/>
            <w:shd w:val="clear" w:color="auto" w:fill="auto"/>
            <w:tcMar>
              <w:left w:w="57" w:type="dxa"/>
            </w:tcMar>
            <w:vAlign w:val="bottom"/>
          </w:tcPr>
          <w:p w14:paraId="42745439" w14:textId="77777777" w:rsidR="009A7EC3" w:rsidRPr="00DE25AD" w:rsidRDefault="009A7EC3" w:rsidP="009A7EC3">
            <w:pPr>
              <w:pStyle w:val="ASSAD2017ACCESSBody1"/>
            </w:pPr>
            <w:r w:rsidRPr="00DE25AD">
              <w:t>Total</w:t>
            </w:r>
          </w:p>
        </w:tc>
        <w:tc>
          <w:tcPr>
            <w:tcW w:w="878" w:type="dxa"/>
            <w:shd w:val="clear" w:color="auto" w:fill="auto"/>
          </w:tcPr>
          <w:p w14:paraId="03CFDC43" w14:textId="42AA178F" w:rsidR="009A7EC3" w:rsidRPr="00DE25AD" w:rsidRDefault="009A7EC3" w:rsidP="009A7EC3">
            <w:pPr>
              <w:pStyle w:val="ASSADACCESStablecentre"/>
            </w:pPr>
            <w:r w:rsidRPr="002E5727">
              <w:rPr>
                <w:bCs w:val="0"/>
                <w:color w:val="000000"/>
              </w:rPr>
              <w:t>12</w:t>
            </w:r>
          </w:p>
        </w:tc>
        <w:tc>
          <w:tcPr>
            <w:tcW w:w="879" w:type="dxa"/>
            <w:shd w:val="clear" w:color="auto" w:fill="auto"/>
          </w:tcPr>
          <w:p w14:paraId="5841A9BD" w14:textId="12569E72" w:rsidR="009A7EC3" w:rsidRPr="00DE25AD" w:rsidRDefault="009A7EC3" w:rsidP="009A7EC3">
            <w:pPr>
              <w:pStyle w:val="ASSADACCESStablecentre"/>
            </w:pPr>
            <w:r w:rsidRPr="002E5727">
              <w:rPr>
                <w:bCs w:val="0"/>
                <w:color w:val="000000"/>
              </w:rPr>
              <w:t>11</w:t>
            </w:r>
            <w:r>
              <w:rPr>
                <w:bCs w:val="0"/>
                <w:color w:val="000000"/>
              </w:rPr>
              <w:t>*^</w:t>
            </w:r>
          </w:p>
        </w:tc>
        <w:tc>
          <w:tcPr>
            <w:tcW w:w="879" w:type="dxa"/>
            <w:shd w:val="clear" w:color="auto" w:fill="auto"/>
          </w:tcPr>
          <w:p w14:paraId="6A19A8BA" w14:textId="2009388F" w:rsidR="009A7EC3" w:rsidRPr="00DE25AD" w:rsidRDefault="009A7EC3" w:rsidP="009A7EC3">
            <w:pPr>
              <w:pStyle w:val="ASSADACCESStablecentre"/>
            </w:pPr>
            <w:r w:rsidRPr="002E5727">
              <w:rPr>
                <w:bCs w:val="0"/>
                <w:color w:val="000000"/>
              </w:rPr>
              <w:t>9</w:t>
            </w:r>
            <w:r>
              <w:rPr>
                <w:bCs w:val="0"/>
                <w:color w:val="000000"/>
              </w:rPr>
              <w:t>*^</w:t>
            </w:r>
          </w:p>
        </w:tc>
        <w:tc>
          <w:tcPr>
            <w:tcW w:w="879" w:type="dxa"/>
            <w:shd w:val="clear" w:color="auto" w:fill="auto"/>
          </w:tcPr>
          <w:p w14:paraId="756AC514" w14:textId="1CCB81D2" w:rsidR="009A7EC3" w:rsidRPr="00DE25AD" w:rsidRDefault="009A7EC3" w:rsidP="009A7EC3">
            <w:pPr>
              <w:pStyle w:val="ASSADACCESStablecentre"/>
            </w:pPr>
            <w:r w:rsidRPr="002E5727">
              <w:rPr>
                <w:bCs w:val="0"/>
                <w:color w:val="000000"/>
              </w:rPr>
              <w:t>9</w:t>
            </w:r>
            <w:r>
              <w:rPr>
                <w:bCs w:val="0"/>
                <w:color w:val="000000"/>
              </w:rPr>
              <w:t>*^</w:t>
            </w:r>
          </w:p>
        </w:tc>
        <w:tc>
          <w:tcPr>
            <w:tcW w:w="879" w:type="dxa"/>
            <w:shd w:val="clear" w:color="auto" w:fill="auto"/>
          </w:tcPr>
          <w:p w14:paraId="1C17847B" w14:textId="46400DC9" w:rsidR="009A7EC3" w:rsidRPr="00DE25AD" w:rsidRDefault="009A7EC3" w:rsidP="009A7EC3">
            <w:pPr>
              <w:pStyle w:val="ASSADACCESStablecentre"/>
            </w:pPr>
            <w:r w:rsidRPr="002E5727">
              <w:rPr>
                <w:bCs w:val="0"/>
                <w:color w:val="000000"/>
              </w:rPr>
              <w:t>10</w:t>
            </w:r>
            <w:r>
              <w:rPr>
                <w:bCs w:val="0"/>
                <w:color w:val="000000"/>
              </w:rPr>
              <w:t>*^</w:t>
            </w:r>
          </w:p>
        </w:tc>
        <w:tc>
          <w:tcPr>
            <w:tcW w:w="879" w:type="dxa"/>
            <w:shd w:val="clear" w:color="auto" w:fill="auto"/>
          </w:tcPr>
          <w:p w14:paraId="4D423208" w14:textId="225DB036" w:rsidR="009A7EC3" w:rsidRPr="00DE25AD" w:rsidRDefault="009A7EC3" w:rsidP="009A7EC3">
            <w:pPr>
              <w:pStyle w:val="ASSADACCESStablecentre"/>
            </w:pPr>
            <w:r w:rsidRPr="002E5727">
              <w:rPr>
                <w:bCs w:val="0"/>
                <w:color w:val="000000"/>
              </w:rPr>
              <w:t>11</w:t>
            </w:r>
            <w:r>
              <w:rPr>
                <w:bCs w:val="0"/>
                <w:color w:val="000000"/>
              </w:rPr>
              <w:t>*^</w:t>
            </w:r>
          </w:p>
        </w:tc>
        <w:tc>
          <w:tcPr>
            <w:tcW w:w="879" w:type="dxa"/>
            <w:shd w:val="clear" w:color="auto" w:fill="auto"/>
          </w:tcPr>
          <w:p w14:paraId="7F864474" w14:textId="7F3DD96F" w:rsidR="009A7EC3" w:rsidRPr="00DE25AD" w:rsidRDefault="009A7EC3" w:rsidP="009A7EC3">
            <w:pPr>
              <w:pStyle w:val="ASSADACCESStablecentre"/>
            </w:pPr>
            <w:r w:rsidRPr="002E5727">
              <w:rPr>
                <w:bCs w:val="0"/>
                <w:color w:val="000000"/>
              </w:rPr>
              <w:t>12</w:t>
            </w:r>
          </w:p>
        </w:tc>
        <w:tc>
          <w:tcPr>
            <w:tcW w:w="879" w:type="dxa"/>
            <w:shd w:val="clear" w:color="auto" w:fill="auto"/>
          </w:tcPr>
          <w:p w14:paraId="5CFD1764" w14:textId="02CB8505" w:rsidR="009A7EC3" w:rsidRPr="00DE25AD" w:rsidRDefault="009A7EC3" w:rsidP="009A7EC3">
            <w:pPr>
              <w:pStyle w:val="ASSADACCESStablecentre"/>
            </w:pPr>
            <w:r w:rsidRPr="002E5727">
              <w:rPr>
                <w:bCs w:val="0"/>
                <w:color w:val="000000"/>
              </w:rPr>
              <w:t>13</w:t>
            </w:r>
          </w:p>
        </w:tc>
      </w:tr>
      <w:tr w:rsidR="009A7EC3" w:rsidRPr="00DE25AD" w14:paraId="23F869C0" w14:textId="77777777" w:rsidTr="005C5B03">
        <w:tc>
          <w:tcPr>
            <w:tcW w:w="1517" w:type="dxa"/>
            <w:tcMar>
              <w:left w:w="57" w:type="dxa"/>
            </w:tcMar>
          </w:tcPr>
          <w:p w14:paraId="1D8EBA4F"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078E380D" w14:textId="77777777" w:rsidR="009A7EC3" w:rsidRPr="00DE25AD" w:rsidRDefault="009A7EC3" w:rsidP="009A7EC3">
            <w:pPr>
              <w:pStyle w:val="ASSAD2017ACCESSBody1"/>
            </w:pPr>
            <w:r w:rsidRPr="00DE25AD">
              <w:t>Male</w:t>
            </w:r>
          </w:p>
        </w:tc>
        <w:tc>
          <w:tcPr>
            <w:tcW w:w="878" w:type="dxa"/>
            <w:shd w:val="clear" w:color="auto" w:fill="auto"/>
          </w:tcPr>
          <w:p w14:paraId="76090BE8" w14:textId="54BAB083" w:rsidR="009A7EC3" w:rsidRPr="00DE25AD" w:rsidRDefault="009A7EC3" w:rsidP="009A7EC3">
            <w:pPr>
              <w:pStyle w:val="ASSADACCESStablecentre"/>
            </w:pPr>
            <w:r w:rsidRPr="002E5727">
              <w:rPr>
                <w:bCs w:val="0"/>
                <w:color w:val="000000"/>
              </w:rPr>
              <w:t>5</w:t>
            </w:r>
          </w:p>
        </w:tc>
        <w:tc>
          <w:tcPr>
            <w:tcW w:w="879" w:type="dxa"/>
            <w:shd w:val="clear" w:color="auto" w:fill="auto"/>
          </w:tcPr>
          <w:p w14:paraId="541AC488" w14:textId="19126511" w:rsidR="009A7EC3" w:rsidRPr="00DE25AD" w:rsidRDefault="009A7EC3" w:rsidP="009A7EC3">
            <w:pPr>
              <w:pStyle w:val="ASSADACCESStablecentre"/>
            </w:pPr>
            <w:r w:rsidRPr="002E5727">
              <w:rPr>
                <w:bCs w:val="0"/>
                <w:color w:val="000000"/>
              </w:rPr>
              <w:t>4*</w:t>
            </w:r>
          </w:p>
        </w:tc>
        <w:tc>
          <w:tcPr>
            <w:tcW w:w="879" w:type="dxa"/>
            <w:shd w:val="clear" w:color="auto" w:fill="auto"/>
          </w:tcPr>
          <w:p w14:paraId="21F27BFC" w14:textId="71BBEEA0" w:rsidR="009A7EC3" w:rsidRPr="00DE25AD" w:rsidRDefault="009A7EC3" w:rsidP="009A7EC3">
            <w:pPr>
              <w:pStyle w:val="ASSADACCESStablecentre"/>
            </w:pPr>
            <w:r w:rsidRPr="002E5727">
              <w:rPr>
                <w:bCs w:val="0"/>
                <w:color w:val="000000"/>
              </w:rPr>
              <w:t>4*</w:t>
            </w:r>
          </w:p>
        </w:tc>
        <w:tc>
          <w:tcPr>
            <w:tcW w:w="879" w:type="dxa"/>
            <w:shd w:val="clear" w:color="auto" w:fill="auto"/>
          </w:tcPr>
          <w:p w14:paraId="6E8B3F92" w14:textId="51BE6BD5" w:rsidR="009A7EC3" w:rsidRPr="00DE25AD" w:rsidRDefault="009A7EC3" w:rsidP="009A7EC3">
            <w:pPr>
              <w:pStyle w:val="ASSADACCESStablecentre"/>
            </w:pPr>
            <w:r w:rsidRPr="002E5727">
              <w:rPr>
                <w:bCs w:val="0"/>
                <w:color w:val="000000"/>
              </w:rPr>
              <w:t>4*</w:t>
            </w:r>
          </w:p>
        </w:tc>
        <w:tc>
          <w:tcPr>
            <w:tcW w:w="879" w:type="dxa"/>
            <w:shd w:val="clear" w:color="auto" w:fill="auto"/>
          </w:tcPr>
          <w:p w14:paraId="6F12B9C0" w14:textId="113BA006" w:rsidR="009A7EC3" w:rsidRPr="00DE25AD" w:rsidRDefault="009A7EC3" w:rsidP="009A7EC3">
            <w:pPr>
              <w:pStyle w:val="ASSADACCESStablecentre"/>
            </w:pPr>
            <w:r w:rsidRPr="002E5727">
              <w:rPr>
                <w:bCs w:val="0"/>
                <w:color w:val="000000"/>
              </w:rPr>
              <w:t>4*</w:t>
            </w:r>
          </w:p>
        </w:tc>
        <w:tc>
          <w:tcPr>
            <w:tcW w:w="879" w:type="dxa"/>
            <w:shd w:val="clear" w:color="auto" w:fill="auto"/>
          </w:tcPr>
          <w:p w14:paraId="3C6CE260" w14:textId="3776D142" w:rsidR="009A7EC3" w:rsidRPr="00DE25AD" w:rsidRDefault="009A7EC3" w:rsidP="009A7EC3">
            <w:pPr>
              <w:pStyle w:val="ASSADACCESStablecentre"/>
            </w:pPr>
            <w:r w:rsidRPr="002E5727">
              <w:rPr>
                <w:bCs w:val="0"/>
                <w:color w:val="000000"/>
              </w:rPr>
              <w:t>4*</w:t>
            </w:r>
          </w:p>
        </w:tc>
        <w:tc>
          <w:tcPr>
            <w:tcW w:w="879" w:type="dxa"/>
            <w:shd w:val="clear" w:color="auto" w:fill="auto"/>
          </w:tcPr>
          <w:p w14:paraId="38355ECF" w14:textId="6446AAF7" w:rsidR="009A7EC3" w:rsidRPr="00DE25AD" w:rsidRDefault="009A7EC3" w:rsidP="009A7EC3">
            <w:pPr>
              <w:pStyle w:val="ASSADACCESStablecentre"/>
            </w:pPr>
            <w:r w:rsidRPr="002E5727">
              <w:rPr>
                <w:bCs w:val="0"/>
                <w:color w:val="000000"/>
              </w:rPr>
              <w:t>5</w:t>
            </w:r>
          </w:p>
        </w:tc>
        <w:tc>
          <w:tcPr>
            <w:tcW w:w="879" w:type="dxa"/>
            <w:shd w:val="clear" w:color="auto" w:fill="auto"/>
          </w:tcPr>
          <w:p w14:paraId="7282EE2F" w14:textId="0619A558" w:rsidR="009A7EC3" w:rsidRPr="00DE25AD" w:rsidRDefault="009A7EC3" w:rsidP="009A7EC3">
            <w:pPr>
              <w:pStyle w:val="ASSADACCESStablecentre"/>
            </w:pPr>
            <w:r w:rsidRPr="002E5727">
              <w:rPr>
                <w:bCs w:val="0"/>
                <w:color w:val="000000"/>
              </w:rPr>
              <w:t>6</w:t>
            </w:r>
          </w:p>
        </w:tc>
      </w:tr>
      <w:tr w:rsidR="009A7EC3" w:rsidRPr="00DE25AD" w14:paraId="7EDFF34D" w14:textId="77777777" w:rsidTr="005C5B03">
        <w:tc>
          <w:tcPr>
            <w:tcW w:w="1517" w:type="dxa"/>
            <w:tcMar>
              <w:left w:w="57" w:type="dxa"/>
            </w:tcMar>
          </w:tcPr>
          <w:p w14:paraId="0BFDBB27" w14:textId="77777777" w:rsidR="009A7EC3" w:rsidRPr="00DE25AD" w:rsidRDefault="009A7EC3" w:rsidP="009A7EC3">
            <w:pPr>
              <w:pStyle w:val="ACCESSTableHeaderRow"/>
            </w:pPr>
          </w:p>
        </w:tc>
        <w:tc>
          <w:tcPr>
            <w:tcW w:w="1068" w:type="dxa"/>
            <w:shd w:val="clear" w:color="auto" w:fill="auto"/>
            <w:tcMar>
              <w:left w:w="57" w:type="dxa"/>
            </w:tcMar>
            <w:vAlign w:val="bottom"/>
          </w:tcPr>
          <w:p w14:paraId="200176D3" w14:textId="77777777" w:rsidR="009A7EC3" w:rsidRPr="00DE25AD" w:rsidRDefault="009A7EC3" w:rsidP="009A7EC3">
            <w:pPr>
              <w:pStyle w:val="ASSAD2017ACCESSBody1"/>
            </w:pPr>
            <w:r w:rsidRPr="00DE25AD">
              <w:t>Female</w:t>
            </w:r>
          </w:p>
        </w:tc>
        <w:tc>
          <w:tcPr>
            <w:tcW w:w="878" w:type="dxa"/>
            <w:shd w:val="clear" w:color="auto" w:fill="auto"/>
          </w:tcPr>
          <w:p w14:paraId="73384435" w14:textId="20E8CBC1" w:rsidR="009A7EC3" w:rsidRPr="00DE25AD" w:rsidRDefault="009A7EC3" w:rsidP="009A7EC3">
            <w:pPr>
              <w:pStyle w:val="ASSADACCESStablecentre"/>
            </w:pPr>
            <w:r w:rsidRPr="002E5727">
              <w:rPr>
                <w:bCs w:val="0"/>
                <w:color w:val="000000"/>
              </w:rPr>
              <w:t>5</w:t>
            </w:r>
          </w:p>
        </w:tc>
        <w:tc>
          <w:tcPr>
            <w:tcW w:w="879" w:type="dxa"/>
            <w:shd w:val="clear" w:color="auto" w:fill="auto"/>
          </w:tcPr>
          <w:p w14:paraId="509D9100" w14:textId="1DDD7A17" w:rsidR="009A7EC3" w:rsidRPr="00DE25AD" w:rsidRDefault="009A7EC3" w:rsidP="009A7EC3">
            <w:pPr>
              <w:pStyle w:val="ASSADACCESStablecentre"/>
            </w:pPr>
            <w:r w:rsidRPr="002E5727">
              <w:rPr>
                <w:bCs w:val="0"/>
                <w:color w:val="000000"/>
              </w:rPr>
              <w:t>4*</w:t>
            </w:r>
          </w:p>
        </w:tc>
        <w:tc>
          <w:tcPr>
            <w:tcW w:w="879" w:type="dxa"/>
            <w:shd w:val="clear" w:color="auto" w:fill="auto"/>
          </w:tcPr>
          <w:p w14:paraId="47D08EA2" w14:textId="54A18910"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26FCAA54" w14:textId="54141A4E" w:rsidR="009A7EC3" w:rsidRPr="00DE25AD" w:rsidRDefault="009A7EC3" w:rsidP="009A7EC3">
            <w:pPr>
              <w:pStyle w:val="ASSADACCESStablecentre"/>
            </w:pPr>
            <w:r w:rsidRPr="002E5727">
              <w:rPr>
                <w:bCs w:val="0"/>
                <w:color w:val="000000"/>
              </w:rPr>
              <w:t>4*^</w:t>
            </w:r>
          </w:p>
        </w:tc>
        <w:tc>
          <w:tcPr>
            <w:tcW w:w="879" w:type="dxa"/>
            <w:shd w:val="clear" w:color="auto" w:fill="auto"/>
          </w:tcPr>
          <w:p w14:paraId="461F2B50" w14:textId="224206F7"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34CD6AE3" w14:textId="5A120965" w:rsidR="009A7EC3" w:rsidRPr="00DE25AD" w:rsidRDefault="009A7EC3" w:rsidP="009A7EC3">
            <w:pPr>
              <w:pStyle w:val="ASSADACCESStablecentre"/>
            </w:pPr>
            <w:r w:rsidRPr="002E5727">
              <w:rPr>
                <w:bCs w:val="0"/>
                <w:color w:val="000000"/>
              </w:rPr>
              <w:t>4</w:t>
            </w:r>
          </w:p>
        </w:tc>
        <w:tc>
          <w:tcPr>
            <w:tcW w:w="879" w:type="dxa"/>
            <w:shd w:val="clear" w:color="auto" w:fill="auto"/>
          </w:tcPr>
          <w:p w14:paraId="478A639A" w14:textId="00FF5577" w:rsidR="009A7EC3" w:rsidRPr="00DE25AD" w:rsidRDefault="009A7EC3" w:rsidP="009A7EC3">
            <w:pPr>
              <w:pStyle w:val="ASSADACCESStablecentre"/>
            </w:pPr>
            <w:r w:rsidRPr="002E5727">
              <w:rPr>
                <w:bCs w:val="0"/>
                <w:color w:val="000000"/>
              </w:rPr>
              <w:t>5</w:t>
            </w:r>
          </w:p>
        </w:tc>
        <w:tc>
          <w:tcPr>
            <w:tcW w:w="879" w:type="dxa"/>
            <w:shd w:val="clear" w:color="auto" w:fill="auto"/>
          </w:tcPr>
          <w:p w14:paraId="231BDC52" w14:textId="5E7E6DAD" w:rsidR="009A7EC3" w:rsidRPr="00DE25AD" w:rsidRDefault="009A7EC3" w:rsidP="009A7EC3">
            <w:pPr>
              <w:pStyle w:val="ASSADACCESStablecentre"/>
            </w:pPr>
            <w:r w:rsidRPr="002E5727">
              <w:rPr>
                <w:bCs w:val="0"/>
                <w:color w:val="000000"/>
              </w:rPr>
              <w:t>5</w:t>
            </w:r>
          </w:p>
        </w:tc>
      </w:tr>
      <w:tr w:rsidR="009A7EC3" w:rsidRPr="00DE25AD" w14:paraId="31C20FB5" w14:textId="77777777" w:rsidTr="005C5B03">
        <w:tc>
          <w:tcPr>
            <w:tcW w:w="1517" w:type="dxa"/>
            <w:tcMar>
              <w:left w:w="57" w:type="dxa"/>
            </w:tcMar>
          </w:tcPr>
          <w:p w14:paraId="7085D60B" w14:textId="77777777" w:rsidR="009A7EC3" w:rsidRPr="00DE25AD" w:rsidRDefault="009A7EC3" w:rsidP="009A7EC3">
            <w:pPr>
              <w:pStyle w:val="ACCESSTableHeaderRow"/>
            </w:pPr>
          </w:p>
        </w:tc>
        <w:tc>
          <w:tcPr>
            <w:tcW w:w="1068" w:type="dxa"/>
            <w:shd w:val="clear" w:color="auto" w:fill="auto"/>
            <w:tcMar>
              <w:left w:w="57" w:type="dxa"/>
            </w:tcMar>
            <w:vAlign w:val="bottom"/>
          </w:tcPr>
          <w:p w14:paraId="5971549D" w14:textId="77777777" w:rsidR="009A7EC3" w:rsidRPr="00DE25AD" w:rsidRDefault="009A7EC3" w:rsidP="009A7EC3">
            <w:pPr>
              <w:pStyle w:val="ASSAD2017ACCESSBody1"/>
            </w:pPr>
            <w:r w:rsidRPr="00DE25AD">
              <w:t>Total</w:t>
            </w:r>
          </w:p>
        </w:tc>
        <w:tc>
          <w:tcPr>
            <w:tcW w:w="878" w:type="dxa"/>
            <w:shd w:val="clear" w:color="auto" w:fill="auto"/>
          </w:tcPr>
          <w:p w14:paraId="6BC7E52C" w14:textId="33426F93" w:rsidR="009A7EC3" w:rsidRPr="00DE25AD" w:rsidRDefault="009A7EC3" w:rsidP="009A7EC3">
            <w:pPr>
              <w:pStyle w:val="ASSADACCESStablecentre"/>
            </w:pPr>
            <w:r w:rsidRPr="002E5727">
              <w:rPr>
                <w:bCs w:val="0"/>
                <w:color w:val="000000"/>
              </w:rPr>
              <w:t>5</w:t>
            </w:r>
          </w:p>
        </w:tc>
        <w:tc>
          <w:tcPr>
            <w:tcW w:w="879" w:type="dxa"/>
            <w:shd w:val="clear" w:color="auto" w:fill="auto"/>
          </w:tcPr>
          <w:p w14:paraId="6EAFB687" w14:textId="16BF24A9" w:rsidR="009A7EC3" w:rsidRPr="00DE25AD" w:rsidRDefault="009A7EC3" w:rsidP="009A7EC3">
            <w:pPr>
              <w:pStyle w:val="ASSADACCESStablecentre"/>
            </w:pPr>
            <w:r w:rsidRPr="002E5727">
              <w:rPr>
                <w:bCs w:val="0"/>
                <w:color w:val="000000"/>
              </w:rPr>
              <w:t>4*</w:t>
            </w:r>
          </w:p>
        </w:tc>
        <w:tc>
          <w:tcPr>
            <w:tcW w:w="879" w:type="dxa"/>
            <w:shd w:val="clear" w:color="auto" w:fill="auto"/>
          </w:tcPr>
          <w:p w14:paraId="65FA4876" w14:textId="3DEE1B18"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4DBAB49A" w14:textId="72924E4B"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0EAF5AB4" w14:textId="71D286A2" w:rsidR="009A7EC3" w:rsidRPr="00DE25AD" w:rsidRDefault="009A7EC3" w:rsidP="009A7EC3">
            <w:pPr>
              <w:pStyle w:val="ASSADACCESStablecentre"/>
            </w:pPr>
            <w:r w:rsidRPr="002E5727">
              <w:rPr>
                <w:bCs w:val="0"/>
                <w:color w:val="000000"/>
              </w:rPr>
              <w:t>4*</w:t>
            </w:r>
            <w:r>
              <w:rPr>
                <w:bCs w:val="0"/>
                <w:color w:val="000000"/>
              </w:rPr>
              <w:t>^</w:t>
            </w:r>
          </w:p>
        </w:tc>
        <w:tc>
          <w:tcPr>
            <w:tcW w:w="879" w:type="dxa"/>
            <w:shd w:val="clear" w:color="auto" w:fill="auto"/>
          </w:tcPr>
          <w:p w14:paraId="78376E4C" w14:textId="3483EA91" w:rsidR="009A7EC3" w:rsidRPr="00DE25AD" w:rsidRDefault="009A7EC3" w:rsidP="009A7EC3">
            <w:pPr>
              <w:pStyle w:val="ASSADACCESStablecentre"/>
            </w:pPr>
            <w:r w:rsidRPr="002E5727">
              <w:rPr>
                <w:bCs w:val="0"/>
                <w:color w:val="000000"/>
              </w:rPr>
              <w:t>4*</w:t>
            </w:r>
          </w:p>
        </w:tc>
        <w:tc>
          <w:tcPr>
            <w:tcW w:w="879" w:type="dxa"/>
            <w:shd w:val="clear" w:color="auto" w:fill="auto"/>
          </w:tcPr>
          <w:p w14:paraId="018F61AF" w14:textId="43CA7DF0" w:rsidR="009A7EC3" w:rsidRPr="00DE25AD" w:rsidRDefault="009A7EC3" w:rsidP="009A7EC3">
            <w:pPr>
              <w:pStyle w:val="ASSADACCESStablecentre"/>
            </w:pPr>
            <w:r w:rsidRPr="002E5727">
              <w:rPr>
                <w:bCs w:val="0"/>
                <w:color w:val="000000"/>
              </w:rPr>
              <w:t>5</w:t>
            </w:r>
          </w:p>
        </w:tc>
        <w:tc>
          <w:tcPr>
            <w:tcW w:w="879" w:type="dxa"/>
            <w:shd w:val="clear" w:color="auto" w:fill="auto"/>
          </w:tcPr>
          <w:p w14:paraId="74A324A7" w14:textId="4A4E420B" w:rsidR="009A7EC3" w:rsidRPr="00DE25AD" w:rsidRDefault="009A7EC3" w:rsidP="009A7EC3">
            <w:pPr>
              <w:pStyle w:val="ASSADACCESStablecentre"/>
            </w:pPr>
            <w:r>
              <w:rPr>
                <w:bCs w:val="0"/>
                <w:color w:val="000000"/>
              </w:rPr>
              <w:t>5</w:t>
            </w:r>
          </w:p>
        </w:tc>
      </w:tr>
      <w:tr w:rsidR="009A7EC3" w:rsidRPr="00DE25AD" w14:paraId="7EB661CB" w14:textId="77777777" w:rsidTr="005C5B03">
        <w:tc>
          <w:tcPr>
            <w:tcW w:w="1517" w:type="dxa"/>
            <w:tcMar>
              <w:left w:w="57" w:type="dxa"/>
            </w:tcMar>
          </w:tcPr>
          <w:p w14:paraId="7CE16D7D"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6F325356" w14:textId="77777777" w:rsidR="009A7EC3" w:rsidRPr="00DE25AD" w:rsidRDefault="009A7EC3" w:rsidP="009A7EC3">
            <w:pPr>
              <w:pStyle w:val="ASSAD2017ACCESSBody1"/>
            </w:pPr>
            <w:r w:rsidRPr="00DE25AD">
              <w:t>Male</w:t>
            </w:r>
          </w:p>
        </w:tc>
        <w:tc>
          <w:tcPr>
            <w:tcW w:w="878" w:type="dxa"/>
            <w:shd w:val="clear" w:color="auto" w:fill="auto"/>
          </w:tcPr>
          <w:p w14:paraId="78B3FF0D" w14:textId="37488261" w:rsidR="009A7EC3" w:rsidRPr="00DE25AD" w:rsidRDefault="009A7EC3" w:rsidP="009A7EC3">
            <w:pPr>
              <w:pStyle w:val="ASSADACCESStablecentre"/>
            </w:pPr>
            <w:r w:rsidRPr="002E5727">
              <w:rPr>
                <w:bCs w:val="0"/>
                <w:color w:val="000000"/>
              </w:rPr>
              <w:t>3</w:t>
            </w:r>
          </w:p>
        </w:tc>
        <w:tc>
          <w:tcPr>
            <w:tcW w:w="879" w:type="dxa"/>
            <w:shd w:val="clear" w:color="auto" w:fill="auto"/>
          </w:tcPr>
          <w:p w14:paraId="2C4C9CD2" w14:textId="73BE89AB" w:rsidR="009A7EC3" w:rsidRPr="00DE25AD" w:rsidRDefault="009A7EC3" w:rsidP="009A7EC3">
            <w:pPr>
              <w:pStyle w:val="ASSADACCESStablecentre"/>
            </w:pPr>
            <w:r w:rsidRPr="002E5727">
              <w:rPr>
                <w:bCs w:val="0"/>
                <w:color w:val="000000"/>
              </w:rPr>
              <w:t>2*</w:t>
            </w:r>
          </w:p>
        </w:tc>
        <w:tc>
          <w:tcPr>
            <w:tcW w:w="879" w:type="dxa"/>
            <w:shd w:val="clear" w:color="auto" w:fill="auto"/>
          </w:tcPr>
          <w:p w14:paraId="1228EAF3" w14:textId="6FB45B6E" w:rsidR="009A7EC3" w:rsidRPr="00DE25AD" w:rsidRDefault="009A7EC3" w:rsidP="009A7EC3">
            <w:pPr>
              <w:pStyle w:val="ASSADACCESStablecentre"/>
            </w:pPr>
            <w:r w:rsidRPr="002E5727">
              <w:rPr>
                <w:bCs w:val="0"/>
                <w:color w:val="000000"/>
              </w:rPr>
              <w:t>3*</w:t>
            </w:r>
          </w:p>
        </w:tc>
        <w:tc>
          <w:tcPr>
            <w:tcW w:w="879" w:type="dxa"/>
            <w:shd w:val="clear" w:color="auto" w:fill="auto"/>
          </w:tcPr>
          <w:p w14:paraId="46CA2AC4" w14:textId="752483F8" w:rsidR="009A7EC3" w:rsidRPr="00DE25AD" w:rsidRDefault="009A7EC3" w:rsidP="009A7EC3">
            <w:pPr>
              <w:pStyle w:val="ASSADACCESStablecentre"/>
            </w:pPr>
            <w:r w:rsidRPr="002E5727">
              <w:rPr>
                <w:bCs w:val="0"/>
                <w:color w:val="000000"/>
              </w:rPr>
              <w:t>2*</w:t>
            </w:r>
          </w:p>
        </w:tc>
        <w:tc>
          <w:tcPr>
            <w:tcW w:w="879" w:type="dxa"/>
            <w:shd w:val="clear" w:color="auto" w:fill="auto"/>
          </w:tcPr>
          <w:p w14:paraId="54D78DC6" w14:textId="14E7A86C" w:rsidR="009A7EC3" w:rsidRPr="00DE25AD" w:rsidRDefault="009A7EC3" w:rsidP="009A7EC3">
            <w:pPr>
              <w:pStyle w:val="ASSADACCESStablecentre"/>
            </w:pPr>
            <w:r w:rsidRPr="002E5727">
              <w:rPr>
                <w:bCs w:val="0"/>
                <w:color w:val="000000"/>
              </w:rPr>
              <w:t>3*</w:t>
            </w:r>
          </w:p>
        </w:tc>
        <w:tc>
          <w:tcPr>
            <w:tcW w:w="879" w:type="dxa"/>
            <w:shd w:val="clear" w:color="auto" w:fill="auto"/>
          </w:tcPr>
          <w:p w14:paraId="6C66C656" w14:textId="1634FD4C" w:rsidR="009A7EC3" w:rsidRPr="00DE25AD" w:rsidRDefault="009A7EC3" w:rsidP="009A7EC3">
            <w:pPr>
              <w:pStyle w:val="ASSADACCESStablecentre"/>
            </w:pPr>
            <w:r w:rsidRPr="002E5727">
              <w:rPr>
                <w:bCs w:val="0"/>
                <w:color w:val="000000"/>
              </w:rPr>
              <w:t>2*</w:t>
            </w:r>
          </w:p>
        </w:tc>
        <w:tc>
          <w:tcPr>
            <w:tcW w:w="879" w:type="dxa"/>
            <w:shd w:val="clear" w:color="auto" w:fill="auto"/>
          </w:tcPr>
          <w:p w14:paraId="3DD3B02D" w14:textId="09E5F9B8" w:rsidR="009A7EC3" w:rsidRPr="00DE25AD" w:rsidRDefault="009A7EC3" w:rsidP="009A7EC3">
            <w:pPr>
              <w:pStyle w:val="ASSADACCESStablecentre"/>
            </w:pPr>
            <w:r w:rsidRPr="002E5727">
              <w:rPr>
                <w:bCs w:val="0"/>
                <w:color w:val="000000"/>
              </w:rPr>
              <w:t>3</w:t>
            </w:r>
          </w:p>
        </w:tc>
        <w:tc>
          <w:tcPr>
            <w:tcW w:w="879" w:type="dxa"/>
            <w:shd w:val="clear" w:color="auto" w:fill="auto"/>
          </w:tcPr>
          <w:p w14:paraId="7D1A8D94" w14:textId="56A9C8A8" w:rsidR="009A7EC3" w:rsidRPr="00DE25AD" w:rsidRDefault="009A7EC3" w:rsidP="009A7EC3">
            <w:pPr>
              <w:pStyle w:val="ASSADACCESStablecentre"/>
            </w:pPr>
            <w:r w:rsidRPr="002E5727">
              <w:rPr>
                <w:bCs w:val="0"/>
                <w:color w:val="000000"/>
              </w:rPr>
              <w:t>4</w:t>
            </w:r>
          </w:p>
        </w:tc>
      </w:tr>
      <w:tr w:rsidR="009A7EC3" w:rsidRPr="00DE25AD" w14:paraId="5C264AA3" w14:textId="77777777" w:rsidTr="005C5B03">
        <w:tc>
          <w:tcPr>
            <w:tcW w:w="1517" w:type="dxa"/>
            <w:tcMar>
              <w:left w:w="57" w:type="dxa"/>
            </w:tcMar>
          </w:tcPr>
          <w:p w14:paraId="35D2B2D7" w14:textId="77777777" w:rsidR="009A7EC3" w:rsidRPr="00DE25AD" w:rsidRDefault="009A7EC3" w:rsidP="009A7EC3">
            <w:pPr>
              <w:pStyle w:val="ACCESSTableHeaderRow"/>
            </w:pPr>
          </w:p>
        </w:tc>
        <w:tc>
          <w:tcPr>
            <w:tcW w:w="1068" w:type="dxa"/>
            <w:shd w:val="clear" w:color="auto" w:fill="auto"/>
            <w:tcMar>
              <w:left w:w="57" w:type="dxa"/>
            </w:tcMar>
            <w:vAlign w:val="bottom"/>
          </w:tcPr>
          <w:p w14:paraId="6F23B2F3" w14:textId="77777777" w:rsidR="009A7EC3" w:rsidRPr="00DE25AD" w:rsidRDefault="009A7EC3" w:rsidP="009A7EC3">
            <w:pPr>
              <w:pStyle w:val="ASSAD2017ACCESSBody1"/>
            </w:pPr>
            <w:r w:rsidRPr="00DE25AD">
              <w:t>Female</w:t>
            </w:r>
          </w:p>
        </w:tc>
        <w:tc>
          <w:tcPr>
            <w:tcW w:w="878" w:type="dxa"/>
            <w:shd w:val="clear" w:color="auto" w:fill="auto"/>
          </w:tcPr>
          <w:p w14:paraId="4795141B" w14:textId="4A83B371" w:rsidR="009A7EC3" w:rsidRPr="00DE25AD" w:rsidRDefault="009A7EC3" w:rsidP="009A7EC3">
            <w:pPr>
              <w:pStyle w:val="ASSADACCESStablecentre"/>
            </w:pPr>
            <w:r w:rsidRPr="002E5727">
              <w:rPr>
                <w:bCs w:val="0"/>
                <w:color w:val="000000"/>
              </w:rPr>
              <w:t>2</w:t>
            </w:r>
          </w:p>
        </w:tc>
        <w:tc>
          <w:tcPr>
            <w:tcW w:w="879" w:type="dxa"/>
            <w:shd w:val="clear" w:color="auto" w:fill="auto"/>
          </w:tcPr>
          <w:p w14:paraId="3D312527" w14:textId="3987CACC" w:rsidR="009A7EC3" w:rsidRPr="00DE25AD" w:rsidRDefault="009A7EC3" w:rsidP="009A7EC3">
            <w:pPr>
              <w:pStyle w:val="ASSADACCESStablecentre"/>
            </w:pPr>
            <w:r w:rsidRPr="002E5727">
              <w:rPr>
                <w:bCs w:val="0"/>
                <w:color w:val="000000"/>
              </w:rPr>
              <w:t>2*</w:t>
            </w:r>
          </w:p>
        </w:tc>
        <w:tc>
          <w:tcPr>
            <w:tcW w:w="879" w:type="dxa"/>
            <w:shd w:val="clear" w:color="auto" w:fill="auto"/>
          </w:tcPr>
          <w:p w14:paraId="216B1EBD" w14:textId="297BB84C"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2586FCC6" w14:textId="0A59FA54" w:rsidR="009A7EC3" w:rsidRPr="00DE25AD" w:rsidRDefault="009A7EC3" w:rsidP="009A7EC3">
            <w:pPr>
              <w:pStyle w:val="ASSADACCESStablecentre"/>
            </w:pPr>
            <w:r w:rsidRPr="002E5727">
              <w:rPr>
                <w:bCs w:val="0"/>
                <w:color w:val="000000"/>
              </w:rPr>
              <w:t>2*</w:t>
            </w:r>
          </w:p>
        </w:tc>
        <w:tc>
          <w:tcPr>
            <w:tcW w:w="879" w:type="dxa"/>
            <w:shd w:val="clear" w:color="auto" w:fill="auto"/>
          </w:tcPr>
          <w:p w14:paraId="469BEFAD" w14:textId="38E51D44" w:rsidR="009A7EC3" w:rsidRPr="00DE25AD" w:rsidRDefault="009A7EC3" w:rsidP="009A7EC3">
            <w:pPr>
              <w:pStyle w:val="ASSADACCESStablecentre"/>
            </w:pPr>
            <w:r w:rsidRPr="002E5727">
              <w:rPr>
                <w:bCs w:val="0"/>
                <w:color w:val="000000"/>
              </w:rPr>
              <w:t>2*</w:t>
            </w:r>
          </w:p>
        </w:tc>
        <w:tc>
          <w:tcPr>
            <w:tcW w:w="879" w:type="dxa"/>
            <w:shd w:val="clear" w:color="auto" w:fill="auto"/>
          </w:tcPr>
          <w:p w14:paraId="67469F14" w14:textId="48A08EBF"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1B51BD4D" w14:textId="52911572"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29D7F031" w14:textId="22F08B03" w:rsidR="009A7EC3" w:rsidRPr="00DE25AD" w:rsidRDefault="009A7EC3" w:rsidP="009A7EC3">
            <w:pPr>
              <w:pStyle w:val="ASSADACCESStablecentre"/>
            </w:pPr>
            <w:r w:rsidRPr="002E5727">
              <w:rPr>
                <w:bCs w:val="0"/>
                <w:color w:val="000000"/>
              </w:rPr>
              <w:t>3</w:t>
            </w:r>
          </w:p>
        </w:tc>
      </w:tr>
      <w:tr w:rsidR="009A7EC3" w:rsidRPr="00DE25AD" w14:paraId="227E97A8" w14:textId="77777777" w:rsidTr="005C5B03">
        <w:tc>
          <w:tcPr>
            <w:tcW w:w="1517" w:type="dxa"/>
            <w:tcMar>
              <w:left w:w="57" w:type="dxa"/>
            </w:tcMar>
          </w:tcPr>
          <w:p w14:paraId="440A29F4" w14:textId="77777777" w:rsidR="009A7EC3" w:rsidRPr="00DE25AD" w:rsidRDefault="009A7EC3" w:rsidP="009A7EC3">
            <w:pPr>
              <w:pStyle w:val="ACCESSTableHeaderRow"/>
            </w:pPr>
          </w:p>
        </w:tc>
        <w:tc>
          <w:tcPr>
            <w:tcW w:w="1068" w:type="dxa"/>
            <w:shd w:val="clear" w:color="auto" w:fill="auto"/>
            <w:tcMar>
              <w:left w:w="57" w:type="dxa"/>
            </w:tcMar>
            <w:vAlign w:val="bottom"/>
          </w:tcPr>
          <w:p w14:paraId="54F84E34" w14:textId="77777777" w:rsidR="009A7EC3" w:rsidRPr="00DE25AD" w:rsidRDefault="009A7EC3" w:rsidP="009A7EC3">
            <w:pPr>
              <w:pStyle w:val="ASSAD2017ACCESSBody1"/>
            </w:pPr>
            <w:r w:rsidRPr="00DE25AD">
              <w:t>Total</w:t>
            </w:r>
          </w:p>
        </w:tc>
        <w:tc>
          <w:tcPr>
            <w:tcW w:w="878" w:type="dxa"/>
            <w:shd w:val="clear" w:color="auto" w:fill="auto"/>
          </w:tcPr>
          <w:p w14:paraId="54DD158E" w14:textId="0111A858" w:rsidR="009A7EC3" w:rsidRPr="00DE25AD" w:rsidRDefault="009A7EC3" w:rsidP="009A7EC3">
            <w:pPr>
              <w:pStyle w:val="ASSADACCESStablecentre"/>
            </w:pPr>
            <w:r w:rsidRPr="002E5727">
              <w:rPr>
                <w:bCs w:val="0"/>
                <w:color w:val="000000"/>
              </w:rPr>
              <w:t>3*</w:t>
            </w:r>
          </w:p>
        </w:tc>
        <w:tc>
          <w:tcPr>
            <w:tcW w:w="879" w:type="dxa"/>
            <w:shd w:val="clear" w:color="auto" w:fill="auto"/>
          </w:tcPr>
          <w:p w14:paraId="4090BB4F" w14:textId="1D73D891" w:rsidR="009A7EC3" w:rsidRPr="00DE25AD" w:rsidRDefault="009A7EC3" w:rsidP="009A7EC3">
            <w:pPr>
              <w:pStyle w:val="ASSADACCESStablecentre"/>
            </w:pPr>
            <w:r w:rsidRPr="002E5727">
              <w:rPr>
                <w:bCs w:val="0"/>
                <w:color w:val="000000"/>
              </w:rPr>
              <w:t>2*</w:t>
            </w:r>
          </w:p>
        </w:tc>
        <w:tc>
          <w:tcPr>
            <w:tcW w:w="879" w:type="dxa"/>
            <w:shd w:val="clear" w:color="auto" w:fill="auto"/>
          </w:tcPr>
          <w:p w14:paraId="0B6E8D8F" w14:textId="0047E6AE" w:rsidR="009A7EC3" w:rsidRPr="00DE25AD" w:rsidRDefault="009A7EC3" w:rsidP="009A7EC3">
            <w:pPr>
              <w:pStyle w:val="ASSADACCESStablecentre"/>
            </w:pPr>
            <w:r w:rsidRPr="002E5727">
              <w:rPr>
                <w:bCs w:val="0"/>
                <w:color w:val="000000"/>
              </w:rPr>
              <w:t>2*</w:t>
            </w:r>
          </w:p>
        </w:tc>
        <w:tc>
          <w:tcPr>
            <w:tcW w:w="879" w:type="dxa"/>
            <w:shd w:val="clear" w:color="auto" w:fill="auto"/>
          </w:tcPr>
          <w:p w14:paraId="2B3961D8" w14:textId="6169626F" w:rsidR="009A7EC3" w:rsidRPr="00DE25AD" w:rsidRDefault="009A7EC3" w:rsidP="009A7EC3">
            <w:pPr>
              <w:pStyle w:val="ASSADACCESStablecentre"/>
            </w:pPr>
            <w:r w:rsidRPr="002E5727">
              <w:rPr>
                <w:bCs w:val="0"/>
                <w:color w:val="000000"/>
              </w:rPr>
              <w:t>2*</w:t>
            </w:r>
          </w:p>
        </w:tc>
        <w:tc>
          <w:tcPr>
            <w:tcW w:w="879" w:type="dxa"/>
            <w:shd w:val="clear" w:color="auto" w:fill="auto"/>
          </w:tcPr>
          <w:p w14:paraId="536B6C77" w14:textId="22F22DE2" w:rsidR="009A7EC3" w:rsidRPr="00DE25AD" w:rsidRDefault="009A7EC3" w:rsidP="009A7EC3">
            <w:pPr>
              <w:pStyle w:val="ASSADACCESStablecentre"/>
            </w:pPr>
            <w:r w:rsidRPr="002E5727">
              <w:rPr>
                <w:bCs w:val="0"/>
                <w:color w:val="000000"/>
              </w:rPr>
              <w:t>2*</w:t>
            </w:r>
          </w:p>
        </w:tc>
        <w:tc>
          <w:tcPr>
            <w:tcW w:w="879" w:type="dxa"/>
            <w:shd w:val="clear" w:color="auto" w:fill="auto"/>
          </w:tcPr>
          <w:p w14:paraId="5B2CF8A1" w14:textId="3FD6F059" w:rsidR="009A7EC3" w:rsidRPr="00DE25AD" w:rsidRDefault="009A7EC3" w:rsidP="009A7EC3">
            <w:pPr>
              <w:pStyle w:val="ASSADACCESStablecentre"/>
            </w:pPr>
            <w:r w:rsidRPr="002E5727">
              <w:rPr>
                <w:bCs w:val="0"/>
                <w:color w:val="000000"/>
              </w:rPr>
              <w:t>2*</w:t>
            </w:r>
          </w:p>
        </w:tc>
        <w:tc>
          <w:tcPr>
            <w:tcW w:w="879" w:type="dxa"/>
            <w:shd w:val="clear" w:color="auto" w:fill="auto"/>
          </w:tcPr>
          <w:p w14:paraId="674B2BCD" w14:textId="33CF577B" w:rsidR="009A7EC3" w:rsidRPr="00DE25AD" w:rsidRDefault="009A7EC3" w:rsidP="009A7EC3">
            <w:pPr>
              <w:pStyle w:val="ASSADACCESStablecentre"/>
            </w:pPr>
            <w:r w:rsidRPr="002E5727">
              <w:rPr>
                <w:bCs w:val="0"/>
                <w:color w:val="000000"/>
              </w:rPr>
              <w:t>3</w:t>
            </w:r>
          </w:p>
        </w:tc>
        <w:tc>
          <w:tcPr>
            <w:tcW w:w="879" w:type="dxa"/>
            <w:shd w:val="clear" w:color="auto" w:fill="auto"/>
          </w:tcPr>
          <w:p w14:paraId="49DC4637" w14:textId="345BD8A9" w:rsidR="009A7EC3" w:rsidRPr="00DE25AD" w:rsidRDefault="009A7EC3" w:rsidP="009A7EC3">
            <w:pPr>
              <w:pStyle w:val="ASSADACCESStablecentre"/>
            </w:pPr>
            <w:r w:rsidRPr="002E5727">
              <w:rPr>
                <w:bCs w:val="0"/>
                <w:color w:val="000000"/>
              </w:rPr>
              <w:t>3^</w:t>
            </w:r>
          </w:p>
        </w:tc>
      </w:tr>
    </w:tbl>
    <w:p w14:paraId="442F5ED6" w14:textId="77777777" w:rsidR="005C5B03" w:rsidRDefault="005D6965" w:rsidP="00B17F4F">
      <w:pPr>
        <w:pStyle w:val="ASSAD2017CWTablenote1"/>
      </w:pPr>
      <w:r>
        <w:t>* Significantly different than 2017, p&lt;.01; ^ Significantly different than 1996, p&lt;.01.</w:t>
      </w:r>
    </w:p>
    <w:p w14:paraId="498B6BB0" w14:textId="77777777" w:rsidR="005C5B03" w:rsidRDefault="005C5B03" w:rsidP="00B17F4F">
      <w:pPr>
        <w:pStyle w:val="ASSAD2017CWTablenote1"/>
      </w:pPr>
    </w:p>
    <w:p w14:paraId="4CCC36A9" w14:textId="77777777" w:rsidR="005C5B03" w:rsidRDefault="005C5B03">
      <w:pPr>
        <w:suppressAutoHyphens w:val="0"/>
        <w:rPr>
          <w:rFonts w:ascii="Arial" w:eastAsia="Arial" w:hAnsi="Arial" w:cs="Arial"/>
          <w:sz w:val="18"/>
          <w:szCs w:val="18"/>
          <w:lang w:val="en-AU"/>
        </w:rPr>
      </w:pPr>
      <w:r>
        <w:br w:type="page"/>
      </w:r>
    </w:p>
    <w:p w14:paraId="5159E1A3" w14:textId="7D4D84DC" w:rsidR="005C5B03" w:rsidRPr="0046446A" w:rsidRDefault="005C5B03" w:rsidP="005C5B03">
      <w:pPr>
        <w:pStyle w:val="ASSAD2017TableHeading"/>
      </w:pPr>
      <w:bookmarkStart w:id="81" w:name="_Toc44060497"/>
      <w:r w:rsidRPr="0046446A">
        <w:lastRenderedPageBreak/>
        <w:t xml:space="preserve">Table </w:t>
      </w:r>
      <w:r>
        <w:t>10</w:t>
      </w:r>
      <w:r w:rsidRPr="0046446A">
        <w:t xml:space="preserve"> </w:t>
      </w:r>
      <w:r>
        <w:t>Prevalence</w:t>
      </w:r>
      <w:r w:rsidRPr="0046446A">
        <w:t xml:space="preserve"> of </w:t>
      </w:r>
      <w:r>
        <w:t>any illicit substance</w:t>
      </w:r>
      <w:r w:rsidRPr="0046446A">
        <w:t xml:space="preserve"> use</w:t>
      </w:r>
      <w:r>
        <w:rPr>
          <w:vertAlign w:val="superscript"/>
        </w:rPr>
        <w:t>#</w:t>
      </w:r>
      <w:r>
        <w:t xml:space="preserve"> (including cannabis)</w:t>
      </w:r>
      <w:r w:rsidRPr="0046446A">
        <w:t xml:space="preserve"> among secondary students aged 12-1</w:t>
      </w:r>
      <w:r>
        <w:t>5, 16-17, &amp; 12-17</w:t>
      </w:r>
      <w:r w:rsidRPr="0046446A">
        <w:t xml:space="preserve"> in Australia, ASSAD 1996-2017</w:t>
      </w:r>
      <w:bookmarkEnd w:id="81"/>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5C5B03" w:rsidRPr="00DE25AD" w14:paraId="08E7D6E7" w14:textId="77777777" w:rsidTr="005C5B03">
        <w:trPr>
          <w:tblHeader/>
        </w:trPr>
        <w:tc>
          <w:tcPr>
            <w:tcW w:w="1517" w:type="dxa"/>
            <w:tcMar>
              <w:left w:w="57" w:type="dxa"/>
            </w:tcMar>
          </w:tcPr>
          <w:p w14:paraId="003207CE" w14:textId="77777777" w:rsidR="005C5B03" w:rsidRPr="00DE25AD" w:rsidRDefault="005C5B03" w:rsidP="005C5B03">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1A62184B" w14:textId="77777777" w:rsidR="005C5B03" w:rsidRPr="00DE25AD" w:rsidRDefault="005C5B03" w:rsidP="005C5B03">
            <w:pPr>
              <w:pStyle w:val="ACCESSTableHeaderRow"/>
            </w:pPr>
          </w:p>
        </w:tc>
        <w:tc>
          <w:tcPr>
            <w:tcW w:w="878" w:type="dxa"/>
            <w:shd w:val="clear" w:color="auto" w:fill="auto"/>
            <w:vAlign w:val="bottom"/>
          </w:tcPr>
          <w:p w14:paraId="404AC067" w14:textId="77777777" w:rsidR="005C5B03" w:rsidRPr="00DE25AD" w:rsidRDefault="005C5B03" w:rsidP="005C5B03">
            <w:pPr>
              <w:pStyle w:val="ACCESSTableHeaderRow"/>
              <w:jc w:val="center"/>
            </w:pPr>
            <w:r>
              <w:t>1996</w:t>
            </w:r>
          </w:p>
          <w:p w14:paraId="0EC3F862" w14:textId="77777777" w:rsidR="005C5B03" w:rsidRPr="00DE25AD" w:rsidRDefault="005C5B03" w:rsidP="005C5B03">
            <w:pPr>
              <w:pStyle w:val="ACCESSTableHeaderRow"/>
              <w:jc w:val="center"/>
            </w:pPr>
            <w:r w:rsidRPr="00DE25AD">
              <w:t>(%)</w:t>
            </w:r>
          </w:p>
        </w:tc>
        <w:tc>
          <w:tcPr>
            <w:tcW w:w="879" w:type="dxa"/>
            <w:shd w:val="clear" w:color="auto" w:fill="auto"/>
            <w:vAlign w:val="bottom"/>
          </w:tcPr>
          <w:p w14:paraId="0F1C7FCD" w14:textId="77777777" w:rsidR="005C5B03" w:rsidRPr="00DE25AD" w:rsidRDefault="005C5B03" w:rsidP="005C5B03">
            <w:pPr>
              <w:pStyle w:val="ACCESSTableHeaderRow"/>
              <w:jc w:val="center"/>
            </w:pPr>
            <w:r w:rsidRPr="00DE25AD">
              <w:t>1</w:t>
            </w:r>
            <w:r>
              <w:t>999</w:t>
            </w:r>
          </w:p>
          <w:p w14:paraId="535F97CA" w14:textId="77777777" w:rsidR="005C5B03" w:rsidRPr="00DE25AD" w:rsidRDefault="005C5B03" w:rsidP="005C5B03">
            <w:pPr>
              <w:pStyle w:val="ACCESSTableHeaderRow"/>
              <w:jc w:val="center"/>
            </w:pPr>
            <w:r w:rsidRPr="00DE25AD">
              <w:t>(%)</w:t>
            </w:r>
          </w:p>
        </w:tc>
        <w:tc>
          <w:tcPr>
            <w:tcW w:w="879" w:type="dxa"/>
            <w:shd w:val="clear" w:color="auto" w:fill="auto"/>
            <w:vAlign w:val="bottom"/>
          </w:tcPr>
          <w:p w14:paraId="154F02B1" w14:textId="77777777" w:rsidR="005C5B03" w:rsidRPr="00DE25AD" w:rsidRDefault="005C5B03" w:rsidP="005C5B03">
            <w:pPr>
              <w:pStyle w:val="ACCESSTableHeaderRow"/>
              <w:jc w:val="center"/>
            </w:pPr>
            <w:r>
              <w:t>2002</w:t>
            </w:r>
          </w:p>
          <w:p w14:paraId="1326FFC5" w14:textId="77777777" w:rsidR="005C5B03" w:rsidRPr="00DE25AD" w:rsidRDefault="005C5B03" w:rsidP="005C5B03">
            <w:pPr>
              <w:pStyle w:val="ACCESSTableHeaderRow"/>
              <w:jc w:val="center"/>
            </w:pPr>
            <w:r w:rsidRPr="00DE25AD">
              <w:t>(%)</w:t>
            </w:r>
          </w:p>
        </w:tc>
        <w:tc>
          <w:tcPr>
            <w:tcW w:w="879" w:type="dxa"/>
            <w:shd w:val="clear" w:color="auto" w:fill="auto"/>
            <w:vAlign w:val="bottom"/>
          </w:tcPr>
          <w:p w14:paraId="5A2ED645" w14:textId="77777777" w:rsidR="005C5B03" w:rsidRPr="00DE25AD" w:rsidRDefault="005C5B03" w:rsidP="005C5B03">
            <w:pPr>
              <w:pStyle w:val="ACCESSTableHeaderRow"/>
              <w:jc w:val="center"/>
            </w:pPr>
            <w:r>
              <w:t>200</w:t>
            </w:r>
            <w:r w:rsidRPr="00DE25AD">
              <w:t>5</w:t>
            </w:r>
          </w:p>
          <w:p w14:paraId="51DF0DA0" w14:textId="77777777" w:rsidR="005C5B03" w:rsidRPr="00DE25AD" w:rsidRDefault="005C5B03" w:rsidP="005C5B03">
            <w:pPr>
              <w:pStyle w:val="ACCESSTableHeaderRow"/>
              <w:jc w:val="center"/>
            </w:pPr>
            <w:r w:rsidRPr="00DE25AD">
              <w:t>(%)</w:t>
            </w:r>
          </w:p>
        </w:tc>
        <w:tc>
          <w:tcPr>
            <w:tcW w:w="879" w:type="dxa"/>
            <w:shd w:val="clear" w:color="auto" w:fill="auto"/>
            <w:vAlign w:val="bottom"/>
          </w:tcPr>
          <w:p w14:paraId="751A96ED" w14:textId="77777777" w:rsidR="005C5B03" w:rsidRPr="00DE25AD" w:rsidRDefault="005C5B03" w:rsidP="005C5B03">
            <w:pPr>
              <w:pStyle w:val="ACCESSTableHeaderRow"/>
              <w:jc w:val="center"/>
            </w:pPr>
            <w:r>
              <w:t>2008</w:t>
            </w:r>
          </w:p>
          <w:p w14:paraId="181D0034" w14:textId="77777777" w:rsidR="005C5B03" w:rsidRPr="00DE25AD" w:rsidRDefault="005C5B03" w:rsidP="005C5B03">
            <w:pPr>
              <w:pStyle w:val="ACCESSTableHeaderRow"/>
              <w:jc w:val="center"/>
            </w:pPr>
            <w:r w:rsidRPr="00DE25AD">
              <w:t>(%)</w:t>
            </w:r>
          </w:p>
        </w:tc>
        <w:tc>
          <w:tcPr>
            <w:tcW w:w="879" w:type="dxa"/>
            <w:shd w:val="clear" w:color="auto" w:fill="auto"/>
            <w:vAlign w:val="bottom"/>
          </w:tcPr>
          <w:p w14:paraId="2B9D9958" w14:textId="77777777" w:rsidR="005C5B03" w:rsidRPr="00DE25AD" w:rsidRDefault="005C5B03" w:rsidP="005C5B03">
            <w:pPr>
              <w:pStyle w:val="ACCESSTableHeaderRow"/>
              <w:jc w:val="center"/>
            </w:pPr>
            <w:r>
              <w:t>2011</w:t>
            </w:r>
          </w:p>
          <w:p w14:paraId="58107F43" w14:textId="77777777" w:rsidR="005C5B03" w:rsidRPr="00DE25AD" w:rsidRDefault="005C5B03" w:rsidP="005C5B03">
            <w:pPr>
              <w:pStyle w:val="ACCESSTableHeaderRow"/>
              <w:jc w:val="center"/>
            </w:pPr>
            <w:r w:rsidRPr="00DE25AD">
              <w:t>(%)</w:t>
            </w:r>
          </w:p>
        </w:tc>
        <w:tc>
          <w:tcPr>
            <w:tcW w:w="879" w:type="dxa"/>
            <w:shd w:val="clear" w:color="auto" w:fill="auto"/>
            <w:vAlign w:val="bottom"/>
          </w:tcPr>
          <w:p w14:paraId="0BEF1352" w14:textId="77777777" w:rsidR="005C5B03" w:rsidRDefault="005C5B03" w:rsidP="005C5B03">
            <w:pPr>
              <w:pStyle w:val="ACCESSTableHeaderRow"/>
              <w:jc w:val="center"/>
            </w:pPr>
            <w:r>
              <w:t>2014</w:t>
            </w:r>
          </w:p>
          <w:p w14:paraId="6DC4EC6E" w14:textId="77777777" w:rsidR="005C5B03" w:rsidRPr="00DE25AD" w:rsidRDefault="005C5B03" w:rsidP="005C5B03">
            <w:pPr>
              <w:pStyle w:val="ACCESSTableHeaderRow"/>
              <w:jc w:val="center"/>
            </w:pPr>
            <w:r>
              <w:t>(%)</w:t>
            </w:r>
          </w:p>
        </w:tc>
        <w:tc>
          <w:tcPr>
            <w:tcW w:w="879" w:type="dxa"/>
            <w:shd w:val="clear" w:color="auto" w:fill="auto"/>
            <w:vAlign w:val="bottom"/>
          </w:tcPr>
          <w:p w14:paraId="36AF2848" w14:textId="67E5025A" w:rsidR="005C5B03" w:rsidRDefault="005C5B03" w:rsidP="005C5B03">
            <w:pPr>
              <w:pStyle w:val="ACCESSTableHeaderRow"/>
              <w:jc w:val="center"/>
            </w:pPr>
            <w:r>
              <w:t>2017</w:t>
            </w:r>
            <w:r w:rsidRPr="00107E26">
              <w:rPr>
                <w:vertAlign w:val="superscript"/>
              </w:rPr>
              <w:t>†</w:t>
            </w:r>
          </w:p>
          <w:p w14:paraId="78A9106B" w14:textId="77777777" w:rsidR="005C5B03" w:rsidRPr="00DE25AD" w:rsidRDefault="005C5B03" w:rsidP="005C5B03">
            <w:pPr>
              <w:pStyle w:val="ACCESSTableHeaderRow"/>
              <w:jc w:val="center"/>
            </w:pPr>
            <w:r w:rsidRPr="00DE25AD">
              <w:t>(%)</w:t>
            </w:r>
          </w:p>
        </w:tc>
      </w:tr>
      <w:tr w:rsidR="00826FCB" w:rsidRPr="00DE25AD" w14:paraId="4E57F81C" w14:textId="77777777" w:rsidTr="005C5B03">
        <w:trPr>
          <w:tblHeader/>
        </w:trPr>
        <w:tc>
          <w:tcPr>
            <w:tcW w:w="1517" w:type="dxa"/>
            <w:tcMar>
              <w:left w:w="57" w:type="dxa"/>
            </w:tcMar>
          </w:tcPr>
          <w:p w14:paraId="412C237A" w14:textId="5164195D" w:rsidR="00826FCB" w:rsidRPr="00DE25AD" w:rsidRDefault="00826FCB" w:rsidP="00826FCB">
            <w:pPr>
              <w:pStyle w:val="ACCESSTableHeaderRow"/>
            </w:pPr>
            <w:r>
              <w:t>Aged 12-15</w:t>
            </w:r>
          </w:p>
        </w:tc>
        <w:tc>
          <w:tcPr>
            <w:tcW w:w="1068" w:type="dxa"/>
            <w:shd w:val="clear" w:color="auto" w:fill="auto"/>
            <w:tcMar>
              <w:left w:w="57" w:type="dxa"/>
            </w:tcMar>
            <w:vAlign w:val="center"/>
          </w:tcPr>
          <w:p w14:paraId="5559C4B4" w14:textId="082DE226" w:rsidR="00826FCB" w:rsidRPr="00DE25AD" w:rsidRDefault="00826FCB" w:rsidP="00826FCB">
            <w:pPr>
              <w:pStyle w:val="ACCESSTableHeaderRow"/>
            </w:pPr>
          </w:p>
        </w:tc>
        <w:tc>
          <w:tcPr>
            <w:tcW w:w="878" w:type="dxa"/>
            <w:shd w:val="clear" w:color="auto" w:fill="auto"/>
            <w:vAlign w:val="bottom"/>
          </w:tcPr>
          <w:p w14:paraId="6FDC0EDF" w14:textId="77777777" w:rsidR="00826FCB" w:rsidRPr="00DE25AD" w:rsidRDefault="00826FCB" w:rsidP="00826FCB">
            <w:pPr>
              <w:pStyle w:val="ACCESSTableHeaderRow"/>
            </w:pPr>
          </w:p>
        </w:tc>
        <w:tc>
          <w:tcPr>
            <w:tcW w:w="879" w:type="dxa"/>
            <w:shd w:val="clear" w:color="auto" w:fill="auto"/>
            <w:vAlign w:val="bottom"/>
          </w:tcPr>
          <w:p w14:paraId="683366E9" w14:textId="77777777" w:rsidR="00826FCB" w:rsidRPr="00DE25AD" w:rsidRDefault="00826FCB" w:rsidP="00826FCB">
            <w:pPr>
              <w:pStyle w:val="ACCESSTableHeaderRow"/>
            </w:pPr>
          </w:p>
        </w:tc>
        <w:tc>
          <w:tcPr>
            <w:tcW w:w="879" w:type="dxa"/>
            <w:shd w:val="clear" w:color="auto" w:fill="auto"/>
            <w:vAlign w:val="bottom"/>
          </w:tcPr>
          <w:p w14:paraId="16FFFA0C" w14:textId="77777777" w:rsidR="00826FCB" w:rsidRPr="00DE25AD" w:rsidRDefault="00826FCB" w:rsidP="00826FCB">
            <w:pPr>
              <w:pStyle w:val="ACCESSTableHeaderRow"/>
            </w:pPr>
          </w:p>
        </w:tc>
        <w:tc>
          <w:tcPr>
            <w:tcW w:w="879" w:type="dxa"/>
            <w:shd w:val="clear" w:color="auto" w:fill="auto"/>
            <w:vAlign w:val="bottom"/>
          </w:tcPr>
          <w:p w14:paraId="75286C6F" w14:textId="77777777" w:rsidR="00826FCB" w:rsidRPr="00DE25AD" w:rsidRDefault="00826FCB" w:rsidP="00826FCB">
            <w:pPr>
              <w:pStyle w:val="ACCESSTableHeaderRow"/>
            </w:pPr>
          </w:p>
        </w:tc>
        <w:tc>
          <w:tcPr>
            <w:tcW w:w="879" w:type="dxa"/>
            <w:shd w:val="clear" w:color="auto" w:fill="auto"/>
            <w:vAlign w:val="bottom"/>
          </w:tcPr>
          <w:p w14:paraId="2AD4C281" w14:textId="77777777" w:rsidR="00826FCB" w:rsidRPr="00DE25AD" w:rsidRDefault="00826FCB" w:rsidP="00826FCB">
            <w:pPr>
              <w:pStyle w:val="ACCESSTableHeaderRow"/>
            </w:pPr>
          </w:p>
        </w:tc>
        <w:tc>
          <w:tcPr>
            <w:tcW w:w="879" w:type="dxa"/>
            <w:shd w:val="clear" w:color="auto" w:fill="auto"/>
            <w:vAlign w:val="bottom"/>
          </w:tcPr>
          <w:p w14:paraId="3F36A328" w14:textId="77777777" w:rsidR="00826FCB" w:rsidRPr="00DE25AD" w:rsidRDefault="00826FCB" w:rsidP="00826FCB">
            <w:pPr>
              <w:pStyle w:val="ACCESSTableHeaderRow"/>
            </w:pPr>
          </w:p>
        </w:tc>
        <w:tc>
          <w:tcPr>
            <w:tcW w:w="879" w:type="dxa"/>
            <w:shd w:val="clear" w:color="auto" w:fill="auto"/>
            <w:vAlign w:val="bottom"/>
          </w:tcPr>
          <w:p w14:paraId="2E1E1CA2" w14:textId="77777777" w:rsidR="00826FCB" w:rsidRPr="00DE25AD" w:rsidRDefault="00826FCB" w:rsidP="00826FCB">
            <w:pPr>
              <w:pStyle w:val="ACCESSTableHeaderRow"/>
            </w:pPr>
          </w:p>
        </w:tc>
        <w:tc>
          <w:tcPr>
            <w:tcW w:w="879" w:type="dxa"/>
            <w:shd w:val="clear" w:color="auto" w:fill="auto"/>
            <w:vAlign w:val="bottom"/>
          </w:tcPr>
          <w:p w14:paraId="543D4A4B" w14:textId="77777777" w:rsidR="00826FCB" w:rsidRPr="00DE25AD" w:rsidRDefault="00826FCB" w:rsidP="00826FCB">
            <w:pPr>
              <w:pStyle w:val="ACCESSTableHeaderRow"/>
            </w:pPr>
          </w:p>
        </w:tc>
      </w:tr>
      <w:tr w:rsidR="00826FCB" w:rsidRPr="00DE25AD" w14:paraId="633E2112" w14:textId="77777777" w:rsidTr="005F678B">
        <w:tc>
          <w:tcPr>
            <w:tcW w:w="1517" w:type="dxa"/>
            <w:tcMar>
              <w:left w:w="57" w:type="dxa"/>
            </w:tcMar>
          </w:tcPr>
          <w:p w14:paraId="1FD63459" w14:textId="1781E95D" w:rsidR="00826FCB" w:rsidRDefault="00826FCB" w:rsidP="00826FCB">
            <w:pPr>
              <w:pStyle w:val="ACCESSTableHeaderRow"/>
            </w:pPr>
            <w:r w:rsidRPr="00DE25AD">
              <w:t>Recency</w:t>
            </w:r>
          </w:p>
        </w:tc>
        <w:tc>
          <w:tcPr>
            <w:tcW w:w="1068" w:type="dxa"/>
            <w:shd w:val="clear" w:color="auto" w:fill="auto"/>
            <w:tcMar>
              <w:left w:w="57" w:type="dxa"/>
            </w:tcMar>
            <w:vAlign w:val="center"/>
          </w:tcPr>
          <w:p w14:paraId="77A2FC91" w14:textId="6DE24E41" w:rsidR="00826FCB" w:rsidRPr="00DE25AD" w:rsidRDefault="00826FCB" w:rsidP="00826FCB">
            <w:pPr>
              <w:pStyle w:val="ASSAD2017ACCESSBody1"/>
            </w:pPr>
            <w:r w:rsidRPr="005C5B03">
              <w:rPr>
                <w:b/>
                <w:bCs w:val="0"/>
              </w:rPr>
              <w:t>Sex</w:t>
            </w:r>
          </w:p>
        </w:tc>
        <w:tc>
          <w:tcPr>
            <w:tcW w:w="878" w:type="dxa"/>
            <w:shd w:val="clear" w:color="auto" w:fill="auto"/>
          </w:tcPr>
          <w:p w14:paraId="42C03665" w14:textId="77777777" w:rsidR="00826FCB" w:rsidRPr="00DE25AD" w:rsidRDefault="00826FCB" w:rsidP="00826FCB">
            <w:pPr>
              <w:pStyle w:val="ASSADACCESStablecentre"/>
            </w:pPr>
          </w:p>
        </w:tc>
        <w:tc>
          <w:tcPr>
            <w:tcW w:w="879" w:type="dxa"/>
            <w:shd w:val="clear" w:color="auto" w:fill="auto"/>
          </w:tcPr>
          <w:p w14:paraId="62F393EF" w14:textId="77777777" w:rsidR="00826FCB" w:rsidRPr="00DE25AD" w:rsidRDefault="00826FCB" w:rsidP="00826FCB">
            <w:pPr>
              <w:pStyle w:val="ASSADACCESStablecentre"/>
            </w:pPr>
          </w:p>
        </w:tc>
        <w:tc>
          <w:tcPr>
            <w:tcW w:w="879" w:type="dxa"/>
            <w:shd w:val="clear" w:color="auto" w:fill="auto"/>
          </w:tcPr>
          <w:p w14:paraId="357F3076" w14:textId="77777777" w:rsidR="00826FCB" w:rsidRPr="00DE25AD" w:rsidRDefault="00826FCB" w:rsidP="00826FCB">
            <w:pPr>
              <w:pStyle w:val="ASSADACCESStablecentre"/>
            </w:pPr>
          </w:p>
        </w:tc>
        <w:tc>
          <w:tcPr>
            <w:tcW w:w="879" w:type="dxa"/>
            <w:shd w:val="clear" w:color="auto" w:fill="auto"/>
          </w:tcPr>
          <w:p w14:paraId="6B72E346" w14:textId="77777777" w:rsidR="00826FCB" w:rsidRPr="00DE25AD" w:rsidRDefault="00826FCB" w:rsidP="00826FCB">
            <w:pPr>
              <w:pStyle w:val="ASSADACCESStablecentre"/>
            </w:pPr>
          </w:p>
        </w:tc>
        <w:tc>
          <w:tcPr>
            <w:tcW w:w="879" w:type="dxa"/>
            <w:shd w:val="clear" w:color="auto" w:fill="auto"/>
          </w:tcPr>
          <w:p w14:paraId="3185EE6A" w14:textId="77777777" w:rsidR="00826FCB" w:rsidRPr="00DE25AD" w:rsidRDefault="00826FCB" w:rsidP="00826FCB">
            <w:pPr>
              <w:pStyle w:val="ASSADACCESStablecentre"/>
            </w:pPr>
          </w:p>
        </w:tc>
        <w:tc>
          <w:tcPr>
            <w:tcW w:w="879" w:type="dxa"/>
            <w:shd w:val="clear" w:color="auto" w:fill="auto"/>
          </w:tcPr>
          <w:p w14:paraId="7A182741" w14:textId="77777777" w:rsidR="00826FCB" w:rsidRPr="00DE25AD" w:rsidRDefault="00826FCB" w:rsidP="00826FCB">
            <w:pPr>
              <w:pStyle w:val="ASSADACCESStablecentre"/>
            </w:pPr>
          </w:p>
        </w:tc>
        <w:tc>
          <w:tcPr>
            <w:tcW w:w="879" w:type="dxa"/>
            <w:shd w:val="clear" w:color="auto" w:fill="auto"/>
          </w:tcPr>
          <w:p w14:paraId="0BA6E526" w14:textId="77777777" w:rsidR="00826FCB" w:rsidRPr="00DE25AD" w:rsidRDefault="00826FCB" w:rsidP="00826FCB">
            <w:pPr>
              <w:pStyle w:val="ASSADACCESStablecentre"/>
            </w:pPr>
          </w:p>
        </w:tc>
        <w:tc>
          <w:tcPr>
            <w:tcW w:w="879" w:type="dxa"/>
            <w:shd w:val="clear" w:color="auto" w:fill="auto"/>
          </w:tcPr>
          <w:p w14:paraId="1CB19216" w14:textId="77777777" w:rsidR="00826FCB" w:rsidRPr="00DE25AD" w:rsidRDefault="00826FCB" w:rsidP="00826FCB">
            <w:pPr>
              <w:pStyle w:val="ASSADACCESStablecentre"/>
            </w:pPr>
          </w:p>
        </w:tc>
      </w:tr>
      <w:tr w:rsidR="009A7EC3" w:rsidRPr="00DE25AD" w14:paraId="724FF54D" w14:textId="77777777" w:rsidTr="005C5B03">
        <w:tc>
          <w:tcPr>
            <w:tcW w:w="1517" w:type="dxa"/>
            <w:tcMar>
              <w:left w:w="57" w:type="dxa"/>
            </w:tcMar>
          </w:tcPr>
          <w:p w14:paraId="61878987"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27B3DFA7" w14:textId="77777777" w:rsidR="009A7EC3" w:rsidRPr="00DE25AD" w:rsidRDefault="009A7EC3" w:rsidP="009A7EC3">
            <w:pPr>
              <w:pStyle w:val="ASSAD2017ACCESSBody1"/>
            </w:pPr>
            <w:r w:rsidRPr="00DE25AD">
              <w:t>Male</w:t>
            </w:r>
          </w:p>
        </w:tc>
        <w:tc>
          <w:tcPr>
            <w:tcW w:w="878" w:type="dxa"/>
            <w:shd w:val="clear" w:color="auto" w:fill="auto"/>
          </w:tcPr>
          <w:p w14:paraId="3A97DAD1" w14:textId="461579F6" w:rsidR="009A7EC3" w:rsidRPr="00DE25AD" w:rsidRDefault="009A7EC3" w:rsidP="009A7EC3">
            <w:pPr>
              <w:pStyle w:val="ASSADACCESStablecentre"/>
            </w:pPr>
            <w:r>
              <w:rPr>
                <w:bCs w:val="0"/>
                <w:color w:val="000000"/>
              </w:rPr>
              <w:t>33*</w:t>
            </w:r>
          </w:p>
        </w:tc>
        <w:tc>
          <w:tcPr>
            <w:tcW w:w="879" w:type="dxa"/>
            <w:shd w:val="clear" w:color="auto" w:fill="auto"/>
          </w:tcPr>
          <w:p w14:paraId="6EB252E6" w14:textId="40F4B75F" w:rsidR="009A7EC3" w:rsidRPr="00DE25AD" w:rsidRDefault="009A7EC3" w:rsidP="009A7EC3">
            <w:pPr>
              <w:pStyle w:val="ASSADACCESStablecentre"/>
            </w:pPr>
            <w:r>
              <w:rPr>
                <w:bCs w:val="0"/>
                <w:color w:val="000000"/>
              </w:rPr>
              <w:t>28*^</w:t>
            </w:r>
          </w:p>
        </w:tc>
        <w:tc>
          <w:tcPr>
            <w:tcW w:w="879" w:type="dxa"/>
            <w:shd w:val="clear" w:color="auto" w:fill="auto"/>
          </w:tcPr>
          <w:p w14:paraId="4A232CA0" w14:textId="072B8BA9" w:rsidR="009A7EC3" w:rsidRPr="00DE25AD" w:rsidRDefault="009A7EC3" w:rsidP="009A7EC3">
            <w:pPr>
              <w:pStyle w:val="ASSADACCESStablecentre"/>
            </w:pPr>
            <w:r>
              <w:rPr>
                <w:bCs w:val="0"/>
                <w:color w:val="000000"/>
              </w:rPr>
              <w:t>24*^</w:t>
            </w:r>
          </w:p>
        </w:tc>
        <w:tc>
          <w:tcPr>
            <w:tcW w:w="879" w:type="dxa"/>
            <w:shd w:val="clear" w:color="auto" w:fill="auto"/>
          </w:tcPr>
          <w:p w14:paraId="4273E5B2" w14:textId="2C998533" w:rsidR="009A7EC3" w:rsidRPr="00DE25AD" w:rsidRDefault="009A7EC3" w:rsidP="009A7EC3">
            <w:pPr>
              <w:pStyle w:val="ASSADACCESStablecentre"/>
            </w:pPr>
            <w:r>
              <w:rPr>
                <w:bCs w:val="0"/>
                <w:color w:val="000000"/>
              </w:rPr>
              <w:t>17*^</w:t>
            </w:r>
          </w:p>
        </w:tc>
        <w:tc>
          <w:tcPr>
            <w:tcW w:w="879" w:type="dxa"/>
            <w:shd w:val="clear" w:color="auto" w:fill="auto"/>
          </w:tcPr>
          <w:p w14:paraId="733FA2E5" w14:textId="1897AEDA" w:rsidR="009A7EC3" w:rsidRPr="00DE25AD" w:rsidRDefault="009A7EC3" w:rsidP="009A7EC3">
            <w:pPr>
              <w:pStyle w:val="ASSADACCESStablecentre"/>
            </w:pPr>
            <w:r>
              <w:rPr>
                <w:bCs w:val="0"/>
                <w:color w:val="000000"/>
              </w:rPr>
              <w:t>12^</w:t>
            </w:r>
          </w:p>
        </w:tc>
        <w:tc>
          <w:tcPr>
            <w:tcW w:w="879" w:type="dxa"/>
            <w:shd w:val="clear" w:color="auto" w:fill="auto"/>
          </w:tcPr>
          <w:p w14:paraId="6B592519" w14:textId="0E1B92F3" w:rsidR="009A7EC3" w:rsidRPr="00DE25AD" w:rsidRDefault="009A7EC3" w:rsidP="009A7EC3">
            <w:pPr>
              <w:pStyle w:val="ASSADACCESStablecentre"/>
            </w:pPr>
            <w:r>
              <w:rPr>
                <w:bCs w:val="0"/>
                <w:color w:val="000000"/>
              </w:rPr>
              <w:t>12^</w:t>
            </w:r>
          </w:p>
        </w:tc>
        <w:tc>
          <w:tcPr>
            <w:tcW w:w="879" w:type="dxa"/>
            <w:shd w:val="clear" w:color="auto" w:fill="auto"/>
          </w:tcPr>
          <w:p w14:paraId="55F11E4D" w14:textId="52E13F21" w:rsidR="009A7EC3" w:rsidRPr="00DE25AD" w:rsidRDefault="009A7EC3" w:rsidP="009A7EC3">
            <w:pPr>
              <w:pStyle w:val="ASSADACCESStablecentre"/>
            </w:pPr>
            <w:r>
              <w:rPr>
                <w:bCs w:val="0"/>
                <w:color w:val="000000"/>
              </w:rPr>
              <w:t>10^</w:t>
            </w:r>
          </w:p>
        </w:tc>
        <w:tc>
          <w:tcPr>
            <w:tcW w:w="879" w:type="dxa"/>
            <w:shd w:val="clear" w:color="auto" w:fill="auto"/>
          </w:tcPr>
          <w:p w14:paraId="1E24514F" w14:textId="263FC070" w:rsidR="009A7EC3" w:rsidRPr="00DE25AD" w:rsidRDefault="009A7EC3" w:rsidP="009A7EC3">
            <w:pPr>
              <w:pStyle w:val="ASSADACCESStablecentre"/>
            </w:pPr>
            <w:r>
              <w:rPr>
                <w:bCs w:val="0"/>
                <w:color w:val="000000"/>
              </w:rPr>
              <w:t>10^</w:t>
            </w:r>
          </w:p>
        </w:tc>
      </w:tr>
      <w:tr w:rsidR="009A7EC3" w:rsidRPr="00DE25AD" w14:paraId="17A84AC8" w14:textId="77777777" w:rsidTr="005C5B03">
        <w:tc>
          <w:tcPr>
            <w:tcW w:w="1517" w:type="dxa"/>
            <w:tcMar>
              <w:left w:w="57" w:type="dxa"/>
            </w:tcMar>
          </w:tcPr>
          <w:p w14:paraId="00826E42" w14:textId="77777777" w:rsidR="009A7EC3" w:rsidRPr="00DE25AD" w:rsidRDefault="009A7EC3" w:rsidP="009A7EC3">
            <w:pPr>
              <w:pStyle w:val="ACCESSTableHeaderRow"/>
            </w:pPr>
          </w:p>
        </w:tc>
        <w:tc>
          <w:tcPr>
            <w:tcW w:w="1068" w:type="dxa"/>
            <w:shd w:val="clear" w:color="auto" w:fill="auto"/>
            <w:tcMar>
              <w:left w:w="57" w:type="dxa"/>
            </w:tcMar>
            <w:vAlign w:val="bottom"/>
          </w:tcPr>
          <w:p w14:paraId="26CC8104" w14:textId="77777777" w:rsidR="009A7EC3" w:rsidRPr="00DE25AD" w:rsidRDefault="009A7EC3" w:rsidP="009A7EC3">
            <w:pPr>
              <w:pStyle w:val="ASSAD2017ACCESSBody1"/>
            </w:pPr>
            <w:r w:rsidRPr="00DE25AD">
              <w:t>Female</w:t>
            </w:r>
          </w:p>
        </w:tc>
        <w:tc>
          <w:tcPr>
            <w:tcW w:w="878" w:type="dxa"/>
            <w:shd w:val="clear" w:color="auto" w:fill="auto"/>
          </w:tcPr>
          <w:p w14:paraId="0E7E4249" w14:textId="76C64E4B" w:rsidR="009A7EC3" w:rsidRPr="00DE25AD" w:rsidRDefault="009A7EC3" w:rsidP="009A7EC3">
            <w:pPr>
              <w:pStyle w:val="ASSADACCESStablecentre"/>
            </w:pPr>
            <w:r>
              <w:rPr>
                <w:bCs w:val="0"/>
                <w:color w:val="000000"/>
              </w:rPr>
              <w:t>26*</w:t>
            </w:r>
          </w:p>
        </w:tc>
        <w:tc>
          <w:tcPr>
            <w:tcW w:w="879" w:type="dxa"/>
            <w:shd w:val="clear" w:color="auto" w:fill="auto"/>
          </w:tcPr>
          <w:p w14:paraId="1CC1A29B" w14:textId="30B689A2" w:rsidR="009A7EC3" w:rsidRPr="00DE25AD" w:rsidRDefault="009A7EC3" w:rsidP="009A7EC3">
            <w:pPr>
              <w:pStyle w:val="ASSADACCESStablecentre"/>
            </w:pPr>
            <w:r>
              <w:rPr>
                <w:bCs w:val="0"/>
                <w:color w:val="000000"/>
              </w:rPr>
              <w:t>23*^</w:t>
            </w:r>
          </w:p>
        </w:tc>
        <w:tc>
          <w:tcPr>
            <w:tcW w:w="879" w:type="dxa"/>
            <w:shd w:val="clear" w:color="auto" w:fill="auto"/>
          </w:tcPr>
          <w:p w14:paraId="4B87D95B" w14:textId="65CAE564" w:rsidR="009A7EC3" w:rsidRPr="00DE25AD" w:rsidRDefault="009A7EC3" w:rsidP="009A7EC3">
            <w:pPr>
              <w:pStyle w:val="ASSADACCESStablecentre"/>
            </w:pPr>
            <w:r>
              <w:rPr>
                <w:bCs w:val="0"/>
                <w:color w:val="000000"/>
              </w:rPr>
              <w:t>19*^</w:t>
            </w:r>
          </w:p>
        </w:tc>
        <w:tc>
          <w:tcPr>
            <w:tcW w:w="879" w:type="dxa"/>
            <w:shd w:val="clear" w:color="auto" w:fill="auto"/>
          </w:tcPr>
          <w:p w14:paraId="35AA4D5E" w14:textId="33CF097E" w:rsidR="009A7EC3" w:rsidRPr="00DE25AD" w:rsidRDefault="009A7EC3" w:rsidP="009A7EC3">
            <w:pPr>
              <w:pStyle w:val="ASSADACCESStablecentre"/>
            </w:pPr>
            <w:r>
              <w:rPr>
                <w:bCs w:val="0"/>
                <w:color w:val="000000"/>
              </w:rPr>
              <w:t>13*^</w:t>
            </w:r>
          </w:p>
        </w:tc>
        <w:tc>
          <w:tcPr>
            <w:tcW w:w="879" w:type="dxa"/>
            <w:shd w:val="clear" w:color="auto" w:fill="auto"/>
          </w:tcPr>
          <w:p w14:paraId="6166CE16" w14:textId="28ABEA49" w:rsidR="009A7EC3" w:rsidRPr="00DE25AD" w:rsidRDefault="009A7EC3" w:rsidP="009A7EC3">
            <w:pPr>
              <w:pStyle w:val="ASSADACCESStablecentre"/>
            </w:pPr>
            <w:r>
              <w:rPr>
                <w:bCs w:val="0"/>
                <w:color w:val="000000"/>
              </w:rPr>
              <w:t>11^</w:t>
            </w:r>
          </w:p>
        </w:tc>
        <w:tc>
          <w:tcPr>
            <w:tcW w:w="879" w:type="dxa"/>
            <w:shd w:val="clear" w:color="auto" w:fill="auto"/>
          </w:tcPr>
          <w:p w14:paraId="3FFD1203" w14:textId="6647BF3E" w:rsidR="009A7EC3" w:rsidRPr="00DE25AD" w:rsidRDefault="009A7EC3" w:rsidP="009A7EC3">
            <w:pPr>
              <w:pStyle w:val="ASSADACCESStablecentre"/>
            </w:pPr>
            <w:r>
              <w:rPr>
                <w:bCs w:val="0"/>
                <w:color w:val="000000"/>
              </w:rPr>
              <w:t>10^</w:t>
            </w:r>
          </w:p>
        </w:tc>
        <w:tc>
          <w:tcPr>
            <w:tcW w:w="879" w:type="dxa"/>
            <w:shd w:val="clear" w:color="auto" w:fill="auto"/>
          </w:tcPr>
          <w:p w14:paraId="6AA8C5C5" w14:textId="6980ADB9" w:rsidR="009A7EC3" w:rsidRPr="00DE25AD" w:rsidRDefault="009A7EC3" w:rsidP="009A7EC3">
            <w:pPr>
              <w:pStyle w:val="ASSADACCESStablecentre"/>
            </w:pPr>
            <w:r>
              <w:rPr>
                <w:bCs w:val="0"/>
                <w:color w:val="000000"/>
              </w:rPr>
              <w:t>9^</w:t>
            </w:r>
          </w:p>
        </w:tc>
        <w:tc>
          <w:tcPr>
            <w:tcW w:w="879" w:type="dxa"/>
            <w:shd w:val="clear" w:color="auto" w:fill="auto"/>
          </w:tcPr>
          <w:p w14:paraId="67B7F7BF" w14:textId="08958A3F" w:rsidR="009A7EC3" w:rsidRPr="00DE25AD" w:rsidRDefault="009A7EC3" w:rsidP="009A7EC3">
            <w:pPr>
              <w:pStyle w:val="ASSADACCESStablecentre"/>
            </w:pPr>
            <w:r>
              <w:rPr>
                <w:bCs w:val="0"/>
                <w:color w:val="000000"/>
              </w:rPr>
              <w:t>9^</w:t>
            </w:r>
          </w:p>
        </w:tc>
      </w:tr>
      <w:tr w:rsidR="009A7EC3" w:rsidRPr="00DE25AD" w14:paraId="48A52D23" w14:textId="77777777" w:rsidTr="005C5B03">
        <w:tc>
          <w:tcPr>
            <w:tcW w:w="1517" w:type="dxa"/>
            <w:tcMar>
              <w:left w:w="57" w:type="dxa"/>
            </w:tcMar>
          </w:tcPr>
          <w:p w14:paraId="2E499FD1" w14:textId="77777777" w:rsidR="009A7EC3" w:rsidRPr="00DE25AD" w:rsidRDefault="009A7EC3" w:rsidP="009A7EC3">
            <w:pPr>
              <w:pStyle w:val="ACCESSTableHeaderRow"/>
            </w:pPr>
          </w:p>
        </w:tc>
        <w:tc>
          <w:tcPr>
            <w:tcW w:w="1068" w:type="dxa"/>
            <w:shd w:val="clear" w:color="auto" w:fill="auto"/>
            <w:tcMar>
              <w:left w:w="57" w:type="dxa"/>
            </w:tcMar>
            <w:vAlign w:val="bottom"/>
          </w:tcPr>
          <w:p w14:paraId="5984E180" w14:textId="77777777" w:rsidR="009A7EC3" w:rsidRPr="00DE25AD" w:rsidRDefault="009A7EC3" w:rsidP="009A7EC3">
            <w:pPr>
              <w:pStyle w:val="ASSAD2017ACCESSBody1"/>
            </w:pPr>
            <w:r w:rsidRPr="00DE25AD">
              <w:t>Total</w:t>
            </w:r>
          </w:p>
        </w:tc>
        <w:tc>
          <w:tcPr>
            <w:tcW w:w="878" w:type="dxa"/>
            <w:shd w:val="clear" w:color="auto" w:fill="auto"/>
          </w:tcPr>
          <w:p w14:paraId="59CBDDC4" w14:textId="6BE545E9" w:rsidR="009A7EC3" w:rsidRPr="00DE25AD" w:rsidRDefault="009A7EC3" w:rsidP="009A7EC3">
            <w:pPr>
              <w:pStyle w:val="ASSADACCESStablecentre"/>
            </w:pPr>
            <w:r>
              <w:rPr>
                <w:bCs w:val="0"/>
                <w:color w:val="000000"/>
              </w:rPr>
              <w:t>30*</w:t>
            </w:r>
          </w:p>
        </w:tc>
        <w:tc>
          <w:tcPr>
            <w:tcW w:w="879" w:type="dxa"/>
            <w:shd w:val="clear" w:color="auto" w:fill="auto"/>
          </w:tcPr>
          <w:p w14:paraId="7D07821D" w14:textId="55B7F03B" w:rsidR="009A7EC3" w:rsidRPr="00DE25AD" w:rsidRDefault="009A7EC3" w:rsidP="009A7EC3">
            <w:pPr>
              <w:pStyle w:val="ASSADACCESStablecentre"/>
            </w:pPr>
            <w:r>
              <w:rPr>
                <w:bCs w:val="0"/>
                <w:color w:val="000000"/>
              </w:rPr>
              <w:t>25*^</w:t>
            </w:r>
          </w:p>
        </w:tc>
        <w:tc>
          <w:tcPr>
            <w:tcW w:w="879" w:type="dxa"/>
            <w:shd w:val="clear" w:color="auto" w:fill="auto"/>
          </w:tcPr>
          <w:p w14:paraId="2417918A" w14:textId="0C87F98E" w:rsidR="009A7EC3" w:rsidRPr="00DE25AD" w:rsidRDefault="009A7EC3" w:rsidP="009A7EC3">
            <w:pPr>
              <w:pStyle w:val="ASSADACCESStablecentre"/>
            </w:pPr>
            <w:r>
              <w:rPr>
                <w:bCs w:val="0"/>
                <w:color w:val="000000"/>
              </w:rPr>
              <w:t>22*^</w:t>
            </w:r>
          </w:p>
        </w:tc>
        <w:tc>
          <w:tcPr>
            <w:tcW w:w="879" w:type="dxa"/>
            <w:shd w:val="clear" w:color="auto" w:fill="auto"/>
          </w:tcPr>
          <w:p w14:paraId="3737307A" w14:textId="577D6233" w:rsidR="009A7EC3" w:rsidRPr="00DE25AD" w:rsidRDefault="009A7EC3" w:rsidP="009A7EC3">
            <w:pPr>
              <w:pStyle w:val="ASSADACCESStablecentre"/>
            </w:pPr>
            <w:r>
              <w:rPr>
                <w:bCs w:val="0"/>
                <w:color w:val="000000"/>
              </w:rPr>
              <w:t>15*^</w:t>
            </w:r>
          </w:p>
        </w:tc>
        <w:tc>
          <w:tcPr>
            <w:tcW w:w="879" w:type="dxa"/>
            <w:shd w:val="clear" w:color="auto" w:fill="auto"/>
          </w:tcPr>
          <w:p w14:paraId="5B4B8DE3" w14:textId="002D1F6A" w:rsidR="009A7EC3" w:rsidRPr="00DE25AD" w:rsidRDefault="009A7EC3" w:rsidP="009A7EC3">
            <w:pPr>
              <w:pStyle w:val="ASSADACCESStablecentre"/>
            </w:pPr>
            <w:r>
              <w:rPr>
                <w:bCs w:val="0"/>
                <w:color w:val="000000"/>
              </w:rPr>
              <w:t>11^</w:t>
            </w:r>
          </w:p>
        </w:tc>
        <w:tc>
          <w:tcPr>
            <w:tcW w:w="879" w:type="dxa"/>
            <w:shd w:val="clear" w:color="auto" w:fill="auto"/>
          </w:tcPr>
          <w:p w14:paraId="7C8F27EF" w14:textId="5E1AD3AA" w:rsidR="009A7EC3" w:rsidRPr="00DE25AD" w:rsidRDefault="009A7EC3" w:rsidP="009A7EC3">
            <w:pPr>
              <w:pStyle w:val="ASSADACCESStablecentre"/>
            </w:pPr>
            <w:r>
              <w:rPr>
                <w:bCs w:val="0"/>
                <w:color w:val="000000"/>
              </w:rPr>
              <w:t>11^</w:t>
            </w:r>
          </w:p>
        </w:tc>
        <w:tc>
          <w:tcPr>
            <w:tcW w:w="879" w:type="dxa"/>
            <w:shd w:val="clear" w:color="auto" w:fill="auto"/>
          </w:tcPr>
          <w:p w14:paraId="1AFC004D" w14:textId="4636F667" w:rsidR="009A7EC3" w:rsidRPr="00DE25AD" w:rsidRDefault="009A7EC3" w:rsidP="009A7EC3">
            <w:pPr>
              <w:pStyle w:val="ASSADACCESStablecentre"/>
            </w:pPr>
            <w:r>
              <w:rPr>
                <w:bCs w:val="0"/>
                <w:color w:val="000000"/>
              </w:rPr>
              <w:t>10^</w:t>
            </w:r>
          </w:p>
        </w:tc>
        <w:tc>
          <w:tcPr>
            <w:tcW w:w="879" w:type="dxa"/>
            <w:shd w:val="clear" w:color="auto" w:fill="auto"/>
          </w:tcPr>
          <w:p w14:paraId="50A442D8" w14:textId="4597A6E2" w:rsidR="009A7EC3" w:rsidRPr="00DE25AD" w:rsidRDefault="009A7EC3" w:rsidP="009A7EC3">
            <w:pPr>
              <w:pStyle w:val="ASSADACCESStablecentre"/>
            </w:pPr>
            <w:r>
              <w:rPr>
                <w:bCs w:val="0"/>
                <w:color w:val="000000"/>
              </w:rPr>
              <w:t>10^</w:t>
            </w:r>
          </w:p>
        </w:tc>
      </w:tr>
      <w:tr w:rsidR="009A7EC3" w:rsidRPr="00DE25AD" w14:paraId="0416D1E5" w14:textId="77777777" w:rsidTr="005C5B03">
        <w:tc>
          <w:tcPr>
            <w:tcW w:w="1517" w:type="dxa"/>
            <w:tcMar>
              <w:left w:w="57" w:type="dxa"/>
            </w:tcMar>
          </w:tcPr>
          <w:p w14:paraId="0CF96846"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5721ECEA" w14:textId="77777777" w:rsidR="009A7EC3" w:rsidRPr="00DE25AD" w:rsidRDefault="009A7EC3" w:rsidP="009A7EC3">
            <w:pPr>
              <w:pStyle w:val="ASSAD2017ACCESSBody1"/>
            </w:pPr>
            <w:r w:rsidRPr="00DE25AD">
              <w:t>Male</w:t>
            </w:r>
          </w:p>
        </w:tc>
        <w:tc>
          <w:tcPr>
            <w:tcW w:w="878" w:type="dxa"/>
            <w:shd w:val="clear" w:color="auto" w:fill="auto"/>
          </w:tcPr>
          <w:p w14:paraId="4B8AC2A5" w14:textId="65EA014B" w:rsidR="009A7EC3" w:rsidRPr="00DE25AD" w:rsidRDefault="009A7EC3" w:rsidP="009A7EC3">
            <w:pPr>
              <w:pStyle w:val="ASSADACCESStablecentre"/>
            </w:pPr>
            <w:r>
              <w:rPr>
                <w:bCs w:val="0"/>
                <w:color w:val="000000"/>
              </w:rPr>
              <w:t>18*</w:t>
            </w:r>
          </w:p>
        </w:tc>
        <w:tc>
          <w:tcPr>
            <w:tcW w:w="879" w:type="dxa"/>
            <w:shd w:val="clear" w:color="auto" w:fill="auto"/>
          </w:tcPr>
          <w:p w14:paraId="255A1487" w14:textId="5D40883D" w:rsidR="009A7EC3" w:rsidRPr="00DE25AD" w:rsidRDefault="009A7EC3" w:rsidP="009A7EC3">
            <w:pPr>
              <w:pStyle w:val="ASSADACCESStablecentre"/>
            </w:pPr>
            <w:r>
              <w:rPr>
                <w:bCs w:val="0"/>
                <w:color w:val="000000"/>
              </w:rPr>
              <w:t>14*^</w:t>
            </w:r>
          </w:p>
        </w:tc>
        <w:tc>
          <w:tcPr>
            <w:tcW w:w="879" w:type="dxa"/>
            <w:shd w:val="clear" w:color="auto" w:fill="auto"/>
          </w:tcPr>
          <w:p w14:paraId="0BD237B1" w14:textId="0FB77EE1" w:rsidR="009A7EC3" w:rsidRPr="00DE25AD" w:rsidRDefault="009A7EC3" w:rsidP="009A7EC3">
            <w:pPr>
              <w:pStyle w:val="ASSADACCESStablecentre"/>
            </w:pPr>
            <w:r>
              <w:rPr>
                <w:bCs w:val="0"/>
                <w:color w:val="000000"/>
              </w:rPr>
              <w:t>12*^</w:t>
            </w:r>
          </w:p>
        </w:tc>
        <w:tc>
          <w:tcPr>
            <w:tcW w:w="879" w:type="dxa"/>
            <w:shd w:val="clear" w:color="auto" w:fill="auto"/>
          </w:tcPr>
          <w:p w14:paraId="1AAF4111" w14:textId="0D8B34BD" w:rsidR="009A7EC3" w:rsidRPr="00DE25AD" w:rsidRDefault="009A7EC3" w:rsidP="009A7EC3">
            <w:pPr>
              <w:pStyle w:val="ASSADACCESStablecentre"/>
            </w:pPr>
            <w:r>
              <w:rPr>
                <w:bCs w:val="0"/>
                <w:color w:val="000000"/>
              </w:rPr>
              <w:t>8*^</w:t>
            </w:r>
          </w:p>
        </w:tc>
        <w:tc>
          <w:tcPr>
            <w:tcW w:w="879" w:type="dxa"/>
            <w:shd w:val="clear" w:color="auto" w:fill="auto"/>
          </w:tcPr>
          <w:p w14:paraId="505FF2C1" w14:textId="3072F693" w:rsidR="009A7EC3" w:rsidRPr="00DE25AD" w:rsidRDefault="009A7EC3" w:rsidP="009A7EC3">
            <w:pPr>
              <w:pStyle w:val="ASSADACCESStablecentre"/>
            </w:pPr>
            <w:r>
              <w:rPr>
                <w:bCs w:val="0"/>
                <w:color w:val="000000"/>
              </w:rPr>
              <w:t>6^</w:t>
            </w:r>
          </w:p>
        </w:tc>
        <w:tc>
          <w:tcPr>
            <w:tcW w:w="879" w:type="dxa"/>
            <w:shd w:val="clear" w:color="auto" w:fill="auto"/>
          </w:tcPr>
          <w:p w14:paraId="0BF0BE31" w14:textId="456A3CEB" w:rsidR="009A7EC3" w:rsidRPr="00DE25AD" w:rsidRDefault="009A7EC3" w:rsidP="009A7EC3">
            <w:pPr>
              <w:pStyle w:val="ASSADACCESStablecentre"/>
            </w:pPr>
            <w:r>
              <w:rPr>
                <w:bCs w:val="0"/>
                <w:color w:val="000000"/>
              </w:rPr>
              <w:t>6^</w:t>
            </w:r>
          </w:p>
        </w:tc>
        <w:tc>
          <w:tcPr>
            <w:tcW w:w="879" w:type="dxa"/>
            <w:shd w:val="clear" w:color="auto" w:fill="auto"/>
          </w:tcPr>
          <w:p w14:paraId="2DBD1CBE" w14:textId="17AFE335" w:rsidR="009A7EC3" w:rsidRPr="00DE25AD" w:rsidRDefault="009A7EC3" w:rsidP="009A7EC3">
            <w:pPr>
              <w:pStyle w:val="ASSADACCESStablecentre"/>
            </w:pPr>
            <w:r>
              <w:rPr>
                <w:bCs w:val="0"/>
                <w:color w:val="000000"/>
              </w:rPr>
              <w:t>5^</w:t>
            </w:r>
          </w:p>
        </w:tc>
        <w:tc>
          <w:tcPr>
            <w:tcW w:w="879" w:type="dxa"/>
            <w:shd w:val="clear" w:color="auto" w:fill="auto"/>
          </w:tcPr>
          <w:p w14:paraId="4B046EAD" w14:textId="51AC27F1" w:rsidR="009A7EC3" w:rsidRPr="00DE25AD" w:rsidRDefault="009A7EC3" w:rsidP="009A7EC3">
            <w:pPr>
              <w:pStyle w:val="ASSADACCESStablecentre"/>
            </w:pPr>
            <w:r>
              <w:rPr>
                <w:bCs w:val="0"/>
                <w:color w:val="000000"/>
              </w:rPr>
              <w:t>5^</w:t>
            </w:r>
          </w:p>
        </w:tc>
      </w:tr>
      <w:tr w:rsidR="009A7EC3" w:rsidRPr="00DE25AD" w14:paraId="21597A80" w14:textId="77777777" w:rsidTr="005C5B03">
        <w:tc>
          <w:tcPr>
            <w:tcW w:w="1517" w:type="dxa"/>
            <w:tcMar>
              <w:left w:w="57" w:type="dxa"/>
            </w:tcMar>
          </w:tcPr>
          <w:p w14:paraId="7A7EF902" w14:textId="77777777" w:rsidR="009A7EC3" w:rsidRPr="00DE25AD" w:rsidRDefault="009A7EC3" w:rsidP="009A7EC3">
            <w:pPr>
              <w:pStyle w:val="ACCESSTableHeaderRow"/>
            </w:pPr>
          </w:p>
        </w:tc>
        <w:tc>
          <w:tcPr>
            <w:tcW w:w="1068" w:type="dxa"/>
            <w:shd w:val="clear" w:color="auto" w:fill="auto"/>
            <w:tcMar>
              <w:left w:w="57" w:type="dxa"/>
            </w:tcMar>
            <w:vAlign w:val="bottom"/>
          </w:tcPr>
          <w:p w14:paraId="7423B21E" w14:textId="77777777" w:rsidR="009A7EC3" w:rsidRPr="00DE25AD" w:rsidRDefault="009A7EC3" w:rsidP="009A7EC3">
            <w:pPr>
              <w:pStyle w:val="ASSAD2017ACCESSBody1"/>
            </w:pPr>
            <w:r w:rsidRPr="00DE25AD">
              <w:t>Female</w:t>
            </w:r>
          </w:p>
        </w:tc>
        <w:tc>
          <w:tcPr>
            <w:tcW w:w="878" w:type="dxa"/>
            <w:shd w:val="clear" w:color="auto" w:fill="auto"/>
          </w:tcPr>
          <w:p w14:paraId="1875146C" w14:textId="54853186" w:rsidR="009A7EC3" w:rsidRPr="00DE25AD" w:rsidRDefault="009A7EC3" w:rsidP="009A7EC3">
            <w:pPr>
              <w:pStyle w:val="ASSADACCESStablecentre"/>
            </w:pPr>
            <w:r>
              <w:rPr>
                <w:bCs w:val="0"/>
                <w:color w:val="000000"/>
              </w:rPr>
              <w:t>14*</w:t>
            </w:r>
          </w:p>
        </w:tc>
        <w:tc>
          <w:tcPr>
            <w:tcW w:w="879" w:type="dxa"/>
            <w:shd w:val="clear" w:color="auto" w:fill="auto"/>
          </w:tcPr>
          <w:p w14:paraId="5E9D3FE2" w14:textId="14C9CDE1" w:rsidR="009A7EC3" w:rsidRPr="00DE25AD" w:rsidRDefault="009A7EC3" w:rsidP="009A7EC3">
            <w:pPr>
              <w:pStyle w:val="ASSADACCESStablecentre"/>
            </w:pPr>
            <w:r>
              <w:rPr>
                <w:bCs w:val="0"/>
                <w:color w:val="000000"/>
              </w:rPr>
              <w:t>11*^</w:t>
            </w:r>
          </w:p>
        </w:tc>
        <w:tc>
          <w:tcPr>
            <w:tcW w:w="879" w:type="dxa"/>
            <w:shd w:val="clear" w:color="auto" w:fill="auto"/>
          </w:tcPr>
          <w:p w14:paraId="51A8BA56" w14:textId="1CEBEF4E" w:rsidR="009A7EC3" w:rsidRPr="00DE25AD" w:rsidRDefault="009A7EC3" w:rsidP="009A7EC3">
            <w:pPr>
              <w:pStyle w:val="ASSADACCESStablecentre"/>
            </w:pPr>
            <w:r>
              <w:rPr>
                <w:bCs w:val="0"/>
                <w:color w:val="000000"/>
              </w:rPr>
              <w:t>9*^</w:t>
            </w:r>
          </w:p>
        </w:tc>
        <w:tc>
          <w:tcPr>
            <w:tcW w:w="879" w:type="dxa"/>
            <w:shd w:val="clear" w:color="auto" w:fill="auto"/>
          </w:tcPr>
          <w:p w14:paraId="51014B09" w14:textId="22485084" w:rsidR="009A7EC3" w:rsidRPr="00DE25AD" w:rsidRDefault="009A7EC3" w:rsidP="009A7EC3">
            <w:pPr>
              <w:pStyle w:val="ASSADACCESStablecentre"/>
            </w:pPr>
            <w:r>
              <w:rPr>
                <w:bCs w:val="0"/>
                <w:color w:val="000000"/>
              </w:rPr>
              <w:t>5^</w:t>
            </w:r>
          </w:p>
        </w:tc>
        <w:tc>
          <w:tcPr>
            <w:tcW w:w="879" w:type="dxa"/>
            <w:shd w:val="clear" w:color="auto" w:fill="auto"/>
          </w:tcPr>
          <w:p w14:paraId="39A87149" w14:textId="4B458EE0" w:rsidR="009A7EC3" w:rsidRPr="00DE25AD" w:rsidRDefault="009A7EC3" w:rsidP="009A7EC3">
            <w:pPr>
              <w:pStyle w:val="ASSADACCESStablecentre"/>
            </w:pPr>
            <w:r>
              <w:rPr>
                <w:bCs w:val="0"/>
                <w:color w:val="000000"/>
              </w:rPr>
              <w:t>5^</w:t>
            </w:r>
          </w:p>
        </w:tc>
        <w:tc>
          <w:tcPr>
            <w:tcW w:w="879" w:type="dxa"/>
            <w:shd w:val="clear" w:color="auto" w:fill="auto"/>
          </w:tcPr>
          <w:p w14:paraId="0E0ECF45" w14:textId="468706AF" w:rsidR="009A7EC3" w:rsidRPr="00DE25AD" w:rsidRDefault="009A7EC3" w:rsidP="009A7EC3">
            <w:pPr>
              <w:pStyle w:val="ASSADACCESStablecentre"/>
            </w:pPr>
            <w:r>
              <w:rPr>
                <w:bCs w:val="0"/>
                <w:color w:val="000000"/>
              </w:rPr>
              <w:t>5^</w:t>
            </w:r>
          </w:p>
        </w:tc>
        <w:tc>
          <w:tcPr>
            <w:tcW w:w="879" w:type="dxa"/>
            <w:shd w:val="clear" w:color="auto" w:fill="auto"/>
          </w:tcPr>
          <w:p w14:paraId="6932440F" w14:textId="45184336" w:rsidR="009A7EC3" w:rsidRPr="00DE25AD" w:rsidRDefault="009A7EC3" w:rsidP="009A7EC3">
            <w:pPr>
              <w:pStyle w:val="ASSADACCESStablecentre"/>
            </w:pPr>
            <w:r>
              <w:rPr>
                <w:bCs w:val="0"/>
                <w:color w:val="000000"/>
              </w:rPr>
              <w:t>4^</w:t>
            </w:r>
          </w:p>
        </w:tc>
        <w:tc>
          <w:tcPr>
            <w:tcW w:w="879" w:type="dxa"/>
            <w:shd w:val="clear" w:color="auto" w:fill="auto"/>
          </w:tcPr>
          <w:p w14:paraId="4869E3EB" w14:textId="4ED74E13" w:rsidR="009A7EC3" w:rsidRPr="00DE25AD" w:rsidRDefault="009A7EC3" w:rsidP="009A7EC3">
            <w:pPr>
              <w:pStyle w:val="ASSADACCESStablecentre"/>
            </w:pPr>
            <w:r>
              <w:rPr>
                <w:bCs w:val="0"/>
                <w:color w:val="000000"/>
              </w:rPr>
              <w:t>4^</w:t>
            </w:r>
          </w:p>
        </w:tc>
      </w:tr>
      <w:tr w:rsidR="009A7EC3" w:rsidRPr="00DE25AD" w14:paraId="27B0B6EB" w14:textId="77777777" w:rsidTr="005C5B03">
        <w:tc>
          <w:tcPr>
            <w:tcW w:w="1517" w:type="dxa"/>
            <w:tcMar>
              <w:left w:w="57" w:type="dxa"/>
            </w:tcMar>
          </w:tcPr>
          <w:p w14:paraId="00BD48F6" w14:textId="77777777" w:rsidR="009A7EC3" w:rsidRPr="00DE25AD" w:rsidRDefault="009A7EC3" w:rsidP="009A7EC3">
            <w:pPr>
              <w:pStyle w:val="ACCESSTableHeaderRow"/>
            </w:pPr>
          </w:p>
        </w:tc>
        <w:tc>
          <w:tcPr>
            <w:tcW w:w="1068" w:type="dxa"/>
            <w:shd w:val="clear" w:color="auto" w:fill="auto"/>
            <w:tcMar>
              <w:left w:w="57" w:type="dxa"/>
            </w:tcMar>
            <w:vAlign w:val="bottom"/>
          </w:tcPr>
          <w:p w14:paraId="78A4AB47" w14:textId="77777777" w:rsidR="009A7EC3" w:rsidRPr="00DE25AD" w:rsidRDefault="009A7EC3" w:rsidP="009A7EC3">
            <w:pPr>
              <w:pStyle w:val="ASSAD2017ACCESSBody1"/>
            </w:pPr>
            <w:r w:rsidRPr="00DE25AD">
              <w:t>Total</w:t>
            </w:r>
          </w:p>
        </w:tc>
        <w:tc>
          <w:tcPr>
            <w:tcW w:w="878" w:type="dxa"/>
            <w:shd w:val="clear" w:color="auto" w:fill="auto"/>
          </w:tcPr>
          <w:p w14:paraId="604BBF8C" w14:textId="34DB187A" w:rsidR="009A7EC3" w:rsidRPr="00DE25AD" w:rsidRDefault="009A7EC3" w:rsidP="009A7EC3">
            <w:pPr>
              <w:pStyle w:val="ASSADACCESStablecentre"/>
            </w:pPr>
            <w:r>
              <w:rPr>
                <w:bCs w:val="0"/>
                <w:color w:val="000000"/>
              </w:rPr>
              <w:t>16*</w:t>
            </w:r>
          </w:p>
        </w:tc>
        <w:tc>
          <w:tcPr>
            <w:tcW w:w="879" w:type="dxa"/>
            <w:shd w:val="clear" w:color="auto" w:fill="auto"/>
          </w:tcPr>
          <w:p w14:paraId="550053DF" w14:textId="5446D789" w:rsidR="009A7EC3" w:rsidRPr="00DE25AD" w:rsidRDefault="009A7EC3" w:rsidP="009A7EC3">
            <w:pPr>
              <w:pStyle w:val="ASSADACCESStablecentre"/>
            </w:pPr>
            <w:r>
              <w:rPr>
                <w:bCs w:val="0"/>
                <w:color w:val="000000"/>
              </w:rPr>
              <w:t>12*^</w:t>
            </w:r>
          </w:p>
        </w:tc>
        <w:tc>
          <w:tcPr>
            <w:tcW w:w="879" w:type="dxa"/>
            <w:shd w:val="clear" w:color="auto" w:fill="auto"/>
          </w:tcPr>
          <w:p w14:paraId="089E6F14" w14:textId="3CC78D18" w:rsidR="009A7EC3" w:rsidRPr="00DE25AD" w:rsidRDefault="009A7EC3" w:rsidP="009A7EC3">
            <w:pPr>
              <w:pStyle w:val="ASSADACCESStablecentre"/>
            </w:pPr>
            <w:r>
              <w:rPr>
                <w:bCs w:val="0"/>
                <w:color w:val="000000"/>
              </w:rPr>
              <w:t>10*^</w:t>
            </w:r>
          </w:p>
        </w:tc>
        <w:tc>
          <w:tcPr>
            <w:tcW w:w="879" w:type="dxa"/>
            <w:shd w:val="clear" w:color="auto" w:fill="auto"/>
          </w:tcPr>
          <w:p w14:paraId="4117F64E" w14:textId="4E7CA1E4" w:rsidR="009A7EC3" w:rsidRPr="00DE25AD" w:rsidRDefault="009A7EC3" w:rsidP="009A7EC3">
            <w:pPr>
              <w:pStyle w:val="ASSADACCESStablecentre"/>
            </w:pPr>
            <w:r>
              <w:rPr>
                <w:bCs w:val="0"/>
                <w:color w:val="000000"/>
              </w:rPr>
              <w:t>7*^</w:t>
            </w:r>
          </w:p>
        </w:tc>
        <w:tc>
          <w:tcPr>
            <w:tcW w:w="879" w:type="dxa"/>
            <w:shd w:val="clear" w:color="auto" w:fill="auto"/>
          </w:tcPr>
          <w:p w14:paraId="4F50F656" w14:textId="1E5B8F4E" w:rsidR="009A7EC3" w:rsidRPr="00DE25AD" w:rsidRDefault="009A7EC3" w:rsidP="009A7EC3">
            <w:pPr>
              <w:pStyle w:val="ASSADACCESStablecentre"/>
            </w:pPr>
            <w:r>
              <w:rPr>
                <w:bCs w:val="0"/>
                <w:color w:val="000000"/>
              </w:rPr>
              <w:t>5^</w:t>
            </w:r>
          </w:p>
        </w:tc>
        <w:tc>
          <w:tcPr>
            <w:tcW w:w="879" w:type="dxa"/>
            <w:shd w:val="clear" w:color="auto" w:fill="auto"/>
          </w:tcPr>
          <w:p w14:paraId="70071F93" w14:textId="39957742" w:rsidR="009A7EC3" w:rsidRPr="00DE25AD" w:rsidRDefault="009A7EC3" w:rsidP="009A7EC3">
            <w:pPr>
              <w:pStyle w:val="ASSADACCESStablecentre"/>
            </w:pPr>
            <w:r>
              <w:rPr>
                <w:bCs w:val="0"/>
                <w:color w:val="000000"/>
              </w:rPr>
              <w:t>5^</w:t>
            </w:r>
          </w:p>
        </w:tc>
        <w:tc>
          <w:tcPr>
            <w:tcW w:w="879" w:type="dxa"/>
            <w:shd w:val="clear" w:color="auto" w:fill="auto"/>
          </w:tcPr>
          <w:p w14:paraId="5C533E8A" w14:textId="360CE33D" w:rsidR="009A7EC3" w:rsidRPr="00DE25AD" w:rsidRDefault="009A7EC3" w:rsidP="009A7EC3">
            <w:pPr>
              <w:pStyle w:val="ASSADACCESStablecentre"/>
            </w:pPr>
            <w:r>
              <w:rPr>
                <w:bCs w:val="0"/>
                <w:color w:val="000000"/>
              </w:rPr>
              <w:t>4^</w:t>
            </w:r>
          </w:p>
        </w:tc>
        <w:tc>
          <w:tcPr>
            <w:tcW w:w="879" w:type="dxa"/>
            <w:shd w:val="clear" w:color="auto" w:fill="auto"/>
          </w:tcPr>
          <w:p w14:paraId="009322F5" w14:textId="277660D8" w:rsidR="009A7EC3" w:rsidRPr="00DE25AD" w:rsidRDefault="009A7EC3" w:rsidP="009A7EC3">
            <w:pPr>
              <w:pStyle w:val="ASSADACCESStablecentre"/>
            </w:pPr>
            <w:r>
              <w:rPr>
                <w:bCs w:val="0"/>
                <w:color w:val="000000"/>
              </w:rPr>
              <w:t>5^</w:t>
            </w:r>
          </w:p>
        </w:tc>
      </w:tr>
      <w:tr w:rsidR="009A7EC3" w:rsidRPr="00DE25AD" w14:paraId="0B034CE4" w14:textId="77777777" w:rsidTr="005F678B">
        <w:tc>
          <w:tcPr>
            <w:tcW w:w="1517" w:type="dxa"/>
            <w:tcMar>
              <w:left w:w="57" w:type="dxa"/>
            </w:tcMar>
          </w:tcPr>
          <w:p w14:paraId="441A48D1" w14:textId="742CC21C" w:rsidR="009A7EC3" w:rsidRDefault="009A7EC3" w:rsidP="009A7EC3">
            <w:pPr>
              <w:pStyle w:val="ACCESSTableHeaderRow"/>
            </w:pPr>
            <w:r>
              <w:t>Aged 16-17</w:t>
            </w:r>
          </w:p>
        </w:tc>
        <w:tc>
          <w:tcPr>
            <w:tcW w:w="1068" w:type="dxa"/>
            <w:shd w:val="clear" w:color="auto" w:fill="auto"/>
            <w:tcMar>
              <w:left w:w="57" w:type="dxa"/>
            </w:tcMar>
            <w:vAlign w:val="center"/>
          </w:tcPr>
          <w:p w14:paraId="3F686333" w14:textId="77777777" w:rsidR="009A7EC3" w:rsidRPr="00DE25AD" w:rsidRDefault="009A7EC3" w:rsidP="009A7EC3">
            <w:pPr>
              <w:pStyle w:val="ASSAD2017ACCESSBody1"/>
            </w:pPr>
          </w:p>
        </w:tc>
        <w:tc>
          <w:tcPr>
            <w:tcW w:w="878" w:type="dxa"/>
            <w:shd w:val="clear" w:color="auto" w:fill="auto"/>
            <w:vAlign w:val="bottom"/>
          </w:tcPr>
          <w:p w14:paraId="22B27D3C" w14:textId="77777777" w:rsidR="009A7EC3" w:rsidRPr="00DE25AD" w:rsidRDefault="009A7EC3" w:rsidP="009A7EC3">
            <w:pPr>
              <w:pStyle w:val="ASSADACCESStablecentre"/>
            </w:pPr>
          </w:p>
        </w:tc>
        <w:tc>
          <w:tcPr>
            <w:tcW w:w="879" w:type="dxa"/>
            <w:shd w:val="clear" w:color="auto" w:fill="auto"/>
            <w:vAlign w:val="bottom"/>
          </w:tcPr>
          <w:p w14:paraId="347B3B3E" w14:textId="77777777" w:rsidR="009A7EC3" w:rsidRPr="00DE25AD" w:rsidRDefault="009A7EC3" w:rsidP="009A7EC3">
            <w:pPr>
              <w:pStyle w:val="ASSADACCESStablecentre"/>
            </w:pPr>
          </w:p>
        </w:tc>
        <w:tc>
          <w:tcPr>
            <w:tcW w:w="879" w:type="dxa"/>
            <w:shd w:val="clear" w:color="auto" w:fill="auto"/>
            <w:vAlign w:val="bottom"/>
          </w:tcPr>
          <w:p w14:paraId="769C8832" w14:textId="77777777" w:rsidR="009A7EC3" w:rsidRPr="00DE25AD" w:rsidRDefault="009A7EC3" w:rsidP="009A7EC3">
            <w:pPr>
              <w:pStyle w:val="ASSADACCESStablecentre"/>
            </w:pPr>
          </w:p>
        </w:tc>
        <w:tc>
          <w:tcPr>
            <w:tcW w:w="879" w:type="dxa"/>
            <w:shd w:val="clear" w:color="auto" w:fill="auto"/>
            <w:vAlign w:val="bottom"/>
          </w:tcPr>
          <w:p w14:paraId="6E21DBB9" w14:textId="77777777" w:rsidR="009A7EC3" w:rsidRPr="00DE25AD" w:rsidRDefault="009A7EC3" w:rsidP="009A7EC3">
            <w:pPr>
              <w:pStyle w:val="ASSADACCESStablecentre"/>
            </w:pPr>
          </w:p>
        </w:tc>
        <w:tc>
          <w:tcPr>
            <w:tcW w:w="879" w:type="dxa"/>
            <w:shd w:val="clear" w:color="auto" w:fill="auto"/>
            <w:vAlign w:val="bottom"/>
          </w:tcPr>
          <w:p w14:paraId="23F74843" w14:textId="77777777" w:rsidR="009A7EC3" w:rsidRPr="00DE25AD" w:rsidRDefault="009A7EC3" w:rsidP="009A7EC3">
            <w:pPr>
              <w:pStyle w:val="ASSADACCESStablecentre"/>
            </w:pPr>
          </w:p>
        </w:tc>
        <w:tc>
          <w:tcPr>
            <w:tcW w:w="879" w:type="dxa"/>
            <w:shd w:val="clear" w:color="auto" w:fill="auto"/>
            <w:vAlign w:val="bottom"/>
          </w:tcPr>
          <w:p w14:paraId="609BF626" w14:textId="77777777" w:rsidR="009A7EC3" w:rsidRPr="00DE25AD" w:rsidRDefault="009A7EC3" w:rsidP="009A7EC3">
            <w:pPr>
              <w:pStyle w:val="ASSADACCESStablecentre"/>
            </w:pPr>
          </w:p>
        </w:tc>
        <w:tc>
          <w:tcPr>
            <w:tcW w:w="879" w:type="dxa"/>
            <w:shd w:val="clear" w:color="auto" w:fill="auto"/>
            <w:vAlign w:val="bottom"/>
          </w:tcPr>
          <w:p w14:paraId="5A3EF867" w14:textId="77777777" w:rsidR="009A7EC3" w:rsidRPr="00DE25AD" w:rsidRDefault="009A7EC3" w:rsidP="009A7EC3">
            <w:pPr>
              <w:pStyle w:val="ASSADACCESStablecentre"/>
            </w:pPr>
          </w:p>
        </w:tc>
        <w:tc>
          <w:tcPr>
            <w:tcW w:w="879" w:type="dxa"/>
            <w:shd w:val="clear" w:color="auto" w:fill="auto"/>
            <w:vAlign w:val="bottom"/>
          </w:tcPr>
          <w:p w14:paraId="3CCC7723" w14:textId="77777777" w:rsidR="009A7EC3" w:rsidRPr="00DE25AD" w:rsidRDefault="009A7EC3" w:rsidP="009A7EC3">
            <w:pPr>
              <w:pStyle w:val="ASSADACCESStablecentre"/>
            </w:pPr>
          </w:p>
        </w:tc>
      </w:tr>
      <w:tr w:rsidR="009A7EC3" w:rsidRPr="00DE25AD" w14:paraId="52E730A0" w14:textId="77777777" w:rsidTr="005F678B">
        <w:tc>
          <w:tcPr>
            <w:tcW w:w="1517" w:type="dxa"/>
            <w:tcMar>
              <w:left w:w="57" w:type="dxa"/>
            </w:tcMar>
          </w:tcPr>
          <w:p w14:paraId="16116E25" w14:textId="348BBBE6" w:rsidR="009A7EC3" w:rsidRDefault="009A7EC3" w:rsidP="009A7EC3">
            <w:pPr>
              <w:pStyle w:val="ACCESSTableHeaderRow"/>
            </w:pPr>
            <w:r w:rsidRPr="00DE25AD">
              <w:t>Recency</w:t>
            </w:r>
          </w:p>
        </w:tc>
        <w:tc>
          <w:tcPr>
            <w:tcW w:w="1068" w:type="dxa"/>
            <w:shd w:val="clear" w:color="auto" w:fill="auto"/>
            <w:tcMar>
              <w:left w:w="57" w:type="dxa"/>
            </w:tcMar>
            <w:vAlign w:val="center"/>
          </w:tcPr>
          <w:p w14:paraId="35BB5031" w14:textId="6FB43CB8" w:rsidR="009A7EC3" w:rsidRPr="00DE25AD" w:rsidRDefault="009A7EC3" w:rsidP="009A7EC3">
            <w:pPr>
              <w:pStyle w:val="ASSAD2017ACCESSBody1"/>
            </w:pPr>
            <w:r w:rsidRPr="005C5B03">
              <w:rPr>
                <w:b/>
                <w:bCs w:val="0"/>
              </w:rPr>
              <w:t>Sex</w:t>
            </w:r>
          </w:p>
        </w:tc>
        <w:tc>
          <w:tcPr>
            <w:tcW w:w="878" w:type="dxa"/>
            <w:shd w:val="clear" w:color="auto" w:fill="auto"/>
            <w:vAlign w:val="bottom"/>
          </w:tcPr>
          <w:p w14:paraId="6E003DF7" w14:textId="77777777" w:rsidR="009A7EC3" w:rsidRPr="00DE25AD" w:rsidRDefault="009A7EC3" w:rsidP="009A7EC3">
            <w:pPr>
              <w:pStyle w:val="ASSADACCESStablecentre"/>
            </w:pPr>
          </w:p>
        </w:tc>
        <w:tc>
          <w:tcPr>
            <w:tcW w:w="879" w:type="dxa"/>
            <w:shd w:val="clear" w:color="auto" w:fill="auto"/>
            <w:vAlign w:val="bottom"/>
          </w:tcPr>
          <w:p w14:paraId="1A562897" w14:textId="77777777" w:rsidR="009A7EC3" w:rsidRPr="00DE25AD" w:rsidRDefault="009A7EC3" w:rsidP="009A7EC3">
            <w:pPr>
              <w:pStyle w:val="ASSADACCESStablecentre"/>
            </w:pPr>
          </w:p>
        </w:tc>
        <w:tc>
          <w:tcPr>
            <w:tcW w:w="879" w:type="dxa"/>
            <w:shd w:val="clear" w:color="auto" w:fill="auto"/>
            <w:vAlign w:val="bottom"/>
          </w:tcPr>
          <w:p w14:paraId="765FE612" w14:textId="77777777" w:rsidR="009A7EC3" w:rsidRPr="00DE25AD" w:rsidRDefault="009A7EC3" w:rsidP="009A7EC3">
            <w:pPr>
              <w:pStyle w:val="ASSADACCESStablecentre"/>
            </w:pPr>
          </w:p>
        </w:tc>
        <w:tc>
          <w:tcPr>
            <w:tcW w:w="879" w:type="dxa"/>
            <w:shd w:val="clear" w:color="auto" w:fill="auto"/>
            <w:vAlign w:val="bottom"/>
          </w:tcPr>
          <w:p w14:paraId="580A29BD" w14:textId="77777777" w:rsidR="009A7EC3" w:rsidRPr="00DE25AD" w:rsidRDefault="009A7EC3" w:rsidP="009A7EC3">
            <w:pPr>
              <w:pStyle w:val="ASSADACCESStablecentre"/>
            </w:pPr>
          </w:p>
        </w:tc>
        <w:tc>
          <w:tcPr>
            <w:tcW w:w="879" w:type="dxa"/>
            <w:shd w:val="clear" w:color="auto" w:fill="auto"/>
            <w:vAlign w:val="bottom"/>
          </w:tcPr>
          <w:p w14:paraId="18F01267" w14:textId="77777777" w:rsidR="009A7EC3" w:rsidRPr="00DE25AD" w:rsidRDefault="009A7EC3" w:rsidP="009A7EC3">
            <w:pPr>
              <w:pStyle w:val="ASSADACCESStablecentre"/>
            </w:pPr>
          </w:p>
        </w:tc>
        <w:tc>
          <w:tcPr>
            <w:tcW w:w="879" w:type="dxa"/>
            <w:shd w:val="clear" w:color="auto" w:fill="auto"/>
            <w:vAlign w:val="bottom"/>
          </w:tcPr>
          <w:p w14:paraId="4CFEAB9F" w14:textId="77777777" w:rsidR="009A7EC3" w:rsidRPr="00DE25AD" w:rsidRDefault="009A7EC3" w:rsidP="009A7EC3">
            <w:pPr>
              <w:pStyle w:val="ASSADACCESStablecentre"/>
            </w:pPr>
          </w:p>
        </w:tc>
        <w:tc>
          <w:tcPr>
            <w:tcW w:w="879" w:type="dxa"/>
            <w:shd w:val="clear" w:color="auto" w:fill="auto"/>
            <w:vAlign w:val="bottom"/>
          </w:tcPr>
          <w:p w14:paraId="610AC10F" w14:textId="77777777" w:rsidR="009A7EC3" w:rsidRPr="00DE25AD" w:rsidRDefault="009A7EC3" w:rsidP="009A7EC3">
            <w:pPr>
              <w:pStyle w:val="ASSADACCESStablecentre"/>
            </w:pPr>
          </w:p>
        </w:tc>
        <w:tc>
          <w:tcPr>
            <w:tcW w:w="879" w:type="dxa"/>
            <w:shd w:val="clear" w:color="auto" w:fill="auto"/>
            <w:vAlign w:val="bottom"/>
          </w:tcPr>
          <w:p w14:paraId="749D5588" w14:textId="77777777" w:rsidR="009A7EC3" w:rsidRPr="00DE25AD" w:rsidRDefault="009A7EC3" w:rsidP="009A7EC3">
            <w:pPr>
              <w:pStyle w:val="ASSADACCESStablecentre"/>
            </w:pPr>
          </w:p>
        </w:tc>
      </w:tr>
      <w:tr w:rsidR="009A7EC3" w:rsidRPr="00DE25AD" w14:paraId="3F76CD97" w14:textId="77777777" w:rsidTr="00545FF4">
        <w:tc>
          <w:tcPr>
            <w:tcW w:w="1517" w:type="dxa"/>
            <w:tcMar>
              <w:left w:w="57" w:type="dxa"/>
            </w:tcMar>
          </w:tcPr>
          <w:p w14:paraId="0A414B7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05F89F79" w14:textId="77777777" w:rsidR="009A7EC3" w:rsidRPr="00DE25AD" w:rsidRDefault="009A7EC3" w:rsidP="009A7EC3">
            <w:pPr>
              <w:pStyle w:val="ASSAD2017ACCESSBody1"/>
            </w:pPr>
            <w:r w:rsidRPr="00DE25AD">
              <w:t>Male</w:t>
            </w:r>
          </w:p>
        </w:tc>
        <w:tc>
          <w:tcPr>
            <w:tcW w:w="878" w:type="dxa"/>
            <w:shd w:val="clear" w:color="auto" w:fill="auto"/>
          </w:tcPr>
          <w:p w14:paraId="2E0AA1E0" w14:textId="61FA9872" w:rsidR="009A7EC3" w:rsidRPr="00DE25AD" w:rsidRDefault="009A7EC3" w:rsidP="009A7EC3">
            <w:pPr>
              <w:pStyle w:val="ASSADACCESStablecentre"/>
            </w:pPr>
            <w:r>
              <w:rPr>
                <w:bCs w:val="0"/>
                <w:color w:val="000000"/>
              </w:rPr>
              <w:t>55*</w:t>
            </w:r>
          </w:p>
        </w:tc>
        <w:tc>
          <w:tcPr>
            <w:tcW w:w="879" w:type="dxa"/>
            <w:shd w:val="clear" w:color="auto" w:fill="auto"/>
          </w:tcPr>
          <w:p w14:paraId="68F0DBB3" w14:textId="65B73B8F" w:rsidR="009A7EC3" w:rsidRPr="00DE25AD" w:rsidRDefault="009A7EC3" w:rsidP="009A7EC3">
            <w:pPr>
              <w:pStyle w:val="ASSADACCESStablecentre"/>
            </w:pPr>
            <w:r>
              <w:rPr>
                <w:bCs w:val="0"/>
                <w:color w:val="000000"/>
              </w:rPr>
              <w:t>50*</w:t>
            </w:r>
          </w:p>
        </w:tc>
        <w:tc>
          <w:tcPr>
            <w:tcW w:w="879" w:type="dxa"/>
            <w:shd w:val="clear" w:color="auto" w:fill="auto"/>
          </w:tcPr>
          <w:p w14:paraId="7B294D3F" w14:textId="4174B73D" w:rsidR="009A7EC3" w:rsidRPr="00DE25AD" w:rsidRDefault="009A7EC3" w:rsidP="009A7EC3">
            <w:pPr>
              <w:pStyle w:val="ASSADACCESStablecentre"/>
            </w:pPr>
            <w:r>
              <w:rPr>
                <w:bCs w:val="0"/>
                <w:color w:val="000000"/>
              </w:rPr>
              <w:t>44*^</w:t>
            </w:r>
          </w:p>
        </w:tc>
        <w:tc>
          <w:tcPr>
            <w:tcW w:w="879" w:type="dxa"/>
            <w:shd w:val="clear" w:color="auto" w:fill="auto"/>
          </w:tcPr>
          <w:p w14:paraId="7A856750" w14:textId="35A67448" w:rsidR="009A7EC3" w:rsidRPr="00DE25AD" w:rsidRDefault="009A7EC3" w:rsidP="009A7EC3">
            <w:pPr>
              <w:pStyle w:val="ASSADACCESStablecentre"/>
            </w:pPr>
            <w:r>
              <w:rPr>
                <w:bCs w:val="0"/>
                <w:color w:val="000000"/>
              </w:rPr>
              <w:t>35^</w:t>
            </w:r>
          </w:p>
        </w:tc>
        <w:tc>
          <w:tcPr>
            <w:tcW w:w="879" w:type="dxa"/>
            <w:shd w:val="clear" w:color="auto" w:fill="auto"/>
          </w:tcPr>
          <w:p w14:paraId="6AD96AF6" w14:textId="4DC7AED2" w:rsidR="009A7EC3" w:rsidRPr="00DE25AD" w:rsidRDefault="009A7EC3" w:rsidP="009A7EC3">
            <w:pPr>
              <w:pStyle w:val="ASSADACCESStablecentre"/>
            </w:pPr>
            <w:r>
              <w:rPr>
                <w:bCs w:val="0"/>
                <w:color w:val="000000"/>
              </w:rPr>
              <w:t>28^</w:t>
            </w:r>
          </w:p>
        </w:tc>
        <w:tc>
          <w:tcPr>
            <w:tcW w:w="879" w:type="dxa"/>
            <w:shd w:val="clear" w:color="auto" w:fill="auto"/>
          </w:tcPr>
          <w:p w14:paraId="31E945CC" w14:textId="008A7EC4" w:rsidR="009A7EC3" w:rsidRPr="00DE25AD" w:rsidRDefault="009A7EC3" w:rsidP="009A7EC3">
            <w:pPr>
              <w:pStyle w:val="ASSADACCESStablecentre"/>
            </w:pPr>
            <w:r>
              <w:rPr>
                <w:bCs w:val="0"/>
                <w:color w:val="000000"/>
              </w:rPr>
              <w:t>30^</w:t>
            </w:r>
          </w:p>
        </w:tc>
        <w:tc>
          <w:tcPr>
            <w:tcW w:w="879" w:type="dxa"/>
            <w:shd w:val="clear" w:color="auto" w:fill="auto"/>
          </w:tcPr>
          <w:p w14:paraId="5D276246" w14:textId="5C2DDBD3" w:rsidR="009A7EC3" w:rsidRPr="00DE25AD" w:rsidRDefault="009A7EC3" w:rsidP="009A7EC3">
            <w:pPr>
              <w:pStyle w:val="ASSADACCESStablecentre"/>
            </w:pPr>
            <w:r>
              <w:rPr>
                <w:bCs w:val="0"/>
                <w:color w:val="000000"/>
              </w:rPr>
              <w:t>30^</w:t>
            </w:r>
          </w:p>
        </w:tc>
        <w:tc>
          <w:tcPr>
            <w:tcW w:w="879" w:type="dxa"/>
            <w:shd w:val="clear" w:color="auto" w:fill="auto"/>
          </w:tcPr>
          <w:p w14:paraId="4AF1F5FD" w14:textId="66571773" w:rsidR="009A7EC3" w:rsidRPr="00DE25AD" w:rsidRDefault="009A7EC3" w:rsidP="009A7EC3">
            <w:pPr>
              <w:pStyle w:val="ASSADACCESStablecentre"/>
            </w:pPr>
            <w:r>
              <w:rPr>
                <w:bCs w:val="0"/>
                <w:color w:val="000000"/>
              </w:rPr>
              <w:t>31^</w:t>
            </w:r>
          </w:p>
        </w:tc>
      </w:tr>
      <w:tr w:rsidR="009A7EC3" w:rsidRPr="00DE25AD" w14:paraId="19DDC861" w14:textId="77777777" w:rsidTr="005C5B03">
        <w:tc>
          <w:tcPr>
            <w:tcW w:w="1517" w:type="dxa"/>
            <w:tcMar>
              <w:left w:w="57" w:type="dxa"/>
            </w:tcMar>
          </w:tcPr>
          <w:p w14:paraId="4BB9FC29" w14:textId="77777777" w:rsidR="009A7EC3" w:rsidRPr="00DE25AD" w:rsidRDefault="009A7EC3" w:rsidP="009A7EC3">
            <w:pPr>
              <w:pStyle w:val="ACCESSTableHeaderRow"/>
            </w:pPr>
          </w:p>
        </w:tc>
        <w:tc>
          <w:tcPr>
            <w:tcW w:w="1068" w:type="dxa"/>
            <w:shd w:val="clear" w:color="auto" w:fill="auto"/>
            <w:tcMar>
              <w:left w:w="57" w:type="dxa"/>
            </w:tcMar>
            <w:vAlign w:val="bottom"/>
          </w:tcPr>
          <w:p w14:paraId="390B96B9" w14:textId="77777777" w:rsidR="009A7EC3" w:rsidRPr="00DE25AD" w:rsidRDefault="009A7EC3" w:rsidP="009A7EC3">
            <w:pPr>
              <w:pStyle w:val="ASSAD2017ACCESSBody1"/>
            </w:pPr>
            <w:r w:rsidRPr="00DE25AD">
              <w:t>Female</w:t>
            </w:r>
          </w:p>
        </w:tc>
        <w:tc>
          <w:tcPr>
            <w:tcW w:w="878" w:type="dxa"/>
            <w:shd w:val="clear" w:color="auto" w:fill="auto"/>
          </w:tcPr>
          <w:p w14:paraId="0CA20B48" w14:textId="362B8E5D" w:rsidR="009A7EC3" w:rsidRPr="00DE25AD" w:rsidRDefault="009A7EC3" w:rsidP="009A7EC3">
            <w:pPr>
              <w:pStyle w:val="ASSADACCESStablecentre"/>
            </w:pPr>
            <w:r>
              <w:rPr>
                <w:bCs w:val="0"/>
                <w:color w:val="000000"/>
              </w:rPr>
              <w:t>50*</w:t>
            </w:r>
          </w:p>
        </w:tc>
        <w:tc>
          <w:tcPr>
            <w:tcW w:w="879" w:type="dxa"/>
            <w:shd w:val="clear" w:color="auto" w:fill="auto"/>
          </w:tcPr>
          <w:p w14:paraId="3F9774FD" w14:textId="40015BBA" w:rsidR="009A7EC3" w:rsidRPr="00DE25AD" w:rsidRDefault="009A7EC3" w:rsidP="009A7EC3">
            <w:pPr>
              <w:pStyle w:val="ASSADACCESStablecentre"/>
            </w:pPr>
            <w:r>
              <w:rPr>
                <w:bCs w:val="0"/>
                <w:color w:val="000000"/>
              </w:rPr>
              <w:t>44*^</w:t>
            </w:r>
          </w:p>
        </w:tc>
        <w:tc>
          <w:tcPr>
            <w:tcW w:w="879" w:type="dxa"/>
            <w:shd w:val="clear" w:color="auto" w:fill="auto"/>
          </w:tcPr>
          <w:p w14:paraId="306FF1B7" w14:textId="0F28D586" w:rsidR="009A7EC3" w:rsidRPr="00DE25AD" w:rsidRDefault="009A7EC3" w:rsidP="009A7EC3">
            <w:pPr>
              <w:pStyle w:val="ASSADACCESStablecentre"/>
            </w:pPr>
            <w:r>
              <w:rPr>
                <w:bCs w:val="0"/>
                <w:color w:val="000000"/>
              </w:rPr>
              <w:t>38*^</w:t>
            </w:r>
          </w:p>
        </w:tc>
        <w:tc>
          <w:tcPr>
            <w:tcW w:w="879" w:type="dxa"/>
            <w:shd w:val="clear" w:color="auto" w:fill="auto"/>
          </w:tcPr>
          <w:p w14:paraId="5198D139" w14:textId="2C943F30" w:rsidR="009A7EC3" w:rsidRPr="00DE25AD" w:rsidRDefault="009A7EC3" w:rsidP="009A7EC3">
            <w:pPr>
              <w:pStyle w:val="ASSADACCESStablecentre"/>
            </w:pPr>
            <w:r>
              <w:rPr>
                <w:bCs w:val="0"/>
                <w:color w:val="000000"/>
              </w:rPr>
              <w:t>31^</w:t>
            </w:r>
          </w:p>
        </w:tc>
        <w:tc>
          <w:tcPr>
            <w:tcW w:w="879" w:type="dxa"/>
            <w:shd w:val="clear" w:color="auto" w:fill="auto"/>
          </w:tcPr>
          <w:p w14:paraId="6E9F4614" w14:textId="4E48CF2E" w:rsidR="009A7EC3" w:rsidRPr="00DE25AD" w:rsidRDefault="009A7EC3" w:rsidP="009A7EC3">
            <w:pPr>
              <w:pStyle w:val="ASSADACCESStablecentre"/>
            </w:pPr>
            <w:r>
              <w:rPr>
                <w:bCs w:val="0"/>
                <w:color w:val="000000"/>
              </w:rPr>
              <w:t>24^</w:t>
            </w:r>
          </w:p>
        </w:tc>
        <w:tc>
          <w:tcPr>
            <w:tcW w:w="879" w:type="dxa"/>
            <w:shd w:val="clear" w:color="auto" w:fill="auto"/>
          </w:tcPr>
          <w:p w14:paraId="6F506D51" w14:textId="5A410122" w:rsidR="009A7EC3" w:rsidRPr="00DE25AD" w:rsidRDefault="009A7EC3" w:rsidP="009A7EC3">
            <w:pPr>
              <w:pStyle w:val="ASSADACCESStablecentre"/>
            </w:pPr>
            <w:r>
              <w:rPr>
                <w:bCs w:val="0"/>
                <w:color w:val="000000"/>
              </w:rPr>
              <w:t>24^</w:t>
            </w:r>
          </w:p>
        </w:tc>
        <w:tc>
          <w:tcPr>
            <w:tcW w:w="879" w:type="dxa"/>
            <w:shd w:val="clear" w:color="auto" w:fill="auto"/>
          </w:tcPr>
          <w:p w14:paraId="7B7EA699" w14:textId="0AD56500" w:rsidR="009A7EC3" w:rsidRPr="00DE25AD" w:rsidRDefault="009A7EC3" w:rsidP="009A7EC3">
            <w:pPr>
              <w:pStyle w:val="ASSADACCESStablecentre"/>
            </w:pPr>
            <w:r>
              <w:rPr>
                <w:bCs w:val="0"/>
                <w:color w:val="000000"/>
              </w:rPr>
              <w:t>24^</w:t>
            </w:r>
          </w:p>
        </w:tc>
        <w:tc>
          <w:tcPr>
            <w:tcW w:w="879" w:type="dxa"/>
            <w:shd w:val="clear" w:color="auto" w:fill="auto"/>
          </w:tcPr>
          <w:p w14:paraId="44CA2442" w14:textId="379056D7" w:rsidR="009A7EC3" w:rsidRPr="00DE25AD" w:rsidRDefault="009A7EC3" w:rsidP="009A7EC3">
            <w:pPr>
              <w:pStyle w:val="ASSADACCESStablecentre"/>
            </w:pPr>
            <w:r>
              <w:rPr>
                <w:bCs w:val="0"/>
                <w:color w:val="000000"/>
              </w:rPr>
              <w:t>27^</w:t>
            </w:r>
          </w:p>
        </w:tc>
      </w:tr>
      <w:tr w:rsidR="009A7EC3" w:rsidRPr="00DE25AD" w14:paraId="2B073C4A" w14:textId="77777777" w:rsidTr="005C5B03">
        <w:trPr>
          <w:trHeight w:val="247"/>
        </w:trPr>
        <w:tc>
          <w:tcPr>
            <w:tcW w:w="1517" w:type="dxa"/>
            <w:tcMar>
              <w:left w:w="57" w:type="dxa"/>
            </w:tcMar>
          </w:tcPr>
          <w:p w14:paraId="6C5CE0E4" w14:textId="77777777" w:rsidR="009A7EC3" w:rsidRPr="00DE25AD" w:rsidRDefault="009A7EC3" w:rsidP="009A7EC3">
            <w:pPr>
              <w:pStyle w:val="ACCESSTableHeaderRow"/>
            </w:pPr>
          </w:p>
        </w:tc>
        <w:tc>
          <w:tcPr>
            <w:tcW w:w="1068" w:type="dxa"/>
            <w:shd w:val="clear" w:color="auto" w:fill="auto"/>
            <w:tcMar>
              <w:left w:w="57" w:type="dxa"/>
            </w:tcMar>
            <w:vAlign w:val="bottom"/>
          </w:tcPr>
          <w:p w14:paraId="422C78C0" w14:textId="77777777" w:rsidR="009A7EC3" w:rsidRPr="00DE25AD" w:rsidRDefault="009A7EC3" w:rsidP="009A7EC3">
            <w:pPr>
              <w:pStyle w:val="ASSAD2017ACCESSBody1"/>
            </w:pPr>
            <w:r w:rsidRPr="00DE25AD">
              <w:t>Total</w:t>
            </w:r>
          </w:p>
        </w:tc>
        <w:tc>
          <w:tcPr>
            <w:tcW w:w="878" w:type="dxa"/>
            <w:shd w:val="clear" w:color="auto" w:fill="auto"/>
          </w:tcPr>
          <w:p w14:paraId="3F212335" w14:textId="37604588" w:rsidR="009A7EC3" w:rsidRPr="00DE25AD" w:rsidRDefault="009A7EC3" w:rsidP="009A7EC3">
            <w:pPr>
              <w:pStyle w:val="ASSADACCESStablecentre"/>
            </w:pPr>
            <w:r>
              <w:rPr>
                <w:bCs w:val="0"/>
                <w:color w:val="000000"/>
              </w:rPr>
              <w:t>53*</w:t>
            </w:r>
          </w:p>
        </w:tc>
        <w:tc>
          <w:tcPr>
            <w:tcW w:w="879" w:type="dxa"/>
            <w:shd w:val="clear" w:color="auto" w:fill="auto"/>
          </w:tcPr>
          <w:p w14:paraId="755090B3" w14:textId="03583A91" w:rsidR="009A7EC3" w:rsidRPr="00DE25AD" w:rsidRDefault="009A7EC3" w:rsidP="009A7EC3">
            <w:pPr>
              <w:pStyle w:val="ASSADACCESStablecentre"/>
            </w:pPr>
            <w:r>
              <w:rPr>
                <w:bCs w:val="0"/>
                <w:color w:val="000000"/>
              </w:rPr>
              <w:t>47*^</w:t>
            </w:r>
          </w:p>
        </w:tc>
        <w:tc>
          <w:tcPr>
            <w:tcW w:w="879" w:type="dxa"/>
            <w:shd w:val="clear" w:color="auto" w:fill="auto"/>
          </w:tcPr>
          <w:p w14:paraId="2ECC2B2C" w14:textId="6ACB7D14" w:rsidR="009A7EC3" w:rsidRPr="00DE25AD" w:rsidRDefault="009A7EC3" w:rsidP="009A7EC3">
            <w:pPr>
              <w:pStyle w:val="ASSADACCESStablecentre"/>
            </w:pPr>
            <w:r>
              <w:rPr>
                <w:bCs w:val="0"/>
                <w:color w:val="000000"/>
              </w:rPr>
              <w:t>41*^</w:t>
            </w:r>
          </w:p>
        </w:tc>
        <w:tc>
          <w:tcPr>
            <w:tcW w:w="879" w:type="dxa"/>
            <w:shd w:val="clear" w:color="auto" w:fill="auto"/>
          </w:tcPr>
          <w:p w14:paraId="69A11278" w14:textId="1B8A4F25" w:rsidR="009A7EC3" w:rsidRPr="00DE25AD" w:rsidRDefault="009A7EC3" w:rsidP="009A7EC3">
            <w:pPr>
              <w:pStyle w:val="ASSADACCESStablecentre"/>
            </w:pPr>
            <w:r>
              <w:rPr>
                <w:bCs w:val="0"/>
                <w:color w:val="000000"/>
              </w:rPr>
              <w:t>33^</w:t>
            </w:r>
          </w:p>
        </w:tc>
        <w:tc>
          <w:tcPr>
            <w:tcW w:w="879" w:type="dxa"/>
            <w:shd w:val="clear" w:color="auto" w:fill="auto"/>
          </w:tcPr>
          <w:p w14:paraId="634E7D7A" w14:textId="240B010E" w:rsidR="009A7EC3" w:rsidRPr="00DE25AD" w:rsidRDefault="009A7EC3" w:rsidP="009A7EC3">
            <w:pPr>
              <w:pStyle w:val="ASSADACCESStablecentre"/>
            </w:pPr>
            <w:r>
              <w:rPr>
                <w:bCs w:val="0"/>
                <w:color w:val="000000"/>
              </w:rPr>
              <w:t>26^</w:t>
            </w:r>
          </w:p>
        </w:tc>
        <w:tc>
          <w:tcPr>
            <w:tcW w:w="879" w:type="dxa"/>
            <w:shd w:val="clear" w:color="auto" w:fill="auto"/>
          </w:tcPr>
          <w:p w14:paraId="5530A323" w14:textId="55343BEB" w:rsidR="009A7EC3" w:rsidRPr="00DE25AD" w:rsidRDefault="009A7EC3" w:rsidP="009A7EC3">
            <w:pPr>
              <w:pStyle w:val="ASSADACCESStablecentre"/>
            </w:pPr>
            <w:r>
              <w:rPr>
                <w:bCs w:val="0"/>
                <w:color w:val="000000"/>
              </w:rPr>
              <w:t>27^</w:t>
            </w:r>
          </w:p>
        </w:tc>
        <w:tc>
          <w:tcPr>
            <w:tcW w:w="879" w:type="dxa"/>
            <w:shd w:val="clear" w:color="auto" w:fill="auto"/>
          </w:tcPr>
          <w:p w14:paraId="45EF4C2F" w14:textId="4FEB8B4D" w:rsidR="009A7EC3" w:rsidRPr="00DE25AD" w:rsidRDefault="009A7EC3" w:rsidP="009A7EC3">
            <w:pPr>
              <w:pStyle w:val="ASSADACCESStablecentre"/>
            </w:pPr>
            <w:r>
              <w:rPr>
                <w:bCs w:val="0"/>
                <w:color w:val="000000"/>
              </w:rPr>
              <w:t>27^</w:t>
            </w:r>
          </w:p>
        </w:tc>
        <w:tc>
          <w:tcPr>
            <w:tcW w:w="879" w:type="dxa"/>
            <w:shd w:val="clear" w:color="auto" w:fill="auto"/>
          </w:tcPr>
          <w:p w14:paraId="084A7215" w14:textId="1A4BD627" w:rsidR="009A7EC3" w:rsidRPr="00DE25AD" w:rsidRDefault="009A7EC3" w:rsidP="009A7EC3">
            <w:pPr>
              <w:pStyle w:val="ASSADACCESStablecentre"/>
            </w:pPr>
            <w:r>
              <w:rPr>
                <w:bCs w:val="0"/>
                <w:color w:val="000000"/>
              </w:rPr>
              <w:t>29^</w:t>
            </w:r>
          </w:p>
        </w:tc>
      </w:tr>
      <w:tr w:rsidR="009A7EC3" w:rsidRPr="00DE25AD" w14:paraId="35542F88" w14:textId="77777777" w:rsidTr="005C5B03">
        <w:trPr>
          <w:trHeight w:val="247"/>
        </w:trPr>
        <w:tc>
          <w:tcPr>
            <w:tcW w:w="1517" w:type="dxa"/>
            <w:tcMar>
              <w:left w:w="57" w:type="dxa"/>
            </w:tcMar>
          </w:tcPr>
          <w:p w14:paraId="4FA0A040"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60308805" w14:textId="77777777" w:rsidR="009A7EC3" w:rsidRPr="00DE25AD" w:rsidRDefault="009A7EC3" w:rsidP="009A7EC3">
            <w:pPr>
              <w:pStyle w:val="ASSAD2017ACCESSBody1"/>
            </w:pPr>
            <w:r w:rsidRPr="00DE25AD">
              <w:t>Male</w:t>
            </w:r>
          </w:p>
        </w:tc>
        <w:tc>
          <w:tcPr>
            <w:tcW w:w="878" w:type="dxa"/>
            <w:shd w:val="clear" w:color="auto" w:fill="auto"/>
          </w:tcPr>
          <w:p w14:paraId="40DF20AD" w14:textId="6A634D17" w:rsidR="009A7EC3" w:rsidRPr="00DE25AD" w:rsidRDefault="009A7EC3" w:rsidP="009A7EC3">
            <w:pPr>
              <w:pStyle w:val="ASSADACCESStablecentre"/>
            </w:pPr>
            <w:r>
              <w:rPr>
                <w:bCs w:val="0"/>
                <w:color w:val="000000"/>
              </w:rPr>
              <w:t>32*</w:t>
            </w:r>
          </w:p>
        </w:tc>
        <w:tc>
          <w:tcPr>
            <w:tcW w:w="879" w:type="dxa"/>
            <w:shd w:val="clear" w:color="auto" w:fill="auto"/>
          </w:tcPr>
          <w:p w14:paraId="4AF56629" w14:textId="7E914AA9" w:rsidR="009A7EC3" w:rsidRPr="00DE25AD" w:rsidRDefault="009A7EC3" w:rsidP="009A7EC3">
            <w:pPr>
              <w:pStyle w:val="ASSADACCESStablecentre"/>
            </w:pPr>
            <w:r>
              <w:rPr>
                <w:bCs w:val="0"/>
                <w:color w:val="000000"/>
              </w:rPr>
              <w:t>24*^</w:t>
            </w:r>
          </w:p>
        </w:tc>
        <w:tc>
          <w:tcPr>
            <w:tcW w:w="879" w:type="dxa"/>
            <w:shd w:val="clear" w:color="auto" w:fill="auto"/>
          </w:tcPr>
          <w:p w14:paraId="435D2084" w14:textId="26EA3766" w:rsidR="009A7EC3" w:rsidRPr="00DE25AD" w:rsidRDefault="009A7EC3" w:rsidP="009A7EC3">
            <w:pPr>
              <w:pStyle w:val="ASSADACCESStablecentre"/>
            </w:pPr>
            <w:r>
              <w:rPr>
                <w:bCs w:val="0"/>
                <w:color w:val="000000"/>
              </w:rPr>
              <w:t>21^</w:t>
            </w:r>
          </w:p>
        </w:tc>
        <w:tc>
          <w:tcPr>
            <w:tcW w:w="879" w:type="dxa"/>
            <w:shd w:val="clear" w:color="auto" w:fill="auto"/>
          </w:tcPr>
          <w:p w14:paraId="66B537D3" w14:textId="025BFD3B" w:rsidR="009A7EC3" w:rsidRPr="00DE25AD" w:rsidRDefault="009A7EC3" w:rsidP="009A7EC3">
            <w:pPr>
              <w:pStyle w:val="ASSADACCESStablecentre"/>
            </w:pPr>
            <w:r>
              <w:rPr>
                <w:bCs w:val="0"/>
                <w:color w:val="000000"/>
              </w:rPr>
              <w:t>16^</w:t>
            </w:r>
          </w:p>
        </w:tc>
        <w:tc>
          <w:tcPr>
            <w:tcW w:w="879" w:type="dxa"/>
            <w:shd w:val="clear" w:color="auto" w:fill="auto"/>
          </w:tcPr>
          <w:p w14:paraId="512B8B9E" w14:textId="1E0E6440" w:rsidR="009A7EC3" w:rsidRPr="00DE25AD" w:rsidRDefault="009A7EC3" w:rsidP="009A7EC3">
            <w:pPr>
              <w:pStyle w:val="ASSADACCESStablecentre"/>
            </w:pPr>
            <w:r>
              <w:rPr>
                <w:bCs w:val="0"/>
                <w:color w:val="000000"/>
              </w:rPr>
              <w:t>15^</w:t>
            </w:r>
          </w:p>
        </w:tc>
        <w:tc>
          <w:tcPr>
            <w:tcW w:w="879" w:type="dxa"/>
            <w:shd w:val="clear" w:color="auto" w:fill="auto"/>
          </w:tcPr>
          <w:p w14:paraId="0E9810CE" w14:textId="2928BE59" w:rsidR="009A7EC3" w:rsidRPr="00DE25AD" w:rsidRDefault="009A7EC3" w:rsidP="009A7EC3">
            <w:pPr>
              <w:pStyle w:val="ASSADACCESStablecentre"/>
            </w:pPr>
            <w:r>
              <w:rPr>
                <w:bCs w:val="0"/>
                <w:color w:val="000000"/>
              </w:rPr>
              <w:t>16^</w:t>
            </w:r>
          </w:p>
        </w:tc>
        <w:tc>
          <w:tcPr>
            <w:tcW w:w="879" w:type="dxa"/>
            <w:shd w:val="clear" w:color="auto" w:fill="auto"/>
          </w:tcPr>
          <w:p w14:paraId="7AC97198" w14:textId="1B1B37AC" w:rsidR="009A7EC3" w:rsidRPr="00DE25AD" w:rsidRDefault="009A7EC3" w:rsidP="009A7EC3">
            <w:pPr>
              <w:pStyle w:val="ASSADACCESStablecentre"/>
            </w:pPr>
            <w:r>
              <w:rPr>
                <w:bCs w:val="0"/>
                <w:color w:val="000000"/>
              </w:rPr>
              <w:t>16^</w:t>
            </w:r>
          </w:p>
        </w:tc>
        <w:tc>
          <w:tcPr>
            <w:tcW w:w="879" w:type="dxa"/>
            <w:shd w:val="clear" w:color="auto" w:fill="auto"/>
          </w:tcPr>
          <w:p w14:paraId="1D17CE5B" w14:textId="7E338511" w:rsidR="009A7EC3" w:rsidRPr="00DE25AD" w:rsidRDefault="009A7EC3" w:rsidP="009A7EC3">
            <w:pPr>
              <w:pStyle w:val="ASSADACCESStablecentre"/>
            </w:pPr>
            <w:r>
              <w:rPr>
                <w:bCs w:val="0"/>
                <w:color w:val="000000"/>
              </w:rPr>
              <w:t>18^</w:t>
            </w:r>
          </w:p>
        </w:tc>
      </w:tr>
      <w:tr w:rsidR="009A7EC3" w:rsidRPr="00DE25AD" w14:paraId="24782591" w14:textId="77777777" w:rsidTr="005C5B03">
        <w:trPr>
          <w:trHeight w:val="247"/>
        </w:trPr>
        <w:tc>
          <w:tcPr>
            <w:tcW w:w="1517" w:type="dxa"/>
            <w:tcMar>
              <w:left w:w="57" w:type="dxa"/>
            </w:tcMar>
          </w:tcPr>
          <w:p w14:paraId="79B05044" w14:textId="77777777" w:rsidR="009A7EC3" w:rsidRPr="00DE25AD" w:rsidRDefault="009A7EC3" w:rsidP="009A7EC3">
            <w:pPr>
              <w:pStyle w:val="ACCESSTableHeaderRow"/>
            </w:pPr>
          </w:p>
        </w:tc>
        <w:tc>
          <w:tcPr>
            <w:tcW w:w="1068" w:type="dxa"/>
            <w:shd w:val="clear" w:color="auto" w:fill="auto"/>
            <w:tcMar>
              <w:left w:w="57" w:type="dxa"/>
            </w:tcMar>
            <w:vAlign w:val="bottom"/>
          </w:tcPr>
          <w:p w14:paraId="7C043510" w14:textId="77777777" w:rsidR="009A7EC3" w:rsidRPr="00DE25AD" w:rsidRDefault="009A7EC3" w:rsidP="009A7EC3">
            <w:pPr>
              <w:pStyle w:val="ASSAD2017ACCESSBody1"/>
            </w:pPr>
            <w:r w:rsidRPr="00DE25AD">
              <w:t>Female</w:t>
            </w:r>
          </w:p>
        </w:tc>
        <w:tc>
          <w:tcPr>
            <w:tcW w:w="878" w:type="dxa"/>
            <w:shd w:val="clear" w:color="auto" w:fill="auto"/>
          </w:tcPr>
          <w:p w14:paraId="4874AA76" w14:textId="1984D73D" w:rsidR="009A7EC3" w:rsidRPr="00DE25AD" w:rsidRDefault="009A7EC3" w:rsidP="009A7EC3">
            <w:pPr>
              <w:pStyle w:val="ASSADACCESStablecentre"/>
            </w:pPr>
            <w:r>
              <w:rPr>
                <w:bCs w:val="0"/>
                <w:color w:val="000000"/>
              </w:rPr>
              <w:t>24*</w:t>
            </w:r>
          </w:p>
        </w:tc>
        <w:tc>
          <w:tcPr>
            <w:tcW w:w="879" w:type="dxa"/>
            <w:shd w:val="clear" w:color="auto" w:fill="auto"/>
          </w:tcPr>
          <w:p w14:paraId="3EBC5040" w14:textId="1841EE98" w:rsidR="009A7EC3" w:rsidRPr="00DE25AD" w:rsidRDefault="009A7EC3" w:rsidP="009A7EC3">
            <w:pPr>
              <w:pStyle w:val="ASSADACCESStablecentre"/>
            </w:pPr>
            <w:r>
              <w:rPr>
                <w:bCs w:val="0"/>
                <w:color w:val="000000"/>
              </w:rPr>
              <w:t>18*^</w:t>
            </w:r>
          </w:p>
        </w:tc>
        <w:tc>
          <w:tcPr>
            <w:tcW w:w="879" w:type="dxa"/>
            <w:shd w:val="clear" w:color="auto" w:fill="auto"/>
          </w:tcPr>
          <w:p w14:paraId="595F89DB" w14:textId="346AEFDF" w:rsidR="009A7EC3" w:rsidRPr="00DE25AD" w:rsidRDefault="009A7EC3" w:rsidP="009A7EC3">
            <w:pPr>
              <w:pStyle w:val="ASSADACCESStablecentre"/>
            </w:pPr>
            <w:r>
              <w:rPr>
                <w:bCs w:val="0"/>
                <w:color w:val="000000"/>
              </w:rPr>
              <w:t>16^</w:t>
            </w:r>
          </w:p>
        </w:tc>
        <w:tc>
          <w:tcPr>
            <w:tcW w:w="879" w:type="dxa"/>
            <w:shd w:val="clear" w:color="auto" w:fill="auto"/>
          </w:tcPr>
          <w:p w14:paraId="413871E5" w14:textId="05810FC3" w:rsidR="009A7EC3" w:rsidRPr="00DE25AD" w:rsidRDefault="009A7EC3" w:rsidP="009A7EC3">
            <w:pPr>
              <w:pStyle w:val="ASSADACCESStablecentre"/>
            </w:pPr>
            <w:r>
              <w:rPr>
                <w:bCs w:val="0"/>
                <w:color w:val="000000"/>
              </w:rPr>
              <w:t>10*^</w:t>
            </w:r>
          </w:p>
        </w:tc>
        <w:tc>
          <w:tcPr>
            <w:tcW w:w="879" w:type="dxa"/>
            <w:shd w:val="clear" w:color="auto" w:fill="auto"/>
          </w:tcPr>
          <w:p w14:paraId="2D764824" w14:textId="434665D6" w:rsidR="009A7EC3" w:rsidRPr="00DE25AD" w:rsidRDefault="009A7EC3" w:rsidP="009A7EC3">
            <w:pPr>
              <w:pStyle w:val="ASSADACCESStablecentre"/>
            </w:pPr>
            <w:r>
              <w:rPr>
                <w:bCs w:val="0"/>
                <w:color w:val="000000"/>
              </w:rPr>
              <w:t>10^</w:t>
            </w:r>
          </w:p>
        </w:tc>
        <w:tc>
          <w:tcPr>
            <w:tcW w:w="879" w:type="dxa"/>
            <w:shd w:val="clear" w:color="auto" w:fill="auto"/>
          </w:tcPr>
          <w:p w14:paraId="2DBA60C6" w14:textId="7EBD8CD8" w:rsidR="009A7EC3" w:rsidRPr="00DE25AD" w:rsidRDefault="009A7EC3" w:rsidP="009A7EC3">
            <w:pPr>
              <w:pStyle w:val="ASSADACCESStablecentre"/>
            </w:pPr>
            <w:r>
              <w:rPr>
                <w:bCs w:val="0"/>
                <w:color w:val="000000"/>
              </w:rPr>
              <w:t>11^</w:t>
            </w:r>
          </w:p>
        </w:tc>
        <w:tc>
          <w:tcPr>
            <w:tcW w:w="879" w:type="dxa"/>
            <w:shd w:val="clear" w:color="auto" w:fill="auto"/>
          </w:tcPr>
          <w:p w14:paraId="621F61A5" w14:textId="48D12CF5" w:rsidR="009A7EC3" w:rsidRPr="00DE25AD" w:rsidRDefault="009A7EC3" w:rsidP="009A7EC3">
            <w:pPr>
              <w:pStyle w:val="ASSADACCESStablecentre"/>
            </w:pPr>
            <w:r>
              <w:rPr>
                <w:bCs w:val="0"/>
                <w:color w:val="000000"/>
              </w:rPr>
              <w:t>9*^</w:t>
            </w:r>
          </w:p>
        </w:tc>
        <w:tc>
          <w:tcPr>
            <w:tcW w:w="879" w:type="dxa"/>
            <w:shd w:val="clear" w:color="auto" w:fill="auto"/>
          </w:tcPr>
          <w:p w14:paraId="68F1EF59" w14:textId="1BB6A1D3" w:rsidR="009A7EC3" w:rsidRPr="00DE25AD" w:rsidRDefault="009A7EC3" w:rsidP="009A7EC3">
            <w:pPr>
              <w:pStyle w:val="ASSADACCESStablecentre"/>
            </w:pPr>
            <w:r>
              <w:rPr>
                <w:bCs w:val="0"/>
                <w:color w:val="000000"/>
              </w:rPr>
              <w:t>13^</w:t>
            </w:r>
          </w:p>
        </w:tc>
      </w:tr>
      <w:tr w:rsidR="009A7EC3" w:rsidRPr="00DE25AD" w14:paraId="6AB85955" w14:textId="77777777" w:rsidTr="005C5B03">
        <w:trPr>
          <w:trHeight w:val="247"/>
        </w:trPr>
        <w:tc>
          <w:tcPr>
            <w:tcW w:w="1517" w:type="dxa"/>
            <w:tcMar>
              <w:left w:w="57" w:type="dxa"/>
            </w:tcMar>
          </w:tcPr>
          <w:p w14:paraId="3045E54C" w14:textId="77777777" w:rsidR="009A7EC3" w:rsidRPr="00DE25AD" w:rsidRDefault="009A7EC3" w:rsidP="009A7EC3">
            <w:pPr>
              <w:pStyle w:val="ACCESSTableHeaderRow"/>
            </w:pPr>
          </w:p>
        </w:tc>
        <w:tc>
          <w:tcPr>
            <w:tcW w:w="1068" w:type="dxa"/>
            <w:shd w:val="clear" w:color="auto" w:fill="auto"/>
            <w:tcMar>
              <w:left w:w="57" w:type="dxa"/>
            </w:tcMar>
            <w:vAlign w:val="bottom"/>
          </w:tcPr>
          <w:p w14:paraId="047A623D" w14:textId="77777777" w:rsidR="009A7EC3" w:rsidRPr="00DE25AD" w:rsidRDefault="009A7EC3" w:rsidP="009A7EC3">
            <w:pPr>
              <w:pStyle w:val="ASSAD2017ACCESSBody1"/>
            </w:pPr>
            <w:r w:rsidRPr="00DE25AD">
              <w:t>Total</w:t>
            </w:r>
          </w:p>
        </w:tc>
        <w:tc>
          <w:tcPr>
            <w:tcW w:w="878" w:type="dxa"/>
            <w:shd w:val="clear" w:color="auto" w:fill="auto"/>
          </w:tcPr>
          <w:p w14:paraId="66177887" w14:textId="486AE7EE" w:rsidR="009A7EC3" w:rsidRPr="00DE25AD" w:rsidRDefault="009A7EC3" w:rsidP="009A7EC3">
            <w:pPr>
              <w:pStyle w:val="ASSADACCESStablecentre"/>
            </w:pPr>
            <w:r>
              <w:rPr>
                <w:bCs w:val="0"/>
                <w:color w:val="000000"/>
              </w:rPr>
              <w:t>28*</w:t>
            </w:r>
          </w:p>
        </w:tc>
        <w:tc>
          <w:tcPr>
            <w:tcW w:w="879" w:type="dxa"/>
            <w:shd w:val="clear" w:color="auto" w:fill="auto"/>
          </w:tcPr>
          <w:p w14:paraId="2D77BFFD" w14:textId="48506BDA" w:rsidR="009A7EC3" w:rsidRPr="00DE25AD" w:rsidRDefault="009A7EC3" w:rsidP="009A7EC3">
            <w:pPr>
              <w:pStyle w:val="ASSADACCESStablecentre"/>
            </w:pPr>
            <w:r>
              <w:rPr>
                <w:bCs w:val="0"/>
                <w:color w:val="000000"/>
              </w:rPr>
              <w:t>21*^</w:t>
            </w:r>
          </w:p>
        </w:tc>
        <w:tc>
          <w:tcPr>
            <w:tcW w:w="879" w:type="dxa"/>
            <w:shd w:val="clear" w:color="auto" w:fill="auto"/>
          </w:tcPr>
          <w:p w14:paraId="660D2ACB" w14:textId="50467498" w:rsidR="009A7EC3" w:rsidRPr="00DE25AD" w:rsidRDefault="009A7EC3" w:rsidP="009A7EC3">
            <w:pPr>
              <w:pStyle w:val="ASSADACCESStablecentre"/>
            </w:pPr>
            <w:r>
              <w:rPr>
                <w:bCs w:val="0"/>
                <w:color w:val="000000"/>
              </w:rPr>
              <w:t>19^</w:t>
            </w:r>
          </w:p>
        </w:tc>
        <w:tc>
          <w:tcPr>
            <w:tcW w:w="879" w:type="dxa"/>
            <w:shd w:val="clear" w:color="auto" w:fill="auto"/>
          </w:tcPr>
          <w:p w14:paraId="222F9E71" w14:textId="39F3C25C" w:rsidR="009A7EC3" w:rsidRPr="00DE25AD" w:rsidRDefault="009A7EC3" w:rsidP="009A7EC3">
            <w:pPr>
              <w:pStyle w:val="ASSADACCESStablecentre"/>
            </w:pPr>
            <w:r>
              <w:rPr>
                <w:bCs w:val="0"/>
                <w:color w:val="000000"/>
              </w:rPr>
              <w:t>13^</w:t>
            </w:r>
          </w:p>
        </w:tc>
        <w:tc>
          <w:tcPr>
            <w:tcW w:w="879" w:type="dxa"/>
            <w:shd w:val="clear" w:color="auto" w:fill="auto"/>
          </w:tcPr>
          <w:p w14:paraId="17DE0FB9" w14:textId="577426C7" w:rsidR="009A7EC3" w:rsidRPr="00DE25AD" w:rsidRDefault="009A7EC3" w:rsidP="009A7EC3">
            <w:pPr>
              <w:pStyle w:val="ASSADACCESStablecentre"/>
            </w:pPr>
            <w:r>
              <w:rPr>
                <w:bCs w:val="0"/>
                <w:color w:val="000000"/>
              </w:rPr>
              <w:t>12^</w:t>
            </w:r>
          </w:p>
        </w:tc>
        <w:tc>
          <w:tcPr>
            <w:tcW w:w="879" w:type="dxa"/>
            <w:shd w:val="clear" w:color="auto" w:fill="auto"/>
          </w:tcPr>
          <w:p w14:paraId="3D0DE84D" w14:textId="1E007497" w:rsidR="009A7EC3" w:rsidRPr="00DE25AD" w:rsidRDefault="009A7EC3" w:rsidP="009A7EC3">
            <w:pPr>
              <w:pStyle w:val="ASSADACCESStablecentre"/>
            </w:pPr>
            <w:r>
              <w:rPr>
                <w:bCs w:val="0"/>
                <w:color w:val="000000"/>
              </w:rPr>
              <w:t>13^</w:t>
            </w:r>
          </w:p>
        </w:tc>
        <w:tc>
          <w:tcPr>
            <w:tcW w:w="879" w:type="dxa"/>
            <w:shd w:val="clear" w:color="auto" w:fill="auto"/>
          </w:tcPr>
          <w:p w14:paraId="59959F5F" w14:textId="12858599" w:rsidR="009A7EC3" w:rsidRPr="00DE25AD" w:rsidRDefault="009A7EC3" w:rsidP="009A7EC3">
            <w:pPr>
              <w:pStyle w:val="ASSADACCESStablecentre"/>
            </w:pPr>
            <w:r>
              <w:rPr>
                <w:bCs w:val="0"/>
                <w:color w:val="000000"/>
              </w:rPr>
              <w:t>13^</w:t>
            </w:r>
          </w:p>
        </w:tc>
        <w:tc>
          <w:tcPr>
            <w:tcW w:w="879" w:type="dxa"/>
            <w:shd w:val="clear" w:color="auto" w:fill="auto"/>
          </w:tcPr>
          <w:p w14:paraId="5C0FF1B3" w14:textId="2762EFA9" w:rsidR="009A7EC3" w:rsidRPr="00DE25AD" w:rsidRDefault="009A7EC3" w:rsidP="009A7EC3">
            <w:pPr>
              <w:pStyle w:val="ASSADACCESStablecentre"/>
            </w:pPr>
            <w:r>
              <w:rPr>
                <w:bCs w:val="0"/>
                <w:color w:val="000000"/>
              </w:rPr>
              <w:t>15^</w:t>
            </w:r>
          </w:p>
        </w:tc>
      </w:tr>
      <w:tr w:rsidR="009A7EC3" w:rsidRPr="00DE25AD" w14:paraId="0EE248FF" w14:textId="77777777" w:rsidTr="005F678B">
        <w:tc>
          <w:tcPr>
            <w:tcW w:w="1517" w:type="dxa"/>
            <w:tcMar>
              <w:left w:w="57" w:type="dxa"/>
            </w:tcMar>
          </w:tcPr>
          <w:p w14:paraId="781AC3DA" w14:textId="753F0BB9" w:rsidR="009A7EC3" w:rsidRDefault="009A7EC3" w:rsidP="009A7EC3">
            <w:pPr>
              <w:pStyle w:val="ACCESSTableHeaderRow"/>
            </w:pPr>
            <w:r>
              <w:t>Aged 12-17</w:t>
            </w:r>
          </w:p>
        </w:tc>
        <w:tc>
          <w:tcPr>
            <w:tcW w:w="1068" w:type="dxa"/>
            <w:shd w:val="clear" w:color="auto" w:fill="auto"/>
            <w:tcMar>
              <w:left w:w="57" w:type="dxa"/>
            </w:tcMar>
            <w:vAlign w:val="center"/>
          </w:tcPr>
          <w:p w14:paraId="35D87CB4" w14:textId="77777777" w:rsidR="009A7EC3" w:rsidRPr="00DE25AD" w:rsidRDefault="009A7EC3" w:rsidP="009A7EC3">
            <w:pPr>
              <w:pStyle w:val="ASSAD2017ACCESSBody1"/>
            </w:pPr>
          </w:p>
        </w:tc>
        <w:tc>
          <w:tcPr>
            <w:tcW w:w="878" w:type="dxa"/>
            <w:shd w:val="clear" w:color="auto" w:fill="auto"/>
            <w:vAlign w:val="bottom"/>
          </w:tcPr>
          <w:p w14:paraId="4D34DEA1" w14:textId="77777777" w:rsidR="009A7EC3" w:rsidRPr="00DE25AD" w:rsidRDefault="009A7EC3" w:rsidP="009A7EC3">
            <w:pPr>
              <w:pStyle w:val="ASSADACCESStablecentre"/>
            </w:pPr>
          </w:p>
        </w:tc>
        <w:tc>
          <w:tcPr>
            <w:tcW w:w="879" w:type="dxa"/>
            <w:shd w:val="clear" w:color="auto" w:fill="auto"/>
            <w:vAlign w:val="bottom"/>
          </w:tcPr>
          <w:p w14:paraId="004DAD25" w14:textId="77777777" w:rsidR="009A7EC3" w:rsidRPr="00DE25AD" w:rsidRDefault="009A7EC3" w:rsidP="009A7EC3">
            <w:pPr>
              <w:pStyle w:val="ASSADACCESStablecentre"/>
            </w:pPr>
          </w:p>
        </w:tc>
        <w:tc>
          <w:tcPr>
            <w:tcW w:w="879" w:type="dxa"/>
            <w:shd w:val="clear" w:color="auto" w:fill="auto"/>
            <w:vAlign w:val="bottom"/>
          </w:tcPr>
          <w:p w14:paraId="3EF81213" w14:textId="77777777" w:rsidR="009A7EC3" w:rsidRPr="00DE25AD" w:rsidRDefault="009A7EC3" w:rsidP="009A7EC3">
            <w:pPr>
              <w:pStyle w:val="ASSADACCESStablecentre"/>
            </w:pPr>
          </w:p>
        </w:tc>
        <w:tc>
          <w:tcPr>
            <w:tcW w:w="879" w:type="dxa"/>
            <w:shd w:val="clear" w:color="auto" w:fill="auto"/>
            <w:vAlign w:val="bottom"/>
          </w:tcPr>
          <w:p w14:paraId="4DDA2E22" w14:textId="77777777" w:rsidR="009A7EC3" w:rsidRPr="00DE25AD" w:rsidRDefault="009A7EC3" w:rsidP="009A7EC3">
            <w:pPr>
              <w:pStyle w:val="ASSADACCESStablecentre"/>
            </w:pPr>
          </w:p>
        </w:tc>
        <w:tc>
          <w:tcPr>
            <w:tcW w:w="879" w:type="dxa"/>
            <w:shd w:val="clear" w:color="auto" w:fill="auto"/>
            <w:vAlign w:val="bottom"/>
          </w:tcPr>
          <w:p w14:paraId="46289E4D" w14:textId="77777777" w:rsidR="009A7EC3" w:rsidRPr="00DE25AD" w:rsidRDefault="009A7EC3" w:rsidP="009A7EC3">
            <w:pPr>
              <w:pStyle w:val="ASSADACCESStablecentre"/>
            </w:pPr>
          </w:p>
        </w:tc>
        <w:tc>
          <w:tcPr>
            <w:tcW w:w="879" w:type="dxa"/>
            <w:shd w:val="clear" w:color="auto" w:fill="auto"/>
            <w:vAlign w:val="bottom"/>
          </w:tcPr>
          <w:p w14:paraId="1F4DC28C" w14:textId="77777777" w:rsidR="009A7EC3" w:rsidRPr="00DE25AD" w:rsidRDefault="009A7EC3" w:rsidP="009A7EC3">
            <w:pPr>
              <w:pStyle w:val="ASSADACCESStablecentre"/>
            </w:pPr>
          </w:p>
        </w:tc>
        <w:tc>
          <w:tcPr>
            <w:tcW w:w="879" w:type="dxa"/>
            <w:shd w:val="clear" w:color="auto" w:fill="auto"/>
            <w:vAlign w:val="bottom"/>
          </w:tcPr>
          <w:p w14:paraId="052D2EC8" w14:textId="77777777" w:rsidR="009A7EC3" w:rsidRPr="00DE25AD" w:rsidRDefault="009A7EC3" w:rsidP="009A7EC3">
            <w:pPr>
              <w:pStyle w:val="ASSADACCESStablecentre"/>
            </w:pPr>
          </w:p>
        </w:tc>
        <w:tc>
          <w:tcPr>
            <w:tcW w:w="879" w:type="dxa"/>
            <w:shd w:val="clear" w:color="auto" w:fill="auto"/>
            <w:vAlign w:val="bottom"/>
          </w:tcPr>
          <w:p w14:paraId="316871CB" w14:textId="77777777" w:rsidR="009A7EC3" w:rsidRPr="00DE25AD" w:rsidRDefault="009A7EC3" w:rsidP="009A7EC3">
            <w:pPr>
              <w:pStyle w:val="ASSADACCESStablecentre"/>
            </w:pPr>
          </w:p>
        </w:tc>
      </w:tr>
      <w:tr w:rsidR="009A7EC3" w:rsidRPr="00DE25AD" w14:paraId="140B3F2B" w14:textId="77777777" w:rsidTr="005F678B">
        <w:tc>
          <w:tcPr>
            <w:tcW w:w="1517" w:type="dxa"/>
            <w:tcMar>
              <w:left w:w="57" w:type="dxa"/>
            </w:tcMar>
          </w:tcPr>
          <w:p w14:paraId="22BBFB36" w14:textId="3326C78E" w:rsidR="009A7EC3" w:rsidRDefault="009A7EC3" w:rsidP="009A7EC3">
            <w:pPr>
              <w:pStyle w:val="ACCESSTableHeaderRow"/>
            </w:pPr>
            <w:r w:rsidRPr="00DE25AD">
              <w:t>Recency</w:t>
            </w:r>
          </w:p>
        </w:tc>
        <w:tc>
          <w:tcPr>
            <w:tcW w:w="1068" w:type="dxa"/>
            <w:shd w:val="clear" w:color="auto" w:fill="auto"/>
            <w:tcMar>
              <w:left w:w="57" w:type="dxa"/>
            </w:tcMar>
            <w:vAlign w:val="center"/>
          </w:tcPr>
          <w:p w14:paraId="20A114B2" w14:textId="71C25EA3" w:rsidR="009A7EC3" w:rsidRPr="00DE25AD" w:rsidRDefault="009A7EC3" w:rsidP="009A7EC3">
            <w:pPr>
              <w:pStyle w:val="ASSAD2017ACCESSBody1"/>
            </w:pPr>
            <w:r w:rsidRPr="005C5B03">
              <w:rPr>
                <w:b/>
                <w:bCs w:val="0"/>
              </w:rPr>
              <w:t>Sex</w:t>
            </w:r>
          </w:p>
        </w:tc>
        <w:tc>
          <w:tcPr>
            <w:tcW w:w="878" w:type="dxa"/>
            <w:shd w:val="clear" w:color="auto" w:fill="auto"/>
            <w:vAlign w:val="bottom"/>
          </w:tcPr>
          <w:p w14:paraId="5EA3AE7A" w14:textId="77777777" w:rsidR="009A7EC3" w:rsidRPr="00DE25AD" w:rsidRDefault="009A7EC3" w:rsidP="009A7EC3">
            <w:pPr>
              <w:pStyle w:val="ASSADACCESStablecentre"/>
            </w:pPr>
          </w:p>
        </w:tc>
        <w:tc>
          <w:tcPr>
            <w:tcW w:w="879" w:type="dxa"/>
            <w:shd w:val="clear" w:color="auto" w:fill="auto"/>
            <w:vAlign w:val="bottom"/>
          </w:tcPr>
          <w:p w14:paraId="486978E7" w14:textId="77777777" w:rsidR="009A7EC3" w:rsidRPr="00DE25AD" w:rsidRDefault="009A7EC3" w:rsidP="009A7EC3">
            <w:pPr>
              <w:pStyle w:val="ASSADACCESStablecentre"/>
            </w:pPr>
          </w:p>
        </w:tc>
        <w:tc>
          <w:tcPr>
            <w:tcW w:w="879" w:type="dxa"/>
            <w:shd w:val="clear" w:color="auto" w:fill="auto"/>
            <w:vAlign w:val="bottom"/>
          </w:tcPr>
          <w:p w14:paraId="1150160E" w14:textId="77777777" w:rsidR="009A7EC3" w:rsidRPr="00DE25AD" w:rsidRDefault="009A7EC3" w:rsidP="009A7EC3">
            <w:pPr>
              <w:pStyle w:val="ASSADACCESStablecentre"/>
            </w:pPr>
          </w:p>
        </w:tc>
        <w:tc>
          <w:tcPr>
            <w:tcW w:w="879" w:type="dxa"/>
            <w:shd w:val="clear" w:color="auto" w:fill="auto"/>
            <w:vAlign w:val="bottom"/>
          </w:tcPr>
          <w:p w14:paraId="486ACC49" w14:textId="77777777" w:rsidR="009A7EC3" w:rsidRPr="00DE25AD" w:rsidRDefault="009A7EC3" w:rsidP="009A7EC3">
            <w:pPr>
              <w:pStyle w:val="ASSADACCESStablecentre"/>
            </w:pPr>
          </w:p>
        </w:tc>
        <w:tc>
          <w:tcPr>
            <w:tcW w:w="879" w:type="dxa"/>
            <w:shd w:val="clear" w:color="auto" w:fill="auto"/>
            <w:vAlign w:val="bottom"/>
          </w:tcPr>
          <w:p w14:paraId="442BE503" w14:textId="77777777" w:rsidR="009A7EC3" w:rsidRPr="00DE25AD" w:rsidRDefault="009A7EC3" w:rsidP="009A7EC3">
            <w:pPr>
              <w:pStyle w:val="ASSADACCESStablecentre"/>
            </w:pPr>
          </w:p>
        </w:tc>
        <w:tc>
          <w:tcPr>
            <w:tcW w:w="879" w:type="dxa"/>
            <w:shd w:val="clear" w:color="auto" w:fill="auto"/>
            <w:vAlign w:val="bottom"/>
          </w:tcPr>
          <w:p w14:paraId="62FD6B6B" w14:textId="77777777" w:rsidR="009A7EC3" w:rsidRPr="00DE25AD" w:rsidRDefault="009A7EC3" w:rsidP="009A7EC3">
            <w:pPr>
              <w:pStyle w:val="ASSADACCESStablecentre"/>
            </w:pPr>
          </w:p>
        </w:tc>
        <w:tc>
          <w:tcPr>
            <w:tcW w:w="879" w:type="dxa"/>
            <w:shd w:val="clear" w:color="auto" w:fill="auto"/>
            <w:vAlign w:val="bottom"/>
          </w:tcPr>
          <w:p w14:paraId="2F0EE514" w14:textId="77777777" w:rsidR="009A7EC3" w:rsidRPr="00DE25AD" w:rsidRDefault="009A7EC3" w:rsidP="009A7EC3">
            <w:pPr>
              <w:pStyle w:val="ASSADACCESStablecentre"/>
            </w:pPr>
          </w:p>
        </w:tc>
        <w:tc>
          <w:tcPr>
            <w:tcW w:w="879" w:type="dxa"/>
            <w:shd w:val="clear" w:color="auto" w:fill="auto"/>
            <w:vAlign w:val="bottom"/>
          </w:tcPr>
          <w:p w14:paraId="6976F7BF" w14:textId="77777777" w:rsidR="009A7EC3" w:rsidRPr="00DE25AD" w:rsidRDefault="009A7EC3" w:rsidP="009A7EC3">
            <w:pPr>
              <w:pStyle w:val="ASSADACCESStablecentre"/>
            </w:pPr>
          </w:p>
        </w:tc>
      </w:tr>
      <w:tr w:rsidR="009A7EC3" w:rsidRPr="00DE25AD" w14:paraId="6966EE0D" w14:textId="77777777" w:rsidTr="00545FF4">
        <w:tc>
          <w:tcPr>
            <w:tcW w:w="1517" w:type="dxa"/>
            <w:tcMar>
              <w:left w:w="57" w:type="dxa"/>
            </w:tcMar>
          </w:tcPr>
          <w:p w14:paraId="0E8313DD"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559DC473" w14:textId="77777777" w:rsidR="009A7EC3" w:rsidRPr="00DE25AD" w:rsidRDefault="009A7EC3" w:rsidP="009A7EC3">
            <w:pPr>
              <w:pStyle w:val="ASSAD2017ACCESSBody1"/>
            </w:pPr>
            <w:r w:rsidRPr="00DE25AD">
              <w:t>Male</w:t>
            </w:r>
          </w:p>
        </w:tc>
        <w:tc>
          <w:tcPr>
            <w:tcW w:w="878" w:type="dxa"/>
            <w:shd w:val="clear" w:color="auto" w:fill="auto"/>
          </w:tcPr>
          <w:p w14:paraId="20864E57" w14:textId="0C2D8948" w:rsidR="009A7EC3" w:rsidRPr="00DE25AD" w:rsidRDefault="009A7EC3" w:rsidP="009A7EC3">
            <w:pPr>
              <w:pStyle w:val="ASSADACCESStablecentre"/>
            </w:pPr>
            <w:r>
              <w:rPr>
                <w:bCs w:val="0"/>
                <w:color w:val="000000"/>
              </w:rPr>
              <w:t>38*</w:t>
            </w:r>
          </w:p>
        </w:tc>
        <w:tc>
          <w:tcPr>
            <w:tcW w:w="879" w:type="dxa"/>
            <w:shd w:val="clear" w:color="auto" w:fill="auto"/>
          </w:tcPr>
          <w:p w14:paraId="5B781BEC" w14:textId="49F85776" w:rsidR="009A7EC3" w:rsidRPr="00DE25AD" w:rsidRDefault="009A7EC3" w:rsidP="009A7EC3">
            <w:pPr>
              <w:pStyle w:val="ASSADACCESStablecentre"/>
            </w:pPr>
            <w:r>
              <w:rPr>
                <w:bCs w:val="0"/>
                <w:color w:val="000000"/>
              </w:rPr>
              <w:t>34^*</w:t>
            </w:r>
          </w:p>
        </w:tc>
        <w:tc>
          <w:tcPr>
            <w:tcW w:w="879" w:type="dxa"/>
            <w:shd w:val="clear" w:color="auto" w:fill="auto"/>
          </w:tcPr>
          <w:p w14:paraId="29D40F0B" w14:textId="57402E92" w:rsidR="009A7EC3" w:rsidRPr="00DE25AD" w:rsidRDefault="009A7EC3" w:rsidP="009A7EC3">
            <w:pPr>
              <w:pStyle w:val="ASSADACCESStablecentre"/>
            </w:pPr>
            <w:r>
              <w:rPr>
                <w:bCs w:val="0"/>
                <w:color w:val="000000"/>
              </w:rPr>
              <w:t>29*^</w:t>
            </w:r>
          </w:p>
        </w:tc>
        <w:tc>
          <w:tcPr>
            <w:tcW w:w="879" w:type="dxa"/>
            <w:shd w:val="clear" w:color="auto" w:fill="auto"/>
          </w:tcPr>
          <w:p w14:paraId="4751D876" w14:textId="544775AC" w:rsidR="009A7EC3" w:rsidRPr="00DE25AD" w:rsidRDefault="009A7EC3" w:rsidP="009A7EC3">
            <w:pPr>
              <w:pStyle w:val="ASSADACCESStablecentre"/>
            </w:pPr>
            <w:r>
              <w:rPr>
                <w:bCs w:val="0"/>
                <w:color w:val="000000"/>
              </w:rPr>
              <w:t>21*^</w:t>
            </w:r>
          </w:p>
        </w:tc>
        <w:tc>
          <w:tcPr>
            <w:tcW w:w="879" w:type="dxa"/>
            <w:shd w:val="clear" w:color="auto" w:fill="auto"/>
          </w:tcPr>
          <w:p w14:paraId="29E9FAF0" w14:textId="547A3122" w:rsidR="009A7EC3" w:rsidRPr="00DE25AD" w:rsidRDefault="009A7EC3" w:rsidP="009A7EC3">
            <w:pPr>
              <w:pStyle w:val="ASSADACCESStablecentre"/>
            </w:pPr>
            <w:r>
              <w:rPr>
                <w:bCs w:val="0"/>
                <w:color w:val="000000"/>
              </w:rPr>
              <w:t>16^</w:t>
            </w:r>
          </w:p>
        </w:tc>
        <w:tc>
          <w:tcPr>
            <w:tcW w:w="879" w:type="dxa"/>
            <w:shd w:val="clear" w:color="auto" w:fill="auto"/>
          </w:tcPr>
          <w:p w14:paraId="104C9B63" w14:textId="6EBBC389" w:rsidR="009A7EC3" w:rsidRPr="00DE25AD" w:rsidRDefault="009A7EC3" w:rsidP="009A7EC3">
            <w:pPr>
              <w:pStyle w:val="ASSADACCESStablecentre"/>
            </w:pPr>
            <w:r>
              <w:rPr>
                <w:bCs w:val="0"/>
                <w:color w:val="000000"/>
              </w:rPr>
              <w:t>17^</w:t>
            </w:r>
          </w:p>
        </w:tc>
        <w:tc>
          <w:tcPr>
            <w:tcW w:w="879" w:type="dxa"/>
            <w:shd w:val="clear" w:color="auto" w:fill="auto"/>
          </w:tcPr>
          <w:p w14:paraId="65F1E267" w14:textId="344944F9" w:rsidR="009A7EC3" w:rsidRPr="00DE25AD" w:rsidRDefault="009A7EC3" w:rsidP="009A7EC3">
            <w:pPr>
              <w:pStyle w:val="ASSADACCESStablecentre"/>
            </w:pPr>
            <w:r>
              <w:rPr>
                <w:bCs w:val="0"/>
                <w:color w:val="000000"/>
              </w:rPr>
              <w:t>16^</w:t>
            </w:r>
          </w:p>
        </w:tc>
        <w:tc>
          <w:tcPr>
            <w:tcW w:w="879" w:type="dxa"/>
            <w:shd w:val="clear" w:color="auto" w:fill="auto"/>
          </w:tcPr>
          <w:p w14:paraId="0B878787" w14:textId="79E7D500" w:rsidR="009A7EC3" w:rsidRPr="00DE25AD" w:rsidRDefault="009A7EC3" w:rsidP="009A7EC3">
            <w:pPr>
              <w:pStyle w:val="ASSADACCESStablecentre"/>
            </w:pPr>
            <w:r>
              <w:rPr>
                <w:bCs w:val="0"/>
                <w:color w:val="000000"/>
              </w:rPr>
              <w:t>16^</w:t>
            </w:r>
          </w:p>
        </w:tc>
      </w:tr>
      <w:tr w:rsidR="009A7EC3" w:rsidRPr="00DE25AD" w14:paraId="25B08FB8" w14:textId="77777777" w:rsidTr="005C5B03">
        <w:tc>
          <w:tcPr>
            <w:tcW w:w="1517" w:type="dxa"/>
            <w:tcMar>
              <w:left w:w="57" w:type="dxa"/>
            </w:tcMar>
          </w:tcPr>
          <w:p w14:paraId="2CC768C7" w14:textId="77777777" w:rsidR="009A7EC3" w:rsidRPr="00DE25AD" w:rsidRDefault="009A7EC3" w:rsidP="009A7EC3">
            <w:pPr>
              <w:pStyle w:val="ACCESSTableHeaderRow"/>
            </w:pPr>
          </w:p>
        </w:tc>
        <w:tc>
          <w:tcPr>
            <w:tcW w:w="1068" w:type="dxa"/>
            <w:shd w:val="clear" w:color="auto" w:fill="auto"/>
            <w:tcMar>
              <w:left w:w="57" w:type="dxa"/>
            </w:tcMar>
            <w:vAlign w:val="bottom"/>
          </w:tcPr>
          <w:p w14:paraId="790B5E06" w14:textId="77777777" w:rsidR="009A7EC3" w:rsidRPr="00DE25AD" w:rsidRDefault="009A7EC3" w:rsidP="009A7EC3">
            <w:pPr>
              <w:pStyle w:val="ASSAD2017ACCESSBody1"/>
            </w:pPr>
            <w:r w:rsidRPr="00DE25AD">
              <w:t>Female</w:t>
            </w:r>
          </w:p>
        </w:tc>
        <w:tc>
          <w:tcPr>
            <w:tcW w:w="878" w:type="dxa"/>
            <w:shd w:val="clear" w:color="auto" w:fill="auto"/>
          </w:tcPr>
          <w:p w14:paraId="4423142D" w14:textId="4DE36B51" w:rsidR="009A7EC3" w:rsidRPr="00DE25AD" w:rsidRDefault="009A7EC3" w:rsidP="009A7EC3">
            <w:pPr>
              <w:pStyle w:val="ASSADACCESStablecentre"/>
            </w:pPr>
            <w:r>
              <w:rPr>
                <w:bCs w:val="0"/>
                <w:color w:val="000000"/>
              </w:rPr>
              <w:t>33*</w:t>
            </w:r>
          </w:p>
        </w:tc>
        <w:tc>
          <w:tcPr>
            <w:tcW w:w="879" w:type="dxa"/>
            <w:shd w:val="clear" w:color="auto" w:fill="auto"/>
          </w:tcPr>
          <w:p w14:paraId="10C9CFE7" w14:textId="2898E841" w:rsidR="009A7EC3" w:rsidRPr="00DE25AD" w:rsidRDefault="009A7EC3" w:rsidP="009A7EC3">
            <w:pPr>
              <w:pStyle w:val="ASSADACCESStablecentre"/>
            </w:pPr>
            <w:r>
              <w:rPr>
                <w:bCs w:val="0"/>
                <w:color w:val="000000"/>
              </w:rPr>
              <w:t>29*^</w:t>
            </w:r>
          </w:p>
        </w:tc>
        <w:tc>
          <w:tcPr>
            <w:tcW w:w="879" w:type="dxa"/>
            <w:shd w:val="clear" w:color="auto" w:fill="auto"/>
          </w:tcPr>
          <w:p w14:paraId="29398452" w14:textId="0D12D9B0" w:rsidR="009A7EC3" w:rsidRPr="00DE25AD" w:rsidRDefault="009A7EC3" w:rsidP="009A7EC3">
            <w:pPr>
              <w:pStyle w:val="ASSADACCESStablecentre"/>
            </w:pPr>
            <w:r>
              <w:rPr>
                <w:bCs w:val="0"/>
                <w:color w:val="000000"/>
              </w:rPr>
              <w:t>25*^</w:t>
            </w:r>
          </w:p>
        </w:tc>
        <w:tc>
          <w:tcPr>
            <w:tcW w:w="879" w:type="dxa"/>
            <w:shd w:val="clear" w:color="auto" w:fill="auto"/>
          </w:tcPr>
          <w:p w14:paraId="1E96087F" w14:textId="2735E0C6" w:rsidR="009A7EC3" w:rsidRPr="00DE25AD" w:rsidRDefault="009A7EC3" w:rsidP="009A7EC3">
            <w:pPr>
              <w:pStyle w:val="ASSADACCESStablecentre"/>
            </w:pPr>
            <w:r>
              <w:rPr>
                <w:bCs w:val="0"/>
                <w:color w:val="000000"/>
              </w:rPr>
              <w:t>18*^</w:t>
            </w:r>
          </w:p>
        </w:tc>
        <w:tc>
          <w:tcPr>
            <w:tcW w:w="879" w:type="dxa"/>
            <w:shd w:val="clear" w:color="auto" w:fill="auto"/>
          </w:tcPr>
          <w:p w14:paraId="7CD0A748" w14:textId="58FCC95F" w:rsidR="009A7EC3" w:rsidRPr="00DE25AD" w:rsidRDefault="009A7EC3" w:rsidP="009A7EC3">
            <w:pPr>
              <w:pStyle w:val="ASSADACCESStablecentre"/>
            </w:pPr>
            <w:r>
              <w:rPr>
                <w:bCs w:val="0"/>
                <w:color w:val="000000"/>
              </w:rPr>
              <w:t>14^</w:t>
            </w:r>
          </w:p>
        </w:tc>
        <w:tc>
          <w:tcPr>
            <w:tcW w:w="879" w:type="dxa"/>
            <w:shd w:val="clear" w:color="auto" w:fill="auto"/>
          </w:tcPr>
          <w:p w14:paraId="6BAE695E" w14:textId="74C61940" w:rsidR="009A7EC3" w:rsidRPr="00DE25AD" w:rsidRDefault="009A7EC3" w:rsidP="009A7EC3">
            <w:pPr>
              <w:pStyle w:val="ASSADACCESStablecentre"/>
            </w:pPr>
            <w:r>
              <w:rPr>
                <w:bCs w:val="0"/>
                <w:color w:val="000000"/>
              </w:rPr>
              <w:t>14^</w:t>
            </w:r>
          </w:p>
        </w:tc>
        <w:tc>
          <w:tcPr>
            <w:tcW w:w="879" w:type="dxa"/>
            <w:shd w:val="clear" w:color="auto" w:fill="auto"/>
          </w:tcPr>
          <w:p w14:paraId="1D0D30DD" w14:textId="6EC3A0FC" w:rsidR="009A7EC3" w:rsidRPr="00DE25AD" w:rsidRDefault="009A7EC3" w:rsidP="009A7EC3">
            <w:pPr>
              <w:pStyle w:val="ASSADACCESStablecentre"/>
            </w:pPr>
            <w:r>
              <w:rPr>
                <w:bCs w:val="0"/>
                <w:color w:val="000000"/>
              </w:rPr>
              <w:t>14^</w:t>
            </w:r>
          </w:p>
        </w:tc>
        <w:tc>
          <w:tcPr>
            <w:tcW w:w="879" w:type="dxa"/>
            <w:shd w:val="clear" w:color="auto" w:fill="auto"/>
          </w:tcPr>
          <w:p w14:paraId="1E184F8D" w14:textId="6203E3BF" w:rsidR="009A7EC3" w:rsidRPr="00DE25AD" w:rsidRDefault="009A7EC3" w:rsidP="009A7EC3">
            <w:pPr>
              <w:pStyle w:val="ASSADACCESStablecentre"/>
            </w:pPr>
            <w:r>
              <w:rPr>
                <w:bCs w:val="0"/>
                <w:color w:val="000000"/>
              </w:rPr>
              <w:t>15^</w:t>
            </w:r>
          </w:p>
        </w:tc>
      </w:tr>
      <w:tr w:rsidR="009A7EC3" w:rsidRPr="00DE25AD" w14:paraId="6A0CE785" w14:textId="77777777" w:rsidTr="005C5B03">
        <w:trPr>
          <w:trHeight w:val="247"/>
        </w:trPr>
        <w:tc>
          <w:tcPr>
            <w:tcW w:w="1517" w:type="dxa"/>
            <w:tcMar>
              <w:left w:w="57" w:type="dxa"/>
            </w:tcMar>
          </w:tcPr>
          <w:p w14:paraId="018641DE" w14:textId="77777777" w:rsidR="009A7EC3" w:rsidRPr="00DE25AD" w:rsidRDefault="009A7EC3" w:rsidP="009A7EC3">
            <w:pPr>
              <w:pStyle w:val="ACCESSTableHeaderRow"/>
            </w:pPr>
          </w:p>
        </w:tc>
        <w:tc>
          <w:tcPr>
            <w:tcW w:w="1068" w:type="dxa"/>
            <w:shd w:val="clear" w:color="auto" w:fill="auto"/>
            <w:tcMar>
              <w:left w:w="57" w:type="dxa"/>
            </w:tcMar>
            <w:vAlign w:val="bottom"/>
          </w:tcPr>
          <w:p w14:paraId="169981B8" w14:textId="77777777" w:rsidR="009A7EC3" w:rsidRPr="00DE25AD" w:rsidRDefault="009A7EC3" w:rsidP="009A7EC3">
            <w:pPr>
              <w:pStyle w:val="ASSAD2017ACCESSBody1"/>
            </w:pPr>
            <w:r w:rsidRPr="00DE25AD">
              <w:t>Total</w:t>
            </w:r>
          </w:p>
        </w:tc>
        <w:tc>
          <w:tcPr>
            <w:tcW w:w="878" w:type="dxa"/>
            <w:shd w:val="clear" w:color="auto" w:fill="auto"/>
          </w:tcPr>
          <w:p w14:paraId="1A123FCC" w14:textId="4A450E7F" w:rsidR="009A7EC3" w:rsidRPr="00DE25AD" w:rsidRDefault="009A7EC3" w:rsidP="009A7EC3">
            <w:pPr>
              <w:pStyle w:val="ASSADACCESStablecentre"/>
            </w:pPr>
            <w:r>
              <w:rPr>
                <w:bCs w:val="0"/>
                <w:color w:val="000000"/>
              </w:rPr>
              <w:t>36*</w:t>
            </w:r>
          </w:p>
        </w:tc>
        <w:tc>
          <w:tcPr>
            <w:tcW w:w="879" w:type="dxa"/>
            <w:shd w:val="clear" w:color="auto" w:fill="auto"/>
          </w:tcPr>
          <w:p w14:paraId="49262CD1" w14:textId="5649FE7E" w:rsidR="009A7EC3" w:rsidRPr="00DE25AD" w:rsidRDefault="009A7EC3" w:rsidP="009A7EC3">
            <w:pPr>
              <w:pStyle w:val="ASSADACCESStablecentre"/>
            </w:pPr>
            <w:r>
              <w:rPr>
                <w:bCs w:val="0"/>
                <w:color w:val="000000"/>
              </w:rPr>
              <w:t>31*^</w:t>
            </w:r>
          </w:p>
        </w:tc>
        <w:tc>
          <w:tcPr>
            <w:tcW w:w="879" w:type="dxa"/>
            <w:shd w:val="clear" w:color="auto" w:fill="auto"/>
          </w:tcPr>
          <w:p w14:paraId="58923CDB" w14:textId="6FB5183D" w:rsidR="009A7EC3" w:rsidRPr="00DE25AD" w:rsidRDefault="009A7EC3" w:rsidP="009A7EC3">
            <w:pPr>
              <w:pStyle w:val="ASSADACCESStablecentre"/>
            </w:pPr>
            <w:r>
              <w:rPr>
                <w:bCs w:val="0"/>
                <w:color w:val="000000"/>
              </w:rPr>
              <w:t>27*^</w:t>
            </w:r>
          </w:p>
        </w:tc>
        <w:tc>
          <w:tcPr>
            <w:tcW w:w="879" w:type="dxa"/>
            <w:shd w:val="clear" w:color="auto" w:fill="auto"/>
          </w:tcPr>
          <w:p w14:paraId="7D358781" w14:textId="116FCEA7" w:rsidR="009A7EC3" w:rsidRPr="00DE25AD" w:rsidRDefault="009A7EC3" w:rsidP="009A7EC3">
            <w:pPr>
              <w:pStyle w:val="ASSADACCESStablecentre"/>
            </w:pPr>
            <w:r>
              <w:rPr>
                <w:bCs w:val="0"/>
                <w:color w:val="000000"/>
              </w:rPr>
              <w:t>20*^</w:t>
            </w:r>
          </w:p>
        </w:tc>
        <w:tc>
          <w:tcPr>
            <w:tcW w:w="879" w:type="dxa"/>
            <w:shd w:val="clear" w:color="auto" w:fill="auto"/>
          </w:tcPr>
          <w:p w14:paraId="099C59ED" w14:textId="0957A521" w:rsidR="009A7EC3" w:rsidRPr="00DE25AD" w:rsidRDefault="009A7EC3" w:rsidP="009A7EC3">
            <w:pPr>
              <w:pStyle w:val="ASSADACCESStablecentre"/>
            </w:pPr>
            <w:r>
              <w:rPr>
                <w:bCs w:val="0"/>
                <w:color w:val="000000"/>
              </w:rPr>
              <w:t>15^</w:t>
            </w:r>
          </w:p>
        </w:tc>
        <w:tc>
          <w:tcPr>
            <w:tcW w:w="879" w:type="dxa"/>
            <w:shd w:val="clear" w:color="auto" w:fill="auto"/>
          </w:tcPr>
          <w:p w14:paraId="4E328887" w14:textId="026688E8" w:rsidR="009A7EC3" w:rsidRPr="00DE25AD" w:rsidRDefault="009A7EC3" w:rsidP="009A7EC3">
            <w:pPr>
              <w:pStyle w:val="ASSADACCESStablecentre"/>
            </w:pPr>
            <w:r>
              <w:rPr>
                <w:bCs w:val="0"/>
                <w:color w:val="000000"/>
              </w:rPr>
              <w:t>16^</w:t>
            </w:r>
          </w:p>
        </w:tc>
        <w:tc>
          <w:tcPr>
            <w:tcW w:w="879" w:type="dxa"/>
            <w:shd w:val="clear" w:color="auto" w:fill="auto"/>
          </w:tcPr>
          <w:p w14:paraId="03AC7C10" w14:textId="329EDC50" w:rsidR="009A7EC3" w:rsidRPr="00DE25AD" w:rsidRDefault="009A7EC3" w:rsidP="009A7EC3">
            <w:pPr>
              <w:pStyle w:val="ASSADACCESStablecentre"/>
            </w:pPr>
            <w:r>
              <w:rPr>
                <w:bCs w:val="0"/>
                <w:color w:val="000000"/>
              </w:rPr>
              <w:t>15^</w:t>
            </w:r>
          </w:p>
        </w:tc>
        <w:tc>
          <w:tcPr>
            <w:tcW w:w="879" w:type="dxa"/>
            <w:shd w:val="clear" w:color="auto" w:fill="auto"/>
          </w:tcPr>
          <w:p w14:paraId="0B201D33" w14:textId="1376AD1A" w:rsidR="009A7EC3" w:rsidRPr="00DE25AD" w:rsidRDefault="009A7EC3" w:rsidP="009A7EC3">
            <w:pPr>
              <w:pStyle w:val="ASSADACCESStablecentre"/>
            </w:pPr>
            <w:r>
              <w:rPr>
                <w:bCs w:val="0"/>
                <w:color w:val="000000"/>
              </w:rPr>
              <w:t>16^</w:t>
            </w:r>
          </w:p>
        </w:tc>
      </w:tr>
      <w:tr w:rsidR="009A7EC3" w:rsidRPr="00DE25AD" w14:paraId="2B5A7013" w14:textId="77777777" w:rsidTr="005C5B03">
        <w:trPr>
          <w:trHeight w:val="247"/>
        </w:trPr>
        <w:tc>
          <w:tcPr>
            <w:tcW w:w="1517" w:type="dxa"/>
            <w:tcMar>
              <w:left w:w="57" w:type="dxa"/>
            </w:tcMar>
          </w:tcPr>
          <w:p w14:paraId="1FA1BB1F"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1A9457C6" w14:textId="77777777" w:rsidR="009A7EC3" w:rsidRPr="00DE25AD" w:rsidRDefault="009A7EC3" w:rsidP="009A7EC3">
            <w:pPr>
              <w:pStyle w:val="ASSAD2017ACCESSBody1"/>
            </w:pPr>
            <w:r w:rsidRPr="00DE25AD">
              <w:t>Male</w:t>
            </w:r>
          </w:p>
        </w:tc>
        <w:tc>
          <w:tcPr>
            <w:tcW w:w="878" w:type="dxa"/>
            <w:shd w:val="clear" w:color="auto" w:fill="auto"/>
          </w:tcPr>
          <w:p w14:paraId="47F813A8" w14:textId="4ADB863A" w:rsidR="009A7EC3" w:rsidRPr="00DE25AD" w:rsidRDefault="009A7EC3" w:rsidP="009A7EC3">
            <w:pPr>
              <w:pStyle w:val="ASSADACCESStablecentre"/>
            </w:pPr>
            <w:r>
              <w:rPr>
                <w:bCs w:val="0"/>
                <w:color w:val="000000"/>
              </w:rPr>
              <w:t>21*</w:t>
            </w:r>
          </w:p>
        </w:tc>
        <w:tc>
          <w:tcPr>
            <w:tcW w:w="879" w:type="dxa"/>
            <w:shd w:val="clear" w:color="auto" w:fill="auto"/>
          </w:tcPr>
          <w:p w14:paraId="1316EDE0" w14:textId="62B9395B" w:rsidR="009A7EC3" w:rsidRPr="00DE25AD" w:rsidRDefault="009A7EC3" w:rsidP="009A7EC3">
            <w:pPr>
              <w:pStyle w:val="ASSADACCESStablecentre"/>
            </w:pPr>
            <w:r>
              <w:rPr>
                <w:bCs w:val="0"/>
                <w:color w:val="000000"/>
              </w:rPr>
              <w:t>17*^</w:t>
            </w:r>
          </w:p>
        </w:tc>
        <w:tc>
          <w:tcPr>
            <w:tcW w:w="879" w:type="dxa"/>
            <w:shd w:val="clear" w:color="auto" w:fill="auto"/>
          </w:tcPr>
          <w:p w14:paraId="71B055AE" w14:textId="76DA538A" w:rsidR="009A7EC3" w:rsidRPr="00DE25AD" w:rsidRDefault="009A7EC3" w:rsidP="009A7EC3">
            <w:pPr>
              <w:pStyle w:val="ASSADACCESStablecentre"/>
            </w:pPr>
            <w:r>
              <w:rPr>
                <w:bCs w:val="0"/>
                <w:color w:val="000000"/>
              </w:rPr>
              <w:t>14*^</w:t>
            </w:r>
          </w:p>
        </w:tc>
        <w:tc>
          <w:tcPr>
            <w:tcW w:w="879" w:type="dxa"/>
            <w:shd w:val="clear" w:color="auto" w:fill="auto"/>
          </w:tcPr>
          <w:p w14:paraId="14D3F3F7" w14:textId="30C3BC29" w:rsidR="009A7EC3" w:rsidRPr="00DE25AD" w:rsidRDefault="009A7EC3" w:rsidP="009A7EC3">
            <w:pPr>
              <w:pStyle w:val="ASSADACCESStablecentre"/>
            </w:pPr>
            <w:r>
              <w:rPr>
                <w:bCs w:val="0"/>
                <w:color w:val="000000"/>
              </w:rPr>
              <w:t>10^</w:t>
            </w:r>
          </w:p>
        </w:tc>
        <w:tc>
          <w:tcPr>
            <w:tcW w:w="879" w:type="dxa"/>
            <w:shd w:val="clear" w:color="auto" w:fill="auto"/>
          </w:tcPr>
          <w:p w14:paraId="22431908" w14:textId="60164171" w:rsidR="009A7EC3" w:rsidRPr="00DE25AD" w:rsidRDefault="009A7EC3" w:rsidP="009A7EC3">
            <w:pPr>
              <w:pStyle w:val="ASSADACCESStablecentre"/>
            </w:pPr>
            <w:r>
              <w:rPr>
                <w:bCs w:val="0"/>
                <w:color w:val="000000"/>
              </w:rPr>
              <w:t>8^</w:t>
            </w:r>
          </w:p>
        </w:tc>
        <w:tc>
          <w:tcPr>
            <w:tcW w:w="879" w:type="dxa"/>
            <w:shd w:val="clear" w:color="auto" w:fill="auto"/>
          </w:tcPr>
          <w:p w14:paraId="03241AA2" w14:textId="50D97001" w:rsidR="009A7EC3" w:rsidRPr="00DE25AD" w:rsidRDefault="009A7EC3" w:rsidP="009A7EC3">
            <w:pPr>
              <w:pStyle w:val="ASSADACCESStablecentre"/>
            </w:pPr>
            <w:r>
              <w:rPr>
                <w:bCs w:val="0"/>
                <w:color w:val="000000"/>
              </w:rPr>
              <w:t>9^</w:t>
            </w:r>
          </w:p>
        </w:tc>
        <w:tc>
          <w:tcPr>
            <w:tcW w:w="879" w:type="dxa"/>
            <w:shd w:val="clear" w:color="auto" w:fill="auto"/>
          </w:tcPr>
          <w:p w14:paraId="1B1E5A59" w14:textId="40AABC0B" w:rsidR="009A7EC3" w:rsidRPr="00DE25AD" w:rsidRDefault="009A7EC3" w:rsidP="009A7EC3">
            <w:pPr>
              <w:pStyle w:val="ASSADACCESStablecentre"/>
            </w:pPr>
            <w:r>
              <w:rPr>
                <w:bCs w:val="0"/>
                <w:color w:val="000000"/>
              </w:rPr>
              <w:t>8^</w:t>
            </w:r>
          </w:p>
        </w:tc>
        <w:tc>
          <w:tcPr>
            <w:tcW w:w="879" w:type="dxa"/>
            <w:shd w:val="clear" w:color="auto" w:fill="auto"/>
          </w:tcPr>
          <w:p w14:paraId="767CC33A" w14:textId="70FCB820" w:rsidR="009A7EC3" w:rsidRPr="00DE25AD" w:rsidRDefault="009A7EC3" w:rsidP="009A7EC3">
            <w:pPr>
              <w:pStyle w:val="ASSADACCESStablecentre"/>
            </w:pPr>
            <w:r>
              <w:rPr>
                <w:bCs w:val="0"/>
                <w:color w:val="000000"/>
              </w:rPr>
              <w:t>9^</w:t>
            </w:r>
          </w:p>
        </w:tc>
      </w:tr>
      <w:tr w:rsidR="009A7EC3" w:rsidRPr="00DE25AD" w14:paraId="4C46FDFE" w14:textId="77777777" w:rsidTr="005C5B03">
        <w:trPr>
          <w:trHeight w:val="247"/>
        </w:trPr>
        <w:tc>
          <w:tcPr>
            <w:tcW w:w="1517" w:type="dxa"/>
            <w:tcMar>
              <w:left w:w="57" w:type="dxa"/>
            </w:tcMar>
          </w:tcPr>
          <w:p w14:paraId="478A40E0" w14:textId="77777777" w:rsidR="009A7EC3" w:rsidRPr="00DE25AD" w:rsidRDefault="009A7EC3" w:rsidP="009A7EC3">
            <w:pPr>
              <w:pStyle w:val="ACCESSTableHeaderRow"/>
            </w:pPr>
          </w:p>
        </w:tc>
        <w:tc>
          <w:tcPr>
            <w:tcW w:w="1068" w:type="dxa"/>
            <w:shd w:val="clear" w:color="auto" w:fill="auto"/>
            <w:tcMar>
              <w:left w:w="57" w:type="dxa"/>
            </w:tcMar>
            <w:vAlign w:val="bottom"/>
          </w:tcPr>
          <w:p w14:paraId="1DE79F27" w14:textId="77777777" w:rsidR="009A7EC3" w:rsidRPr="00DE25AD" w:rsidRDefault="009A7EC3" w:rsidP="009A7EC3">
            <w:pPr>
              <w:pStyle w:val="ASSAD2017ACCESSBody1"/>
            </w:pPr>
            <w:r w:rsidRPr="00DE25AD">
              <w:t>Female</w:t>
            </w:r>
          </w:p>
        </w:tc>
        <w:tc>
          <w:tcPr>
            <w:tcW w:w="878" w:type="dxa"/>
            <w:shd w:val="clear" w:color="auto" w:fill="auto"/>
          </w:tcPr>
          <w:p w14:paraId="59D16379" w14:textId="2A30A46E" w:rsidR="009A7EC3" w:rsidRPr="00DE25AD" w:rsidRDefault="009A7EC3" w:rsidP="009A7EC3">
            <w:pPr>
              <w:pStyle w:val="ASSADACCESStablecentre"/>
            </w:pPr>
            <w:r>
              <w:rPr>
                <w:bCs w:val="0"/>
                <w:color w:val="000000"/>
              </w:rPr>
              <w:t>16*</w:t>
            </w:r>
          </w:p>
        </w:tc>
        <w:tc>
          <w:tcPr>
            <w:tcW w:w="879" w:type="dxa"/>
            <w:shd w:val="clear" w:color="auto" w:fill="auto"/>
          </w:tcPr>
          <w:p w14:paraId="50E1FDA9" w14:textId="2720CCBB" w:rsidR="009A7EC3" w:rsidRPr="00DE25AD" w:rsidRDefault="009A7EC3" w:rsidP="009A7EC3">
            <w:pPr>
              <w:pStyle w:val="ASSADACCESStablecentre"/>
            </w:pPr>
            <w:r>
              <w:rPr>
                <w:bCs w:val="0"/>
                <w:color w:val="000000"/>
              </w:rPr>
              <w:t>13*^</w:t>
            </w:r>
          </w:p>
        </w:tc>
        <w:tc>
          <w:tcPr>
            <w:tcW w:w="879" w:type="dxa"/>
            <w:shd w:val="clear" w:color="auto" w:fill="auto"/>
          </w:tcPr>
          <w:p w14:paraId="08CD1B08" w14:textId="305AE153" w:rsidR="009A7EC3" w:rsidRPr="00DE25AD" w:rsidRDefault="009A7EC3" w:rsidP="009A7EC3">
            <w:pPr>
              <w:pStyle w:val="ASSADACCESStablecentre"/>
            </w:pPr>
            <w:r>
              <w:rPr>
                <w:bCs w:val="0"/>
                <w:color w:val="000000"/>
              </w:rPr>
              <w:t>11*^</w:t>
            </w:r>
          </w:p>
        </w:tc>
        <w:tc>
          <w:tcPr>
            <w:tcW w:w="879" w:type="dxa"/>
            <w:shd w:val="clear" w:color="auto" w:fill="auto"/>
          </w:tcPr>
          <w:p w14:paraId="3F92C531" w14:textId="2982FA41" w:rsidR="009A7EC3" w:rsidRPr="00DE25AD" w:rsidRDefault="009A7EC3" w:rsidP="009A7EC3">
            <w:pPr>
              <w:pStyle w:val="ASSADACCESStablecentre"/>
            </w:pPr>
            <w:r>
              <w:rPr>
                <w:bCs w:val="0"/>
                <w:color w:val="000000"/>
              </w:rPr>
              <w:t>7^</w:t>
            </w:r>
          </w:p>
        </w:tc>
        <w:tc>
          <w:tcPr>
            <w:tcW w:w="879" w:type="dxa"/>
            <w:shd w:val="clear" w:color="auto" w:fill="auto"/>
          </w:tcPr>
          <w:p w14:paraId="7CA3C6FB" w14:textId="20C765EF" w:rsidR="009A7EC3" w:rsidRPr="00DE25AD" w:rsidRDefault="009A7EC3" w:rsidP="009A7EC3">
            <w:pPr>
              <w:pStyle w:val="ASSADACCESStablecentre"/>
            </w:pPr>
            <w:r>
              <w:rPr>
                <w:bCs w:val="0"/>
                <w:color w:val="000000"/>
              </w:rPr>
              <w:t>6^</w:t>
            </w:r>
          </w:p>
        </w:tc>
        <w:tc>
          <w:tcPr>
            <w:tcW w:w="879" w:type="dxa"/>
            <w:shd w:val="clear" w:color="auto" w:fill="auto"/>
          </w:tcPr>
          <w:p w14:paraId="321597C0" w14:textId="1C9E3EE5" w:rsidR="009A7EC3" w:rsidRPr="00DE25AD" w:rsidRDefault="009A7EC3" w:rsidP="009A7EC3">
            <w:pPr>
              <w:pStyle w:val="ASSADACCESStablecentre"/>
            </w:pPr>
            <w:r>
              <w:rPr>
                <w:bCs w:val="0"/>
                <w:color w:val="000000"/>
              </w:rPr>
              <w:t>6^</w:t>
            </w:r>
          </w:p>
        </w:tc>
        <w:tc>
          <w:tcPr>
            <w:tcW w:w="879" w:type="dxa"/>
            <w:shd w:val="clear" w:color="auto" w:fill="auto"/>
          </w:tcPr>
          <w:p w14:paraId="016B714D" w14:textId="7DDF8C16" w:rsidR="009A7EC3" w:rsidRPr="00DE25AD" w:rsidRDefault="009A7EC3" w:rsidP="009A7EC3">
            <w:pPr>
              <w:pStyle w:val="ASSADACCESStablecentre"/>
            </w:pPr>
            <w:r>
              <w:rPr>
                <w:bCs w:val="0"/>
                <w:color w:val="000000"/>
              </w:rPr>
              <w:t>6^</w:t>
            </w:r>
          </w:p>
        </w:tc>
        <w:tc>
          <w:tcPr>
            <w:tcW w:w="879" w:type="dxa"/>
            <w:shd w:val="clear" w:color="auto" w:fill="auto"/>
          </w:tcPr>
          <w:p w14:paraId="11E65491" w14:textId="040E3157" w:rsidR="009A7EC3" w:rsidRPr="00DE25AD" w:rsidRDefault="009A7EC3" w:rsidP="009A7EC3">
            <w:pPr>
              <w:pStyle w:val="ASSADACCESStablecentre"/>
            </w:pPr>
            <w:r>
              <w:rPr>
                <w:bCs w:val="0"/>
                <w:color w:val="000000"/>
              </w:rPr>
              <w:t>7^</w:t>
            </w:r>
          </w:p>
        </w:tc>
      </w:tr>
      <w:tr w:rsidR="009A7EC3" w:rsidRPr="00DE25AD" w14:paraId="0F7E9B92" w14:textId="77777777" w:rsidTr="005C5B03">
        <w:trPr>
          <w:trHeight w:val="247"/>
        </w:trPr>
        <w:tc>
          <w:tcPr>
            <w:tcW w:w="1517" w:type="dxa"/>
            <w:tcMar>
              <w:left w:w="57" w:type="dxa"/>
            </w:tcMar>
          </w:tcPr>
          <w:p w14:paraId="5A8ACAE8" w14:textId="77777777" w:rsidR="009A7EC3" w:rsidRPr="00DE25AD" w:rsidRDefault="009A7EC3" w:rsidP="009A7EC3">
            <w:pPr>
              <w:pStyle w:val="ACCESSTableHeaderRow"/>
            </w:pPr>
          </w:p>
        </w:tc>
        <w:tc>
          <w:tcPr>
            <w:tcW w:w="1068" w:type="dxa"/>
            <w:shd w:val="clear" w:color="auto" w:fill="auto"/>
            <w:tcMar>
              <w:left w:w="57" w:type="dxa"/>
            </w:tcMar>
            <w:vAlign w:val="bottom"/>
          </w:tcPr>
          <w:p w14:paraId="19970F55" w14:textId="77777777" w:rsidR="009A7EC3" w:rsidRPr="00DE25AD" w:rsidRDefault="009A7EC3" w:rsidP="009A7EC3">
            <w:pPr>
              <w:pStyle w:val="ASSAD2017ACCESSBody1"/>
            </w:pPr>
            <w:r w:rsidRPr="00DE25AD">
              <w:t>Total</w:t>
            </w:r>
          </w:p>
        </w:tc>
        <w:tc>
          <w:tcPr>
            <w:tcW w:w="878" w:type="dxa"/>
            <w:shd w:val="clear" w:color="auto" w:fill="auto"/>
          </w:tcPr>
          <w:p w14:paraId="5333FCAE" w14:textId="2F878822" w:rsidR="009A7EC3" w:rsidRPr="00DE25AD" w:rsidRDefault="009A7EC3" w:rsidP="009A7EC3">
            <w:pPr>
              <w:pStyle w:val="ASSADACCESStablecentre"/>
            </w:pPr>
            <w:r>
              <w:rPr>
                <w:bCs w:val="0"/>
                <w:color w:val="000000"/>
              </w:rPr>
              <w:t>19*</w:t>
            </w:r>
          </w:p>
        </w:tc>
        <w:tc>
          <w:tcPr>
            <w:tcW w:w="879" w:type="dxa"/>
            <w:shd w:val="clear" w:color="auto" w:fill="auto"/>
          </w:tcPr>
          <w:p w14:paraId="0C718006" w14:textId="7D7E5CA9" w:rsidR="009A7EC3" w:rsidRPr="00DE25AD" w:rsidRDefault="009A7EC3" w:rsidP="009A7EC3">
            <w:pPr>
              <w:pStyle w:val="ASSADACCESStablecentre"/>
            </w:pPr>
            <w:r>
              <w:rPr>
                <w:bCs w:val="0"/>
                <w:color w:val="000000"/>
              </w:rPr>
              <w:t>15*^</w:t>
            </w:r>
          </w:p>
        </w:tc>
        <w:tc>
          <w:tcPr>
            <w:tcW w:w="879" w:type="dxa"/>
            <w:shd w:val="clear" w:color="auto" w:fill="auto"/>
          </w:tcPr>
          <w:p w14:paraId="79490D5D" w14:textId="73B5B734" w:rsidR="009A7EC3" w:rsidRPr="00DE25AD" w:rsidRDefault="009A7EC3" w:rsidP="009A7EC3">
            <w:pPr>
              <w:pStyle w:val="ASSADACCESStablecentre"/>
            </w:pPr>
            <w:r>
              <w:rPr>
                <w:bCs w:val="0"/>
                <w:color w:val="000000"/>
              </w:rPr>
              <w:t>12*^</w:t>
            </w:r>
          </w:p>
        </w:tc>
        <w:tc>
          <w:tcPr>
            <w:tcW w:w="879" w:type="dxa"/>
            <w:shd w:val="clear" w:color="auto" w:fill="auto"/>
          </w:tcPr>
          <w:p w14:paraId="0292A8EB" w14:textId="1D4230D1" w:rsidR="009A7EC3" w:rsidRPr="00DE25AD" w:rsidRDefault="009A7EC3" w:rsidP="009A7EC3">
            <w:pPr>
              <w:pStyle w:val="ASSADACCESStablecentre"/>
            </w:pPr>
            <w:r>
              <w:rPr>
                <w:bCs w:val="0"/>
                <w:color w:val="000000"/>
              </w:rPr>
              <w:t>8^</w:t>
            </w:r>
          </w:p>
        </w:tc>
        <w:tc>
          <w:tcPr>
            <w:tcW w:w="879" w:type="dxa"/>
            <w:shd w:val="clear" w:color="auto" w:fill="auto"/>
          </w:tcPr>
          <w:p w14:paraId="4F66E3DC" w14:textId="0F577D33" w:rsidR="009A7EC3" w:rsidRPr="00DE25AD" w:rsidRDefault="009A7EC3" w:rsidP="009A7EC3">
            <w:pPr>
              <w:pStyle w:val="ASSADACCESStablecentre"/>
            </w:pPr>
            <w:r>
              <w:rPr>
                <w:bCs w:val="0"/>
                <w:color w:val="000000"/>
              </w:rPr>
              <w:t>7^</w:t>
            </w:r>
          </w:p>
        </w:tc>
        <w:tc>
          <w:tcPr>
            <w:tcW w:w="879" w:type="dxa"/>
            <w:shd w:val="clear" w:color="auto" w:fill="auto"/>
          </w:tcPr>
          <w:p w14:paraId="39405A5F" w14:textId="2A6AB4A4" w:rsidR="009A7EC3" w:rsidRPr="00DE25AD" w:rsidRDefault="009A7EC3" w:rsidP="009A7EC3">
            <w:pPr>
              <w:pStyle w:val="ASSADACCESStablecentre"/>
            </w:pPr>
            <w:r>
              <w:rPr>
                <w:bCs w:val="0"/>
                <w:color w:val="000000"/>
              </w:rPr>
              <w:t>8^</w:t>
            </w:r>
          </w:p>
        </w:tc>
        <w:tc>
          <w:tcPr>
            <w:tcW w:w="879" w:type="dxa"/>
            <w:shd w:val="clear" w:color="auto" w:fill="auto"/>
          </w:tcPr>
          <w:p w14:paraId="74D7CB1F" w14:textId="5AA0CA5F" w:rsidR="009A7EC3" w:rsidRPr="00DE25AD" w:rsidRDefault="009A7EC3" w:rsidP="009A7EC3">
            <w:pPr>
              <w:pStyle w:val="ASSADACCESStablecentre"/>
            </w:pPr>
            <w:r>
              <w:rPr>
                <w:bCs w:val="0"/>
                <w:color w:val="000000"/>
              </w:rPr>
              <w:t>7^</w:t>
            </w:r>
          </w:p>
        </w:tc>
        <w:tc>
          <w:tcPr>
            <w:tcW w:w="879" w:type="dxa"/>
            <w:shd w:val="clear" w:color="auto" w:fill="auto"/>
          </w:tcPr>
          <w:p w14:paraId="15985196" w14:textId="658093B3" w:rsidR="009A7EC3" w:rsidRPr="00DE25AD" w:rsidRDefault="009A7EC3" w:rsidP="009A7EC3">
            <w:pPr>
              <w:pStyle w:val="ASSADACCESStablecentre"/>
            </w:pPr>
            <w:r>
              <w:rPr>
                <w:bCs w:val="0"/>
                <w:color w:val="000000"/>
              </w:rPr>
              <w:t>8^</w:t>
            </w:r>
          </w:p>
        </w:tc>
      </w:tr>
    </w:tbl>
    <w:p w14:paraId="7DF991B6" w14:textId="77777777" w:rsidR="00826FCB" w:rsidRDefault="00826FCB" w:rsidP="00826FCB">
      <w:pPr>
        <w:spacing w:after="120"/>
        <w:rPr>
          <w:rFonts w:ascii="Arial" w:eastAsia="Arial" w:hAnsi="Arial" w:cs="Arial"/>
          <w:b/>
          <w:bCs/>
          <w:color w:val="0070C0"/>
          <w:sz w:val="18"/>
          <w:szCs w:val="28"/>
          <w:highlight w:val="yellow"/>
        </w:rPr>
      </w:pPr>
      <w:r w:rsidRPr="002E5727">
        <w:rPr>
          <w:rFonts w:ascii="Arial" w:eastAsia="Arial" w:hAnsi="Arial" w:cs="Arial"/>
          <w:sz w:val="18"/>
          <w:szCs w:val="18"/>
        </w:rPr>
        <w:t>* Significantly different than 2017, p&lt;.01; ^ Significantly different than 1996, p&lt;.01</w:t>
      </w:r>
      <w:r>
        <w:rPr>
          <w:rFonts w:ascii="Arial" w:eastAsia="Arial" w:hAnsi="Arial" w:cs="Arial"/>
          <w:sz w:val="18"/>
          <w:szCs w:val="18"/>
        </w:rPr>
        <w:t>.</w:t>
      </w:r>
      <w:r w:rsidRPr="002E5727">
        <w:rPr>
          <w:rFonts w:ascii="Arial" w:eastAsia="Arial" w:hAnsi="Arial" w:cs="Arial"/>
          <w:b/>
          <w:bCs/>
          <w:color w:val="0070C0"/>
          <w:sz w:val="18"/>
          <w:szCs w:val="28"/>
          <w:highlight w:val="yellow"/>
        </w:rPr>
        <w:t xml:space="preserve"> </w:t>
      </w:r>
    </w:p>
    <w:p w14:paraId="6A57F138" w14:textId="77777777" w:rsidR="00826FCB" w:rsidRPr="008C6D95" w:rsidRDefault="00826FCB" w:rsidP="00826FCB">
      <w:pPr>
        <w:spacing w:after="120"/>
        <w:rPr>
          <w:rFonts w:ascii="Arial" w:eastAsia="Arial" w:hAnsi="Arial" w:cs="Arial"/>
          <w:sz w:val="18"/>
          <w:szCs w:val="18"/>
        </w:rPr>
      </w:pPr>
      <w:r w:rsidRPr="008C6D95">
        <w:rPr>
          <w:rFonts w:ascii="Arial" w:eastAsia="Arial" w:hAnsi="Arial" w:cs="Arial"/>
          <w:sz w:val="18"/>
          <w:szCs w:val="18"/>
          <w:vertAlign w:val="superscript"/>
        </w:rPr>
        <w:t>#</w:t>
      </w:r>
      <w:r w:rsidRPr="008C6D95">
        <w:rPr>
          <w:rFonts w:ascii="Arial" w:eastAsia="Arial" w:hAnsi="Arial" w:cs="Arial"/>
          <w:sz w:val="18"/>
          <w:szCs w:val="18"/>
        </w:rPr>
        <w:t xml:space="preserve"> Illicit substances included cannabis, hallucinogens, amphetamines, cocaine, opiates and ecstasy.</w:t>
      </w:r>
    </w:p>
    <w:p w14:paraId="10D42126" w14:textId="026878F1" w:rsidR="005C5B03" w:rsidRDefault="00826FCB" w:rsidP="00826FCB">
      <w:pPr>
        <w:pStyle w:val="ASSAD2017CWTablenote1"/>
      </w:pPr>
      <w:r w:rsidRPr="00D30B19">
        <w:rPr>
          <w:vertAlign w:val="superscript"/>
        </w:rPr>
        <w:t>†</w:t>
      </w:r>
      <w:r w:rsidRPr="00D30B19">
        <w:rPr>
          <w:position w:val="10"/>
        </w:rPr>
        <w:t xml:space="preserve"> </w:t>
      </w:r>
      <w:r>
        <w:t>Excludes ‘dexamphetamines’ and ‘other opiates’ which were not surveyed in previous survey years.</w:t>
      </w:r>
    </w:p>
    <w:p w14:paraId="7CF46AD2" w14:textId="47B3001D" w:rsidR="00D7479A" w:rsidRDefault="00D7479A" w:rsidP="00826FCB">
      <w:pPr>
        <w:pStyle w:val="ASSAD2017CWTablenote1"/>
      </w:pPr>
    </w:p>
    <w:p w14:paraId="391832D3" w14:textId="70629DC5" w:rsidR="00D7479A" w:rsidRDefault="00D7479A">
      <w:pPr>
        <w:suppressAutoHyphens w:val="0"/>
        <w:rPr>
          <w:rFonts w:ascii="Arial" w:eastAsia="Arial" w:hAnsi="Arial" w:cs="Arial"/>
          <w:sz w:val="18"/>
          <w:szCs w:val="18"/>
          <w:lang w:val="en-AU"/>
        </w:rPr>
      </w:pPr>
      <w:r>
        <w:br w:type="page"/>
      </w:r>
    </w:p>
    <w:p w14:paraId="73EB18C4" w14:textId="5104C88C" w:rsidR="00D7479A" w:rsidRPr="0046446A" w:rsidRDefault="00D7479A" w:rsidP="00D7479A">
      <w:pPr>
        <w:pStyle w:val="ASSAD2017TableHeading"/>
      </w:pPr>
      <w:bookmarkStart w:id="82" w:name="_Toc44060498"/>
      <w:r w:rsidRPr="0046446A">
        <w:lastRenderedPageBreak/>
        <w:t xml:space="preserve">Table </w:t>
      </w:r>
      <w:r>
        <w:t>11</w:t>
      </w:r>
      <w:r w:rsidRPr="0046446A">
        <w:t xml:space="preserve"> </w:t>
      </w:r>
      <w:r>
        <w:t>Prevalence</w:t>
      </w:r>
      <w:r w:rsidRPr="0046446A">
        <w:t xml:space="preserve"> of </w:t>
      </w:r>
      <w:r>
        <w:t>any illicit substance</w:t>
      </w:r>
      <w:r w:rsidRPr="0046446A">
        <w:t xml:space="preserve"> use</w:t>
      </w:r>
      <w:r>
        <w:rPr>
          <w:vertAlign w:val="superscript"/>
        </w:rPr>
        <w:t>#</w:t>
      </w:r>
      <w:r>
        <w:t xml:space="preserve"> (excluding cannabis)</w:t>
      </w:r>
      <w:r w:rsidRPr="0046446A">
        <w:t xml:space="preserve"> among secondary students aged 12-1</w:t>
      </w:r>
      <w:r>
        <w:t>5, 16-17, &amp; 12-17</w:t>
      </w:r>
      <w:r w:rsidRPr="0046446A">
        <w:t xml:space="preserve"> in Australia, ASSAD 1996-2017</w:t>
      </w:r>
      <w:bookmarkEnd w:id="82"/>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D7479A" w:rsidRPr="00DE25AD" w14:paraId="19D38EDD" w14:textId="77777777" w:rsidTr="005F678B">
        <w:trPr>
          <w:tblHeader/>
        </w:trPr>
        <w:tc>
          <w:tcPr>
            <w:tcW w:w="1517" w:type="dxa"/>
            <w:tcMar>
              <w:left w:w="57" w:type="dxa"/>
            </w:tcMar>
          </w:tcPr>
          <w:p w14:paraId="1D21FB29" w14:textId="77777777" w:rsidR="00D7479A" w:rsidRPr="00DE25AD" w:rsidRDefault="00D7479A"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3BAD135C" w14:textId="77777777" w:rsidR="00D7479A" w:rsidRPr="00DE25AD" w:rsidRDefault="00D7479A" w:rsidP="005F678B">
            <w:pPr>
              <w:pStyle w:val="ACCESSTableHeaderRow"/>
            </w:pPr>
          </w:p>
        </w:tc>
        <w:tc>
          <w:tcPr>
            <w:tcW w:w="878" w:type="dxa"/>
            <w:shd w:val="clear" w:color="auto" w:fill="auto"/>
            <w:vAlign w:val="bottom"/>
          </w:tcPr>
          <w:p w14:paraId="79CC847D" w14:textId="77777777" w:rsidR="00D7479A" w:rsidRPr="00DE25AD" w:rsidRDefault="00D7479A" w:rsidP="005F678B">
            <w:pPr>
              <w:pStyle w:val="ACCESSTableHeaderRow"/>
              <w:jc w:val="center"/>
            </w:pPr>
            <w:r>
              <w:t>1996</w:t>
            </w:r>
          </w:p>
          <w:p w14:paraId="3603A7F9"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454FB8F9" w14:textId="77777777" w:rsidR="00D7479A" w:rsidRPr="00DE25AD" w:rsidRDefault="00D7479A" w:rsidP="005F678B">
            <w:pPr>
              <w:pStyle w:val="ACCESSTableHeaderRow"/>
              <w:jc w:val="center"/>
            </w:pPr>
            <w:r w:rsidRPr="00DE25AD">
              <w:t>1</w:t>
            </w:r>
            <w:r>
              <w:t>999</w:t>
            </w:r>
          </w:p>
          <w:p w14:paraId="1E78072B"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7DB7C6DF" w14:textId="77777777" w:rsidR="00D7479A" w:rsidRPr="00DE25AD" w:rsidRDefault="00D7479A" w:rsidP="005F678B">
            <w:pPr>
              <w:pStyle w:val="ACCESSTableHeaderRow"/>
              <w:jc w:val="center"/>
            </w:pPr>
            <w:r>
              <w:t>2002</w:t>
            </w:r>
          </w:p>
          <w:p w14:paraId="0E555971"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7B550469" w14:textId="77777777" w:rsidR="00D7479A" w:rsidRPr="00DE25AD" w:rsidRDefault="00D7479A" w:rsidP="005F678B">
            <w:pPr>
              <w:pStyle w:val="ACCESSTableHeaderRow"/>
              <w:jc w:val="center"/>
            </w:pPr>
            <w:r>
              <w:t>200</w:t>
            </w:r>
            <w:r w:rsidRPr="00DE25AD">
              <w:t>5</w:t>
            </w:r>
          </w:p>
          <w:p w14:paraId="07973179"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4E51B637" w14:textId="77777777" w:rsidR="00D7479A" w:rsidRPr="00DE25AD" w:rsidRDefault="00D7479A" w:rsidP="005F678B">
            <w:pPr>
              <w:pStyle w:val="ACCESSTableHeaderRow"/>
              <w:jc w:val="center"/>
            </w:pPr>
            <w:r>
              <w:t>2008</w:t>
            </w:r>
          </w:p>
          <w:p w14:paraId="2FC82BDB"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2D473C2A" w14:textId="77777777" w:rsidR="00D7479A" w:rsidRPr="00DE25AD" w:rsidRDefault="00D7479A" w:rsidP="005F678B">
            <w:pPr>
              <w:pStyle w:val="ACCESSTableHeaderRow"/>
              <w:jc w:val="center"/>
            </w:pPr>
            <w:r>
              <w:t>2011</w:t>
            </w:r>
          </w:p>
          <w:p w14:paraId="20DBD54D"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2C92ADBC" w14:textId="77777777" w:rsidR="00D7479A" w:rsidRDefault="00D7479A" w:rsidP="005F678B">
            <w:pPr>
              <w:pStyle w:val="ACCESSTableHeaderRow"/>
              <w:jc w:val="center"/>
            </w:pPr>
            <w:r>
              <w:t>2014</w:t>
            </w:r>
          </w:p>
          <w:p w14:paraId="121FD912" w14:textId="77777777" w:rsidR="00D7479A" w:rsidRPr="00DE25AD" w:rsidRDefault="00D7479A" w:rsidP="005F678B">
            <w:pPr>
              <w:pStyle w:val="ACCESSTableHeaderRow"/>
              <w:jc w:val="center"/>
            </w:pPr>
            <w:r>
              <w:t>(%)</w:t>
            </w:r>
          </w:p>
        </w:tc>
        <w:tc>
          <w:tcPr>
            <w:tcW w:w="879" w:type="dxa"/>
            <w:shd w:val="clear" w:color="auto" w:fill="auto"/>
            <w:vAlign w:val="bottom"/>
          </w:tcPr>
          <w:p w14:paraId="6AD73DDC" w14:textId="77777777" w:rsidR="00D7479A" w:rsidRDefault="00D7479A" w:rsidP="005F678B">
            <w:pPr>
              <w:pStyle w:val="ACCESSTableHeaderRow"/>
              <w:jc w:val="center"/>
            </w:pPr>
            <w:r>
              <w:t>2017</w:t>
            </w:r>
            <w:r w:rsidRPr="00107E26">
              <w:rPr>
                <w:vertAlign w:val="superscript"/>
              </w:rPr>
              <w:t>†</w:t>
            </w:r>
          </w:p>
          <w:p w14:paraId="5E6D1536" w14:textId="77777777" w:rsidR="00D7479A" w:rsidRPr="00DE25AD" w:rsidRDefault="00D7479A" w:rsidP="005F678B">
            <w:pPr>
              <w:pStyle w:val="ACCESSTableHeaderRow"/>
              <w:jc w:val="center"/>
            </w:pPr>
            <w:r w:rsidRPr="00DE25AD">
              <w:t>(%)</w:t>
            </w:r>
          </w:p>
        </w:tc>
      </w:tr>
      <w:tr w:rsidR="00D7479A" w:rsidRPr="00DE25AD" w14:paraId="3F951E08" w14:textId="77777777" w:rsidTr="005F678B">
        <w:trPr>
          <w:tblHeader/>
        </w:trPr>
        <w:tc>
          <w:tcPr>
            <w:tcW w:w="1517" w:type="dxa"/>
            <w:tcMar>
              <w:left w:w="57" w:type="dxa"/>
            </w:tcMar>
          </w:tcPr>
          <w:p w14:paraId="641C6A62" w14:textId="77777777" w:rsidR="00D7479A" w:rsidRPr="00DE25AD" w:rsidRDefault="00D7479A" w:rsidP="005F678B">
            <w:pPr>
              <w:pStyle w:val="ACCESSTableHeaderRow"/>
            </w:pPr>
            <w:r>
              <w:t>Aged 12-15</w:t>
            </w:r>
          </w:p>
        </w:tc>
        <w:tc>
          <w:tcPr>
            <w:tcW w:w="1068" w:type="dxa"/>
            <w:shd w:val="clear" w:color="auto" w:fill="auto"/>
            <w:tcMar>
              <w:left w:w="57" w:type="dxa"/>
            </w:tcMar>
            <w:vAlign w:val="center"/>
          </w:tcPr>
          <w:p w14:paraId="312A10FD" w14:textId="77777777" w:rsidR="00D7479A" w:rsidRPr="00DE25AD" w:rsidRDefault="00D7479A" w:rsidP="005F678B">
            <w:pPr>
              <w:pStyle w:val="ACCESSTableHeaderRow"/>
            </w:pPr>
          </w:p>
        </w:tc>
        <w:tc>
          <w:tcPr>
            <w:tcW w:w="878" w:type="dxa"/>
            <w:shd w:val="clear" w:color="auto" w:fill="auto"/>
            <w:vAlign w:val="bottom"/>
          </w:tcPr>
          <w:p w14:paraId="35DA7627" w14:textId="77777777" w:rsidR="00D7479A" w:rsidRPr="00DE25AD" w:rsidRDefault="00D7479A" w:rsidP="005F678B">
            <w:pPr>
              <w:pStyle w:val="ACCESSTableHeaderRow"/>
            </w:pPr>
          </w:p>
        </w:tc>
        <w:tc>
          <w:tcPr>
            <w:tcW w:w="879" w:type="dxa"/>
            <w:shd w:val="clear" w:color="auto" w:fill="auto"/>
            <w:vAlign w:val="bottom"/>
          </w:tcPr>
          <w:p w14:paraId="18F39182" w14:textId="77777777" w:rsidR="00D7479A" w:rsidRPr="00DE25AD" w:rsidRDefault="00D7479A" w:rsidP="005F678B">
            <w:pPr>
              <w:pStyle w:val="ACCESSTableHeaderRow"/>
            </w:pPr>
          </w:p>
        </w:tc>
        <w:tc>
          <w:tcPr>
            <w:tcW w:w="879" w:type="dxa"/>
            <w:shd w:val="clear" w:color="auto" w:fill="auto"/>
            <w:vAlign w:val="bottom"/>
          </w:tcPr>
          <w:p w14:paraId="5321EBD0" w14:textId="77777777" w:rsidR="00D7479A" w:rsidRPr="00DE25AD" w:rsidRDefault="00D7479A" w:rsidP="005F678B">
            <w:pPr>
              <w:pStyle w:val="ACCESSTableHeaderRow"/>
            </w:pPr>
          </w:p>
        </w:tc>
        <w:tc>
          <w:tcPr>
            <w:tcW w:w="879" w:type="dxa"/>
            <w:shd w:val="clear" w:color="auto" w:fill="auto"/>
            <w:vAlign w:val="bottom"/>
          </w:tcPr>
          <w:p w14:paraId="57605E42" w14:textId="77777777" w:rsidR="00D7479A" w:rsidRPr="00DE25AD" w:rsidRDefault="00D7479A" w:rsidP="005F678B">
            <w:pPr>
              <w:pStyle w:val="ACCESSTableHeaderRow"/>
            </w:pPr>
          </w:p>
        </w:tc>
        <w:tc>
          <w:tcPr>
            <w:tcW w:w="879" w:type="dxa"/>
            <w:shd w:val="clear" w:color="auto" w:fill="auto"/>
            <w:vAlign w:val="bottom"/>
          </w:tcPr>
          <w:p w14:paraId="270CDFB2" w14:textId="77777777" w:rsidR="00D7479A" w:rsidRPr="00DE25AD" w:rsidRDefault="00D7479A" w:rsidP="005F678B">
            <w:pPr>
              <w:pStyle w:val="ACCESSTableHeaderRow"/>
            </w:pPr>
          </w:p>
        </w:tc>
        <w:tc>
          <w:tcPr>
            <w:tcW w:w="879" w:type="dxa"/>
            <w:shd w:val="clear" w:color="auto" w:fill="auto"/>
            <w:vAlign w:val="bottom"/>
          </w:tcPr>
          <w:p w14:paraId="33EE81B6" w14:textId="77777777" w:rsidR="00D7479A" w:rsidRPr="00DE25AD" w:rsidRDefault="00D7479A" w:rsidP="005F678B">
            <w:pPr>
              <w:pStyle w:val="ACCESSTableHeaderRow"/>
            </w:pPr>
          </w:p>
        </w:tc>
        <w:tc>
          <w:tcPr>
            <w:tcW w:w="879" w:type="dxa"/>
            <w:shd w:val="clear" w:color="auto" w:fill="auto"/>
            <w:vAlign w:val="bottom"/>
          </w:tcPr>
          <w:p w14:paraId="5FF2F8FC" w14:textId="77777777" w:rsidR="00D7479A" w:rsidRPr="00DE25AD" w:rsidRDefault="00D7479A" w:rsidP="005F678B">
            <w:pPr>
              <w:pStyle w:val="ACCESSTableHeaderRow"/>
            </w:pPr>
          </w:p>
        </w:tc>
        <w:tc>
          <w:tcPr>
            <w:tcW w:w="879" w:type="dxa"/>
            <w:shd w:val="clear" w:color="auto" w:fill="auto"/>
            <w:vAlign w:val="bottom"/>
          </w:tcPr>
          <w:p w14:paraId="0746BB89" w14:textId="77777777" w:rsidR="00D7479A" w:rsidRPr="00DE25AD" w:rsidRDefault="00D7479A" w:rsidP="005F678B">
            <w:pPr>
              <w:pStyle w:val="ACCESSTableHeaderRow"/>
            </w:pPr>
          </w:p>
        </w:tc>
      </w:tr>
      <w:tr w:rsidR="00D7479A" w:rsidRPr="00DE25AD" w14:paraId="1352D1AB" w14:textId="77777777" w:rsidTr="005F678B">
        <w:tc>
          <w:tcPr>
            <w:tcW w:w="1517" w:type="dxa"/>
            <w:tcMar>
              <w:left w:w="57" w:type="dxa"/>
            </w:tcMar>
          </w:tcPr>
          <w:p w14:paraId="56ADF9A3" w14:textId="77777777" w:rsidR="00D7479A" w:rsidRDefault="00D7479A" w:rsidP="005F678B">
            <w:pPr>
              <w:pStyle w:val="ACCESSTableHeaderRow"/>
            </w:pPr>
            <w:r w:rsidRPr="00DE25AD">
              <w:t>Recency</w:t>
            </w:r>
          </w:p>
        </w:tc>
        <w:tc>
          <w:tcPr>
            <w:tcW w:w="1068" w:type="dxa"/>
            <w:shd w:val="clear" w:color="auto" w:fill="auto"/>
            <w:tcMar>
              <w:left w:w="57" w:type="dxa"/>
            </w:tcMar>
            <w:vAlign w:val="center"/>
          </w:tcPr>
          <w:p w14:paraId="6B4ECF29" w14:textId="77777777" w:rsidR="00D7479A" w:rsidRPr="00DE25AD" w:rsidRDefault="00D7479A" w:rsidP="005F678B">
            <w:pPr>
              <w:pStyle w:val="ASSAD2017ACCESSBody1"/>
            </w:pPr>
            <w:r w:rsidRPr="005C5B03">
              <w:rPr>
                <w:b/>
                <w:bCs w:val="0"/>
              </w:rPr>
              <w:t>Sex</w:t>
            </w:r>
          </w:p>
        </w:tc>
        <w:tc>
          <w:tcPr>
            <w:tcW w:w="878" w:type="dxa"/>
            <w:shd w:val="clear" w:color="auto" w:fill="auto"/>
          </w:tcPr>
          <w:p w14:paraId="496E35C8" w14:textId="77777777" w:rsidR="00D7479A" w:rsidRPr="00DE25AD" w:rsidRDefault="00D7479A" w:rsidP="005F678B">
            <w:pPr>
              <w:pStyle w:val="ASSADACCESStablecentre"/>
            </w:pPr>
          </w:p>
        </w:tc>
        <w:tc>
          <w:tcPr>
            <w:tcW w:w="879" w:type="dxa"/>
            <w:shd w:val="clear" w:color="auto" w:fill="auto"/>
          </w:tcPr>
          <w:p w14:paraId="24120410" w14:textId="77777777" w:rsidR="00D7479A" w:rsidRPr="00DE25AD" w:rsidRDefault="00D7479A" w:rsidP="005F678B">
            <w:pPr>
              <w:pStyle w:val="ASSADACCESStablecentre"/>
            </w:pPr>
          </w:p>
        </w:tc>
        <w:tc>
          <w:tcPr>
            <w:tcW w:w="879" w:type="dxa"/>
            <w:shd w:val="clear" w:color="auto" w:fill="auto"/>
          </w:tcPr>
          <w:p w14:paraId="62329B73" w14:textId="77777777" w:rsidR="00D7479A" w:rsidRPr="00DE25AD" w:rsidRDefault="00D7479A" w:rsidP="005F678B">
            <w:pPr>
              <w:pStyle w:val="ASSADACCESStablecentre"/>
            </w:pPr>
          </w:p>
        </w:tc>
        <w:tc>
          <w:tcPr>
            <w:tcW w:w="879" w:type="dxa"/>
            <w:shd w:val="clear" w:color="auto" w:fill="auto"/>
          </w:tcPr>
          <w:p w14:paraId="4A82691D" w14:textId="77777777" w:rsidR="00D7479A" w:rsidRPr="00DE25AD" w:rsidRDefault="00D7479A" w:rsidP="005F678B">
            <w:pPr>
              <w:pStyle w:val="ASSADACCESStablecentre"/>
            </w:pPr>
          </w:p>
        </w:tc>
        <w:tc>
          <w:tcPr>
            <w:tcW w:w="879" w:type="dxa"/>
            <w:shd w:val="clear" w:color="auto" w:fill="auto"/>
          </w:tcPr>
          <w:p w14:paraId="08074B51" w14:textId="77777777" w:rsidR="00D7479A" w:rsidRPr="00DE25AD" w:rsidRDefault="00D7479A" w:rsidP="005F678B">
            <w:pPr>
              <w:pStyle w:val="ASSADACCESStablecentre"/>
            </w:pPr>
          </w:p>
        </w:tc>
        <w:tc>
          <w:tcPr>
            <w:tcW w:w="879" w:type="dxa"/>
            <w:shd w:val="clear" w:color="auto" w:fill="auto"/>
          </w:tcPr>
          <w:p w14:paraId="1AE1045F" w14:textId="77777777" w:rsidR="00D7479A" w:rsidRPr="00DE25AD" w:rsidRDefault="00D7479A" w:rsidP="005F678B">
            <w:pPr>
              <w:pStyle w:val="ASSADACCESStablecentre"/>
            </w:pPr>
          </w:p>
        </w:tc>
        <w:tc>
          <w:tcPr>
            <w:tcW w:w="879" w:type="dxa"/>
            <w:shd w:val="clear" w:color="auto" w:fill="auto"/>
          </w:tcPr>
          <w:p w14:paraId="45716EDA" w14:textId="77777777" w:rsidR="00D7479A" w:rsidRPr="00DE25AD" w:rsidRDefault="00D7479A" w:rsidP="005F678B">
            <w:pPr>
              <w:pStyle w:val="ASSADACCESStablecentre"/>
            </w:pPr>
          </w:p>
        </w:tc>
        <w:tc>
          <w:tcPr>
            <w:tcW w:w="879" w:type="dxa"/>
            <w:shd w:val="clear" w:color="auto" w:fill="auto"/>
          </w:tcPr>
          <w:p w14:paraId="2BB67FD5" w14:textId="77777777" w:rsidR="00D7479A" w:rsidRPr="00DE25AD" w:rsidRDefault="00D7479A" w:rsidP="005F678B">
            <w:pPr>
              <w:pStyle w:val="ASSADACCESStablecentre"/>
            </w:pPr>
          </w:p>
        </w:tc>
      </w:tr>
      <w:tr w:rsidR="009A7EC3" w:rsidRPr="00DE25AD" w14:paraId="5CE77F26" w14:textId="77777777" w:rsidTr="005F678B">
        <w:tc>
          <w:tcPr>
            <w:tcW w:w="1517" w:type="dxa"/>
            <w:tcMar>
              <w:left w:w="57" w:type="dxa"/>
            </w:tcMar>
          </w:tcPr>
          <w:p w14:paraId="6B4244F1"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685BB7C0" w14:textId="77777777" w:rsidR="009A7EC3" w:rsidRPr="00DE25AD" w:rsidRDefault="009A7EC3" w:rsidP="009A7EC3">
            <w:pPr>
              <w:pStyle w:val="ASSAD2017ACCESSBody1"/>
            </w:pPr>
            <w:r w:rsidRPr="00DE25AD">
              <w:t>Male</w:t>
            </w:r>
          </w:p>
        </w:tc>
        <w:tc>
          <w:tcPr>
            <w:tcW w:w="878" w:type="dxa"/>
            <w:shd w:val="clear" w:color="auto" w:fill="auto"/>
          </w:tcPr>
          <w:p w14:paraId="21A537AA" w14:textId="013533D0" w:rsidR="009A7EC3" w:rsidRPr="00DE25AD" w:rsidRDefault="009A7EC3" w:rsidP="009A7EC3">
            <w:pPr>
              <w:pStyle w:val="ASSADACCESStablecentre"/>
            </w:pPr>
            <w:r>
              <w:rPr>
                <w:bCs w:val="0"/>
                <w:color w:val="000000"/>
              </w:rPr>
              <w:t>12*</w:t>
            </w:r>
          </w:p>
        </w:tc>
        <w:tc>
          <w:tcPr>
            <w:tcW w:w="879" w:type="dxa"/>
            <w:shd w:val="clear" w:color="auto" w:fill="auto"/>
          </w:tcPr>
          <w:p w14:paraId="5A553259" w14:textId="711173AC" w:rsidR="009A7EC3" w:rsidRPr="00DE25AD" w:rsidRDefault="009A7EC3" w:rsidP="009A7EC3">
            <w:pPr>
              <w:pStyle w:val="ASSADACCESStablecentre"/>
            </w:pPr>
            <w:r>
              <w:rPr>
                <w:bCs w:val="0"/>
                <w:color w:val="000000"/>
              </w:rPr>
              <w:t>11*</w:t>
            </w:r>
          </w:p>
        </w:tc>
        <w:tc>
          <w:tcPr>
            <w:tcW w:w="879" w:type="dxa"/>
            <w:shd w:val="clear" w:color="auto" w:fill="auto"/>
          </w:tcPr>
          <w:p w14:paraId="11796603" w14:textId="458F87C5" w:rsidR="009A7EC3" w:rsidRPr="00DE25AD" w:rsidRDefault="009A7EC3" w:rsidP="009A7EC3">
            <w:pPr>
              <w:pStyle w:val="ASSADACCESStablecentre"/>
            </w:pPr>
            <w:r>
              <w:rPr>
                <w:bCs w:val="0"/>
                <w:color w:val="000000"/>
              </w:rPr>
              <w:t>10*^</w:t>
            </w:r>
          </w:p>
        </w:tc>
        <w:tc>
          <w:tcPr>
            <w:tcW w:w="879" w:type="dxa"/>
            <w:shd w:val="clear" w:color="auto" w:fill="auto"/>
          </w:tcPr>
          <w:p w14:paraId="794B4738" w14:textId="2E58605E" w:rsidR="009A7EC3" w:rsidRPr="00DE25AD" w:rsidRDefault="009A7EC3" w:rsidP="009A7EC3">
            <w:pPr>
              <w:pStyle w:val="ASSADACCESStablecentre"/>
            </w:pPr>
            <w:r>
              <w:rPr>
                <w:bCs w:val="0"/>
                <w:color w:val="000000"/>
              </w:rPr>
              <w:t>8*^</w:t>
            </w:r>
          </w:p>
        </w:tc>
        <w:tc>
          <w:tcPr>
            <w:tcW w:w="879" w:type="dxa"/>
            <w:shd w:val="clear" w:color="auto" w:fill="auto"/>
          </w:tcPr>
          <w:p w14:paraId="57F83025" w14:textId="0F75BAC9" w:rsidR="009A7EC3" w:rsidRPr="00DE25AD" w:rsidRDefault="009A7EC3" w:rsidP="009A7EC3">
            <w:pPr>
              <w:pStyle w:val="ASSADACCESStablecentre"/>
            </w:pPr>
            <w:r>
              <w:rPr>
                <w:bCs w:val="0"/>
                <w:color w:val="000000"/>
              </w:rPr>
              <w:t>6^</w:t>
            </w:r>
          </w:p>
        </w:tc>
        <w:tc>
          <w:tcPr>
            <w:tcW w:w="879" w:type="dxa"/>
            <w:shd w:val="clear" w:color="auto" w:fill="auto"/>
          </w:tcPr>
          <w:p w14:paraId="675BDE92" w14:textId="328B732F" w:rsidR="009A7EC3" w:rsidRPr="00DE25AD" w:rsidRDefault="009A7EC3" w:rsidP="009A7EC3">
            <w:pPr>
              <w:pStyle w:val="ASSADACCESStablecentre"/>
            </w:pPr>
            <w:r>
              <w:rPr>
                <w:bCs w:val="0"/>
                <w:color w:val="000000"/>
              </w:rPr>
              <w:t>6^</w:t>
            </w:r>
          </w:p>
        </w:tc>
        <w:tc>
          <w:tcPr>
            <w:tcW w:w="879" w:type="dxa"/>
            <w:shd w:val="clear" w:color="auto" w:fill="auto"/>
          </w:tcPr>
          <w:p w14:paraId="4A766CCB" w14:textId="2ACE9476" w:rsidR="009A7EC3" w:rsidRPr="00DE25AD" w:rsidRDefault="009A7EC3" w:rsidP="009A7EC3">
            <w:pPr>
              <w:pStyle w:val="ASSADACCESStablecentre"/>
            </w:pPr>
            <w:r>
              <w:rPr>
                <w:bCs w:val="0"/>
                <w:color w:val="000000"/>
              </w:rPr>
              <w:t>4^</w:t>
            </w:r>
          </w:p>
        </w:tc>
        <w:tc>
          <w:tcPr>
            <w:tcW w:w="879" w:type="dxa"/>
            <w:shd w:val="clear" w:color="auto" w:fill="auto"/>
          </w:tcPr>
          <w:p w14:paraId="3C3874D9" w14:textId="52224A28" w:rsidR="009A7EC3" w:rsidRPr="00DE25AD" w:rsidRDefault="009A7EC3" w:rsidP="009A7EC3">
            <w:pPr>
              <w:pStyle w:val="ASSADACCESStablecentre"/>
            </w:pPr>
            <w:r>
              <w:rPr>
                <w:bCs w:val="0"/>
                <w:color w:val="000000"/>
              </w:rPr>
              <w:t>5^</w:t>
            </w:r>
          </w:p>
        </w:tc>
      </w:tr>
      <w:tr w:rsidR="009A7EC3" w:rsidRPr="00DE25AD" w14:paraId="7A65EC2A" w14:textId="77777777" w:rsidTr="005F678B">
        <w:tc>
          <w:tcPr>
            <w:tcW w:w="1517" w:type="dxa"/>
            <w:tcMar>
              <w:left w:w="57" w:type="dxa"/>
            </w:tcMar>
          </w:tcPr>
          <w:p w14:paraId="3805B83C" w14:textId="77777777" w:rsidR="009A7EC3" w:rsidRPr="00DE25AD" w:rsidRDefault="009A7EC3" w:rsidP="009A7EC3">
            <w:pPr>
              <w:pStyle w:val="ACCESSTableHeaderRow"/>
            </w:pPr>
          </w:p>
        </w:tc>
        <w:tc>
          <w:tcPr>
            <w:tcW w:w="1068" w:type="dxa"/>
            <w:shd w:val="clear" w:color="auto" w:fill="auto"/>
            <w:tcMar>
              <w:left w:w="57" w:type="dxa"/>
            </w:tcMar>
            <w:vAlign w:val="bottom"/>
          </w:tcPr>
          <w:p w14:paraId="4E79B10F" w14:textId="77777777" w:rsidR="009A7EC3" w:rsidRPr="00DE25AD" w:rsidRDefault="009A7EC3" w:rsidP="009A7EC3">
            <w:pPr>
              <w:pStyle w:val="ASSAD2017ACCESSBody1"/>
            </w:pPr>
            <w:r w:rsidRPr="00DE25AD">
              <w:t>Female</w:t>
            </w:r>
          </w:p>
        </w:tc>
        <w:tc>
          <w:tcPr>
            <w:tcW w:w="878" w:type="dxa"/>
            <w:shd w:val="clear" w:color="auto" w:fill="auto"/>
          </w:tcPr>
          <w:p w14:paraId="2D8A6F6E" w14:textId="0883D1D4" w:rsidR="009A7EC3" w:rsidRPr="00DE25AD" w:rsidRDefault="009A7EC3" w:rsidP="009A7EC3">
            <w:pPr>
              <w:pStyle w:val="ASSADACCESStablecentre"/>
            </w:pPr>
            <w:r>
              <w:rPr>
                <w:bCs w:val="0"/>
                <w:color w:val="000000"/>
              </w:rPr>
              <w:t>9*</w:t>
            </w:r>
          </w:p>
        </w:tc>
        <w:tc>
          <w:tcPr>
            <w:tcW w:w="879" w:type="dxa"/>
            <w:shd w:val="clear" w:color="auto" w:fill="auto"/>
          </w:tcPr>
          <w:p w14:paraId="32E1A6C7" w14:textId="441557B4" w:rsidR="009A7EC3" w:rsidRPr="00DE25AD" w:rsidRDefault="009A7EC3" w:rsidP="009A7EC3">
            <w:pPr>
              <w:pStyle w:val="ASSADACCESStablecentre"/>
            </w:pPr>
            <w:r>
              <w:rPr>
                <w:bCs w:val="0"/>
                <w:color w:val="000000"/>
              </w:rPr>
              <w:t>10*</w:t>
            </w:r>
          </w:p>
        </w:tc>
        <w:tc>
          <w:tcPr>
            <w:tcW w:w="879" w:type="dxa"/>
            <w:shd w:val="clear" w:color="auto" w:fill="auto"/>
          </w:tcPr>
          <w:p w14:paraId="15C7F5A4" w14:textId="01D27C3F" w:rsidR="009A7EC3" w:rsidRPr="00DE25AD" w:rsidRDefault="009A7EC3" w:rsidP="009A7EC3">
            <w:pPr>
              <w:pStyle w:val="ASSADACCESStablecentre"/>
            </w:pPr>
            <w:r>
              <w:rPr>
                <w:bCs w:val="0"/>
                <w:color w:val="000000"/>
              </w:rPr>
              <w:t>8*</w:t>
            </w:r>
          </w:p>
        </w:tc>
        <w:tc>
          <w:tcPr>
            <w:tcW w:w="879" w:type="dxa"/>
            <w:shd w:val="clear" w:color="auto" w:fill="auto"/>
          </w:tcPr>
          <w:p w14:paraId="332743C9" w14:textId="02F526ED" w:rsidR="009A7EC3" w:rsidRPr="00DE25AD" w:rsidRDefault="009A7EC3" w:rsidP="009A7EC3">
            <w:pPr>
              <w:pStyle w:val="ASSADACCESStablecentre"/>
            </w:pPr>
            <w:r>
              <w:rPr>
                <w:bCs w:val="0"/>
                <w:color w:val="000000"/>
              </w:rPr>
              <w:t>7*^</w:t>
            </w:r>
          </w:p>
        </w:tc>
        <w:tc>
          <w:tcPr>
            <w:tcW w:w="879" w:type="dxa"/>
            <w:shd w:val="clear" w:color="auto" w:fill="auto"/>
          </w:tcPr>
          <w:p w14:paraId="04603A22" w14:textId="11E301C2" w:rsidR="009A7EC3" w:rsidRPr="00DE25AD" w:rsidRDefault="009A7EC3" w:rsidP="009A7EC3">
            <w:pPr>
              <w:pStyle w:val="ASSADACCESStablecentre"/>
            </w:pPr>
            <w:r>
              <w:rPr>
                <w:bCs w:val="0"/>
                <w:color w:val="000000"/>
              </w:rPr>
              <w:t>5*^</w:t>
            </w:r>
          </w:p>
        </w:tc>
        <w:tc>
          <w:tcPr>
            <w:tcW w:w="879" w:type="dxa"/>
            <w:shd w:val="clear" w:color="auto" w:fill="auto"/>
          </w:tcPr>
          <w:p w14:paraId="7AA2E218" w14:textId="4CC727AB" w:rsidR="009A7EC3" w:rsidRPr="00DE25AD" w:rsidRDefault="009A7EC3" w:rsidP="009A7EC3">
            <w:pPr>
              <w:pStyle w:val="ASSADACCESStablecentre"/>
            </w:pPr>
            <w:r>
              <w:rPr>
                <w:bCs w:val="0"/>
                <w:color w:val="000000"/>
              </w:rPr>
              <w:t>5^</w:t>
            </w:r>
          </w:p>
        </w:tc>
        <w:tc>
          <w:tcPr>
            <w:tcW w:w="879" w:type="dxa"/>
            <w:shd w:val="clear" w:color="auto" w:fill="auto"/>
          </w:tcPr>
          <w:p w14:paraId="55C8B851" w14:textId="0F49A62E" w:rsidR="009A7EC3" w:rsidRPr="00DE25AD" w:rsidRDefault="009A7EC3" w:rsidP="009A7EC3">
            <w:pPr>
              <w:pStyle w:val="ASSADACCESStablecentre"/>
            </w:pPr>
            <w:r>
              <w:rPr>
                <w:bCs w:val="0"/>
                <w:color w:val="000000"/>
              </w:rPr>
              <w:t>3^</w:t>
            </w:r>
          </w:p>
        </w:tc>
        <w:tc>
          <w:tcPr>
            <w:tcW w:w="879" w:type="dxa"/>
            <w:shd w:val="clear" w:color="auto" w:fill="auto"/>
          </w:tcPr>
          <w:p w14:paraId="1053D02C" w14:textId="1778F8EC" w:rsidR="009A7EC3" w:rsidRPr="00DE25AD" w:rsidRDefault="009A7EC3" w:rsidP="009A7EC3">
            <w:pPr>
              <w:pStyle w:val="ASSADACCESStablecentre"/>
            </w:pPr>
            <w:r>
              <w:rPr>
                <w:bCs w:val="0"/>
                <w:color w:val="000000"/>
              </w:rPr>
              <w:t>4^</w:t>
            </w:r>
          </w:p>
        </w:tc>
      </w:tr>
      <w:tr w:rsidR="009A7EC3" w:rsidRPr="00DE25AD" w14:paraId="177BD573" w14:textId="77777777" w:rsidTr="005F678B">
        <w:tc>
          <w:tcPr>
            <w:tcW w:w="1517" w:type="dxa"/>
            <w:tcMar>
              <w:left w:w="57" w:type="dxa"/>
            </w:tcMar>
          </w:tcPr>
          <w:p w14:paraId="332212B3" w14:textId="77777777" w:rsidR="009A7EC3" w:rsidRPr="00DE25AD" w:rsidRDefault="009A7EC3" w:rsidP="009A7EC3">
            <w:pPr>
              <w:pStyle w:val="ACCESSTableHeaderRow"/>
            </w:pPr>
          </w:p>
        </w:tc>
        <w:tc>
          <w:tcPr>
            <w:tcW w:w="1068" w:type="dxa"/>
            <w:shd w:val="clear" w:color="auto" w:fill="auto"/>
            <w:tcMar>
              <w:left w:w="57" w:type="dxa"/>
            </w:tcMar>
            <w:vAlign w:val="bottom"/>
          </w:tcPr>
          <w:p w14:paraId="3D343837" w14:textId="77777777" w:rsidR="009A7EC3" w:rsidRPr="00DE25AD" w:rsidRDefault="009A7EC3" w:rsidP="009A7EC3">
            <w:pPr>
              <w:pStyle w:val="ASSAD2017ACCESSBody1"/>
            </w:pPr>
            <w:r w:rsidRPr="00DE25AD">
              <w:t>Total</w:t>
            </w:r>
          </w:p>
        </w:tc>
        <w:tc>
          <w:tcPr>
            <w:tcW w:w="878" w:type="dxa"/>
            <w:shd w:val="clear" w:color="auto" w:fill="auto"/>
          </w:tcPr>
          <w:p w14:paraId="175D71FF" w14:textId="16F230C8" w:rsidR="009A7EC3" w:rsidRPr="00DE25AD" w:rsidRDefault="009A7EC3" w:rsidP="009A7EC3">
            <w:pPr>
              <w:pStyle w:val="ASSADACCESStablecentre"/>
            </w:pPr>
            <w:r>
              <w:rPr>
                <w:bCs w:val="0"/>
                <w:color w:val="000000"/>
              </w:rPr>
              <w:t>10*</w:t>
            </w:r>
          </w:p>
        </w:tc>
        <w:tc>
          <w:tcPr>
            <w:tcW w:w="879" w:type="dxa"/>
            <w:shd w:val="clear" w:color="auto" w:fill="auto"/>
          </w:tcPr>
          <w:p w14:paraId="76EAF935" w14:textId="6446213A" w:rsidR="009A7EC3" w:rsidRPr="00DE25AD" w:rsidRDefault="009A7EC3" w:rsidP="009A7EC3">
            <w:pPr>
              <w:pStyle w:val="ASSADACCESStablecentre"/>
            </w:pPr>
            <w:r>
              <w:rPr>
                <w:bCs w:val="0"/>
                <w:color w:val="000000"/>
              </w:rPr>
              <w:t>11*</w:t>
            </w:r>
          </w:p>
        </w:tc>
        <w:tc>
          <w:tcPr>
            <w:tcW w:w="879" w:type="dxa"/>
            <w:shd w:val="clear" w:color="auto" w:fill="auto"/>
          </w:tcPr>
          <w:p w14:paraId="2F676196" w14:textId="71758D3A" w:rsidR="009A7EC3" w:rsidRPr="00DE25AD" w:rsidRDefault="009A7EC3" w:rsidP="009A7EC3">
            <w:pPr>
              <w:pStyle w:val="ASSADACCESStablecentre"/>
            </w:pPr>
            <w:r>
              <w:rPr>
                <w:bCs w:val="0"/>
                <w:color w:val="000000"/>
              </w:rPr>
              <w:t>9*^</w:t>
            </w:r>
          </w:p>
        </w:tc>
        <w:tc>
          <w:tcPr>
            <w:tcW w:w="879" w:type="dxa"/>
            <w:shd w:val="clear" w:color="auto" w:fill="auto"/>
          </w:tcPr>
          <w:p w14:paraId="2C1790BC" w14:textId="45B7DE22" w:rsidR="009A7EC3" w:rsidRPr="00DE25AD" w:rsidRDefault="009A7EC3" w:rsidP="009A7EC3">
            <w:pPr>
              <w:pStyle w:val="ASSADACCESStablecentre"/>
            </w:pPr>
            <w:r>
              <w:rPr>
                <w:bCs w:val="0"/>
                <w:color w:val="000000"/>
              </w:rPr>
              <w:t>7*^</w:t>
            </w:r>
          </w:p>
        </w:tc>
        <w:tc>
          <w:tcPr>
            <w:tcW w:w="879" w:type="dxa"/>
            <w:shd w:val="clear" w:color="auto" w:fill="auto"/>
          </w:tcPr>
          <w:p w14:paraId="1F183C96" w14:textId="39D1A621" w:rsidR="009A7EC3" w:rsidRPr="00DE25AD" w:rsidRDefault="009A7EC3" w:rsidP="009A7EC3">
            <w:pPr>
              <w:pStyle w:val="ASSADACCESStablecentre"/>
            </w:pPr>
            <w:r>
              <w:rPr>
                <w:bCs w:val="0"/>
                <w:color w:val="000000"/>
              </w:rPr>
              <w:t>5*^</w:t>
            </w:r>
          </w:p>
        </w:tc>
        <w:tc>
          <w:tcPr>
            <w:tcW w:w="879" w:type="dxa"/>
            <w:shd w:val="clear" w:color="auto" w:fill="auto"/>
          </w:tcPr>
          <w:p w14:paraId="7FD91A7C" w14:textId="3ADF096B" w:rsidR="009A7EC3" w:rsidRPr="00DE25AD" w:rsidRDefault="009A7EC3" w:rsidP="009A7EC3">
            <w:pPr>
              <w:pStyle w:val="ASSADACCESStablecentre"/>
            </w:pPr>
            <w:r>
              <w:rPr>
                <w:bCs w:val="0"/>
                <w:color w:val="000000"/>
              </w:rPr>
              <w:t>5^</w:t>
            </w:r>
          </w:p>
        </w:tc>
        <w:tc>
          <w:tcPr>
            <w:tcW w:w="879" w:type="dxa"/>
            <w:shd w:val="clear" w:color="auto" w:fill="auto"/>
          </w:tcPr>
          <w:p w14:paraId="46D9F8A3" w14:textId="19792803" w:rsidR="009A7EC3" w:rsidRPr="00DE25AD" w:rsidRDefault="009A7EC3" w:rsidP="009A7EC3">
            <w:pPr>
              <w:pStyle w:val="ASSADACCESStablecentre"/>
            </w:pPr>
            <w:r>
              <w:rPr>
                <w:bCs w:val="0"/>
                <w:color w:val="000000"/>
              </w:rPr>
              <w:t>4^</w:t>
            </w:r>
          </w:p>
        </w:tc>
        <w:tc>
          <w:tcPr>
            <w:tcW w:w="879" w:type="dxa"/>
            <w:shd w:val="clear" w:color="auto" w:fill="auto"/>
          </w:tcPr>
          <w:p w14:paraId="33246D24" w14:textId="5800C245" w:rsidR="009A7EC3" w:rsidRPr="00DE25AD" w:rsidRDefault="009A7EC3" w:rsidP="009A7EC3">
            <w:pPr>
              <w:pStyle w:val="ASSADACCESStablecentre"/>
            </w:pPr>
            <w:r>
              <w:rPr>
                <w:bCs w:val="0"/>
                <w:color w:val="000000"/>
              </w:rPr>
              <w:t>4^</w:t>
            </w:r>
          </w:p>
        </w:tc>
      </w:tr>
      <w:tr w:rsidR="009A7EC3" w:rsidRPr="00DE25AD" w14:paraId="22BF0DD9" w14:textId="77777777" w:rsidTr="005F678B">
        <w:tc>
          <w:tcPr>
            <w:tcW w:w="1517" w:type="dxa"/>
            <w:tcMar>
              <w:left w:w="57" w:type="dxa"/>
            </w:tcMar>
          </w:tcPr>
          <w:p w14:paraId="04B84851"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2CBAECFF" w14:textId="77777777" w:rsidR="009A7EC3" w:rsidRPr="00DE25AD" w:rsidRDefault="009A7EC3" w:rsidP="009A7EC3">
            <w:pPr>
              <w:pStyle w:val="ASSAD2017ACCESSBody1"/>
            </w:pPr>
            <w:r w:rsidRPr="00DE25AD">
              <w:t>Male</w:t>
            </w:r>
          </w:p>
        </w:tc>
        <w:tc>
          <w:tcPr>
            <w:tcW w:w="878" w:type="dxa"/>
            <w:shd w:val="clear" w:color="auto" w:fill="auto"/>
          </w:tcPr>
          <w:p w14:paraId="1A22B480" w14:textId="3029C056" w:rsidR="009A7EC3" w:rsidRPr="00DE25AD" w:rsidRDefault="009A7EC3" w:rsidP="009A7EC3">
            <w:pPr>
              <w:pStyle w:val="ASSADACCESStablecentre"/>
            </w:pPr>
            <w:r>
              <w:rPr>
                <w:bCs w:val="0"/>
                <w:color w:val="000000"/>
              </w:rPr>
              <w:t>5*</w:t>
            </w:r>
          </w:p>
        </w:tc>
        <w:tc>
          <w:tcPr>
            <w:tcW w:w="879" w:type="dxa"/>
            <w:shd w:val="clear" w:color="auto" w:fill="auto"/>
          </w:tcPr>
          <w:p w14:paraId="40735F60" w14:textId="4CC472F7" w:rsidR="009A7EC3" w:rsidRPr="00DE25AD" w:rsidRDefault="009A7EC3" w:rsidP="009A7EC3">
            <w:pPr>
              <w:pStyle w:val="ASSADACCESStablecentre"/>
            </w:pPr>
            <w:r>
              <w:rPr>
                <w:bCs w:val="0"/>
                <w:color w:val="000000"/>
              </w:rPr>
              <w:t>5*</w:t>
            </w:r>
          </w:p>
        </w:tc>
        <w:tc>
          <w:tcPr>
            <w:tcW w:w="879" w:type="dxa"/>
            <w:shd w:val="clear" w:color="auto" w:fill="auto"/>
          </w:tcPr>
          <w:p w14:paraId="251ECDA7" w14:textId="277B51C3" w:rsidR="009A7EC3" w:rsidRPr="00DE25AD" w:rsidRDefault="009A7EC3" w:rsidP="009A7EC3">
            <w:pPr>
              <w:pStyle w:val="ASSADACCESStablecentre"/>
            </w:pPr>
            <w:r>
              <w:rPr>
                <w:bCs w:val="0"/>
                <w:color w:val="000000"/>
              </w:rPr>
              <w:t>4*</w:t>
            </w:r>
          </w:p>
        </w:tc>
        <w:tc>
          <w:tcPr>
            <w:tcW w:w="879" w:type="dxa"/>
            <w:shd w:val="clear" w:color="auto" w:fill="auto"/>
          </w:tcPr>
          <w:p w14:paraId="29C44919" w14:textId="40FC6C1F" w:rsidR="009A7EC3" w:rsidRPr="00DE25AD" w:rsidRDefault="009A7EC3" w:rsidP="009A7EC3">
            <w:pPr>
              <w:pStyle w:val="ASSADACCESStablecentre"/>
            </w:pPr>
            <w:r>
              <w:rPr>
                <w:bCs w:val="0"/>
                <w:color w:val="000000"/>
              </w:rPr>
              <w:t>4*</w:t>
            </w:r>
          </w:p>
        </w:tc>
        <w:tc>
          <w:tcPr>
            <w:tcW w:w="879" w:type="dxa"/>
            <w:shd w:val="clear" w:color="auto" w:fill="auto"/>
          </w:tcPr>
          <w:p w14:paraId="6A351E38" w14:textId="2ECCC9A3" w:rsidR="009A7EC3" w:rsidRPr="00DE25AD" w:rsidRDefault="009A7EC3" w:rsidP="009A7EC3">
            <w:pPr>
              <w:pStyle w:val="ASSADACCESStablecentre"/>
            </w:pPr>
            <w:r>
              <w:rPr>
                <w:bCs w:val="0"/>
                <w:color w:val="000000"/>
              </w:rPr>
              <w:t>3^</w:t>
            </w:r>
          </w:p>
        </w:tc>
        <w:tc>
          <w:tcPr>
            <w:tcW w:w="879" w:type="dxa"/>
            <w:shd w:val="clear" w:color="auto" w:fill="auto"/>
          </w:tcPr>
          <w:p w14:paraId="12D537E4" w14:textId="01604D08" w:rsidR="009A7EC3" w:rsidRPr="00DE25AD" w:rsidRDefault="009A7EC3" w:rsidP="009A7EC3">
            <w:pPr>
              <w:pStyle w:val="ASSADACCESStablecentre"/>
            </w:pPr>
            <w:r>
              <w:rPr>
                <w:bCs w:val="0"/>
                <w:color w:val="000000"/>
              </w:rPr>
              <w:t>3^</w:t>
            </w:r>
          </w:p>
        </w:tc>
        <w:tc>
          <w:tcPr>
            <w:tcW w:w="879" w:type="dxa"/>
            <w:shd w:val="clear" w:color="auto" w:fill="auto"/>
          </w:tcPr>
          <w:p w14:paraId="18CDEEBC" w14:textId="6677E513" w:rsidR="009A7EC3" w:rsidRPr="00DE25AD" w:rsidRDefault="009A7EC3" w:rsidP="009A7EC3">
            <w:pPr>
              <w:pStyle w:val="ASSADACCESStablecentre"/>
            </w:pPr>
            <w:r>
              <w:rPr>
                <w:bCs w:val="0"/>
                <w:color w:val="000000"/>
              </w:rPr>
              <w:t>2^</w:t>
            </w:r>
          </w:p>
        </w:tc>
        <w:tc>
          <w:tcPr>
            <w:tcW w:w="879" w:type="dxa"/>
            <w:shd w:val="clear" w:color="auto" w:fill="auto"/>
          </w:tcPr>
          <w:p w14:paraId="2F4C7206" w14:textId="209BFA73" w:rsidR="009A7EC3" w:rsidRPr="00DE25AD" w:rsidRDefault="009A7EC3" w:rsidP="009A7EC3">
            <w:pPr>
              <w:pStyle w:val="ASSADACCESStablecentre"/>
            </w:pPr>
            <w:r>
              <w:rPr>
                <w:bCs w:val="0"/>
                <w:color w:val="000000"/>
              </w:rPr>
              <w:t>2^</w:t>
            </w:r>
          </w:p>
        </w:tc>
      </w:tr>
      <w:tr w:rsidR="009A7EC3" w:rsidRPr="00DE25AD" w14:paraId="12A69CC9" w14:textId="77777777" w:rsidTr="005F678B">
        <w:tc>
          <w:tcPr>
            <w:tcW w:w="1517" w:type="dxa"/>
            <w:tcMar>
              <w:left w:w="57" w:type="dxa"/>
            </w:tcMar>
          </w:tcPr>
          <w:p w14:paraId="1683041E" w14:textId="77777777" w:rsidR="009A7EC3" w:rsidRPr="00DE25AD" w:rsidRDefault="009A7EC3" w:rsidP="009A7EC3">
            <w:pPr>
              <w:pStyle w:val="ACCESSTableHeaderRow"/>
            </w:pPr>
          </w:p>
        </w:tc>
        <w:tc>
          <w:tcPr>
            <w:tcW w:w="1068" w:type="dxa"/>
            <w:shd w:val="clear" w:color="auto" w:fill="auto"/>
            <w:tcMar>
              <w:left w:w="57" w:type="dxa"/>
            </w:tcMar>
            <w:vAlign w:val="bottom"/>
          </w:tcPr>
          <w:p w14:paraId="3B41B4E9" w14:textId="77777777" w:rsidR="009A7EC3" w:rsidRPr="00DE25AD" w:rsidRDefault="009A7EC3" w:rsidP="009A7EC3">
            <w:pPr>
              <w:pStyle w:val="ASSAD2017ACCESSBody1"/>
            </w:pPr>
            <w:r w:rsidRPr="00DE25AD">
              <w:t>Female</w:t>
            </w:r>
          </w:p>
        </w:tc>
        <w:tc>
          <w:tcPr>
            <w:tcW w:w="878" w:type="dxa"/>
            <w:shd w:val="clear" w:color="auto" w:fill="auto"/>
          </w:tcPr>
          <w:p w14:paraId="62C62975" w14:textId="1AE3C5FA" w:rsidR="009A7EC3" w:rsidRPr="00DE25AD" w:rsidRDefault="009A7EC3" w:rsidP="009A7EC3">
            <w:pPr>
              <w:pStyle w:val="ASSADACCESStablecentre"/>
            </w:pPr>
            <w:r>
              <w:rPr>
                <w:bCs w:val="0"/>
                <w:color w:val="000000"/>
              </w:rPr>
              <w:t>3*</w:t>
            </w:r>
          </w:p>
        </w:tc>
        <w:tc>
          <w:tcPr>
            <w:tcW w:w="879" w:type="dxa"/>
            <w:shd w:val="clear" w:color="auto" w:fill="auto"/>
          </w:tcPr>
          <w:p w14:paraId="67314D09" w14:textId="2F2EC424" w:rsidR="009A7EC3" w:rsidRPr="00DE25AD" w:rsidRDefault="009A7EC3" w:rsidP="009A7EC3">
            <w:pPr>
              <w:pStyle w:val="ASSADACCESStablecentre"/>
            </w:pPr>
            <w:r>
              <w:rPr>
                <w:bCs w:val="0"/>
                <w:color w:val="000000"/>
              </w:rPr>
              <w:t>3*</w:t>
            </w:r>
          </w:p>
        </w:tc>
        <w:tc>
          <w:tcPr>
            <w:tcW w:w="879" w:type="dxa"/>
            <w:shd w:val="clear" w:color="auto" w:fill="auto"/>
          </w:tcPr>
          <w:p w14:paraId="696542CF" w14:textId="30275506" w:rsidR="009A7EC3" w:rsidRPr="00DE25AD" w:rsidRDefault="009A7EC3" w:rsidP="009A7EC3">
            <w:pPr>
              <w:pStyle w:val="ASSADACCESStablecentre"/>
            </w:pPr>
            <w:r>
              <w:rPr>
                <w:bCs w:val="0"/>
                <w:color w:val="000000"/>
              </w:rPr>
              <w:t>3*</w:t>
            </w:r>
          </w:p>
        </w:tc>
        <w:tc>
          <w:tcPr>
            <w:tcW w:w="879" w:type="dxa"/>
            <w:shd w:val="clear" w:color="auto" w:fill="auto"/>
          </w:tcPr>
          <w:p w14:paraId="6CC0F8A8" w14:textId="6FF586A4" w:rsidR="009A7EC3" w:rsidRPr="00DE25AD" w:rsidRDefault="009A7EC3" w:rsidP="009A7EC3">
            <w:pPr>
              <w:pStyle w:val="ASSADACCESStablecentre"/>
            </w:pPr>
            <w:r>
              <w:rPr>
                <w:bCs w:val="0"/>
                <w:color w:val="000000"/>
              </w:rPr>
              <w:t>3*</w:t>
            </w:r>
          </w:p>
        </w:tc>
        <w:tc>
          <w:tcPr>
            <w:tcW w:w="879" w:type="dxa"/>
            <w:shd w:val="clear" w:color="auto" w:fill="auto"/>
          </w:tcPr>
          <w:p w14:paraId="42102FBB" w14:textId="393B3C03" w:rsidR="009A7EC3" w:rsidRPr="00DE25AD" w:rsidRDefault="009A7EC3" w:rsidP="009A7EC3">
            <w:pPr>
              <w:pStyle w:val="ASSADACCESStablecentre"/>
            </w:pPr>
            <w:r>
              <w:rPr>
                <w:bCs w:val="0"/>
                <w:color w:val="000000"/>
              </w:rPr>
              <w:t>2^</w:t>
            </w:r>
          </w:p>
        </w:tc>
        <w:tc>
          <w:tcPr>
            <w:tcW w:w="879" w:type="dxa"/>
            <w:shd w:val="clear" w:color="auto" w:fill="auto"/>
          </w:tcPr>
          <w:p w14:paraId="0203E597" w14:textId="307A1170" w:rsidR="009A7EC3" w:rsidRPr="00DE25AD" w:rsidRDefault="009A7EC3" w:rsidP="009A7EC3">
            <w:pPr>
              <w:pStyle w:val="ASSADACCESStablecentre"/>
            </w:pPr>
            <w:r>
              <w:rPr>
                <w:bCs w:val="0"/>
                <w:color w:val="000000"/>
              </w:rPr>
              <w:t>2^</w:t>
            </w:r>
          </w:p>
        </w:tc>
        <w:tc>
          <w:tcPr>
            <w:tcW w:w="879" w:type="dxa"/>
            <w:shd w:val="clear" w:color="auto" w:fill="auto"/>
          </w:tcPr>
          <w:p w14:paraId="6A8B7E5C" w14:textId="55FBC110" w:rsidR="009A7EC3" w:rsidRPr="00DE25AD" w:rsidRDefault="009A7EC3" w:rsidP="009A7EC3">
            <w:pPr>
              <w:pStyle w:val="ASSADACCESStablecentre"/>
            </w:pPr>
            <w:r>
              <w:rPr>
                <w:bCs w:val="0"/>
                <w:color w:val="000000"/>
              </w:rPr>
              <w:t>1^</w:t>
            </w:r>
          </w:p>
        </w:tc>
        <w:tc>
          <w:tcPr>
            <w:tcW w:w="879" w:type="dxa"/>
            <w:shd w:val="clear" w:color="auto" w:fill="auto"/>
          </w:tcPr>
          <w:p w14:paraId="047B8B96" w14:textId="362A78AD" w:rsidR="009A7EC3" w:rsidRPr="00DE25AD" w:rsidRDefault="009A7EC3" w:rsidP="009A7EC3">
            <w:pPr>
              <w:pStyle w:val="ASSADACCESStablecentre"/>
            </w:pPr>
            <w:r>
              <w:rPr>
                <w:bCs w:val="0"/>
                <w:color w:val="000000"/>
              </w:rPr>
              <w:t>1^</w:t>
            </w:r>
          </w:p>
        </w:tc>
      </w:tr>
      <w:tr w:rsidR="009A7EC3" w:rsidRPr="00DE25AD" w14:paraId="65B6F608" w14:textId="77777777" w:rsidTr="005F678B">
        <w:tc>
          <w:tcPr>
            <w:tcW w:w="1517" w:type="dxa"/>
            <w:tcMar>
              <w:left w:w="57" w:type="dxa"/>
            </w:tcMar>
          </w:tcPr>
          <w:p w14:paraId="1CD993B4" w14:textId="77777777" w:rsidR="009A7EC3" w:rsidRPr="00DE25AD" w:rsidRDefault="009A7EC3" w:rsidP="009A7EC3">
            <w:pPr>
              <w:pStyle w:val="ACCESSTableHeaderRow"/>
            </w:pPr>
          </w:p>
        </w:tc>
        <w:tc>
          <w:tcPr>
            <w:tcW w:w="1068" w:type="dxa"/>
            <w:shd w:val="clear" w:color="auto" w:fill="auto"/>
            <w:tcMar>
              <w:left w:w="57" w:type="dxa"/>
            </w:tcMar>
            <w:vAlign w:val="bottom"/>
          </w:tcPr>
          <w:p w14:paraId="62041B35" w14:textId="77777777" w:rsidR="009A7EC3" w:rsidRPr="00DE25AD" w:rsidRDefault="009A7EC3" w:rsidP="009A7EC3">
            <w:pPr>
              <w:pStyle w:val="ASSAD2017ACCESSBody1"/>
            </w:pPr>
            <w:r w:rsidRPr="00DE25AD">
              <w:t>Total</w:t>
            </w:r>
          </w:p>
        </w:tc>
        <w:tc>
          <w:tcPr>
            <w:tcW w:w="878" w:type="dxa"/>
            <w:shd w:val="clear" w:color="auto" w:fill="auto"/>
          </w:tcPr>
          <w:p w14:paraId="5294B0A5" w14:textId="166453FA" w:rsidR="009A7EC3" w:rsidRPr="00DE25AD" w:rsidRDefault="009A7EC3" w:rsidP="009A7EC3">
            <w:pPr>
              <w:pStyle w:val="ASSADACCESStablecentre"/>
            </w:pPr>
            <w:r>
              <w:rPr>
                <w:bCs w:val="0"/>
                <w:color w:val="000000"/>
              </w:rPr>
              <w:t>4*</w:t>
            </w:r>
          </w:p>
        </w:tc>
        <w:tc>
          <w:tcPr>
            <w:tcW w:w="879" w:type="dxa"/>
            <w:shd w:val="clear" w:color="auto" w:fill="auto"/>
          </w:tcPr>
          <w:p w14:paraId="2D499577" w14:textId="21F64A1B" w:rsidR="009A7EC3" w:rsidRPr="00DE25AD" w:rsidRDefault="009A7EC3" w:rsidP="009A7EC3">
            <w:pPr>
              <w:pStyle w:val="ASSADACCESStablecentre"/>
            </w:pPr>
            <w:r>
              <w:rPr>
                <w:bCs w:val="0"/>
                <w:color w:val="000000"/>
              </w:rPr>
              <w:t>4*</w:t>
            </w:r>
          </w:p>
        </w:tc>
        <w:tc>
          <w:tcPr>
            <w:tcW w:w="879" w:type="dxa"/>
            <w:shd w:val="clear" w:color="auto" w:fill="auto"/>
          </w:tcPr>
          <w:p w14:paraId="7AF7C2CE" w14:textId="0085AEB3" w:rsidR="009A7EC3" w:rsidRPr="00DE25AD" w:rsidRDefault="009A7EC3" w:rsidP="009A7EC3">
            <w:pPr>
              <w:pStyle w:val="ASSADACCESStablecentre"/>
            </w:pPr>
            <w:r>
              <w:rPr>
                <w:bCs w:val="0"/>
                <w:color w:val="000000"/>
              </w:rPr>
              <w:t>4*</w:t>
            </w:r>
          </w:p>
        </w:tc>
        <w:tc>
          <w:tcPr>
            <w:tcW w:w="879" w:type="dxa"/>
            <w:shd w:val="clear" w:color="auto" w:fill="auto"/>
          </w:tcPr>
          <w:p w14:paraId="0DF94B1B" w14:textId="238BC80B" w:rsidR="009A7EC3" w:rsidRPr="00DE25AD" w:rsidRDefault="009A7EC3" w:rsidP="009A7EC3">
            <w:pPr>
              <w:pStyle w:val="ASSADACCESStablecentre"/>
            </w:pPr>
            <w:r>
              <w:rPr>
                <w:bCs w:val="0"/>
                <w:color w:val="000000"/>
              </w:rPr>
              <w:t>3*</w:t>
            </w:r>
          </w:p>
        </w:tc>
        <w:tc>
          <w:tcPr>
            <w:tcW w:w="879" w:type="dxa"/>
            <w:shd w:val="clear" w:color="auto" w:fill="auto"/>
          </w:tcPr>
          <w:p w14:paraId="2FC2FE6F" w14:textId="44861E9F" w:rsidR="009A7EC3" w:rsidRPr="00DE25AD" w:rsidRDefault="009A7EC3" w:rsidP="009A7EC3">
            <w:pPr>
              <w:pStyle w:val="ASSADACCESStablecentre"/>
            </w:pPr>
            <w:r>
              <w:rPr>
                <w:bCs w:val="0"/>
                <w:color w:val="000000"/>
              </w:rPr>
              <w:t>2^</w:t>
            </w:r>
          </w:p>
        </w:tc>
        <w:tc>
          <w:tcPr>
            <w:tcW w:w="879" w:type="dxa"/>
            <w:shd w:val="clear" w:color="auto" w:fill="auto"/>
          </w:tcPr>
          <w:p w14:paraId="66A7C7EE" w14:textId="685189D2" w:rsidR="009A7EC3" w:rsidRPr="00DE25AD" w:rsidRDefault="009A7EC3" w:rsidP="009A7EC3">
            <w:pPr>
              <w:pStyle w:val="ASSADACCESStablecentre"/>
            </w:pPr>
            <w:r>
              <w:rPr>
                <w:bCs w:val="0"/>
                <w:color w:val="000000"/>
              </w:rPr>
              <w:t>2^</w:t>
            </w:r>
          </w:p>
        </w:tc>
        <w:tc>
          <w:tcPr>
            <w:tcW w:w="879" w:type="dxa"/>
            <w:shd w:val="clear" w:color="auto" w:fill="auto"/>
          </w:tcPr>
          <w:p w14:paraId="4DADECF9" w14:textId="1B212D89" w:rsidR="009A7EC3" w:rsidRPr="00DE25AD" w:rsidRDefault="009A7EC3" w:rsidP="009A7EC3">
            <w:pPr>
              <w:pStyle w:val="ASSADACCESStablecentre"/>
            </w:pPr>
            <w:r>
              <w:rPr>
                <w:bCs w:val="0"/>
                <w:color w:val="000000"/>
              </w:rPr>
              <w:t>2^</w:t>
            </w:r>
          </w:p>
        </w:tc>
        <w:tc>
          <w:tcPr>
            <w:tcW w:w="879" w:type="dxa"/>
            <w:shd w:val="clear" w:color="auto" w:fill="auto"/>
          </w:tcPr>
          <w:p w14:paraId="2468DB6F" w14:textId="62DC97FD" w:rsidR="009A7EC3" w:rsidRPr="00DE25AD" w:rsidRDefault="009A7EC3" w:rsidP="009A7EC3">
            <w:pPr>
              <w:pStyle w:val="ASSADACCESStablecentre"/>
            </w:pPr>
            <w:r>
              <w:rPr>
                <w:bCs w:val="0"/>
                <w:color w:val="000000"/>
              </w:rPr>
              <w:t>2^</w:t>
            </w:r>
          </w:p>
        </w:tc>
      </w:tr>
      <w:tr w:rsidR="009A7EC3" w:rsidRPr="00DE25AD" w14:paraId="741C64A4" w14:textId="77777777" w:rsidTr="005F678B">
        <w:tc>
          <w:tcPr>
            <w:tcW w:w="1517" w:type="dxa"/>
            <w:tcMar>
              <w:left w:w="57" w:type="dxa"/>
            </w:tcMar>
          </w:tcPr>
          <w:p w14:paraId="37098067" w14:textId="77777777" w:rsidR="009A7EC3" w:rsidRDefault="009A7EC3" w:rsidP="009A7EC3">
            <w:pPr>
              <w:pStyle w:val="ACCESSTableHeaderRow"/>
            </w:pPr>
            <w:r>
              <w:t>Aged 16-17</w:t>
            </w:r>
          </w:p>
        </w:tc>
        <w:tc>
          <w:tcPr>
            <w:tcW w:w="1068" w:type="dxa"/>
            <w:shd w:val="clear" w:color="auto" w:fill="auto"/>
            <w:tcMar>
              <w:left w:w="57" w:type="dxa"/>
            </w:tcMar>
            <w:vAlign w:val="center"/>
          </w:tcPr>
          <w:p w14:paraId="028FADB0" w14:textId="77777777" w:rsidR="009A7EC3" w:rsidRPr="00DE25AD" w:rsidRDefault="009A7EC3" w:rsidP="009A7EC3">
            <w:pPr>
              <w:pStyle w:val="ASSAD2017ACCESSBody1"/>
            </w:pPr>
          </w:p>
        </w:tc>
        <w:tc>
          <w:tcPr>
            <w:tcW w:w="878" w:type="dxa"/>
            <w:shd w:val="clear" w:color="auto" w:fill="auto"/>
            <w:vAlign w:val="bottom"/>
          </w:tcPr>
          <w:p w14:paraId="5D06EA3D" w14:textId="77777777" w:rsidR="009A7EC3" w:rsidRPr="00DE25AD" w:rsidRDefault="009A7EC3" w:rsidP="009A7EC3">
            <w:pPr>
              <w:pStyle w:val="ASSADACCESStablecentre"/>
            </w:pPr>
          </w:p>
        </w:tc>
        <w:tc>
          <w:tcPr>
            <w:tcW w:w="879" w:type="dxa"/>
            <w:shd w:val="clear" w:color="auto" w:fill="auto"/>
            <w:vAlign w:val="bottom"/>
          </w:tcPr>
          <w:p w14:paraId="6D5513EE" w14:textId="77777777" w:rsidR="009A7EC3" w:rsidRPr="00DE25AD" w:rsidRDefault="009A7EC3" w:rsidP="009A7EC3">
            <w:pPr>
              <w:pStyle w:val="ASSADACCESStablecentre"/>
            </w:pPr>
          </w:p>
        </w:tc>
        <w:tc>
          <w:tcPr>
            <w:tcW w:w="879" w:type="dxa"/>
            <w:shd w:val="clear" w:color="auto" w:fill="auto"/>
            <w:vAlign w:val="bottom"/>
          </w:tcPr>
          <w:p w14:paraId="73EA8645" w14:textId="77777777" w:rsidR="009A7EC3" w:rsidRPr="00DE25AD" w:rsidRDefault="009A7EC3" w:rsidP="009A7EC3">
            <w:pPr>
              <w:pStyle w:val="ASSADACCESStablecentre"/>
            </w:pPr>
          </w:p>
        </w:tc>
        <w:tc>
          <w:tcPr>
            <w:tcW w:w="879" w:type="dxa"/>
            <w:shd w:val="clear" w:color="auto" w:fill="auto"/>
            <w:vAlign w:val="bottom"/>
          </w:tcPr>
          <w:p w14:paraId="072E0C2A" w14:textId="77777777" w:rsidR="009A7EC3" w:rsidRPr="00DE25AD" w:rsidRDefault="009A7EC3" w:rsidP="009A7EC3">
            <w:pPr>
              <w:pStyle w:val="ASSADACCESStablecentre"/>
            </w:pPr>
          </w:p>
        </w:tc>
        <w:tc>
          <w:tcPr>
            <w:tcW w:w="879" w:type="dxa"/>
            <w:shd w:val="clear" w:color="auto" w:fill="auto"/>
            <w:vAlign w:val="bottom"/>
          </w:tcPr>
          <w:p w14:paraId="0C956DEB" w14:textId="77777777" w:rsidR="009A7EC3" w:rsidRPr="00DE25AD" w:rsidRDefault="009A7EC3" w:rsidP="009A7EC3">
            <w:pPr>
              <w:pStyle w:val="ASSADACCESStablecentre"/>
            </w:pPr>
          </w:p>
        </w:tc>
        <w:tc>
          <w:tcPr>
            <w:tcW w:w="879" w:type="dxa"/>
            <w:shd w:val="clear" w:color="auto" w:fill="auto"/>
            <w:vAlign w:val="bottom"/>
          </w:tcPr>
          <w:p w14:paraId="5BA68EDC" w14:textId="77777777" w:rsidR="009A7EC3" w:rsidRPr="00DE25AD" w:rsidRDefault="009A7EC3" w:rsidP="009A7EC3">
            <w:pPr>
              <w:pStyle w:val="ASSADACCESStablecentre"/>
            </w:pPr>
          </w:p>
        </w:tc>
        <w:tc>
          <w:tcPr>
            <w:tcW w:w="879" w:type="dxa"/>
            <w:shd w:val="clear" w:color="auto" w:fill="auto"/>
            <w:vAlign w:val="bottom"/>
          </w:tcPr>
          <w:p w14:paraId="1FC37A7F" w14:textId="77777777" w:rsidR="009A7EC3" w:rsidRPr="00DE25AD" w:rsidRDefault="009A7EC3" w:rsidP="009A7EC3">
            <w:pPr>
              <w:pStyle w:val="ASSADACCESStablecentre"/>
            </w:pPr>
          </w:p>
        </w:tc>
        <w:tc>
          <w:tcPr>
            <w:tcW w:w="879" w:type="dxa"/>
            <w:shd w:val="clear" w:color="auto" w:fill="auto"/>
            <w:vAlign w:val="bottom"/>
          </w:tcPr>
          <w:p w14:paraId="293F152F" w14:textId="77777777" w:rsidR="009A7EC3" w:rsidRPr="00DE25AD" w:rsidRDefault="009A7EC3" w:rsidP="009A7EC3">
            <w:pPr>
              <w:pStyle w:val="ASSADACCESStablecentre"/>
            </w:pPr>
          </w:p>
        </w:tc>
      </w:tr>
      <w:tr w:rsidR="009A7EC3" w:rsidRPr="00DE25AD" w14:paraId="4BB369C4" w14:textId="77777777" w:rsidTr="005F678B">
        <w:tc>
          <w:tcPr>
            <w:tcW w:w="1517" w:type="dxa"/>
            <w:tcMar>
              <w:left w:w="57" w:type="dxa"/>
            </w:tcMar>
          </w:tcPr>
          <w:p w14:paraId="004DED1B" w14:textId="77777777" w:rsidR="009A7EC3" w:rsidRDefault="009A7EC3" w:rsidP="009A7EC3">
            <w:pPr>
              <w:pStyle w:val="ACCESSTableHeaderRow"/>
            </w:pPr>
            <w:r w:rsidRPr="00DE25AD">
              <w:t>Recency</w:t>
            </w:r>
          </w:p>
        </w:tc>
        <w:tc>
          <w:tcPr>
            <w:tcW w:w="1068" w:type="dxa"/>
            <w:shd w:val="clear" w:color="auto" w:fill="auto"/>
            <w:tcMar>
              <w:left w:w="57" w:type="dxa"/>
            </w:tcMar>
            <w:vAlign w:val="center"/>
          </w:tcPr>
          <w:p w14:paraId="488DCC4C" w14:textId="77777777" w:rsidR="009A7EC3" w:rsidRPr="00DE25AD" w:rsidRDefault="009A7EC3" w:rsidP="009A7EC3">
            <w:pPr>
              <w:pStyle w:val="ASSAD2017ACCESSBody1"/>
            </w:pPr>
            <w:r w:rsidRPr="005C5B03">
              <w:rPr>
                <w:b/>
                <w:bCs w:val="0"/>
              </w:rPr>
              <w:t>Sex</w:t>
            </w:r>
          </w:p>
        </w:tc>
        <w:tc>
          <w:tcPr>
            <w:tcW w:w="878" w:type="dxa"/>
            <w:shd w:val="clear" w:color="auto" w:fill="auto"/>
            <w:vAlign w:val="bottom"/>
          </w:tcPr>
          <w:p w14:paraId="02E34EE4" w14:textId="77777777" w:rsidR="009A7EC3" w:rsidRPr="00DE25AD" w:rsidRDefault="009A7EC3" w:rsidP="009A7EC3">
            <w:pPr>
              <w:pStyle w:val="ASSADACCESStablecentre"/>
            </w:pPr>
          </w:p>
        </w:tc>
        <w:tc>
          <w:tcPr>
            <w:tcW w:w="879" w:type="dxa"/>
            <w:shd w:val="clear" w:color="auto" w:fill="auto"/>
            <w:vAlign w:val="bottom"/>
          </w:tcPr>
          <w:p w14:paraId="65562312" w14:textId="77777777" w:rsidR="009A7EC3" w:rsidRPr="00DE25AD" w:rsidRDefault="009A7EC3" w:rsidP="009A7EC3">
            <w:pPr>
              <w:pStyle w:val="ASSADACCESStablecentre"/>
            </w:pPr>
          </w:p>
        </w:tc>
        <w:tc>
          <w:tcPr>
            <w:tcW w:w="879" w:type="dxa"/>
            <w:shd w:val="clear" w:color="auto" w:fill="auto"/>
            <w:vAlign w:val="bottom"/>
          </w:tcPr>
          <w:p w14:paraId="348C43C2" w14:textId="77777777" w:rsidR="009A7EC3" w:rsidRPr="00DE25AD" w:rsidRDefault="009A7EC3" w:rsidP="009A7EC3">
            <w:pPr>
              <w:pStyle w:val="ASSADACCESStablecentre"/>
            </w:pPr>
          </w:p>
        </w:tc>
        <w:tc>
          <w:tcPr>
            <w:tcW w:w="879" w:type="dxa"/>
            <w:shd w:val="clear" w:color="auto" w:fill="auto"/>
            <w:vAlign w:val="bottom"/>
          </w:tcPr>
          <w:p w14:paraId="04102845" w14:textId="77777777" w:rsidR="009A7EC3" w:rsidRPr="00DE25AD" w:rsidRDefault="009A7EC3" w:rsidP="009A7EC3">
            <w:pPr>
              <w:pStyle w:val="ASSADACCESStablecentre"/>
            </w:pPr>
          </w:p>
        </w:tc>
        <w:tc>
          <w:tcPr>
            <w:tcW w:w="879" w:type="dxa"/>
            <w:shd w:val="clear" w:color="auto" w:fill="auto"/>
            <w:vAlign w:val="bottom"/>
          </w:tcPr>
          <w:p w14:paraId="7AE59AC8" w14:textId="77777777" w:rsidR="009A7EC3" w:rsidRPr="00DE25AD" w:rsidRDefault="009A7EC3" w:rsidP="009A7EC3">
            <w:pPr>
              <w:pStyle w:val="ASSADACCESStablecentre"/>
            </w:pPr>
          </w:p>
        </w:tc>
        <w:tc>
          <w:tcPr>
            <w:tcW w:w="879" w:type="dxa"/>
            <w:shd w:val="clear" w:color="auto" w:fill="auto"/>
            <w:vAlign w:val="bottom"/>
          </w:tcPr>
          <w:p w14:paraId="556FE1F1" w14:textId="77777777" w:rsidR="009A7EC3" w:rsidRPr="00DE25AD" w:rsidRDefault="009A7EC3" w:rsidP="009A7EC3">
            <w:pPr>
              <w:pStyle w:val="ASSADACCESStablecentre"/>
            </w:pPr>
          </w:p>
        </w:tc>
        <w:tc>
          <w:tcPr>
            <w:tcW w:w="879" w:type="dxa"/>
            <w:shd w:val="clear" w:color="auto" w:fill="auto"/>
            <w:vAlign w:val="bottom"/>
          </w:tcPr>
          <w:p w14:paraId="403BBAFC" w14:textId="77777777" w:rsidR="009A7EC3" w:rsidRPr="00DE25AD" w:rsidRDefault="009A7EC3" w:rsidP="009A7EC3">
            <w:pPr>
              <w:pStyle w:val="ASSADACCESStablecentre"/>
            </w:pPr>
          </w:p>
        </w:tc>
        <w:tc>
          <w:tcPr>
            <w:tcW w:w="879" w:type="dxa"/>
            <w:shd w:val="clear" w:color="auto" w:fill="auto"/>
            <w:vAlign w:val="bottom"/>
          </w:tcPr>
          <w:p w14:paraId="4E81269E" w14:textId="77777777" w:rsidR="009A7EC3" w:rsidRPr="00DE25AD" w:rsidRDefault="009A7EC3" w:rsidP="009A7EC3">
            <w:pPr>
              <w:pStyle w:val="ASSADACCESStablecentre"/>
            </w:pPr>
          </w:p>
        </w:tc>
      </w:tr>
      <w:tr w:rsidR="009A7EC3" w:rsidRPr="00DE25AD" w14:paraId="181A7EB0" w14:textId="77777777" w:rsidTr="00545FF4">
        <w:tc>
          <w:tcPr>
            <w:tcW w:w="1517" w:type="dxa"/>
            <w:tcMar>
              <w:left w:w="57" w:type="dxa"/>
            </w:tcMar>
          </w:tcPr>
          <w:p w14:paraId="3CED736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7C70D8CF" w14:textId="77777777" w:rsidR="009A7EC3" w:rsidRPr="00DE25AD" w:rsidRDefault="009A7EC3" w:rsidP="009A7EC3">
            <w:pPr>
              <w:pStyle w:val="ASSAD2017ACCESSBody1"/>
            </w:pPr>
            <w:r w:rsidRPr="00DE25AD">
              <w:t>Male</w:t>
            </w:r>
          </w:p>
        </w:tc>
        <w:tc>
          <w:tcPr>
            <w:tcW w:w="878" w:type="dxa"/>
            <w:shd w:val="clear" w:color="auto" w:fill="auto"/>
          </w:tcPr>
          <w:p w14:paraId="103A655A" w14:textId="43E7438E" w:rsidR="009A7EC3" w:rsidRPr="00DE25AD" w:rsidRDefault="009A7EC3" w:rsidP="009A7EC3">
            <w:pPr>
              <w:pStyle w:val="ASSADACCESStablecentre"/>
            </w:pPr>
            <w:r>
              <w:rPr>
                <w:bCs w:val="0"/>
                <w:color w:val="000000"/>
              </w:rPr>
              <w:t>18*</w:t>
            </w:r>
          </w:p>
        </w:tc>
        <w:tc>
          <w:tcPr>
            <w:tcW w:w="879" w:type="dxa"/>
            <w:shd w:val="clear" w:color="auto" w:fill="auto"/>
          </w:tcPr>
          <w:p w14:paraId="2B4EF3C1" w14:textId="1A176D57" w:rsidR="009A7EC3" w:rsidRPr="00DE25AD" w:rsidRDefault="009A7EC3" w:rsidP="009A7EC3">
            <w:pPr>
              <w:pStyle w:val="ASSADACCESStablecentre"/>
            </w:pPr>
            <w:r>
              <w:rPr>
                <w:bCs w:val="0"/>
                <w:color w:val="000000"/>
              </w:rPr>
              <w:t>19*</w:t>
            </w:r>
          </w:p>
        </w:tc>
        <w:tc>
          <w:tcPr>
            <w:tcW w:w="879" w:type="dxa"/>
            <w:shd w:val="clear" w:color="auto" w:fill="auto"/>
          </w:tcPr>
          <w:p w14:paraId="0EEA0696" w14:textId="0FCA526A" w:rsidR="009A7EC3" w:rsidRPr="00DE25AD" w:rsidRDefault="009A7EC3" w:rsidP="009A7EC3">
            <w:pPr>
              <w:pStyle w:val="ASSADACCESStablecentre"/>
            </w:pPr>
            <w:r>
              <w:rPr>
                <w:bCs w:val="0"/>
                <w:color w:val="000000"/>
              </w:rPr>
              <w:t>15</w:t>
            </w:r>
          </w:p>
        </w:tc>
        <w:tc>
          <w:tcPr>
            <w:tcW w:w="879" w:type="dxa"/>
            <w:shd w:val="clear" w:color="auto" w:fill="auto"/>
          </w:tcPr>
          <w:p w14:paraId="430B694E" w14:textId="5FC85BA3" w:rsidR="009A7EC3" w:rsidRPr="00DE25AD" w:rsidRDefault="009A7EC3" w:rsidP="009A7EC3">
            <w:pPr>
              <w:pStyle w:val="ASSADACCESStablecentre"/>
            </w:pPr>
            <w:r>
              <w:rPr>
                <w:bCs w:val="0"/>
                <w:color w:val="000000"/>
              </w:rPr>
              <w:t>13^</w:t>
            </w:r>
          </w:p>
        </w:tc>
        <w:tc>
          <w:tcPr>
            <w:tcW w:w="879" w:type="dxa"/>
            <w:shd w:val="clear" w:color="auto" w:fill="auto"/>
          </w:tcPr>
          <w:p w14:paraId="27D3B3BF" w14:textId="24705FB9" w:rsidR="009A7EC3" w:rsidRPr="00DE25AD" w:rsidRDefault="009A7EC3" w:rsidP="009A7EC3">
            <w:pPr>
              <w:pStyle w:val="ASSADACCESStablecentre"/>
            </w:pPr>
            <w:r>
              <w:rPr>
                <w:bCs w:val="0"/>
                <w:color w:val="000000"/>
              </w:rPr>
              <w:t>12^</w:t>
            </w:r>
          </w:p>
        </w:tc>
        <w:tc>
          <w:tcPr>
            <w:tcW w:w="879" w:type="dxa"/>
            <w:shd w:val="clear" w:color="auto" w:fill="auto"/>
          </w:tcPr>
          <w:p w14:paraId="7FA37B21" w14:textId="0614F814" w:rsidR="009A7EC3" w:rsidRPr="00DE25AD" w:rsidRDefault="009A7EC3" w:rsidP="009A7EC3">
            <w:pPr>
              <w:pStyle w:val="ASSADACCESStablecentre"/>
            </w:pPr>
            <w:r>
              <w:rPr>
                <w:bCs w:val="0"/>
                <w:color w:val="000000"/>
              </w:rPr>
              <w:t>10^</w:t>
            </w:r>
          </w:p>
        </w:tc>
        <w:tc>
          <w:tcPr>
            <w:tcW w:w="879" w:type="dxa"/>
            <w:shd w:val="clear" w:color="auto" w:fill="auto"/>
          </w:tcPr>
          <w:p w14:paraId="3DB78B89" w14:textId="6D7DCFC2" w:rsidR="009A7EC3" w:rsidRPr="00DE25AD" w:rsidRDefault="009A7EC3" w:rsidP="009A7EC3">
            <w:pPr>
              <w:pStyle w:val="ASSADACCESStablecentre"/>
            </w:pPr>
            <w:r>
              <w:rPr>
                <w:bCs w:val="0"/>
                <w:color w:val="000000"/>
              </w:rPr>
              <w:t>12^</w:t>
            </w:r>
          </w:p>
        </w:tc>
        <w:tc>
          <w:tcPr>
            <w:tcW w:w="879" w:type="dxa"/>
            <w:shd w:val="clear" w:color="auto" w:fill="auto"/>
          </w:tcPr>
          <w:p w14:paraId="4570EBFF" w14:textId="0E984409" w:rsidR="009A7EC3" w:rsidRPr="00DE25AD" w:rsidRDefault="009A7EC3" w:rsidP="009A7EC3">
            <w:pPr>
              <w:pStyle w:val="ASSADACCESStablecentre"/>
            </w:pPr>
            <w:r>
              <w:rPr>
                <w:bCs w:val="0"/>
                <w:color w:val="000000"/>
              </w:rPr>
              <w:t>14^</w:t>
            </w:r>
          </w:p>
        </w:tc>
      </w:tr>
      <w:tr w:rsidR="009A7EC3" w:rsidRPr="00DE25AD" w14:paraId="0D219964" w14:textId="77777777" w:rsidTr="005F678B">
        <w:tc>
          <w:tcPr>
            <w:tcW w:w="1517" w:type="dxa"/>
            <w:tcMar>
              <w:left w:w="57" w:type="dxa"/>
            </w:tcMar>
          </w:tcPr>
          <w:p w14:paraId="4B7AF2BD" w14:textId="77777777" w:rsidR="009A7EC3" w:rsidRPr="00DE25AD" w:rsidRDefault="009A7EC3" w:rsidP="009A7EC3">
            <w:pPr>
              <w:pStyle w:val="ACCESSTableHeaderRow"/>
            </w:pPr>
          </w:p>
        </w:tc>
        <w:tc>
          <w:tcPr>
            <w:tcW w:w="1068" w:type="dxa"/>
            <w:shd w:val="clear" w:color="auto" w:fill="auto"/>
            <w:tcMar>
              <w:left w:w="57" w:type="dxa"/>
            </w:tcMar>
            <w:vAlign w:val="bottom"/>
          </w:tcPr>
          <w:p w14:paraId="46BF1D78" w14:textId="77777777" w:rsidR="009A7EC3" w:rsidRPr="00DE25AD" w:rsidRDefault="009A7EC3" w:rsidP="009A7EC3">
            <w:pPr>
              <w:pStyle w:val="ASSAD2017ACCESSBody1"/>
            </w:pPr>
            <w:r w:rsidRPr="00DE25AD">
              <w:t>Female</w:t>
            </w:r>
          </w:p>
        </w:tc>
        <w:tc>
          <w:tcPr>
            <w:tcW w:w="878" w:type="dxa"/>
            <w:shd w:val="clear" w:color="auto" w:fill="auto"/>
          </w:tcPr>
          <w:p w14:paraId="2CDA5225" w14:textId="0276B8CF" w:rsidR="009A7EC3" w:rsidRPr="00DE25AD" w:rsidRDefault="009A7EC3" w:rsidP="009A7EC3">
            <w:pPr>
              <w:pStyle w:val="ASSADACCESStablecentre"/>
            </w:pPr>
            <w:r>
              <w:rPr>
                <w:bCs w:val="0"/>
                <w:color w:val="000000"/>
              </w:rPr>
              <w:t>16*</w:t>
            </w:r>
          </w:p>
        </w:tc>
        <w:tc>
          <w:tcPr>
            <w:tcW w:w="879" w:type="dxa"/>
            <w:shd w:val="clear" w:color="auto" w:fill="auto"/>
          </w:tcPr>
          <w:p w14:paraId="4E8E2F34" w14:textId="1F9C7EC5" w:rsidR="009A7EC3" w:rsidRPr="00DE25AD" w:rsidRDefault="009A7EC3" w:rsidP="009A7EC3">
            <w:pPr>
              <w:pStyle w:val="ASSADACCESStablecentre"/>
            </w:pPr>
            <w:r>
              <w:rPr>
                <w:bCs w:val="0"/>
                <w:color w:val="000000"/>
              </w:rPr>
              <w:t>16*</w:t>
            </w:r>
          </w:p>
        </w:tc>
        <w:tc>
          <w:tcPr>
            <w:tcW w:w="879" w:type="dxa"/>
            <w:shd w:val="clear" w:color="auto" w:fill="auto"/>
          </w:tcPr>
          <w:p w14:paraId="3FB5CEF5" w14:textId="51B80D6E" w:rsidR="009A7EC3" w:rsidRPr="00DE25AD" w:rsidRDefault="009A7EC3" w:rsidP="009A7EC3">
            <w:pPr>
              <w:pStyle w:val="ASSADACCESStablecentre"/>
            </w:pPr>
            <w:r>
              <w:rPr>
                <w:bCs w:val="0"/>
                <w:color w:val="000000"/>
              </w:rPr>
              <w:t>14*</w:t>
            </w:r>
          </w:p>
        </w:tc>
        <w:tc>
          <w:tcPr>
            <w:tcW w:w="879" w:type="dxa"/>
            <w:shd w:val="clear" w:color="auto" w:fill="auto"/>
          </w:tcPr>
          <w:p w14:paraId="3CD16A84" w14:textId="1CE818D8" w:rsidR="009A7EC3" w:rsidRPr="00DE25AD" w:rsidRDefault="009A7EC3" w:rsidP="009A7EC3">
            <w:pPr>
              <w:pStyle w:val="ASSADACCESStablecentre"/>
            </w:pPr>
            <w:r>
              <w:rPr>
                <w:bCs w:val="0"/>
                <w:color w:val="000000"/>
              </w:rPr>
              <w:t>11^</w:t>
            </w:r>
          </w:p>
        </w:tc>
        <w:tc>
          <w:tcPr>
            <w:tcW w:w="879" w:type="dxa"/>
            <w:shd w:val="clear" w:color="auto" w:fill="auto"/>
          </w:tcPr>
          <w:p w14:paraId="48F017CE" w14:textId="0F0DCED1" w:rsidR="009A7EC3" w:rsidRPr="00DE25AD" w:rsidRDefault="009A7EC3" w:rsidP="009A7EC3">
            <w:pPr>
              <w:pStyle w:val="ASSADACCESStablecentre"/>
            </w:pPr>
            <w:r>
              <w:rPr>
                <w:bCs w:val="0"/>
                <w:color w:val="000000"/>
              </w:rPr>
              <w:t>10^</w:t>
            </w:r>
          </w:p>
        </w:tc>
        <w:tc>
          <w:tcPr>
            <w:tcW w:w="879" w:type="dxa"/>
            <w:shd w:val="clear" w:color="auto" w:fill="auto"/>
          </w:tcPr>
          <w:p w14:paraId="3DCE091C" w14:textId="1FC3F22F" w:rsidR="009A7EC3" w:rsidRPr="00DE25AD" w:rsidRDefault="009A7EC3" w:rsidP="009A7EC3">
            <w:pPr>
              <w:pStyle w:val="ASSADACCESStablecentre"/>
            </w:pPr>
            <w:r>
              <w:rPr>
                <w:bCs w:val="0"/>
                <w:color w:val="000000"/>
              </w:rPr>
              <w:t>9^</w:t>
            </w:r>
          </w:p>
        </w:tc>
        <w:tc>
          <w:tcPr>
            <w:tcW w:w="879" w:type="dxa"/>
            <w:shd w:val="clear" w:color="auto" w:fill="auto"/>
          </w:tcPr>
          <w:p w14:paraId="244057C2" w14:textId="3B2EA8C6" w:rsidR="009A7EC3" w:rsidRPr="00DE25AD" w:rsidRDefault="009A7EC3" w:rsidP="009A7EC3">
            <w:pPr>
              <w:pStyle w:val="ASSADACCESStablecentre"/>
            </w:pPr>
            <w:r>
              <w:rPr>
                <w:bCs w:val="0"/>
                <w:color w:val="000000"/>
              </w:rPr>
              <w:t>7^</w:t>
            </w:r>
          </w:p>
        </w:tc>
        <w:tc>
          <w:tcPr>
            <w:tcW w:w="879" w:type="dxa"/>
            <w:shd w:val="clear" w:color="auto" w:fill="auto"/>
          </w:tcPr>
          <w:p w14:paraId="5373661F" w14:textId="080D9A83" w:rsidR="009A7EC3" w:rsidRPr="00DE25AD" w:rsidRDefault="009A7EC3" w:rsidP="009A7EC3">
            <w:pPr>
              <w:pStyle w:val="ASSADACCESStablecentre"/>
            </w:pPr>
            <w:r>
              <w:rPr>
                <w:bCs w:val="0"/>
                <w:color w:val="000000"/>
              </w:rPr>
              <w:t>9^</w:t>
            </w:r>
          </w:p>
        </w:tc>
      </w:tr>
      <w:tr w:rsidR="009A7EC3" w:rsidRPr="00DE25AD" w14:paraId="3B155E4C" w14:textId="77777777" w:rsidTr="005F678B">
        <w:trPr>
          <w:trHeight w:val="247"/>
        </w:trPr>
        <w:tc>
          <w:tcPr>
            <w:tcW w:w="1517" w:type="dxa"/>
            <w:tcMar>
              <w:left w:w="57" w:type="dxa"/>
            </w:tcMar>
          </w:tcPr>
          <w:p w14:paraId="5D065AE8" w14:textId="77777777" w:rsidR="009A7EC3" w:rsidRPr="00DE25AD" w:rsidRDefault="009A7EC3" w:rsidP="009A7EC3">
            <w:pPr>
              <w:pStyle w:val="ACCESSTableHeaderRow"/>
            </w:pPr>
          </w:p>
        </w:tc>
        <w:tc>
          <w:tcPr>
            <w:tcW w:w="1068" w:type="dxa"/>
            <w:shd w:val="clear" w:color="auto" w:fill="auto"/>
            <w:tcMar>
              <w:left w:w="57" w:type="dxa"/>
            </w:tcMar>
            <w:vAlign w:val="bottom"/>
          </w:tcPr>
          <w:p w14:paraId="57DA5E5B" w14:textId="77777777" w:rsidR="009A7EC3" w:rsidRPr="00DE25AD" w:rsidRDefault="009A7EC3" w:rsidP="009A7EC3">
            <w:pPr>
              <w:pStyle w:val="ASSAD2017ACCESSBody1"/>
            </w:pPr>
            <w:r w:rsidRPr="00DE25AD">
              <w:t>Total</w:t>
            </w:r>
          </w:p>
        </w:tc>
        <w:tc>
          <w:tcPr>
            <w:tcW w:w="878" w:type="dxa"/>
            <w:shd w:val="clear" w:color="auto" w:fill="auto"/>
          </w:tcPr>
          <w:p w14:paraId="6F62AE5C" w14:textId="0CED3A42" w:rsidR="009A7EC3" w:rsidRPr="00DE25AD" w:rsidRDefault="009A7EC3" w:rsidP="009A7EC3">
            <w:pPr>
              <w:pStyle w:val="ASSADACCESStablecentre"/>
            </w:pPr>
            <w:r>
              <w:rPr>
                <w:bCs w:val="0"/>
                <w:color w:val="000000"/>
              </w:rPr>
              <w:t>17*</w:t>
            </w:r>
          </w:p>
        </w:tc>
        <w:tc>
          <w:tcPr>
            <w:tcW w:w="879" w:type="dxa"/>
            <w:shd w:val="clear" w:color="auto" w:fill="auto"/>
          </w:tcPr>
          <w:p w14:paraId="37C7EF71" w14:textId="03E09EF7" w:rsidR="009A7EC3" w:rsidRPr="00DE25AD" w:rsidRDefault="009A7EC3" w:rsidP="009A7EC3">
            <w:pPr>
              <w:pStyle w:val="ASSADACCESStablecentre"/>
            </w:pPr>
            <w:r>
              <w:rPr>
                <w:bCs w:val="0"/>
                <w:color w:val="000000"/>
              </w:rPr>
              <w:t>17*</w:t>
            </w:r>
          </w:p>
        </w:tc>
        <w:tc>
          <w:tcPr>
            <w:tcW w:w="879" w:type="dxa"/>
            <w:shd w:val="clear" w:color="auto" w:fill="auto"/>
          </w:tcPr>
          <w:p w14:paraId="0C398ACF" w14:textId="5B3F2AEB" w:rsidR="009A7EC3" w:rsidRPr="00DE25AD" w:rsidRDefault="009A7EC3" w:rsidP="009A7EC3">
            <w:pPr>
              <w:pStyle w:val="ASSADACCESStablecentre"/>
            </w:pPr>
            <w:r>
              <w:rPr>
                <w:bCs w:val="0"/>
                <w:color w:val="000000"/>
              </w:rPr>
              <w:t>14</w:t>
            </w:r>
          </w:p>
        </w:tc>
        <w:tc>
          <w:tcPr>
            <w:tcW w:w="879" w:type="dxa"/>
            <w:shd w:val="clear" w:color="auto" w:fill="auto"/>
          </w:tcPr>
          <w:p w14:paraId="168EE8FD" w14:textId="215E5443" w:rsidR="009A7EC3" w:rsidRPr="00DE25AD" w:rsidRDefault="009A7EC3" w:rsidP="009A7EC3">
            <w:pPr>
              <w:pStyle w:val="ASSADACCESStablecentre"/>
            </w:pPr>
            <w:r>
              <w:rPr>
                <w:bCs w:val="0"/>
                <w:color w:val="000000"/>
              </w:rPr>
              <w:t>12^</w:t>
            </w:r>
          </w:p>
        </w:tc>
        <w:tc>
          <w:tcPr>
            <w:tcW w:w="879" w:type="dxa"/>
            <w:shd w:val="clear" w:color="auto" w:fill="auto"/>
          </w:tcPr>
          <w:p w14:paraId="038CF7D3" w14:textId="3AD34E7B" w:rsidR="009A7EC3" w:rsidRPr="00DE25AD" w:rsidRDefault="009A7EC3" w:rsidP="009A7EC3">
            <w:pPr>
              <w:pStyle w:val="ASSADACCESStablecentre"/>
            </w:pPr>
            <w:r>
              <w:rPr>
                <w:bCs w:val="0"/>
                <w:color w:val="000000"/>
              </w:rPr>
              <w:t>11^</w:t>
            </w:r>
          </w:p>
        </w:tc>
        <w:tc>
          <w:tcPr>
            <w:tcW w:w="879" w:type="dxa"/>
            <w:shd w:val="clear" w:color="auto" w:fill="auto"/>
          </w:tcPr>
          <w:p w14:paraId="520BF8D2" w14:textId="57768ABE" w:rsidR="009A7EC3" w:rsidRPr="00DE25AD" w:rsidRDefault="009A7EC3" w:rsidP="009A7EC3">
            <w:pPr>
              <w:pStyle w:val="ASSADACCESStablecentre"/>
            </w:pPr>
            <w:r>
              <w:rPr>
                <w:bCs w:val="0"/>
                <w:color w:val="000000"/>
              </w:rPr>
              <w:t>9^</w:t>
            </w:r>
          </w:p>
        </w:tc>
        <w:tc>
          <w:tcPr>
            <w:tcW w:w="879" w:type="dxa"/>
            <w:shd w:val="clear" w:color="auto" w:fill="auto"/>
          </w:tcPr>
          <w:p w14:paraId="30557FB5" w14:textId="79B56E7E" w:rsidR="009A7EC3" w:rsidRPr="00DE25AD" w:rsidRDefault="009A7EC3" w:rsidP="009A7EC3">
            <w:pPr>
              <w:pStyle w:val="ASSADACCESStablecentre"/>
            </w:pPr>
            <w:r>
              <w:rPr>
                <w:bCs w:val="0"/>
                <w:color w:val="000000"/>
              </w:rPr>
              <w:t>10^</w:t>
            </w:r>
          </w:p>
        </w:tc>
        <w:tc>
          <w:tcPr>
            <w:tcW w:w="879" w:type="dxa"/>
            <w:shd w:val="clear" w:color="auto" w:fill="auto"/>
          </w:tcPr>
          <w:p w14:paraId="5B11206A" w14:textId="405CBEF3" w:rsidR="009A7EC3" w:rsidRPr="00DE25AD" w:rsidRDefault="009A7EC3" w:rsidP="009A7EC3">
            <w:pPr>
              <w:pStyle w:val="ASSADACCESStablecentre"/>
            </w:pPr>
            <w:r>
              <w:rPr>
                <w:bCs w:val="0"/>
                <w:color w:val="000000"/>
              </w:rPr>
              <w:t>12^</w:t>
            </w:r>
          </w:p>
        </w:tc>
      </w:tr>
      <w:tr w:rsidR="009A7EC3" w:rsidRPr="00DE25AD" w14:paraId="6AACB0B3" w14:textId="77777777" w:rsidTr="005F678B">
        <w:trPr>
          <w:trHeight w:val="247"/>
        </w:trPr>
        <w:tc>
          <w:tcPr>
            <w:tcW w:w="1517" w:type="dxa"/>
            <w:tcMar>
              <w:left w:w="57" w:type="dxa"/>
            </w:tcMar>
          </w:tcPr>
          <w:p w14:paraId="3DCF50A4"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555584E9" w14:textId="77777777" w:rsidR="009A7EC3" w:rsidRPr="00DE25AD" w:rsidRDefault="009A7EC3" w:rsidP="009A7EC3">
            <w:pPr>
              <w:pStyle w:val="ASSAD2017ACCESSBody1"/>
            </w:pPr>
            <w:r w:rsidRPr="00DE25AD">
              <w:t>Male</w:t>
            </w:r>
          </w:p>
        </w:tc>
        <w:tc>
          <w:tcPr>
            <w:tcW w:w="878" w:type="dxa"/>
            <w:shd w:val="clear" w:color="auto" w:fill="auto"/>
          </w:tcPr>
          <w:p w14:paraId="4CD8B69C" w14:textId="41164EC3" w:rsidR="009A7EC3" w:rsidRPr="00DE25AD" w:rsidRDefault="009A7EC3" w:rsidP="009A7EC3">
            <w:pPr>
              <w:pStyle w:val="ASSADACCESStablecentre"/>
            </w:pPr>
            <w:r>
              <w:rPr>
                <w:bCs w:val="0"/>
                <w:color w:val="000000"/>
              </w:rPr>
              <w:t>7</w:t>
            </w:r>
          </w:p>
        </w:tc>
        <w:tc>
          <w:tcPr>
            <w:tcW w:w="879" w:type="dxa"/>
            <w:shd w:val="clear" w:color="auto" w:fill="auto"/>
          </w:tcPr>
          <w:p w14:paraId="30E261F4" w14:textId="0FD86A8E" w:rsidR="009A7EC3" w:rsidRPr="00DE25AD" w:rsidRDefault="009A7EC3" w:rsidP="009A7EC3">
            <w:pPr>
              <w:pStyle w:val="ASSADACCESStablecentre"/>
            </w:pPr>
            <w:r>
              <w:rPr>
                <w:bCs w:val="0"/>
                <w:color w:val="000000"/>
              </w:rPr>
              <w:t>8</w:t>
            </w:r>
          </w:p>
        </w:tc>
        <w:tc>
          <w:tcPr>
            <w:tcW w:w="879" w:type="dxa"/>
            <w:shd w:val="clear" w:color="auto" w:fill="auto"/>
          </w:tcPr>
          <w:p w14:paraId="77D49AF7" w14:textId="7C7C89A5" w:rsidR="009A7EC3" w:rsidRPr="00DE25AD" w:rsidRDefault="009A7EC3" w:rsidP="009A7EC3">
            <w:pPr>
              <w:pStyle w:val="ASSADACCESStablecentre"/>
            </w:pPr>
            <w:r>
              <w:rPr>
                <w:bCs w:val="0"/>
                <w:color w:val="000000"/>
              </w:rPr>
              <w:t>5</w:t>
            </w:r>
          </w:p>
        </w:tc>
        <w:tc>
          <w:tcPr>
            <w:tcW w:w="879" w:type="dxa"/>
            <w:shd w:val="clear" w:color="auto" w:fill="auto"/>
          </w:tcPr>
          <w:p w14:paraId="3249E0F4" w14:textId="50B98AC2" w:rsidR="009A7EC3" w:rsidRPr="00DE25AD" w:rsidRDefault="009A7EC3" w:rsidP="009A7EC3">
            <w:pPr>
              <w:pStyle w:val="ASSADACCESStablecentre"/>
            </w:pPr>
            <w:r>
              <w:rPr>
                <w:bCs w:val="0"/>
                <w:color w:val="000000"/>
              </w:rPr>
              <w:t>6</w:t>
            </w:r>
          </w:p>
        </w:tc>
        <w:tc>
          <w:tcPr>
            <w:tcW w:w="879" w:type="dxa"/>
            <w:shd w:val="clear" w:color="auto" w:fill="auto"/>
          </w:tcPr>
          <w:p w14:paraId="5747C7C8" w14:textId="790D0C37" w:rsidR="009A7EC3" w:rsidRPr="00DE25AD" w:rsidRDefault="009A7EC3" w:rsidP="009A7EC3">
            <w:pPr>
              <w:pStyle w:val="ASSADACCESStablecentre"/>
            </w:pPr>
            <w:r>
              <w:rPr>
                <w:bCs w:val="0"/>
                <w:color w:val="000000"/>
              </w:rPr>
              <w:t>6</w:t>
            </w:r>
          </w:p>
        </w:tc>
        <w:tc>
          <w:tcPr>
            <w:tcW w:w="879" w:type="dxa"/>
            <w:shd w:val="clear" w:color="auto" w:fill="auto"/>
          </w:tcPr>
          <w:p w14:paraId="77C82702" w14:textId="049A8EB9" w:rsidR="009A7EC3" w:rsidRPr="00DE25AD" w:rsidRDefault="009A7EC3" w:rsidP="009A7EC3">
            <w:pPr>
              <w:pStyle w:val="ASSADACCESStablecentre"/>
            </w:pPr>
            <w:r>
              <w:rPr>
                <w:bCs w:val="0"/>
                <w:color w:val="000000"/>
              </w:rPr>
              <w:t>5</w:t>
            </w:r>
          </w:p>
        </w:tc>
        <w:tc>
          <w:tcPr>
            <w:tcW w:w="879" w:type="dxa"/>
            <w:shd w:val="clear" w:color="auto" w:fill="auto"/>
          </w:tcPr>
          <w:p w14:paraId="548D7262" w14:textId="386202AF" w:rsidR="009A7EC3" w:rsidRPr="00DE25AD" w:rsidRDefault="009A7EC3" w:rsidP="009A7EC3">
            <w:pPr>
              <w:pStyle w:val="ASSADACCESStablecentre"/>
            </w:pPr>
            <w:r>
              <w:rPr>
                <w:bCs w:val="0"/>
                <w:color w:val="000000"/>
              </w:rPr>
              <w:t>5</w:t>
            </w:r>
          </w:p>
        </w:tc>
        <w:tc>
          <w:tcPr>
            <w:tcW w:w="879" w:type="dxa"/>
            <w:shd w:val="clear" w:color="auto" w:fill="auto"/>
          </w:tcPr>
          <w:p w14:paraId="516A00C7" w14:textId="230DC540" w:rsidR="009A7EC3" w:rsidRPr="00DE25AD" w:rsidRDefault="009A7EC3" w:rsidP="009A7EC3">
            <w:pPr>
              <w:pStyle w:val="ASSADACCESStablecentre"/>
            </w:pPr>
            <w:r>
              <w:rPr>
                <w:bCs w:val="0"/>
                <w:color w:val="000000"/>
              </w:rPr>
              <w:t>6</w:t>
            </w:r>
          </w:p>
        </w:tc>
      </w:tr>
      <w:tr w:rsidR="009A7EC3" w:rsidRPr="00DE25AD" w14:paraId="48AD3323" w14:textId="77777777" w:rsidTr="005F678B">
        <w:trPr>
          <w:trHeight w:val="247"/>
        </w:trPr>
        <w:tc>
          <w:tcPr>
            <w:tcW w:w="1517" w:type="dxa"/>
            <w:tcMar>
              <w:left w:w="57" w:type="dxa"/>
            </w:tcMar>
          </w:tcPr>
          <w:p w14:paraId="7E03BE22" w14:textId="77777777" w:rsidR="009A7EC3" w:rsidRPr="00DE25AD" w:rsidRDefault="009A7EC3" w:rsidP="009A7EC3">
            <w:pPr>
              <w:pStyle w:val="ACCESSTableHeaderRow"/>
            </w:pPr>
          </w:p>
        </w:tc>
        <w:tc>
          <w:tcPr>
            <w:tcW w:w="1068" w:type="dxa"/>
            <w:shd w:val="clear" w:color="auto" w:fill="auto"/>
            <w:tcMar>
              <w:left w:w="57" w:type="dxa"/>
            </w:tcMar>
            <w:vAlign w:val="bottom"/>
          </w:tcPr>
          <w:p w14:paraId="70A208E6" w14:textId="77777777" w:rsidR="009A7EC3" w:rsidRPr="00DE25AD" w:rsidRDefault="009A7EC3" w:rsidP="009A7EC3">
            <w:pPr>
              <w:pStyle w:val="ASSAD2017ACCESSBody1"/>
            </w:pPr>
            <w:r w:rsidRPr="00DE25AD">
              <w:t>Female</w:t>
            </w:r>
          </w:p>
        </w:tc>
        <w:tc>
          <w:tcPr>
            <w:tcW w:w="878" w:type="dxa"/>
            <w:shd w:val="clear" w:color="auto" w:fill="auto"/>
          </w:tcPr>
          <w:p w14:paraId="133C44C9" w14:textId="6254DB46" w:rsidR="009A7EC3" w:rsidRPr="00DE25AD" w:rsidRDefault="009A7EC3" w:rsidP="009A7EC3">
            <w:pPr>
              <w:pStyle w:val="ASSADACCESStablecentre"/>
            </w:pPr>
            <w:r>
              <w:rPr>
                <w:bCs w:val="0"/>
                <w:color w:val="000000"/>
              </w:rPr>
              <w:t>5</w:t>
            </w:r>
          </w:p>
        </w:tc>
        <w:tc>
          <w:tcPr>
            <w:tcW w:w="879" w:type="dxa"/>
            <w:shd w:val="clear" w:color="auto" w:fill="auto"/>
          </w:tcPr>
          <w:p w14:paraId="0A2795C9" w14:textId="6C6D0104" w:rsidR="009A7EC3" w:rsidRPr="00DE25AD" w:rsidRDefault="009A7EC3" w:rsidP="009A7EC3">
            <w:pPr>
              <w:pStyle w:val="ASSADACCESStablecentre"/>
            </w:pPr>
            <w:r>
              <w:rPr>
                <w:bCs w:val="0"/>
                <w:color w:val="000000"/>
              </w:rPr>
              <w:t>4</w:t>
            </w:r>
          </w:p>
        </w:tc>
        <w:tc>
          <w:tcPr>
            <w:tcW w:w="879" w:type="dxa"/>
            <w:shd w:val="clear" w:color="auto" w:fill="auto"/>
          </w:tcPr>
          <w:p w14:paraId="2BA9ED6D" w14:textId="2CCCE892" w:rsidR="009A7EC3" w:rsidRPr="00DE25AD" w:rsidRDefault="009A7EC3" w:rsidP="009A7EC3">
            <w:pPr>
              <w:pStyle w:val="ASSADACCESStablecentre"/>
            </w:pPr>
            <w:r>
              <w:rPr>
                <w:bCs w:val="0"/>
                <w:color w:val="000000"/>
              </w:rPr>
              <w:t>5*</w:t>
            </w:r>
          </w:p>
        </w:tc>
        <w:tc>
          <w:tcPr>
            <w:tcW w:w="879" w:type="dxa"/>
            <w:shd w:val="clear" w:color="auto" w:fill="auto"/>
          </w:tcPr>
          <w:p w14:paraId="31064B49" w14:textId="4C02F517" w:rsidR="009A7EC3" w:rsidRPr="00DE25AD" w:rsidRDefault="009A7EC3" w:rsidP="009A7EC3">
            <w:pPr>
              <w:pStyle w:val="ASSADACCESStablecentre"/>
            </w:pPr>
            <w:r>
              <w:rPr>
                <w:bCs w:val="0"/>
                <w:color w:val="000000"/>
              </w:rPr>
              <w:t>3</w:t>
            </w:r>
          </w:p>
        </w:tc>
        <w:tc>
          <w:tcPr>
            <w:tcW w:w="879" w:type="dxa"/>
            <w:shd w:val="clear" w:color="auto" w:fill="auto"/>
          </w:tcPr>
          <w:p w14:paraId="5982FD72" w14:textId="28815B35" w:rsidR="009A7EC3" w:rsidRPr="00DE25AD" w:rsidRDefault="009A7EC3" w:rsidP="009A7EC3">
            <w:pPr>
              <w:pStyle w:val="ASSADACCESStablecentre"/>
            </w:pPr>
            <w:r>
              <w:rPr>
                <w:bCs w:val="0"/>
                <w:color w:val="000000"/>
              </w:rPr>
              <w:t>4</w:t>
            </w:r>
          </w:p>
        </w:tc>
        <w:tc>
          <w:tcPr>
            <w:tcW w:w="879" w:type="dxa"/>
            <w:shd w:val="clear" w:color="auto" w:fill="auto"/>
          </w:tcPr>
          <w:p w14:paraId="1141D4A9" w14:textId="0594D0A8" w:rsidR="009A7EC3" w:rsidRPr="00DE25AD" w:rsidRDefault="009A7EC3" w:rsidP="009A7EC3">
            <w:pPr>
              <w:pStyle w:val="ASSADACCESStablecentre"/>
            </w:pPr>
            <w:r>
              <w:rPr>
                <w:bCs w:val="0"/>
                <w:color w:val="000000"/>
              </w:rPr>
              <w:t>3^</w:t>
            </w:r>
          </w:p>
        </w:tc>
        <w:tc>
          <w:tcPr>
            <w:tcW w:w="879" w:type="dxa"/>
            <w:shd w:val="clear" w:color="auto" w:fill="auto"/>
          </w:tcPr>
          <w:p w14:paraId="25880D7F" w14:textId="39156CB0" w:rsidR="009A7EC3" w:rsidRPr="00DE25AD" w:rsidRDefault="009A7EC3" w:rsidP="009A7EC3">
            <w:pPr>
              <w:pStyle w:val="ASSADACCESStablecentre"/>
            </w:pPr>
            <w:r>
              <w:rPr>
                <w:bCs w:val="0"/>
                <w:color w:val="000000"/>
              </w:rPr>
              <w:t>2^</w:t>
            </w:r>
          </w:p>
        </w:tc>
        <w:tc>
          <w:tcPr>
            <w:tcW w:w="879" w:type="dxa"/>
            <w:shd w:val="clear" w:color="auto" w:fill="auto"/>
          </w:tcPr>
          <w:p w14:paraId="6F7A7A28" w14:textId="05F7637F" w:rsidR="009A7EC3" w:rsidRPr="00DE25AD" w:rsidRDefault="009A7EC3" w:rsidP="009A7EC3">
            <w:pPr>
              <w:pStyle w:val="ASSADACCESStablecentre"/>
            </w:pPr>
            <w:r>
              <w:rPr>
                <w:bCs w:val="0"/>
                <w:color w:val="000000"/>
              </w:rPr>
              <w:t>3</w:t>
            </w:r>
          </w:p>
        </w:tc>
      </w:tr>
      <w:tr w:rsidR="009A7EC3" w:rsidRPr="00DE25AD" w14:paraId="3AE5344C" w14:textId="77777777" w:rsidTr="005F678B">
        <w:trPr>
          <w:trHeight w:val="247"/>
        </w:trPr>
        <w:tc>
          <w:tcPr>
            <w:tcW w:w="1517" w:type="dxa"/>
            <w:tcMar>
              <w:left w:w="57" w:type="dxa"/>
            </w:tcMar>
          </w:tcPr>
          <w:p w14:paraId="378FA10E" w14:textId="77777777" w:rsidR="009A7EC3" w:rsidRPr="00DE25AD" w:rsidRDefault="009A7EC3" w:rsidP="009A7EC3">
            <w:pPr>
              <w:pStyle w:val="ACCESSTableHeaderRow"/>
            </w:pPr>
          </w:p>
        </w:tc>
        <w:tc>
          <w:tcPr>
            <w:tcW w:w="1068" w:type="dxa"/>
            <w:shd w:val="clear" w:color="auto" w:fill="auto"/>
            <w:tcMar>
              <w:left w:w="57" w:type="dxa"/>
            </w:tcMar>
            <w:vAlign w:val="bottom"/>
          </w:tcPr>
          <w:p w14:paraId="1C2259AC" w14:textId="77777777" w:rsidR="009A7EC3" w:rsidRPr="00DE25AD" w:rsidRDefault="009A7EC3" w:rsidP="009A7EC3">
            <w:pPr>
              <w:pStyle w:val="ASSAD2017ACCESSBody1"/>
            </w:pPr>
            <w:r w:rsidRPr="00DE25AD">
              <w:t>Total</w:t>
            </w:r>
          </w:p>
        </w:tc>
        <w:tc>
          <w:tcPr>
            <w:tcW w:w="878" w:type="dxa"/>
            <w:shd w:val="clear" w:color="auto" w:fill="auto"/>
          </w:tcPr>
          <w:p w14:paraId="6CD6EF2D" w14:textId="7EB0C484" w:rsidR="009A7EC3" w:rsidRPr="00DE25AD" w:rsidRDefault="009A7EC3" w:rsidP="009A7EC3">
            <w:pPr>
              <w:pStyle w:val="ASSADACCESStablecentre"/>
            </w:pPr>
            <w:r>
              <w:rPr>
                <w:bCs w:val="0"/>
                <w:color w:val="000000"/>
              </w:rPr>
              <w:t>6</w:t>
            </w:r>
          </w:p>
        </w:tc>
        <w:tc>
          <w:tcPr>
            <w:tcW w:w="879" w:type="dxa"/>
            <w:shd w:val="clear" w:color="auto" w:fill="auto"/>
          </w:tcPr>
          <w:p w14:paraId="0CA28D6F" w14:textId="5E7003CC" w:rsidR="009A7EC3" w:rsidRPr="00DE25AD" w:rsidRDefault="009A7EC3" w:rsidP="009A7EC3">
            <w:pPr>
              <w:pStyle w:val="ASSADACCESStablecentre"/>
            </w:pPr>
            <w:r>
              <w:rPr>
                <w:bCs w:val="0"/>
                <w:color w:val="000000"/>
              </w:rPr>
              <w:t>6</w:t>
            </w:r>
          </w:p>
        </w:tc>
        <w:tc>
          <w:tcPr>
            <w:tcW w:w="879" w:type="dxa"/>
            <w:shd w:val="clear" w:color="auto" w:fill="auto"/>
          </w:tcPr>
          <w:p w14:paraId="53188702" w14:textId="0A4E8F17" w:rsidR="009A7EC3" w:rsidRPr="00DE25AD" w:rsidRDefault="009A7EC3" w:rsidP="009A7EC3">
            <w:pPr>
              <w:pStyle w:val="ASSADACCESStablecentre"/>
            </w:pPr>
            <w:r>
              <w:rPr>
                <w:bCs w:val="0"/>
                <w:color w:val="000000"/>
              </w:rPr>
              <w:t>5</w:t>
            </w:r>
          </w:p>
        </w:tc>
        <w:tc>
          <w:tcPr>
            <w:tcW w:w="879" w:type="dxa"/>
            <w:shd w:val="clear" w:color="auto" w:fill="auto"/>
          </w:tcPr>
          <w:p w14:paraId="6F002D98" w14:textId="02D42101" w:rsidR="009A7EC3" w:rsidRPr="00DE25AD" w:rsidRDefault="009A7EC3" w:rsidP="009A7EC3">
            <w:pPr>
              <w:pStyle w:val="ASSADACCESStablecentre"/>
            </w:pPr>
            <w:r>
              <w:rPr>
                <w:bCs w:val="0"/>
                <w:color w:val="000000"/>
              </w:rPr>
              <w:t>4^</w:t>
            </w:r>
          </w:p>
        </w:tc>
        <w:tc>
          <w:tcPr>
            <w:tcW w:w="879" w:type="dxa"/>
            <w:shd w:val="clear" w:color="auto" w:fill="auto"/>
          </w:tcPr>
          <w:p w14:paraId="74E20033" w14:textId="1F02C6F5" w:rsidR="009A7EC3" w:rsidRPr="00DE25AD" w:rsidRDefault="009A7EC3" w:rsidP="009A7EC3">
            <w:pPr>
              <w:pStyle w:val="ASSADACCESStablecentre"/>
            </w:pPr>
            <w:r>
              <w:rPr>
                <w:bCs w:val="0"/>
                <w:color w:val="000000"/>
              </w:rPr>
              <w:t>5</w:t>
            </w:r>
          </w:p>
        </w:tc>
        <w:tc>
          <w:tcPr>
            <w:tcW w:w="879" w:type="dxa"/>
            <w:shd w:val="clear" w:color="auto" w:fill="auto"/>
          </w:tcPr>
          <w:p w14:paraId="1D2E9898" w14:textId="48976332" w:rsidR="009A7EC3" w:rsidRPr="00DE25AD" w:rsidRDefault="009A7EC3" w:rsidP="009A7EC3">
            <w:pPr>
              <w:pStyle w:val="ASSADACCESStablecentre"/>
            </w:pPr>
            <w:r>
              <w:rPr>
                <w:bCs w:val="0"/>
                <w:color w:val="000000"/>
              </w:rPr>
              <w:t>4^</w:t>
            </w:r>
          </w:p>
        </w:tc>
        <w:tc>
          <w:tcPr>
            <w:tcW w:w="879" w:type="dxa"/>
            <w:shd w:val="clear" w:color="auto" w:fill="auto"/>
          </w:tcPr>
          <w:p w14:paraId="1FA0C0A2" w14:textId="72C55CDD" w:rsidR="009A7EC3" w:rsidRPr="00DE25AD" w:rsidRDefault="009A7EC3" w:rsidP="009A7EC3">
            <w:pPr>
              <w:pStyle w:val="ASSADACCESStablecentre"/>
            </w:pPr>
            <w:r>
              <w:rPr>
                <w:bCs w:val="0"/>
                <w:color w:val="000000"/>
              </w:rPr>
              <w:t>4^</w:t>
            </w:r>
          </w:p>
        </w:tc>
        <w:tc>
          <w:tcPr>
            <w:tcW w:w="879" w:type="dxa"/>
            <w:shd w:val="clear" w:color="auto" w:fill="auto"/>
          </w:tcPr>
          <w:p w14:paraId="750AD047" w14:textId="1888731D" w:rsidR="009A7EC3" w:rsidRPr="00DE25AD" w:rsidRDefault="009A7EC3" w:rsidP="009A7EC3">
            <w:pPr>
              <w:pStyle w:val="ASSADACCESStablecentre"/>
            </w:pPr>
            <w:r>
              <w:rPr>
                <w:bCs w:val="0"/>
                <w:color w:val="000000"/>
              </w:rPr>
              <w:t>5</w:t>
            </w:r>
          </w:p>
        </w:tc>
      </w:tr>
      <w:tr w:rsidR="009A7EC3" w:rsidRPr="00DE25AD" w14:paraId="5D38ECA0" w14:textId="77777777" w:rsidTr="005F678B">
        <w:tc>
          <w:tcPr>
            <w:tcW w:w="1517" w:type="dxa"/>
            <w:tcMar>
              <w:left w:w="57" w:type="dxa"/>
            </w:tcMar>
          </w:tcPr>
          <w:p w14:paraId="06140EDF" w14:textId="77777777" w:rsidR="009A7EC3" w:rsidRDefault="009A7EC3" w:rsidP="009A7EC3">
            <w:pPr>
              <w:pStyle w:val="ACCESSTableHeaderRow"/>
            </w:pPr>
            <w:r>
              <w:t>Aged 12-17</w:t>
            </w:r>
          </w:p>
        </w:tc>
        <w:tc>
          <w:tcPr>
            <w:tcW w:w="1068" w:type="dxa"/>
            <w:shd w:val="clear" w:color="auto" w:fill="auto"/>
            <w:tcMar>
              <w:left w:w="57" w:type="dxa"/>
            </w:tcMar>
            <w:vAlign w:val="center"/>
          </w:tcPr>
          <w:p w14:paraId="4A8B2A86" w14:textId="77777777" w:rsidR="009A7EC3" w:rsidRPr="00DE25AD" w:rsidRDefault="009A7EC3" w:rsidP="009A7EC3">
            <w:pPr>
              <w:pStyle w:val="ASSAD2017ACCESSBody1"/>
            </w:pPr>
          </w:p>
        </w:tc>
        <w:tc>
          <w:tcPr>
            <w:tcW w:w="878" w:type="dxa"/>
            <w:shd w:val="clear" w:color="auto" w:fill="auto"/>
            <w:vAlign w:val="bottom"/>
          </w:tcPr>
          <w:p w14:paraId="57EB2248" w14:textId="77777777" w:rsidR="009A7EC3" w:rsidRPr="00DE25AD" w:rsidRDefault="009A7EC3" w:rsidP="009A7EC3">
            <w:pPr>
              <w:pStyle w:val="ASSADACCESStablecentre"/>
            </w:pPr>
          </w:p>
        </w:tc>
        <w:tc>
          <w:tcPr>
            <w:tcW w:w="879" w:type="dxa"/>
            <w:shd w:val="clear" w:color="auto" w:fill="auto"/>
            <w:vAlign w:val="bottom"/>
          </w:tcPr>
          <w:p w14:paraId="728F088F" w14:textId="77777777" w:rsidR="009A7EC3" w:rsidRPr="00DE25AD" w:rsidRDefault="009A7EC3" w:rsidP="009A7EC3">
            <w:pPr>
              <w:pStyle w:val="ASSADACCESStablecentre"/>
            </w:pPr>
          </w:p>
        </w:tc>
        <w:tc>
          <w:tcPr>
            <w:tcW w:w="879" w:type="dxa"/>
            <w:shd w:val="clear" w:color="auto" w:fill="auto"/>
            <w:vAlign w:val="bottom"/>
          </w:tcPr>
          <w:p w14:paraId="74483F12" w14:textId="77777777" w:rsidR="009A7EC3" w:rsidRPr="00DE25AD" w:rsidRDefault="009A7EC3" w:rsidP="009A7EC3">
            <w:pPr>
              <w:pStyle w:val="ASSADACCESStablecentre"/>
            </w:pPr>
          </w:p>
        </w:tc>
        <w:tc>
          <w:tcPr>
            <w:tcW w:w="879" w:type="dxa"/>
            <w:shd w:val="clear" w:color="auto" w:fill="auto"/>
            <w:vAlign w:val="bottom"/>
          </w:tcPr>
          <w:p w14:paraId="12A88FC0" w14:textId="77777777" w:rsidR="009A7EC3" w:rsidRPr="00DE25AD" w:rsidRDefault="009A7EC3" w:rsidP="009A7EC3">
            <w:pPr>
              <w:pStyle w:val="ASSADACCESStablecentre"/>
            </w:pPr>
          </w:p>
        </w:tc>
        <w:tc>
          <w:tcPr>
            <w:tcW w:w="879" w:type="dxa"/>
            <w:shd w:val="clear" w:color="auto" w:fill="auto"/>
            <w:vAlign w:val="bottom"/>
          </w:tcPr>
          <w:p w14:paraId="679F761D" w14:textId="77777777" w:rsidR="009A7EC3" w:rsidRPr="00DE25AD" w:rsidRDefault="009A7EC3" w:rsidP="009A7EC3">
            <w:pPr>
              <w:pStyle w:val="ASSADACCESStablecentre"/>
            </w:pPr>
          </w:p>
        </w:tc>
        <w:tc>
          <w:tcPr>
            <w:tcW w:w="879" w:type="dxa"/>
            <w:shd w:val="clear" w:color="auto" w:fill="auto"/>
            <w:vAlign w:val="bottom"/>
          </w:tcPr>
          <w:p w14:paraId="6B832DAB" w14:textId="77777777" w:rsidR="009A7EC3" w:rsidRPr="00DE25AD" w:rsidRDefault="009A7EC3" w:rsidP="009A7EC3">
            <w:pPr>
              <w:pStyle w:val="ASSADACCESStablecentre"/>
            </w:pPr>
          </w:p>
        </w:tc>
        <w:tc>
          <w:tcPr>
            <w:tcW w:w="879" w:type="dxa"/>
            <w:shd w:val="clear" w:color="auto" w:fill="auto"/>
            <w:vAlign w:val="bottom"/>
          </w:tcPr>
          <w:p w14:paraId="227BF1FC" w14:textId="77777777" w:rsidR="009A7EC3" w:rsidRPr="00DE25AD" w:rsidRDefault="009A7EC3" w:rsidP="009A7EC3">
            <w:pPr>
              <w:pStyle w:val="ASSADACCESStablecentre"/>
            </w:pPr>
          </w:p>
        </w:tc>
        <w:tc>
          <w:tcPr>
            <w:tcW w:w="879" w:type="dxa"/>
            <w:shd w:val="clear" w:color="auto" w:fill="auto"/>
            <w:vAlign w:val="bottom"/>
          </w:tcPr>
          <w:p w14:paraId="07FF0394" w14:textId="77777777" w:rsidR="009A7EC3" w:rsidRPr="00DE25AD" w:rsidRDefault="009A7EC3" w:rsidP="009A7EC3">
            <w:pPr>
              <w:pStyle w:val="ASSADACCESStablecentre"/>
            </w:pPr>
          </w:p>
        </w:tc>
      </w:tr>
      <w:tr w:rsidR="009A7EC3" w:rsidRPr="00DE25AD" w14:paraId="65D6B4F0" w14:textId="77777777" w:rsidTr="005F678B">
        <w:tc>
          <w:tcPr>
            <w:tcW w:w="1517" w:type="dxa"/>
            <w:tcMar>
              <w:left w:w="57" w:type="dxa"/>
            </w:tcMar>
          </w:tcPr>
          <w:p w14:paraId="6BDAA83D" w14:textId="77777777" w:rsidR="009A7EC3" w:rsidRDefault="009A7EC3" w:rsidP="009A7EC3">
            <w:pPr>
              <w:pStyle w:val="ACCESSTableHeaderRow"/>
            </w:pPr>
            <w:r w:rsidRPr="00DE25AD">
              <w:t>Recency</w:t>
            </w:r>
          </w:p>
        </w:tc>
        <w:tc>
          <w:tcPr>
            <w:tcW w:w="1068" w:type="dxa"/>
            <w:shd w:val="clear" w:color="auto" w:fill="auto"/>
            <w:tcMar>
              <w:left w:w="57" w:type="dxa"/>
            </w:tcMar>
            <w:vAlign w:val="center"/>
          </w:tcPr>
          <w:p w14:paraId="3E751E80" w14:textId="77777777" w:rsidR="009A7EC3" w:rsidRPr="00DE25AD" w:rsidRDefault="009A7EC3" w:rsidP="009A7EC3">
            <w:pPr>
              <w:pStyle w:val="ASSAD2017ACCESSBody1"/>
            </w:pPr>
            <w:r w:rsidRPr="005C5B03">
              <w:rPr>
                <w:b/>
                <w:bCs w:val="0"/>
              </w:rPr>
              <w:t>Sex</w:t>
            </w:r>
          </w:p>
        </w:tc>
        <w:tc>
          <w:tcPr>
            <w:tcW w:w="878" w:type="dxa"/>
            <w:shd w:val="clear" w:color="auto" w:fill="auto"/>
            <w:vAlign w:val="bottom"/>
          </w:tcPr>
          <w:p w14:paraId="2E1FF589" w14:textId="77777777" w:rsidR="009A7EC3" w:rsidRPr="00DE25AD" w:rsidRDefault="009A7EC3" w:rsidP="009A7EC3">
            <w:pPr>
              <w:pStyle w:val="ASSADACCESStablecentre"/>
            </w:pPr>
          </w:p>
        </w:tc>
        <w:tc>
          <w:tcPr>
            <w:tcW w:w="879" w:type="dxa"/>
            <w:shd w:val="clear" w:color="auto" w:fill="auto"/>
            <w:vAlign w:val="bottom"/>
          </w:tcPr>
          <w:p w14:paraId="1B1B44DD" w14:textId="77777777" w:rsidR="009A7EC3" w:rsidRPr="00DE25AD" w:rsidRDefault="009A7EC3" w:rsidP="009A7EC3">
            <w:pPr>
              <w:pStyle w:val="ASSADACCESStablecentre"/>
            </w:pPr>
          </w:p>
        </w:tc>
        <w:tc>
          <w:tcPr>
            <w:tcW w:w="879" w:type="dxa"/>
            <w:shd w:val="clear" w:color="auto" w:fill="auto"/>
            <w:vAlign w:val="bottom"/>
          </w:tcPr>
          <w:p w14:paraId="002D9FB1" w14:textId="77777777" w:rsidR="009A7EC3" w:rsidRPr="00DE25AD" w:rsidRDefault="009A7EC3" w:rsidP="009A7EC3">
            <w:pPr>
              <w:pStyle w:val="ASSADACCESStablecentre"/>
            </w:pPr>
          </w:p>
        </w:tc>
        <w:tc>
          <w:tcPr>
            <w:tcW w:w="879" w:type="dxa"/>
            <w:shd w:val="clear" w:color="auto" w:fill="auto"/>
            <w:vAlign w:val="bottom"/>
          </w:tcPr>
          <w:p w14:paraId="7153EEC3" w14:textId="77777777" w:rsidR="009A7EC3" w:rsidRPr="00DE25AD" w:rsidRDefault="009A7EC3" w:rsidP="009A7EC3">
            <w:pPr>
              <w:pStyle w:val="ASSADACCESStablecentre"/>
            </w:pPr>
          </w:p>
        </w:tc>
        <w:tc>
          <w:tcPr>
            <w:tcW w:w="879" w:type="dxa"/>
            <w:shd w:val="clear" w:color="auto" w:fill="auto"/>
            <w:vAlign w:val="bottom"/>
          </w:tcPr>
          <w:p w14:paraId="3BFBA827" w14:textId="77777777" w:rsidR="009A7EC3" w:rsidRPr="00DE25AD" w:rsidRDefault="009A7EC3" w:rsidP="009A7EC3">
            <w:pPr>
              <w:pStyle w:val="ASSADACCESStablecentre"/>
            </w:pPr>
          </w:p>
        </w:tc>
        <w:tc>
          <w:tcPr>
            <w:tcW w:w="879" w:type="dxa"/>
            <w:shd w:val="clear" w:color="auto" w:fill="auto"/>
            <w:vAlign w:val="bottom"/>
          </w:tcPr>
          <w:p w14:paraId="406EA507" w14:textId="77777777" w:rsidR="009A7EC3" w:rsidRPr="00DE25AD" w:rsidRDefault="009A7EC3" w:rsidP="009A7EC3">
            <w:pPr>
              <w:pStyle w:val="ASSADACCESStablecentre"/>
            </w:pPr>
          </w:p>
        </w:tc>
        <w:tc>
          <w:tcPr>
            <w:tcW w:w="879" w:type="dxa"/>
            <w:shd w:val="clear" w:color="auto" w:fill="auto"/>
            <w:vAlign w:val="bottom"/>
          </w:tcPr>
          <w:p w14:paraId="6FBDD49B" w14:textId="77777777" w:rsidR="009A7EC3" w:rsidRPr="00DE25AD" w:rsidRDefault="009A7EC3" w:rsidP="009A7EC3">
            <w:pPr>
              <w:pStyle w:val="ASSADACCESStablecentre"/>
            </w:pPr>
          </w:p>
        </w:tc>
        <w:tc>
          <w:tcPr>
            <w:tcW w:w="879" w:type="dxa"/>
            <w:shd w:val="clear" w:color="auto" w:fill="auto"/>
            <w:vAlign w:val="bottom"/>
          </w:tcPr>
          <w:p w14:paraId="6092410F" w14:textId="77777777" w:rsidR="009A7EC3" w:rsidRPr="00DE25AD" w:rsidRDefault="009A7EC3" w:rsidP="009A7EC3">
            <w:pPr>
              <w:pStyle w:val="ASSADACCESStablecentre"/>
            </w:pPr>
          </w:p>
        </w:tc>
      </w:tr>
      <w:tr w:rsidR="009A7EC3" w:rsidRPr="00DE25AD" w14:paraId="100E7151" w14:textId="77777777" w:rsidTr="00545FF4">
        <w:tc>
          <w:tcPr>
            <w:tcW w:w="1517" w:type="dxa"/>
            <w:tcMar>
              <w:left w:w="57" w:type="dxa"/>
            </w:tcMar>
          </w:tcPr>
          <w:p w14:paraId="78E848E1"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0240DCF3" w14:textId="77777777" w:rsidR="009A7EC3" w:rsidRPr="00DE25AD" w:rsidRDefault="009A7EC3" w:rsidP="009A7EC3">
            <w:pPr>
              <w:pStyle w:val="ASSAD2017ACCESSBody1"/>
            </w:pPr>
            <w:r w:rsidRPr="00DE25AD">
              <w:t>Male</w:t>
            </w:r>
          </w:p>
        </w:tc>
        <w:tc>
          <w:tcPr>
            <w:tcW w:w="878" w:type="dxa"/>
            <w:shd w:val="clear" w:color="auto" w:fill="auto"/>
          </w:tcPr>
          <w:p w14:paraId="0D68F779" w14:textId="219E21D9" w:rsidR="009A7EC3" w:rsidRPr="00DE25AD" w:rsidRDefault="009A7EC3" w:rsidP="009A7EC3">
            <w:pPr>
              <w:pStyle w:val="ASSADACCESStablecentre"/>
            </w:pPr>
            <w:r>
              <w:rPr>
                <w:bCs w:val="0"/>
                <w:color w:val="000000"/>
              </w:rPr>
              <w:t>13*</w:t>
            </w:r>
          </w:p>
        </w:tc>
        <w:tc>
          <w:tcPr>
            <w:tcW w:w="879" w:type="dxa"/>
            <w:shd w:val="clear" w:color="auto" w:fill="auto"/>
          </w:tcPr>
          <w:p w14:paraId="0EEAA259" w14:textId="4A853A7A" w:rsidR="009A7EC3" w:rsidRPr="00DE25AD" w:rsidRDefault="009A7EC3" w:rsidP="009A7EC3">
            <w:pPr>
              <w:pStyle w:val="ASSADACCESStablecentre"/>
            </w:pPr>
            <w:r>
              <w:rPr>
                <w:bCs w:val="0"/>
                <w:color w:val="000000"/>
              </w:rPr>
              <w:t>13*</w:t>
            </w:r>
          </w:p>
        </w:tc>
        <w:tc>
          <w:tcPr>
            <w:tcW w:w="879" w:type="dxa"/>
            <w:shd w:val="clear" w:color="auto" w:fill="auto"/>
          </w:tcPr>
          <w:p w14:paraId="5A62DC17" w14:textId="74214072" w:rsidR="009A7EC3" w:rsidRPr="00DE25AD" w:rsidRDefault="009A7EC3" w:rsidP="009A7EC3">
            <w:pPr>
              <w:pStyle w:val="ASSADACCESStablecentre"/>
            </w:pPr>
            <w:r>
              <w:rPr>
                <w:bCs w:val="0"/>
                <w:color w:val="000000"/>
              </w:rPr>
              <w:t>11*^</w:t>
            </w:r>
          </w:p>
        </w:tc>
        <w:tc>
          <w:tcPr>
            <w:tcW w:w="879" w:type="dxa"/>
            <w:shd w:val="clear" w:color="auto" w:fill="auto"/>
          </w:tcPr>
          <w:p w14:paraId="1DA23B32" w14:textId="3AB2455C" w:rsidR="009A7EC3" w:rsidRPr="00DE25AD" w:rsidRDefault="009A7EC3" w:rsidP="009A7EC3">
            <w:pPr>
              <w:pStyle w:val="ASSADACCESStablecentre"/>
            </w:pPr>
            <w:r>
              <w:rPr>
                <w:bCs w:val="0"/>
                <w:color w:val="000000"/>
              </w:rPr>
              <w:t>9^</w:t>
            </w:r>
          </w:p>
        </w:tc>
        <w:tc>
          <w:tcPr>
            <w:tcW w:w="879" w:type="dxa"/>
            <w:shd w:val="clear" w:color="auto" w:fill="auto"/>
          </w:tcPr>
          <w:p w14:paraId="73C5A2A9" w14:textId="641B9C48" w:rsidR="009A7EC3" w:rsidRPr="00DE25AD" w:rsidRDefault="009A7EC3" w:rsidP="009A7EC3">
            <w:pPr>
              <w:pStyle w:val="ASSADACCESStablecentre"/>
            </w:pPr>
            <w:r>
              <w:rPr>
                <w:bCs w:val="0"/>
                <w:color w:val="000000"/>
              </w:rPr>
              <w:t>8^</w:t>
            </w:r>
          </w:p>
        </w:tc>
        <w:tc>
          <w:tcPr>
            <w:tcW w:w="879" w:type="dxa"/>
            <w:shd w:val="clear" w:color="auto" w:fill="auto"/>
          </w:tcPr>
          <w:p w14:paraId="7FFE21C1" w14:textId="12476966" w:rsidR="009A7EC3" w:rsidRPr="00DE25AD" w:rsidRDefault="009A7EC3" w:rsidP="009A7EC3">
            <w:pPr>
              <w:pStyle w:val="ASSADACCESStablecentre"/>
            </w:pPr>
            <w:r>
              <w:rPr>
                <w:bCs w:val="0"/>
                <w:color w:val="000000"/>
              </w:rPr>
              <w:t>7^</w:t>
            </w:r>
          </w:p>
        </w:tc>
        <w:tc>
          <w:tcPr>
            <w:tcW w:w="879" w:type="dxa"/>
            <w:shd w:val="clear" w:color="auto" w:fill="auto"/>
          </w:tcPr>
          <w:p w14:paraId="5361ECC3" w14:textId="58A32F77" w:rsidR="009A7EC3" w:rsidRPr="00DE25AD" w:rsidRDefault="009A7EC3" w:rsidP="009A7EC3">
            <w:pPr>
              <w:pStyle w:val="ASSADACCESStablecentre"/>
            </w:pPr>
            <w:r>
              <w:rPr>
                <w:bCs w:val="0"/>
                <w:color w:val="000000"/>
              </w:rPr>
              <w:t>6^</w:t>
            </w:r>
          </w:p>
        </w:tc>
        <w:tc>
          <w:tcPr>
            <w:tcW w:w="879" w:type="dxa"/>
            <w:shd w:val="clear" w:color="auto" w:fill="auto"/>
          </w:tcPr>
          <w:p w14:paraId="6EC4D439" w14:textId="0760D807" w:rsidR="009A7EC3" w:rsidRPr="00DE25AD" w:rsidRDefault="009A7EC3" w:rsidP="009A7EC3">
            <w:pPr>
              <w:pStyle w:val="ASSADACCESStablecentre"/>
            </w:pPr>
            <w:r>
              <w:rPr>
                <w:bCs w:val="0"/>
                <w:color w:val="000000"/>
              </w:rPr>
              <w:t>7^</w:t>
            </w:r>
          </w:p>
        </w:tc>
      </w:tr>
      <w:tr w:rsidR="009A7EC3" w:rsidRPr="00DE25AD" w14:paraId="21A714D5" w14:textId="77777777" w:rsidTr="005F678B">
        <w:tc>
          <w:tcPr>
            <w:tcW w:w="1517" w:type="dxa"/>
            <w:tcMar>
              <w:left w:w="57" w:type="dxa"/>
            </w:tcMar>
          </w:tcPr>
          <w:p w14:paraId="151DE567" w14:textId="77777777" w:rsidR="009A7EC3" w:rsidRPr="00DE25AD" w:rsidRDefault="009A7EC3" w:rsidP="009A7EC3">
            <w:pPr>
              <w:pStyle w:val="ACCESSTableHeaderRow"/>
            </w:pPr>
          </w:p>
        </w:tc>
        <w:tc>
          <w:tcPr>
            <w:tcW w:w="1068" w:type="dxa"/>
            <w:shd w:val="clear" w:color="auto" w:fill="auto"/>
            <w:tcMar>
              <w:left w:w="57" w:type="dxa"/>
            </w:tcMar>
            <w:vAlign w:val="bottom"/>
          </w:tcPr>
          <w:p w14:paraId="36F66401" w14:textId="77777777" w:rsidR="009A7EC3" w:rsidRPr="00DE25AD" w:rsidRDefault="009A7EC3" w:rsidP="009A7EC3">
            <w:pPr>
              <w:pStyle w:val="ASSAD2017ACCESSBody1"/>
            </w:pPr>
            <w:r w:rsidRPr="00DE25AD">
              <w:t>Female</w:t>
            </w:r>
          </w:p>
        </w:tc>
        <w:tc>
          <w:tcPr>
            <w:tcW w:w="878" w:type="dxa"/>
            <w:shd w:val="clear" w:color="auto" w:fill="auto"/>
          </w:tcPr>
          <w:p w14:paraId="25674E0F" w14:textId="294C3852" w:rsidR="009A7EC3" w:rsidRPr="00DE25AD" w:rsidRDefault="009A7EC3" w:rsidP="009A7EC3">
            <w:pPr>
              <w:pStyle w:val="ASSADACCESStablecentre"/>
            </w:pPr>
            <w:r>
              <w:rPr>
                <w:bCs w:val="0"/>
                <w:color w:val="000000"/>
              </w:rPr>
              <w:t>10*</w:t>
            </w:r>
          </w:p>
        </w:tc>
        <w:tc>
          <w:tcPr>
            <w:tcW w:w="879" w:type="dxa"/>
            <w:shd w:val="clear" w:color="auto" w:fill="auto"/>
          </w:tcPr>
          <w:p w14:paraId="072A6B2C" w14:textId="6C1968F8" w:rsidR="009A7EC3" w:rsidRPr="00DE25AD" w:rsidRDefault="009A7EC3" w:rsidP="009A7EC3">
            <w:pPr>
              <w:pStyle w:val="ASSADACCESStablecentre"/>
            </w:pPr>
            <w:r>
              <w:rPr>
                <w:bCs w:val="0"/>
                <w:color w:val="000000"/>
              </w:rPr>
              <w:t>11*</w:t>
            </w:r>
          </w:p>
        </w:tc>
        <w:tc>
          <w:tcPr>
            <w:tcW w:w="879" w:type="dxa"/>
            <w:shd w:val="clear" w:color="auto" w:fill="auto"/>
          </w:tcPr>
          <w:p w14:paraId="015E22AC" w14:textId="25DCE15D" w:rsidR="009A7EC3" w:rsidRPr="00DE25AD" w:rsidRDefault="009A7EC3" w:rsidP="009A7EC3">
            <w:pPr>
              <w:pStyle w:val="ASSADACCESStablecentre"/>
            </w:pPr>
            <w:r>
              <w:rPr>
                <w:bCs w:val="0"/>
                <w:color w:val="000000"/>
              </w:rPr>
              <w:t>10*</w:t>
            </w:r>
          </w:p>
        </w:tc>
        <w:tc>
          <w:tcPr>
            <w:tcW w:w="879" w:type="dxa"/>
            <w:shd w:val="clear" w:color="auto" w:fill="auto"/>
          </w:tcPr>
          <w:p w14:paraId="1364CFFE" w14:textId="25BE7C96" w:rsidR="009A7EC3" w:rsidRPr="00DE25AD" w:rsidRDefault="009A7EC3" w:rsidP="009A7EC3">
            <w:pPr>
              <w:pStyle w:val="ASSADACCESStablecentre"/>
            </w:pPr>
            <w:r>
              <w:rPr>
                <w:bCs w:val="0"/>
                <w:color w:val="000000"/>
              </w:rPr>
              <w:t>8*^</w:t>
            </w:r>
          </w:p>
        </w:tc>
        <w:tc>
          <w:tcPr>
            <w:tcW w:w="879" w:type="dxa"/>
            <w:shd w:val="clear" w:color="auto" w:fill="auto"/>
          </w:tcPr>
          <w:p w14:paraId="1D8BFCE6" w14:textId="17BE4B21" w:rsidR="009A7EC3" w:rsidRPr="00DE25AD" w:rsidRDefault="009A7EC3" w:rsidP="009A7EC3">
            <w:pPr>
              <w:pStyle w:val="ASSADACCESStablecentre"/>
            </w:pPr>
            <w:r>
              <w:rPr>
                <w:bCs w:val="0"/>
                <w:color w:val="000000"/>
              </w:rPr>
              <w:t>7^</w:t>
            </w:r>
          </w:p>
        </w:tc>
        <w:tc>
          <w:tcPr>
            <w:tcW w:w="879" w:type="dxa"/>
            <w:shd w:val="clear" w:color="auto" w:fill="auto"/>
          </w:tcPr>
          <w:p w14:paraId="1E71B652" w14:textId="7A54F326" w:rsidR="009A7EC3" w:rsidRPr="00DE25AD" w:rsidRDefault="009A7EC3" w:rsidP="009A7EC3">
            <w:pPr>
              <w:pStyle w:val="ASSADACCESStablecentre"/>
            </w:pPr>
            <w:r>
              <w:rPr>
                <w:bCs w:val="0"/>
                <w:color w:val="000000"/>
              </w:rPr>
              <w:t>6^</w:t>
            </w:r>
          </w:p>
        </w:tc>
        <w:tc>
          <w:tcPr>
            <w:tcW w:w="879" w:type="dxa"/>
            <w:shd w:val="clear" w:color="auto" w:fill="auto"/>
          </w:tcPr>
          <w:p w14:paraId="0B6C30CF" w14:textId="2800E18E" w:rsidR="009A7EC3" w:rsidRPr="00DE25AD" w:rsidRDefault="009A7EC3" w:rsidP="009A7EC3">
            <w:pPr>
              <w:pStyle w:val="ASSADACCESStablecentre"/>
            </w:pPr>
            <w:r>
              <w:rPr>
                <w:bCs w:val="0"/>
                <w:color w:val="000000"/>
              </w:rPr>
              <w:t>5^</w:t>
            </w:r>
          </w:p>
        </w:tc>
        <w:tc>
          <w:tcPr>
            <w:tcW w:w="879" w:type="dxa"/>
            <w:shd w:val="clear" w:color="auto" w:fill="auto"/>
          </w:tcPr>
          <w:p w14:paraId="50993C31" w14:textId="44D9DC07" w:rsidR="009A7EC3" w:rsidRPr="00DE25AD" w:rsidRDefault="009A7EC3" w:rsidP="009A7EC3">
            <w:pPr>
              <w:pStyle w:val="ASSADACCESStablecentre"/>
            </w:pPr>
            <w:r>
              <w:rPr>
                <w:bCs w:val="0"/>
                <w:color w:val="000000"/>
              </w:rPr>
              <w:t>5^</w:t>
            </w:r>
          </w:p>
        </w:tc>
      </w:tr>
      <w:tr w:rsidR="009A7EC3" w:rsidRPr="00DE25AD" w14:paraId="1E2A33F5" w14:textId="77777777" w:rsidTr="005F678B">
        <w:trPr>
          <w:trHeight w:val="247"/>
        </w:trPr>
        <w:tc>
          <w:tcPr>
            <w:tcW w:w="1517" w:type="dxa"/>
            <w:tcMar>
              <w:left w:w="57" w:type="dxa"/>
            </w:tcMar>
          </w:tcPr>
          <w:p w14:paraId="21D6F643" w14:textId="77777777" w:rsidR="009A7EC3" w:rsidRPr="00DE25AD" w:rsidRDefault="009A7EC3" w:rsidP="009A7EC3">
            <w:pPr>
              <w:pStyle w:val="ACCESSTableHeaderRow"/>
            </w:pPr>
          </w:p>
        </w:tc>
        <w:tc>
          <w:tcPr>
            <w:tcW w:w="1068" w:type="dxa"/>
            <w:shd w:val="clear" w:color="auto" w:fill="auto"/>
            <w:tcMar>
              <w:left w:w="57" w:type="dxa"/>
            </w:tcMar>
            <w:vAlign w:val="bottom"/>
          </w:tcPr>
          <w:p w14:paraId="4EB23BBC" w14:textId="77777777" w:rsidR="009A7EC3" w:rsidRPr="00DE25AD" w:rsidRDefault="009A7EC3" w:rsidP="009A7EC3">
            <w:pPr>
              <w:pStyle w:val="ASSAD2017ACCESSBody1"/>
            </w:pPr>
            <w:r w:rsidRPr="00DE25AD">
              <w:t>Total</w:t>
            </w:r>
          </w:p>
        </w:tc>
        <w:tc>
          <w:tcPr>
            <w:tcW w:w="878" w:type="dxa"/>
            <w:shd w:val="clear" w:color="auto" w:fill="auto"/>
          </w:tcPr>
          <w:p w14:paraId="26AA7B82" w14:textId="74DAD168" w:rsidR="009A7EC3" w:rsidRPr="00DE25AD" w:rsidRDefault="009A7EC3" w:rsidP="009A7EC3">
            <w:pPr>
              <w:pStyle w:val="ASSADACCESStablecentre"/>
            </w:pPr>
            <w:r>
              <w:rPr>
                <w:bCs w:val="0"/>
                <w:color w:val="000000"/>
              </w:rPr>
              <w:t>12*</w:t>
            </w:r>
          </w:p>
        </w:tc>
        <w:tc>
          <w:tcPr>
            <w:tcW w:w="879" w:type="dxa"/>
            <w:shd w:val="clear" w:color="auto" w:fill="auto"/>
          </w:tcPr>
          <w:p w14:paraId="7550E664" w14:textId="09A06CF5" w:rsidR="009A7EC3" w:rsidRPr="00DE25AD" w:rsidRDefault="009A7EC3" w:rsidP="009A7EC3">
            <w:pPr>
              <w:pStyle w:val="ASSADACCESStablecentre"/>
            </w:pPr>
            <w:r>
              <w:rPr>
                <w:bCs w:val="0"/>
                <w:color w:val="000000"/>
              </w:rPr>
              <w:t>12*</w:t>
            </w:r>
          </w:p>
        </w:tc>
        <w:tc>
          <w:tcPr>
            <w:tcW w:w="879" w:type="dxa"/>
            <w:shd w:val="clear" w:color="auto" w:fill="auto"/>
          </w:tcPr>
          <w:p w14:paraId="3BA38510" w14:textId="6A80B550" w:rsidR="009A7EC3" w:rsidRPr="00DE25AD" w:rsidRDefault="009A7EC3" w:rsidP="009A7EC3">
            <w:pPr>
              <w:pStyle w:val="ASSADACCESStablecentre"/>
            </w:pPr>
            <w:r>
              <w:rPr>
                <w:bCs w:val="0"/>
                <w:color w:val="000000"/>
              </w:rPr>
              <w:t>10*^</w:t>
            </w:r>
          </w:p>
        </w:tc>
        <w:tc>
          <w:tcPr>
            <w:tcW w:w="879" w:type="dxa"/>
            <w:shd w:val="clear" w:color="auto" w:fill="auto"/>
          </w:tcPr>
          <w:p w14:paraId="0B347EAC" w14:textId="66B8B4BF" w:rsidR="009A7EC3" w:rsidRPr="00DE25AD" w:rsidRDefault="009A7EC3" w:rsidP="009A7EC3">
            <w:pPr>
              <w:pStyle w:val="ASSADACCESStablecentre"/>
            </w:pPr>
            <w:r>
              <w:rPr>
                <w:bCs w:val="0"/>
                <w:color w:val="000000"/>
              </w:rPr>
              <w:t>8*^</w:t>
            </w:r>
          </w:p>
        </w:tc>
        <w:tc>
          <w:tcPr>
            <w:tcW w:w="879" w:type="dxa"/>
            <w:shd w:val="clear" w:color="auto" w:fill="auto"/>
          </w:tcPr>
          <w:p w14:paraId="77EC4760" w14:textId="56FAF8CC" w:rsidR="009A7EC3" w:rsidRPr="00DE25AD" w:rsidRDefault="009A7EC3" w:rsidP="009A7EC3">
            <w:pPr>
              <w:pStyle w:val="ASSADACCESStablecentre"/>
            </w:pPr>
            <w:r>
              <w:rPr>
                <w:bCs w:val="0"/>
                <w:color w:val="000000"/>
              </w:rPr>
              <w:t>7^</w:t>
            </w:r>
          </w:p>
        </w:tc>
        <w:tc>
          <w:tcPr>
            <w:tcW w:w="879" w:type="dxa"/>
            <w:shd w:val="clear" w:color="auto" w:fill="auto"/>
          </w:tcPr>
          <w:p w14:paraId="3E7B253C" w14:textId="75279C26" w:rsidR="009A7EC3" w:rsidRPr="00DE25AD" w:rsidRDefault="009A7EC3" w:rsidP="009A7EC3">
            <w:pPr>
              <w:pStyle w:val="ASSADACCESStablecentre"/>
            </w:pPr>
            <w:r>
              <w:rPr>
                <w:bCs w:val="0"/>
                <w:color w:val="000000"/>
              </w:rPr>
              <w:t>6^</w:t>
            </w:r>
          </w:p>
        </w:tc>
        <w:tc>
          <w:tcPr>
            <w:tcW w:w="879" w:type="dxa"/>
            <w:shd w:val="clear" w:color="auto" w:fill="auto"/>
          </w:tcPr>
          <w:p w14:paraId="15505647" w14:textId="0B9E492E" w:rsidR="009A7EC3" w:rsidRPr="00DE25AD" w:rsidRDefault="009A7EC3" w:rsidP="009A7EC3">
            <w:pPr>
              <w:pStyle w:val="ASSADACCESStablecentre"/>
            </w:pPr>
            <w:r>
              <w:rPr>
                <w:bCs w:val="0"/>
                <w:color w:val="000000"/>
              </w:rPr>
              <w:t>6^</w:t>
            </w:r>
          </w:p>
        </w:tc>
        <w:tc>
          <w:tcPr>
            <w:tcW w:w="879" w:type="dxa"/>
            <w:shd w:val="clear" w:color="auto" w:fill="auto"/>
          </w:tcPr>
          <w:p w14:paraId="460A8F59" w14:textId="526A286D" w:rsidR="009A7EC3" w:rsidRPr="00DE25AD" w:rsidRDefault="009A7EC3" w:rsidP="009A7EC3">
            <w:pPr>
              <w:pStyle w:val="ASSADACCESStablecentre"/>
            </w:pPr>
            <w:r>
              <w:rPr>
                <w:bCs w:val="0"/>
                <w:color w:val="000000"/>
              </w:rPr>
              <w:t>6^</w:t>
            </w:r>
          </w:p>
        </w:tc>
      </w:tr>
      <w:tr w:rsidR="009A7EC3" w:rsidRPr="00DE25AD" w14:paraId="187293DB" w14:textId="77777777" w:rsidTr="005F678B">
        <w:trPr>
          <w:trHeight w:val="247"/>
        </w:trPr>
        <w:tc>
          <w:tcPr>
            <w:tcW w:w="1517" w:type="dxa"/>
            <w:tcMar>
              <w:left w:w="57" w:type="dxa"/>
            </w:tcMar>
          </w:tcPr>
          <w:p w14:paraId="541803B0"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38524DEE" w14:textId="77777777" w:rsidR="009A7EC3" w:rsidRPr="00DE25AD" w:rsidRDefault="009A7EC3" w:rsidP="009A7EC3">
            <w:pPr>
              <w:pStyle w:val="ASSAD2017ACCESSBody1"/>
            </w:pPr>
            <w:r w:rsidRPr="00DE25AD">
              <w:t>Male</w:t>
            </w:r>
          </w:p>
        </w:tc>
        <w:tc>
          <w:tcPr>
            <w:tcW w:w="878" w:type="dxa"/>
            <w:shd w:val="clear" w:color="auto" w:fill="auto"/>
          </w:tcPr>
          <w:p w14:paraId="488478E1" w14:textId="4D9DB8B6" w:rsidR="009A7EC3" w:rsidRPr="00DE25AD" w:rsidRDefault="009A7EC3" w:rsidP="009A7EC3">
            <w:pPr>
              <w:pStyle w:val="ASSADACCESStablecentre"/>
            </w:pPr>
            <w:r>
              <w:rPr>
                <w:bCs w:val="0"/>
                <w:color w:val="000000"/>
              </w:rPr>
              <w:t>5*</w:t>
            </w:r>
          </w:p>
        </w:tc>
        <w:tc>
          <w:tcPr>
            <w:tcW w:w="879" w:type="dxa"/>
            <w:shd w:val="clear" w:color="auto" w:fill="auto"/>
          </w:tcPr>
          <w:p w14:paraId="1D1E2C47" w14:textId="36C3F329" w:rsidR="009A7EC3" w:rsidRPr="00DE25AD" w:rsidRDefault="009A7EC3" w:rsidP="009A7EC3">
            <w:pPr>
              <w:pStyle w:val="ASSADACCESStablecentre"/>
            </w:pPr>
            <w:r>
              <w:rPr>
                <w:bCs w:val="0"/>
                <w:color w:val="000000"/>
              </w:rPr>
              <w:t>6*</w:t>
            </w:r>
          </w:p>
        </w:tc>
        <w:tc>
          <w:tcPr>
            <w:tcW w:w="879" w:type="dxa"/>
            <w:shd w:val="clear" w:color="auto" w:fill="auto"/>
          </w:tcPr>
          <w:p w14:paraId="29955FC9" w14:textId="16544BF5" w:rsidR="009A7EC3" w:rsidRPr="00DE25AD" w:rsidRDefault="009A7EC3" w:rsidP="009A7EC3">
            <w:pPr>
              <w:pStyle w:val="ASSADACCESStablecentre"/>
            </w:pPr>
            <w:r>
              <w:rPr>
                <w:bCs w:val="0"/>
                <w:color w:val="000000"/>
              </w:rPr>
              <w:t>5^</w:t>
            </w:r>
          </w:p>
        </w:tc>
        <w:tc>
          <w:tcPr>
            <w:tcW w:w="879" w:type="dxa"/>
            <w:shd w:val="clear" w:color="auto" w:fill="auto"/>
          </w:tcPr>
          <w:p w14:paraId="62885A24" w14:textId="3AF2A43C" w:rsidR="009A7EC3" w:rsidRPr="00DE25AD" w:rsidRDefault="009A7EC3" w:rsidP="009A7EC3">
            <w:pPr>
              <w:pStyle w:val="ASSADACCESStablecentre"/>
            </w:pPr>
            <w:r>
              <w:rPr>
                <w:bCs w:val="0"/>
                <w:color w:val="000000"/>
              </w:rPr>
              <w:t>5</w:t>
            </w:r>
          </w:p>
        </w:tc>
        <w:tc>
          <w:tcPr>
            <w:tcW w:w="879" w:type="dxa"/>
            <w:shd w:val="clear" w:color="auto" w:fill="auto"/>
          </w:tcPr>
          <w:p w14:paraId="23F6F2CB" w14:textId="09936E69" w:rsidR="009A7EC3" w:rsidRPr="00DE25AD" w:rsidRDefault="009A7EC3" w:rsidP="009A7EC3">
            <w:pPr>
              <w:pStyle w:val="ASSADACCESStablecentre"/>
            </w:pPr>
            <w:r>
              <w:rPr>
                <w:bCs w:val="0"/>
                <w:color w:val="000000"/>
              </w:rPr>
              <w:t>4^</w:t>
            </w:r>
          </w:p>
        </w:tc>
        <w:tc>
          <w:tcPr>
            <w:tcW w:w="879" w:type="dxa"/>
            <w:shd w:val="clear" w:color="auto" w:fill="auto"/>
          </w:tcPr>
          <w:p w14:paraId="53CD15CF" w14:textId="77FF7919" w:rsidR="009A7EC3" w:rsidRPr="00DE25AD" w:rsidRDefault="009A7EC3" w:rsidP="009A7EC3">
            <w:pPr>
              <w:pStyle w:val="ASSADACCESStablecentre"/>
            </w:pPr>
            <w:r>
              <w:rPr>
                <w:bCs w:val="0"/>
                <w:color w:val="000000"/>
              </w:rPr>
              <w:t>3^</w:t>
            </w:r>
          </w:p>
        </w:tc>
        <w:tc>
          <w:tcPr>
            <w:tcW w:w="879" w:type="dxa"/>
            <w:shd w:val="clear" w:color="auto" w:fill="auto"/>
          </w:tcPr>
          <w:p w14:paraId="7DCA8BA6" w14:textId="1ED5B4D0" w:rsidR="009A7EC3" w:rsidRPr="00DE25AD" w:rsidRDefault="009A7EC3" w:rsidP="009A7EC3">
            <w:pPr>
              <w:pStyle w:val="ASSADACCESStablecentre"/>
            </w:pPr>
            <w:r>
              <w:rPr>
                <w:bCs w:val="0"/>
                <w:color w:val="000000"/>
              </w:rPr>
              <w:t>3^</w:t>
            </w:r>
          </w:p>
        </w:tc>
        <w:tc>
          <w:tcPr>
            <w:tcW w:w="879" w:type="dxa"/>
            <w:shd w:val="clear" w:color="auto" w:fill="auto"/>
          </w:tcPr>
          <w:p w14:paraId="5E5C5D42" w14:textId="07864571" w:rsidR="009A7EC3" w:rsidRPr="00DE25AD" w:rsidRDefault="009A7EC3" w:rsidP="009A7EC3">
            <w:pPr>
              <w:pStyle w:val="ASSADACCESStablecentre"/>
            </w:pPr>
            <w:r>
              <w:rPr>
                <w:bCs w:val="0"/>
                <w:color w:val="000000"/>
              </w:rPr>
              <w:t>3^</w:t>
            </w:r>
          </w:p>
        </w:tc>
      </w:tr>
      <w:tr w:rsidR="009A7EC3" w:rsidRPr="00DE25AD" w14:paraId="79DF5042" w14:textId="77777777" w:rsidTr="005F678B">
        <w:trPr>
          <w:trHeight w:val="247"/>
        </w:trPr>
        <w:tc>
          <w:tcPr>
            <w:tcW w:w="1517" w:type="dxa"/>
            <w:tcMar>
              <w:left w:w="57" w:type="dxa"/>
            </w:tcMar>
          </w:tcPr>
          <w:p w14:paraId="7E9EFB17" w14:textId="77777777" w:rsidR="009A7EC3" w:rsidRPr="00DE25AD" w:rsidRDefault="009A7EC3" w:rsidP="009A7EC3">
            <w:pPr>
              <w:pStyle w:val="ACCESSTableHeaderRow"/>
            </w:pPr>
          </w:p>
        </w:tc>
        <w:tc>
          <w:tcPr>
            <w:tcW w:w="1068" w:type="dxa"/>
            <w:shd w:val="clear" w:color="auto" w:fill="auto"/>
            <w:tcMar>
              <w:left w:w="57" w:type="dxa"/>
            </w:tcMar>
            <w:vAlign w:val="bottom"/>
          </w:tcPr>
          <w:p w14:paraId="3413ACF3" w14:textId="77777777" w:rsidR="009A7EC3" w:rsidRPr="00DE25AD" w:rsidRDefault="009A7EC3" w:rsidP="009A7EC3">
            <w:pPr>
              <w:pStyle w:val="ASSAD2017ACCESSBody1"/>
            </w:pPr>
            <w:r w:rsidRPr="00DE25AD">
              <w:t>Female</w:t>
            </w:r>
          </w:p>
        </w:tc>
        <w:tc>
          <w:tcPr>
            <w:tcW w:w="878" w:type="dxa"/>
            <w:shd w:val="clear" w:color="auto" w:fill="auto"/>
          </w:tcPr>
          <w:p w14:paraId="71DEA909" w14:textId="4522A42B" w:rsidR="009A7EC3" w:rsidRPr="00DE25AD" w:rsidRDefault="009A7EC3" w:rsidP="009A7EC3">
            <w:pPr>
              <w:pStyle w:val="ASSADACCESStablecentre"/>
            </w:pPr>
            <w:r>
              <w:rPr>
                <w:bCs w:val="0"/>
                <w:color w:val="000000"/>
              </w:rPr>
              <w:t>3*</w:t>
            </w:r>
          </w:p>
        </w:tc>
        <w:tc>
          <w:tcPr>
            <w:tcW w:w="879" w:type="dxa"/>
            <w:shd w:val="clear" w:color="auto" w:fill="auto"/>
          </w:tcPr>
          <w:p w14:paraId="0607B868" w14:textId="5D00CE3A" w:rsidR="009A7EC3" w:rsidRPr="00DE25AD" w:rsidRDefault="009A7EC3" w:rsidP="009A7EC3">
            <w:pPr>
              <w:pStyle w:val="ASSADACCESStablecentre"/>
            </w:pPr>
            <w:r>
              <w:rPr>
                <w:bCs w:val="0"/>
                <w:color w:val="000000"/>
              </w:rPr>
              <w:t>3*</w:t>
            </w:r>
          </w:p>
        </w:tc>
        <w:tc>
          <w:tcPr>
            <w:tcW w:w="879" w:type="dxa"/>
            <w:shd w:val="clear" w:color="auto" w:fill="auto"/>
          </w:tcPr>
          <w:p w14:paraId="713A2440" w14:textId="02F4614A" w:rsidR="009A7EC3" w:rsidRPr="00DE25AD" w:rsidRDefault="009A7EC3" w:rsidP="009A7EC3">
            <w:pPr>
              <w:pStyle w:val="ASSADACCESStablecentre"/>
            </w:pPr>
            <w:r>
              <w:rPr>
                <w:bCs w:val="0"/>
                <w:color w:val="000000"/>
              </w:rPr>
              <w:t>3*</w:t>
            </w:r>
          </w:p>
        </w:tc>
        <w:tc>
          <w:tcPr>
            <w:tcW w:w="879" w:type="dxa"/>
            <w:shd w:val="clear" w:color="auto" w:fill="auto"/>
          </w:tcPr>
          <w:p w14:paraId="5E8DAD79" w14:textId="7444FBAB" w:rsidR="009A7EC3" w:rsidRPr="00DE25AD" w:rsidRDefault="009A7EC3" w:rsidP="009A7EC3">
            <w:pPr>
              <w:pStyle w:val="ASSADACCESStablecentre"/>
            </w:pPr>
            <w:r>
              <w:rPr>
                <w:bCs w:val="0"/>
                <w:color w:val="000000"/>
              </w:rPr>
              <w:t>3</w:t>
            </w:r>
          </w:p>
        </w:tc>
        <w:tc>
          <w:tcPr>
            <w:tcW w:w="879" w:type="dxa"/>
            <w:shd w:val="clear" w:color="auto" w:fill="auto"/>
          </w:tcPr>
          <w:p w14:paraId="7C44EF78" w14:textId="1577BA46" w:rsidR="009A7EC3" w:rsidRPr="00DE25AD" w:rsidRDefault="009A7EC3" w:rsidP="009A7EC3">
            <w:pPr>
              <w:pStyle w:val="ASSADACCESStablecentre"/>
            </w:pPr>
            <w:r>
              <w:rPr>
                <w:bCs w:val="0"/>
                <w:color w:val="000000"/>
              </w:rPr>
              <w:t>3^</w:t>
            </w:r>
          </w:p>
        </w:tc>
        <w:tc>
          <w:tcPr>
            <w:tcW w:w="879" w:type="dxa"/>
            <w:shd w:val="clear" w:color="auto" w:fill="auto"/>
          </w:tcPr>
          <w:p w14:paraId="7BA3B9BD" w14:textId="2D31D03E" w:rsidR="009A7EC3" w:rsidRPr="00DE25AD" w:rsidRDefault="009A7EC3" w:rsidP="009A7EC3">
            <w:pPr>
              <w:pStyle w:val="ASSADACCESStablecentre"/>
            </w:pPr>
            <w:r>
              <w:rPr>
                <w:bCs w:val="0"/>
                <w:color w:val="000000"/>
              </w:rPr>
              <w:t>2^</w:t>
            </w:r>
          </w:p>
        </w:tc>
        <w:tc>
          <w:tcPr>
            <w:tcW w:w="879" w:type="dxa"/>
            <w:shd w:val="clear" w:color="auto" w:fill="auto"/>
          </w:tcPr>
          <w:p w14:paraId="53197E45" w14:textId="6B0EB8EE" w:rsidR="009A7EC3" w:rsidRPr="00DE25AD" w:rsidRDefault="009A7EC3" w:rsidP="009A7EC3">
            <w:pPr>
              <w:pStyle w:val="ASSADACCESStablecentre"/>
            </w:pPr>
            <w:r>
              <w:rPr>
                <w:bCs w:val="0"/>
                <w:color w:val="000000"/>
              </w:rPr>
              <w:t>2^</w:t>
            </w:r>
          </w:p>
        </w:tc>
        <w:tc>
          <w:tcPr>
            <w:tcW w:w="879" w:type="dxa"/>
            <w:shd w:val="clear" w:color="auto" w:fill="auto"/>
          </w:tcPr>
          <w:p w14:paraId="140E0B97" w14:textId="2ED97D92" w:rsidR="009A7EC3" w:rsidRPr="00DE25AD" w:rsidRDefault="009A7EC3" w:rsidP="009A7EC3">
            <w:pPr>
              <w:pStyle w:val="ASSADACCESStablecentre"/>
            </w:pPr>
            <w:r>
              <w:rPr>
                <w:bCs w:val="0"/>
                <w:color w:val="000000"/>
              </w:rPr>
              <w:t>2^</w:t>
            </w:r>
          </w:p>
        </w:tc>
      </w:tr>
      <w:tr w:rsidR="009A7EC3" w:rsidRPr="00DE25AD" w14:paraId="4E35641A" w14:textId="77777777" w:rsidTr="005F678B">
        <w:trPr>
          <w:trHeight w:val="247"/>
        </w:trPr>
        <w:tc>
          <w:tcPr>
            <w:tcW w:w="1517" w:type="dxa"/>
            <w:tcMar>
              <w:left w:w="57" w:type="dxa"/>
            </w:tcMar>
          </w:tcPr>
          <w:p w14:paraId="0716DADB" w14:textId="77777777" w:rsidR="009A7EC3" w:rsidRPr="00DE25AD" w:rsidRDefault="009A7EC3" w:rsidP="009A7EC3">
            <w:pPr>
              <w:pStyle w:val="ACCESSTableHeaderRow"/>
            </w:pPr>
          </w:p>
        </w:tc>
        <w:tc>
          <w:tcPr>
            <w:tcW w:w="1068" w:type="dxa"/>
            <w:shd w:val="clear" w:color="auto" w:fill="auto"/>
            <w:tcMar>
              <w:left w:w="57" w:type="dxa"/>
            </w:tcMar>
            <w:vAlign w:val="bottom"/>
          </w:tcPr>
          <w:p w14:paraId="12D6C62C" w14:textId="77777777" w:rsidR="009A7EC3" w:rsidRPr="00DE25AD" w:rsidRDefault="009A7EC3" w:rsidP="009A7EC3">
            <w:pPr>
              <w:pStyle w:val="ASSAD2017ACCESSBody1"/>
            </w:pPr>
            <w:r w:rsidRPr="00DE25AD">
              <w:t>Total</w:t>
            </w:r>
          </w:p>
        </w:tc>
        <w:tc>
          <w:tcPr>
            <w:tcW w:w="878" w:type="dxa"/>
            <w:shd w:val="clear" w:color="auto" w:fill="auto"/>
          </w:tcPr>
          <w:p w14:paraId="547D4BD1" w14:textId="68B30E4C" w:rsidR="009A7EC3" w:rsidRPr="00DE25AD" w:rsidRDefault="009A7EC3" w:rsidP="009A7EC3">
            <w:pPr>
              <w:pStyle w:val="ASSADACCESStablecentre"/>
            </w:pPr>
            <w:r>
              <w:rPr>
                <w:bCs w:val="0"/>
                <w:color w:val="000000"/>
              </w:rPr>
              <w:t>4*</w:t>
            </w:r>
          </w:p>
        </w:tc>
        <w:tc>
          <w:tcPr>
            <w:tcW w:w="879" w:type="dxa"/>
            <w:shd w:val="clear" w:color="auto" w:fill="auto"/>
          </w:tcPr>
          <w:p w14:paraId="65D275DA" w14:textId="383865A8" w:rsidR="009A7EC3" w:rsidRPr="00DE25AD" w:rsidRDefault="009A7EC3" w:rsidP="009A7EC3">
            <w:pPr>
              <w:pStyle w:val="ASSADACCESStablecentre"/>
            </w:pPr>
            <w:r>
              <w:rPr>
                <w:bCs w:val="0"/>
                <w:color w:val="000000"/>
              </w:rPr>
              <w:t>5*</w:t>
            </w:r>
          </w:p>
        </w:tc>
        <w:tc>
          <w:tcPr>
            <w:tcW w:w="879" w:type="dxa"/>
            <w:shd w:val="clear" w:color="auto" w:fill="auto"/>
          </w:tcPr>
          <w:p w14:paraId="56001FBC" w14:textId="66A0B505" w:rsidR="009A7EC3" w:rsidRPr="00DE25AD" w:rsidRDefault="009A7EC3" w:rsidP="009A7EC3">
            <w:pPr>
              <w:pStyle w:val="ASSADACCESStablecentre"/>
            </w:pPr>
            <w:r>
              <w:rPr>
                <w:bCs w:val="0"/>
                <w:color w:val="000000"/>
              </w:rPr>
              <w:t>4*</w:t>
            </w:r>
          </w:p>
        </w:tc>
        <w:tc>
          <w:tcPr>
            <w:tcW w:w="879" w:type="dxa"/>
            <w:shd w:val="clear" w:color="auto" w:fill="auto"/>
          </w:tcPr>
          <w:p w14:paraId="5DCE4C95" w14:textId="3E4D7C99" w:rsidR="009A7EC3" w:rsidRPr="00DE25AD" w:rsidRDefault="009A7EC3" w:rsidP="009A7EC3">
            <w:pPr>
              <w:pStyle w:val="ASSADACCESStablecentre"/>
            </w:pPr>
            <w:r>
              <w:rPr>
                <w:bCs w:val="0"/>
                <w:color w:val="000000"/>
              </w:rPr>
              <w:t>4*^</w:t>
            </w:r>
          </w:p>
        </w:tc>
        <w:tc>
          <w:tcPr>
            <w:tcW w:w="879" w:type="dxa"/>
            <w:shd w:val="clear" w:color="auto" w:fill="auto"/>
          </w:tcPr>
          <w:p w14:paraId="4E5CCF70" w14:textId="3DB1D61E" w:rsidR="009A7EC3" w:rsidRPr="00DE25AD" w:rsidRDefault="009A7EC3" w:rsidP="009A7EC3">
            <w:pPr>
              <w:pStyle w:val="ASSADACCESStablecentre"/>
            </w:pPr>
            <w:r>
              <w:rPr>
                <w:bCs w:val="0"/>
                <w:color w:val="000000"/>
              </w:rPr>
              <w:t>3^</w:t>
            </w:r>
          </w:p>
        </w:tc>
        <w:tc>
          <w:tcPr>
            <w:tcW w:w="879" w:type="dxa"/>
            <w:shd w:val="clear" w:color="auto" w:fill="auto"/>
          </w:tcPr>
          <w:p w14:paraId="598ED753" w14:textId="6A702340" w:rsidR="009A7EC3" w:rsidRPr="00DE25AD" w:rsidRDefault="009A7EC3" w:rsidP="009A7EC3">
            <w:pPr>
              <w:pStyle w:val="ASSADACCESStablecentre"/>
            </w:pPr>
            <w:r>
              <w:rPr>
                <w:bCs w:val="0"/>
                <w:color w:val="000000"/>
              </w:rPr>
              <w:t>3^</w:t>
            </w:r>
          </w:p>
        </w:tc>
        <w:tc>
          <w:tcPr>
            <w:tcW w:w="879" w:type="dxa"/>
            <w:shd w:val="clear" w:color="auto" w:fill="auto"/>
          </w:tcPr>
          <w:p w14:paraId="57E76A9C" w14:textId="6B052CBB" w:rsidR="009A7EC3" w:rsidRPr="00DE25AD" w:rsidRDefault="009A7EC3" w:rsidP="009A7EC3">
            <w:pPr>
              <w:pStyle w:val="ASSADACCESStablecentre"/>
            </w:pPr>
            <w:r>
              <w:rPr>
                <w:bCs w:val="0"/>
                <w:color w:val="000000"/>
              </w:rPr>
              <w:t>2^</w:t>
            </w:r>
          </w:p>
        </w:tc>
        <w:tc>
          <w:tcPr>
            <w:tcW w:w="879" w:type="dxa"/>
            <w:shd w:val="clear" w:color="auto" w:fill="auto"/>
          </w:tcPr>
          <w:p w14:paraId="63F1CC3E" w14:textId="40920402" w:rsidR="009A7EC3" w:rsidRPr="00DE25AD" w:rsidRDefault="009A7EC3" w:rsidP="009A7EC3">
            <w:pPr>
              <w:pStyle w:val="ASSADACCESStablecentre"/>
            </w:pPr>
            <w:r>
              <w:rPr>
                <w:bCs w:val="0"/>
                <w:color w:val="000000"/>
              </w:rPr>
              <w:t>3^</w:t>
            </w:r>
          </w:p>
        </w:tc>
      </w:tr>
    </w:tbl>
    <w:p w14:paraId="714E23C4" w14:textId="77777777" w:rsidR="00D7479A" w:rsidRDefault="00D7479A" w:rsidP="00D7479A">
      <w:pPr>
        <w:spacing w:after="120"/>
        <w:rPr>
          <w:rFonts w:ascii="Arial" w:eastAsia="Arial" w:hAnsi="Arial" w:cs="Arial"/>
          <w:b/>
          <w:bCs/>
          <w:color w:val="0070C0"/>
          <w:sz w:val="18"/>
          <w:szCs w:val="28"/>
          <w:highlight w:val="yellow"/>
        </w:rPr>
      </w:pPr>
      <w:r w:rsidRPr="002E5727">
        <w:rPr>
          <w:rFonts w:ascii="Arial" w:eastAsia="Arial" w:hAnsi="Arial" w:cs="Arial"/>
          <w:sz w:val="18"/>
          <w:szCs w:val="18"/>
        </w:rPr>
        <w:t>* Significantly different than 2017, p&lt;.01; ^ Significantly different than 1996, p&lt;.01</w:t>
      </w:r>
      <w:r>
        <w:rPr>
          <w:rFonts w:ascii="Arial" w:eastAsia="Arial" w:hAnsi="Arial" w:cs="Arial"/>
          <w:sz w:val="18"/>
          <w:szCs w:val="18"/>
        </w:rPr>
        <w:t>.</w:t>
      </w:r>
      <w:r w:rsidRPr="002E5727">
        <w:rPr>
          <w:rFonts w:ascii="Arial" w:eastAsia="Arial" w:hAnsi="Arial" w:cs="Arial"/>
          <w:b/>
          <w:bCs/>
          <w:color w:val="0070C0"/>
          <w:sz w:val="18"/>
          <w:szCs w:val="28"/>
          <w:highlight w:val="yellow"/>
        </w:rPr>
        <w:t xml:space="preserve"> </w:t>
      </w:r>
    </w:p>
    <w:p w14:paraId="5DBF0CBD" w14:textId="77777777" w:rsidR="00D7479A" w:rsidRPr="008C6D95" w:rsidRDefault="00D7479A" w:rsidP="00D7479A">
      <w:pPr>
        <w:spacing w:after="120"/>
        <w:rPr>
          <w:rFonts w:ascii="Arial" w:eastAsia="Arial" w:hAnsi="Arial" w:cs="Arial"/>
          <w:sz w:val="18"/>
          <w:szCs w:val="18"/>
        </w:rPr>
      </w:pPr>
      <w:r w:rsidRPr="008C6D95">
        <w:rPr>
          <w:rFonts w:ascii="Arial" w:eastAsia="Arial" w:hAnsi="Arial" w:cs="Arial"/>
          <w:sz w:val="18"/>
          <w:szCs w:val="18"/>
          <w:vertAlign w:val="superscript"/>
        </w:rPr>
        <w:t>#</w:t>
      </w:r>
      <w:r w:rsidRPr="008C6D95">
        <w:rPr>
          <w:rFonts w:ascii="Arial" w:eastAsia="Arial" w:hAnsi="Arial" w:cs="Arial"/>
          <w:sz w:val="18"/>
          <w:szCs w:val="18"/>
        </w:rPr>
        <w:t xml:space="preserve"> Illicit substances included cannabis, hallucinogens, amphetamines, cocaine, opiates and ecstasy.</w:t>
      </w:r>
    </w:p>
    <w:p w14:paraId="0558964A" w14:textId="613C3234" w:rsidR="00D7479A" w:rsidRDefault="00D7479A" w:rsidP="00D7479A">
      <w:pPr>
        <w:pStyle w:val="ASSAD2017CWTablenote1"/>
      </w:pPr>
      <w:r w:rsidRPr="00D30B19">
        <w:rPr>
          <w:vertAlign w:val="superscript"/>
        </w:rPr>
        <w:t>†</w:t>
      </w:r>
      <w:r w:rsidRPr="00D30B19">
        <w:rPr>
          <w:position w:val="10"/>
        </w:rPr>
        <w:t xml:space="preserve"> </w:t>
      </w:r>
      <w:r>
        <w:t>Excludes ‘dexamphetamines’ and ‘other opiates’ which were not surveyed in previous survey years.</w:t>
      </w:r>
    </w:p>
    <w:p w14:paraId="5D5EE0DC" w14:textId="1BE54E50" w:rsidR="00D7479A" w:rsidRDefault="00D7479A" w:rsidP="00D7479A">
      <w:pPr>
        <w:pStyle w:val="ASSAD2017CWTablenote1"/>
      </w:pPr>
    </w:p>
    <w:p w14:paraId="46FA063D" w14:textId="00CE2E53" w:rsidR="00D7479A" w:rsidRDefault="00D7479A">
      <w:pPr>
        <w:suppressAutoHyphens w:val="0"/>
        <w:rPr>
          <w:rFonts w:ascii="Arial" w:eastAsia="Arial" w:hAnsi="Arial" w:cs="Arial"/>
          <w:sz w:val="18"/>
          <w:szCs w:val="18"/>
          <w:lang w:val="en-AU"/>
        </w:rPr>
      </w:pPr>
      <w:r>
        <w:br w:type="page"/>
      </w:r>
    </w:p>
    <w:p w14:paraId="5CB7EB7C" w14:textId="26D9F786" w:rsidR="00D7479A" w:rsidRPr="0046446A" w:rsidRDefault="00D7479A" w:rsidP="00D7479A">
      <w:pPr>
        <w:pStyle w:val="ASSAD2017TableHeading"/>
      </w:pPr>
      <w:bookmarkStart w:id="83" w:name="_Toc44060499"/>
      <w:r w:rsidRPr="0046446A">
        <w:lastRenderedPageBreak/>
        <w:t xml:space="preserve">Table </w:t>
      </w:r>
      <w:r>
        <w:t>12</w:t>
      </w:r>
      <w:r w:rsidRPr="0046446A">
        <w:t xml:space="preserve"> </w:t>
      </w:r>
      <w:r>
        <w:t>Prevalence</w:t>
      </w:r>
      <w:r w:rsidRPr="0046446A">
        <w:t xml:space="preserve"> of </w:t>
      </w:r>
      <w:r>
        <w:t>cannabis</w:t>
      </w:r>
      <w:r w:rsidRPr="0046446A">
        <w:t xml:space="preserve"> use among secondary students aged 12-1</w:t>
      </w:r>
      <w:r>
        <w:t>5 &amp; 16-17</w:t>
      </w:r>
      <w:r w:rsidRPr="0046446A">
        <w:t xml:space="preserve"> in Australia, ASSAD 1996-2017</w:t>
      </w:r>
      <w:bookmarkEnd w:id="83"/>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D7479A" w:rsidRPr="00DE25AD" w14:paraId="2D8BDF0B" w14:textId="77777777" w:rsidTr="005F678B">
        <w:trPr>
          <w:tblHeader/>
        </w:trPr>
        <w:tc>
          <w:tcPr>
            <w:tcW w:w="1517" w:type="dxa"/>
            <w:tcMar>
              <w:left w:w="57" w:type="dxa"/>
            </w:tcMar>
          </w:tcPr>
          <w:p w14:paraId="16D1D963" w14:textId="77777777" w:rsidR="00D7479A" w:rsidRPr="00DE25AD" w:rsidRDefault="00D7479A"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0B8D7453" w14:textId="77777777" w:rsidR="00D7479A" w:rsidRPr="00DE25AD" w:rsidRDefault="00D7479A" w:rsidP="005F678B">
            <w:pPr>
              <w:pStyle w:val="ACCESSTableHeaderRow"/>
            </w:pPr>
          </w:p>
        </w:tc>
        <w:tc>
          <w:tcPr>
            <w:tcW w:w="878" w:type="dxa"/>
            <w:shd w:val="clear" w:color="auto" w:fill="auto"/>
            <w:vAlign w:val="bottom"/>
          </w:tcPr>
          <w:p w14:paraId="4CB440F6" w14:textId="77777777" w:rsidR="00D7479A" w:rsidRPr="00DE25AD" w:rsidRDefault="00D7479A" w:rsidP="005F678B">
            <w:pPr>
              <w:pStyle w:val="ACCESSTableHeaderRow"/>
              <w:jc w:val="center"/>
            </w:pPr>
            <w:r>
              <w:t>1996</w:t>
            </w:r>
          </w:p>
          <w:p w14:paraId="3A2CE8AC"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67E6D703" w14:textId="77777777" w:rsidR="00D7479A" w:rsidRPr="00DE25AD" w:rsidRDefault="00D7479A" w:rsidP="005F678B">
            <w:pPr>
              <w:pStyle w:val="ACCESSTableHeaderRow"/>
              <w:jc w:val="center"/>
            </w:pPr>
            <w:r w:rsidRPr="00DE25AD">
              <w:t>1</w:t>
            </w:r>
            <w:r>
              <w:t>999</w:t>
            </w:r>
          </w:p>
          <w:p w14:paraId="1DD387B3"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5709B04C" w14:textId="77777777" w:rsidR="00D7479A" w:rsidRPr="00DE25AD" w:rsidRDefault="00D7479A" w:rsidP="005F678B">
            <w:pPr>
              <w:pStyle w:val="ACCESSTableHeaderRow"/>
              <w:jc w:val="center"/>
            </w:pPr>
            <w:r>
              <w:t>2002</w:t>
            </w:r>
          </w:p>
          <w:p w14:paraId="29BD3E62"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5C0F0938" w14:textId="77777777" w:rsidR="00D7479A" w:rsidRPr="00DE25AD" w:rsidRDefault="00D7479A" w:rsidP="005F678B">
            <w:pPr>
              <w:pStyle w:val="ACCESSTableHeaderRow"/>
              <w:jc w:val="center"/>
            </w:pPr>
            <w:r>
              <w:t>200</w:t>
            </w:r>
            <w:r w:rsidRPr="00DE25AD">
              <w:t>5</w:t>
            </w:r>
          </w:p>
          <w:p w14:paraId="47E19E75"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3588C4AC" w14:textId="77777777" w:rsidR="00D7479A" w:rsidRPr="00DE25AD" w:rsidRDefault="00D7479A" w:rsidP="005F678B">
            <w:pPr>
              <w:pStyle w:val="ACCESSTableHeaderRow"/>
              <w:jc w:val="center"/>
            </w:pPr>
            <w:r>
              <w:t>2008</w:t>
            </w:r>
          </w:p>
          <w:p w14:paraId="5AEDCFFA"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70508D53" w14:textId="77777777" w:rsidR="00D7479A" w:rsidRPr="00DE25AD" w:rsidRDefault="00D7479A" w:rsidP="005F678B">
            <w:pPr>
              <w:pStyle w:val="ACCESSTableHeaderRow"/>
              <w:jc w:val="center"/>
            </w:pPr>
            <w:r>
              <w:t>2011</w:t>
            </w:r>
          </w:p>
          <w:p w14:paraId="5D4A8B62"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0FD20D8A" w14:textId="77777777" w:rsidR="00D7479A" w:rsidRDefault="00D7479A" w:rsidP="005F678B">
            <w:pPr>
              <w:pStyle w:val="ACCESSTableHeaderRow"/>
              <w:jc w:val="center"/>
            </w:pPr>
            <w:r>
              <w:t>2014</w:t>
            </w:r>
          </w:p>
          <w:p w14:paraId="085E1FEF" w14:textId="77777777" w:rsidR="00D7479A" w:rsidRPr="00DE25AD" w:rsidRDefault="00D7479A" w:rsidP="005F678B">
            <w:pPr>
              <w:pStyle w:val="ACCESSTableHeaderRow"/>
              <w:jc w:val="center"/>
            </w:pPr>
            <w:r>
              <w:t>(%)</w:t>
            </w:r>
          </w:p>
        </w:tc>
        <w:tc>
          <w:tcPr>
            <w:tcW w:w="879" w:type="dxa"/>
            <w:shd w:val="clear" w:color="auto" w:fill="auto"/>
            <w:vAlign w:val="bottom"/>
          </w:tcPr>
          <w:p w14:paraId="1DFBBB2A" w14:textId="77777777" w:rsidR="00D7479A" w:rsidRDefault="00D7479A" w:rsidP="005F678B">
            <w:pPr>
              <w:pStyle w:val="ACCESSTableHeaderRow"/>
              <w:jc w:val="center"/>
            </w:pPr>
            <w:r>
              <w:t>2017</w:t>
            </w:r>
          </w:p>
          <w:p w14:paraId="5D47FB98" w14:textId="77777777" w:rsidR="00D7479A" w:rsidRPr="00DE25AD" w:rsidRDefault="00D7479A" w:rsidP="005F678B">
            <w:pPr>
              <w:pStyle w:val="ACCESSTableHeaderRow"/>
              <w:jc w:val="center"/>
            </w:pPr>
            <w:r w:rsidRPr="00DE25AD">
              <w:t>(%)</w:t>
            </w:r>
          </w:p>
        </w:tc>
      </w:tr>
      <w:tr w:rsidR="00D7479A" w:rsidRPr="00DE25AD" w14:paraId="7394C18B" w14:textId="77777777" w:rsidTr="005F678B">
        <w:trPr>
          <w:tblHeader/>
        </w:trPr>
        <w:tc>
          <w:tcPr>
            <w:tcW w:w="1517" w:type="dxa"/>
            <w:tcMar>
              <w:left w:w="57" w:type="dxa"/>
            </w:tcMar>
          </w:tcPr>
          <w:p w14:paraId="69F88741" w14:textId="77777777" w:rsidR="00D7479A" w:rsidRPr="00DE25AD" w:rsidRDefault="00D7479A" w:rsidP="005F678B">
            <w:pPr>
              <w:pStyle w:val="ACCESSTableHeaderRow"/>
            </w:pPr>
            <w:r>
              <w:t>Aged 12-15</w:t>
            </w:r>
          </w:p>
        </w:tc>
        <w:tc>
          <w:tcPr>
            <w:tcW w:w="1068" w:type="dxa"/>
            <w:shd w:val="clear" w:color="auto" w:fill="auto"/>
            <w:tcMar>
              <w:left w:w="57" w:type="dxa"/>
            </w:tcMar>
            <w:vAlign w:val="center"/>
          </w:tcPr>
          <w:p w14:paraId="7E69B5C8" w14:textId="77777777" w:rsidR="00D7479A" w:rsidRPr="00DE25AD" w:rsidRDefault="00D7479A" w:rsidP="005F678B">
            <w:pPr>
              <w:pStyle w:val="ACCESSTableHeaderRow"/>
            </w:pPr>
          </w:p>
        </w:tc>
        <w:tc>
          <w:tcPr>
            <w:tcW w:w="878" w:type="dxa"/>
            <w:shd w:val="clear" w:color="auto" w:fill="auto"/>
            <w:vAlign w:val="bottom"/>
          </w:tcPr>
          <w:p w14:paraId="386FAC72" w14:textId="77777777" w:rsidR="00D7479A" w:rsidRPr="00DE25AD" w:rsidRDefault="00D7479A" w:rsidP="005F678B">
            <w:pPr>
              <w:pStyle w:val="ACCESSTableHeaderRow"/>
            </w:pPr>
          </w:p>
        </w:tc>
        <w:tc>
          <w:tcPr>
            <w:tcW w:w="879" w:type="dxa"/>
            <w:shd w:val="clear" w:color="auto" w:fill="auto"/>
            <w:vAlign w:val="bottom"/>
          </w:tcPr>
          <w:p w14:paraId="2F3775BF" w14:textId="77777777" w:rsidR="00D7479A" w:rsidRPr="00DE25AD" w:rsidRDefault="00D7479A" w:rsidP="005F678B">
            <w:pPr>
              <w:pStyle w:val="ACCESSTableHeaderRow"/>
            </w:pPr>
          </w:p>
        </w:tc>
        <w:tc>
          <w:tcPr>
            <w:tcW w:w="879" w:type="dxa"/>
            <w:shd w:val="clear" w:color="auto" w:fill="auto"/>
            <w:vAlign w:val="bottom"/>
          </w:tcPr>
          <w:p w14:paraId="7DACDC2D" w14:textId="77777777" w:rsidR="00D7479A" w:rsidRPr="00DE25AD" w:rsidRDefault="00D7479A" w:rsidP="005F678B">
            <w:pPr>
              <w:pStyle w:val="ACCESSTableHeaderRow"/>
            </w:pPr>
          </w:p>
        </w:tc>
        <w:tc>
          <w:tcPr>
            <w:tcW w:w="879" w:type="dxa"/>
            <w:shd w:val="clear" w:color="auto" w:fill="auto"/>
            <w:vAlign w:val="bottom"/>
          </w:tcPr>
          <w:p w14:paraId="6B87A899" w14:textId="77777777" w:rsidR="00D7479A" w:rsidRPr="00DE25AD" w:rsidRDefault="00D7479A" w:rsidP="005F678B">
            <w:pPr>
              <w:pStyle w:val="ACCESSTableHeaderRow"/>
            </w:pPr>
          </w:p>
        </w:tc>
        <w:tc>
          <w:tcPr>
            <w:tcW w:w="879" w:type="dxa"/>
            <w:shd w:val="clear" w:color="auto" w:fill="auto"/>
            <w:vAlign w:val="bottom"/>
          </w:tcPr>
          <w:p w14:paraId="4E5BF855" w14:textId="77777777" w:rsidR="00D7479A" w:rsidRPr="00DE25AD" w:rsidRDefault="00D7479A" w:rsidP="005F678B">
            <w:pPr>
              <w:pStyle w:val="ACCESSTableHeaderRow"/>
            </w:pPr>
          </w:p>
        </w:tc>
        <w:tc>
          <w:tcPr>
            <w:tcW w:w="879" w:type="dxa"/>
            <w:shd w:val="clear" w:color="auto" w:fill="auto"/>
            <w:vAlign w:val="bottom"/>
          </w:tcPr>
          <w:p w14:paraId="3952AD5F" w14:textId="77777777" w:rsidR="00D7479A" w:rsidRPr="00DE25AD" w:rsidRDefault="00D7479A" w:rsidP="005F678B">
            <w:pPr>
              <w:pStyle w:val="ACCESSTableHeaderRow"/>
            </w:pPr>
          </w:p>
        </w:tc>
        <w:tc>
          <w:tcPr>
            <w:tcW w:w="879" w:type="dxa"/>
            <w:shd w:val="clear" w:color="auto" w:fill="auto"/>
            <w:vAlign w:val="bottom"/>
          </w:tcPr>
          <w:p w14:paraId="33D1DCD8" w14:textId="77777777" w:rsidR="00D7479A" w:rsidRPr="00DE25AD" w:rsidRDefault="00D7479A" w:rsidP="005F678B">
            <w:pPr>
              <w:pStyle w:val="ACCESSTableHeaderRow"/>
            </w:pPr>
          </w:p>
        </w:tc>
        <w:tc>
          <w:tcPr>
            <w:tcW w:w="879" w:type="dxa"/>
            <w:shd w:val="clear" w:color="auto" w:fill="auto"/>
            <w:vAlign w:val="bottom"/>
          </w:tcPr>
          <w:p w14:paraId="15122150" w14:textId="77777777" w:rsidR="00D7479A" w:rsidRPr="00DE25AD" w:rsidRDefault="00D7479A" w:rsidP="005F678B">
            <w:pPr>
              <w:pStyle w:val="ACCESSTableHeaderRow"/>
            </w:pPr>
          </w:p>
        </w:tc>
      </w:tr>
      <w:tr w:rsidR="00D7479A" w:rsidRPr="00DE25AD" w14:paraId="16ECA24D" w14:textId="77777777" w:rsidTr="005F678B">
        <w:tc>
          <w:tcPr>
            <w:tcW w:w="1517" w:type="dxa"/>
            <w:tcMar>
              <w:left w:w="57" w:type="dxa"/>
            </w:tcMar>
          </w:tcPr>
          <w:p w14:paraId="2CD1D647" w14:textId="77777777" w:rsidR="00D7479A" w:rsidRDefault="00D7479A" w:rsidP="005F678B">
            <w:pPr>
              <w:pStyle w:val="ACCESSTableHeaderRow"/>
            </w:pPr>
            <w:r w:rsidRPr="00DE25AD">
              <w:t>Recency</w:t>
            </w:r>
          </w:p>
        </w:tc>
        <w:tc>
          <w:tcPr>
            <w:tcW w:w="1068" w:type="dxa"/>
            <w:shd w:val="clear" w:color="auto" w:fill="auto"/>
            <w:tcMar>
              <w:left w:w="57" w:type="dxa"/>
            </w:tcMar>
            <w:vAlign w:val="center"/>
          </w:tcPr>
          <w:p w14:paraId="0916211C" w14:textId="77777777" w:rsidR="00D7479A" w:rsidRPr="005C5B03" w:rsidRDefault="00D7479A" w:rsidP="005F678B">
            <w:pPr>
              <w:pStyle w:val="ASSAD2017ACCESSBody1"/>
              <w:rPr>
                <w:b/>
                <w:bCs w:val="0"/>
              </w:rPr>
            </w:pPr>
            <w:r w:rsidRPr="005C5B03">
              <w:rPr>
                <w:b/>
                <w:bCs w:val="0"/>
              </w:rPr>
              <w:t>Sex</w:t>
            </w:r>
          </w:p>
        </w:tc>
        <w:tc>
          <w:tcPr>
            <w:tcW w:w="878" w:type="dxa"/>
            <w:shd w:val="clear" w:color="auto" w:fill="auto"/>
          </w:tcPr>
          <w:p w14:paraId="3100F54E" w14:textId="77777777" w:rsidR="00D7479A" w:rsidRPr="00DE25AD" w:rsidRDefault="00D7479A" w:rsidP="005F678B">
            <w:pPr>
              <w:pStyle w:val="ASSADACCESStablecentre"/>
            </w:pPr>
          </w:p>
        </w:tc>
        <w:tc>
          <w:tcPr>
            <w:tcW w:w="879" w:type="dxa"/>
            <w:shd w:val="clear" w:color="auto" w:fill="auto"/>
          </w:tcPr>
          <w:p w14:paraId="0CCF8BC7" w14:textId="77777777" w:rsidR="00D7479A" w:rsidRPr="00DE25AD" w:rsidRDefault="00D7479A" w:rsidP="005F678B">
            <w:pPr>
              <w:pStyle w:val="ASSADACCESStablecentre"/>
            </w:pPr>
          </w:p>
        </w:tc>
        <w:tc>
          <w:tcPr>
            <w:tcW w:w="879" w:type="dxa"/>
            <w:shd w:val="clear" w:color="auto" w:fill="auto"/>
          </w:tcPr>
          <w:p w14:paraId="11320DFD" w14:textId="77777777" w:rsidR="00D7479A" w:rsidRPr="00DE25AD" w:rsidRDefault="00D7479A" w:rsidP="005F678B">
            <w:pPr>
              <w:pStyle w:val="ASSADACCESStablecentre"/>
            </w:pPr>
          </w:p>
        </w:tc>
        <w:tc>
          <w:tcPr>
            <w:tcW w:w="879" w:type="dxa"/>
            <w:shd w:val="clear" w:color="auto" w:fill="auto"/>
          </w:tcPr>
          <w:p w14:paraId="484F5B55" w14:textId="77777777" w:rsidR="00D7479A" w:rsidRPr="00DE25AD" w:rsidRDefault="00D7479A" w:rsidP="005F678B">
            <w:pPr>
              <w:pStyle w:val="ASSADACCESStablecentre"/>
            </w:pPr>
          </w:p>
        </w:tc>
        <w:tc>
          <w:tcPr>
            <w:tcW w:w="879" w:type="dxa"/>
            <w:shd w:val="clear" w:color="auto" w:fill="auto"/>
          </w:tcPr>
          <w:p w14:paraId="276F9D1A" w14:textId="77777777" w:rsidR="00D7479A" w:rsidRPr="00DE25AD" w:rsidRDefault="00D7479A" w:rsidP="005F678B">
            <w:pPr>
              <w:pStyle w:val="ASSADACCESStablecentre"/>
            </w:pPr>
          </w:p>
        </w:tc>
        <w:tc>
          <w:tcPr>
            <w:tcW w:w="879" w:type="dxa"/>
            <w:shd w:val="clear" w:color="auto" w:fill="auto"/>
          </w:tcPr>
          <w:p w14:paraId="7FEAC462" w14:textId="77777777" w:rsidR="00D7479A" w:rsidRPr="00DE25AD" w:rsidRDefault="00D7479A" w:rsidP="005F678B">
            <w:pPr>
              <w:pStyle w:val="ASSADACCESStablecentre"/>
            </w:pPr>
          </w:p>
        </w:tc>
        <w:tc>
          <w:tcPr>
            <w:tcW w:w="879" w:type="dxa"/>
            <w:shd w:val="clear" w:color="auto" w:fill="auto"/>
          </w:tcPr>
          <w:p w14:paraId="6C7CF0EA" w14:textId="77777777" w:rsidR="00D7479A" w:rsidRPr="00DE25AD" w:rsidRDefault="00D7479A" w:rsidP="005F678B">
            <w:pPr>
              <w:pStyle w:val="ASSADACCESStablecentre"/>
            </w:pPr>
          </w:p>
        </w:tc>
        <w:tc>
          <w:tcPr>
            <w:tcW w:w="879" w:type="dxa"/>
            <w:shd w:val="clear" w:color="auto" w:fill="auto"/>
          </w:tcPr>
          <w:p w14:paraId="10333107" w14:textId="77777777" w:rsidR="00D7479A" w:rsidRPr="00DE25AD" w:rsidRDefault="00D7479A" w:rsidP="005F678B">
            <w:pPr>
              <w:pStyle w:val="ASSADACCESStablecentre"/>
            </w:pPr>
          </w:p>
        </w:tc>
      </w:tr>
      <w:tr w:rsidR="009A7EC3" w:rsidRPr="00DE25AD" w14:paraId="3765FFFE" w14:textId="77777777" w:rsidTr="005F678B">
        <w:tc>
          <w:tcPr>
            <w:tcW w:w="1517" w:type="dxa"/>
            <w:tcMar>
              <w:left w:w="57" w:type="dxa"/>
            </w:tcMar>
          </w:tcPr>
          <w:p w14:paraId="0F1B25C3"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1F846FC0" w14:textId="77777777" w:rsidR="009A7EC3" w:rsidRPr="00DE25AD" w:rsidRDefault="009A7EC3" w:rsidP="009A7EC3">
            <w:pPr>
              <w:pStyle w:val="ASSAD2017ACCESSBody1"/>
            </w:pPr>
            <w:r w:rsidRPr="00DE25AD">
              <w:t>Male</w:t>
            </w:r>
          </w:p>
        </w:tc>
        <w:tc>
          <w:tcPr>
            <w:tcW w:w="878" w:type="dxa"/>
            <w:shd w:val="clear" w:color="auto" w:fill="auto"/>
          </w:tcPr>
          <w:p w14:paraId="36BFDE49" w14:textId="505920DD" w:rsidR="009A7EC3" w:rsidRPr="00DE25AD" w:rsidRDefault="009A7EC3" w:rsidP="009A7EC3">
            <w:pPr>
              <w:pStyle w:val="ASSADACCESStablecentre"/>
            </w:pPr>
            <w:r w:rsidRPr="002E5727">
              <w:rPr>
                <w:bCs w:val="0"/>
                <w:color w:val="000000"/>
              </w:rPr>
              <w:t>32*</w:t>
            </w:r>
          </w:p>
        </w:tc>
        <w:tc>
          <w:tcPr>
            <w:tcW w:w="879" w:type="dxa"/>
            <w:shd w:val="clear" w:color="auto" w:fill="auto"/>
          </w:tcPr>
          <w:p w14:paraId="79BF5F92" w14:textId="064E913C" w:rsidR="009A7EC3" w:rsidRPr="00DE25AD" w:rsidRDefault="009A7EC3" w:rsidP="009A7EC3">
            <w:pPr>
              <w:pStyle w:val="ASSADACCESStablecentre"/>
            </w:pPr>
            <w:r w:rsidRPr="002E5727">
              <w:rPr>
                <w:bCs w:val="0"/>
                <w:color w:val="000000"/>
              </w:rPr>
              <w:t>26*^</w:t>
            </w:r>
          </w:p>
        </w:tc>
        <w:tc>
          <w:tcPr>
            <w:tcW w:w="879" w:type="dxa"/>
            <w:shd w:val="clear" w:color="auto" w:fill="auto"/>
          </w:tcPr>
          <w:p w14:paraId="3DC26810" w14:textId="0F266133" w:rsidR="009A7EC3" w:rsidRPr="00DE25AD" w:rsidRDefault="009A7EC3" w:rsidP="009A7EC3">
            <w:pPr>
              <w:pStyle w:val="ASSADACCESStablecentre"/>
            </w:pPr>
            <w:r w:rsidRPr="002E5727">
              <w:rPr>
                <w:bCs w:val="0"/>
                <w:color w:val="000000"/>
              </w:rPr>
              <w:t>22*^</w:t>
            </w:r>
          </w:p>
        </w:tc>
        <w:tc>
          <w:tcPr>
            <w:tcW w:w="879" w:type="dxa"/>
            <w:shd w:val="clear" w:color="auto" w:fill="auto"/>
          </w:tcPr>
          <w:p w14:paraId="661F09BF" w14:textId="4E6B900F" w:rsidR="009A7EC3" w:rsidRPr="00DE25AD" w:rsidRDefault="009A7EC3" w:rsidP="009A7EC3">
            <w:pPr>
              <w:pStyle w:val="ASSADACCESStablecentre"/>
            </w:pPr>
            <w:r w:rsidRPr="002E5727">
              <w:rPr>
                <w:bCs w:val="0"/>
                <w:color w:val="000000"/>
              </w:rPr>
              <w:t>15</w:t>
            </w:r>
            <w:r>
              <w:rPr>
                <w:bCs w:val="0"/>
                <w:color w:val="000000"/>
              </w:rPr>
              <w:t>*</w:t>
            </w:r>
            <w:r w:rsidRPr="002E5727">
              <w:rPr>
                <w:bCs w:val="0"/>
                <w:color w:val="000000"/>
              </w:rPr>
              <w:t>^</w:t>
            </w:r>
          </w:p>
        </w:tc>
        <w:tc>
          <w:tcPr>
            <w:tcW w:w="879" w:type="dxa"/>
            <w:shd w:val="clear" w:color="auto" w:fill="auto"/>
          </w:tcPr>
          <w:p w14:paraId="4FC5DFB8" w14:textId="0F826193" w:rsidR="009A7EC3" w:rsidRPr="00DE25AD" w:rsidRDefault="009A7EC3" w:rsidP="009A7EC3">
            <w:pPr>
              <w:pStyle w:val="ASSADACCESStablecentre"/>
            </w:pPr>
            <w:r w:rsidRPr="002E5727">
              <w:rPr>
                <w:bCs w:val="0"/>
                <w:color w:val="000000"/>
              </w:rPr>
              <w:t>10^</w:t>
            </w:r>
          </w:p>
        </w:tc>
        <w:tc>
          <w:tcPr>
            <w:tcW w:w="879" w:type="dxa"/>
            <w:shd w:val="clear" w:color="auto" w:fill="auto"/>
          </w:tcPr>
          <w:p w14:paraId="75246EEE" w14:textId="17E5FAE1" w:rsidR="009A7EC3" w:rsidRPr="00DE25AD" w:rsidRDefault="009A7EC3" w:rsidP="009A7EC3">
            <w:pPr>
              <w:pStyle w:val="ASSADACCESStablecentre"/>
            </w:pPr>
            <w:r w:rsidRPr="002E5727">
              <w:rPr>
                <w:bCs w:val="0"/>
                <w:color w:val="000000"/>
              </w:rPr>
              <w:t>10^</w:t>
            </w:r>
          </w:p>
        </w:tc>
        <w:tc>
          <w:tcPr>
            <w:tcW w:w="879" w:type="dxa"/>
            <w:shd w:val="clear" w:color="auto" w:fill="auto"/>
          </w:tcPr>
          <w:p w14:paraId="11C09F8B" w14:textId="6CD63F3C" w:rsidR="009A7EC3" w:rsidRPr="00DE25AD" w:rsidRDefault="009A7EC3" w:rsidP="009A7EC3">
            <w:pPr>
              <w:pStyle w:val="ASSADACCESStablecentre"/>
            </w:pPr>
            <w:r w:rsidRPr="002E5727">
              <w:rPr>
                <w:bCs w:val="0"/>
                <w:color w:val="000000"/>
              </w:rPr>
              <w:t>11^</w:t>
            </w:r>
          </w:p>
        </w:tc>
        <w:tc>
          <w:tcPr>
            <w:tcW w:w="879" w:type="dxa"/>
            <w:shd w:val="clear" w:color="auto" w:fill="auto"/>
          </w:tcPr>
          <w:p w14:paraId="25B54D5F" w14:textId="7244D528" w:rsidR="009A7EC3" w:rsidRPr="00DE25AD" w:rsidRDefault="009A7EC3" w:rsidP="009A7EC3">
            <w:pPr>
              <w:pStyle w:val="ASSADACCESStablecentre"/>
            </w:pPr>
            <w:r w:rsidRPr="002E5727">
              <w:rPr>
                <w:bCs w:val="0"/>
                <w:color w:val="000000"/>
              </w:rPr>
              <w:t>1</w:t>
            </w:r>
            <w:r>
              <w:rPr>
                <w:bCs w:val="0"/>
                <w:color w:val="000000"/>
              </w:rPr>
              <w:t>0</w:t>
            </w:r>
            <w:r w:rsidRPr="002E5727">
              <w:rPr>
                <w:bCs w:val="0"/>
                <w:color w:val="000000"/>
              </w:rPr>
              <w:t>^</w:t>
            </w:r>
          </w:p>
        </w:tc>
      </w:tr>
      <w:tr w:rsidR="009A7EC3" w:rsidRPr="00DE25AD" w14:paraId="5E8FBB51" w14:textId="77777777" w:rsidTr="005F678B">
        <w:tc>
          <w:tcPr>
            <w:tcW w:w="1517" w:type="dxa"/>
            <w:tcMar>
              <w:left w:w="57" w:type="dxa"/>
            </w:tcMar>
          </w:tcPr>
          <w:p w14:paraId="5F1A7BE1" w14:textId="77777777" w:rsidR="009A7EC3" w:rsidRPr="00DE25AD" w:rsidRDefault="009A7EC3" w:rsidP="009A7EC3">
            <w:pPr>
              <w:pStyle w:val="ACCESSTableHeaderRow"/>
            </w:pPr>
          </w:p>
        </w:tc>
        <w:tc>
          <w:tcPr>
            <w:tcW w:w="1068" w:type="dxa"/>
            <w:shd w:val="clear" w:color="auto" w:fill="auto"/>
            <w:tcMar>
              <w:left w:w="57" w:type="dxa"/>
            </w:tcMar>
            <w:vAlign w:val="bottom"/>
          </w:tcPr>
          <w:p w14:paraId="160F40F4" w14:textId="77777777" w:rsidR="009A7EC3" w:rsidRPr="00DE25AD" w:rsidRDefault="009A7EC3" w:rsidP="009A7EC3">
            <w:pPr>
              <w:pStyle w:val="ASSAD2017ACCESSBody1"/>
            </w:pPr>
            <w:r w:rsidRPr="00DE25AD">
              <w:t>Female</w:t>
            </w:r>
          </w:p>
        </w:tc>
        <w:tc>
          <w:tcPr>
            <w:tcW w:w="878" w:type="dxa"/>
            <w:shd w:val="clear" w:color="auto" w:fill="auto"/>
          </w:tcPr>
          <w:p w14:paraId="623B9ECA" w14:textId="55B2632E" w:rsidR="009A7EC3" w:rsidRPr="00DE25AD" w:rsidRDefault="009A7EC3" w:rsidP="009A7EC3">
            <w:pPr>
              <w:pStyle w:val="ASSADACCESStablecentre"/>
            </w:pPr>
            <w:r w:rsidRPr="002E5727">
              <w:rPr>
                <w:bCs w:val="0"/>
                <w:color w:val="000000"/>
              </w:rPr>
              <w:t>25*</w:t>
            </w:r>
          </w:p>
        </w:tc>
        <w:tc>
          <w:tcPr>
            <w:tcW w:w="879" w:type="dxa"/>
            <w:shd w:val="clear" w:color="auto" w:fill="auto"/>
          </w:tcPr>
          <w:p w14:paraId="24479688" w14:textId="3793BB18" w:rsidR="009A7EC3" w:rsidRPr="00DE25AD" w:rsidRDefault="009A7EC3" w:rsidP="009A7EC3">
            <w:pPr>
              <w:pStyle w:val="ASSADACCESStablecentre"/>
            </w:pPr>
            <w:r w:rsidRPr="002E5727">
              <w:rPr>
                <w:bCs w:val="0"/>
                <w:color w:val="000000"/>
              </w:rPr>
              <w:t>20*^</w:t>
            </w:r>
          </w:p>
        </w:tc>
        <w:tc>
          <w:tcPr>
            <w:tcW w:w="879" w:type="dxa"/>
            <w:shd w:val="clear" w:color="auto" w:fill="auto"/>
          </w:tcPr>
          <w:p w14:paraId="6966AF81" w14:textId="397D6A53" w:rsidR="009A7EC3" w:rsidRPr="00DE25AD" w:rsidRDefault="009A7EC3" w:rsidP="009A7EC3">
            <w:pPr>
              <w:pStyle w:val="ASSADACCESStablecentre"/>
            </w:pPr>
            <w:r w:rsidRPr="002E5727">
              <w:rPr>
                <w:bCs w:val="0"/>
                <w:color w:val="000000"/>
              </w:rPr>
              <w:t>17*^</w:t>
            </w:r>
          </w:p>
        </w:tc>
        <w:tc>
          <w:tcPr>
            <w:tcW w:w="879" w:type="dxa"/>
            <w:shd w:val="clear" w:color="auto" w:fill="auto"/>
          </w:tcPr>
          <w:p w14:paraId="2367C85F" w14:textId="1B64CD7E" w:rsidR="009A7EC3" w:rsidRPr="00DE25AD" w:rsidRDefault="009A7EC3" w:rsidP="009A7EC3">
            <w:pPr>
              <w:pStyle w:val="ASSADACCESStablecentre"/>
            </w:pPr>
            <w:r w:rsidRPr="002E5727">
              <w:rPr>
                <w:bCs w:val="0"/>
                <w:color w:val="000000"/>
              </w:rPr>
              <w:t>11^</w:t>
            </w:r>
          </w:p>
        </w:tc>
        <w:tc>
          <w:tcPr>
            <w:tcW w:w="879" w:type="dxa"/>
            <w:shd w:val="clear" w:color="auto" w:fill="auto"/>
          </w:tcPr>
          <w:p w14:paraId="5F7EBC8D" w14:textId="052C1E5D" w:rsidR="009A7EC3" w:rsidRPr="00DE25AD" w:rsidRDefault="009A7EC3" w:rsidP="009A7EC3">
            <w:pPr>
              <w:pStyle w:val="ASSADACCESStablecentre"/>
            </w:pPr>
            <w:r w:rsidRPr="002E5727">
              <w:rPr>
                <w:bCs w:val="0"/>
                <w:color w:val="000000"/>
              </w:rPr>
              <w:t>9^</w:t>
            </w:r>
          </w:p>
        </w:tc>
        <w:tc>
          <w:tcPr>
            <w:tcW w:w="879" w:type="dxa"/>
            <w:shd w:val="clear" w:color="auto" w:fill="auto"/>
          </w:tcPr>
          <w:p w14:paraId="1C145779" w14:textId="0895831F" w:rsidR="009A7EC3" w:rsidRPr="00DE25AD" w:rsidRDefault="009A7EC3" w:rsidP="009A7EC3">
            <w:pPr>
              <w:pStyle w:val="ASSADACCESStablecentre"/>
            </w:pPr>
            <w:r w:rsidRPr="002E5727">
              <w:rPr>
                <w:bCs w:val="0"/>
                <w:color w:val="000000"/>
              </w:rPr>
              <w:t>9^</w:t>
            </w:r>
          </w:p>
        </w:tc>
        <w:tc>
          <w:tcPr>
            <w:tcW w:w="879" w:type="dxa"/>
            <w:shd w:val="clear" w:color="auto" w:fill="auto"/>
          </w:tcPr>
          <w:p w14:paraId="536C8629" w14:textId="6AD3EB9D" w:rsidR="009A7EC3" w:rsidRPr="00DE25AD" w:rsidRDefault="009A7EC3" w:rsidP="009A7EC3">
            <w:pPr>
              <w:pStyle w:val="ASSADACCESStablecentre"/>
            </w:pPr>
            <w:r w:rsidRPr="002E5727">
              <w:rPr>
                <w:bCs w:val="0"/>
                <w:color w:val="000000"/>
              </w:rPr>
              <w:t>9^</w:t>
            </w:r>
          </w:p>
        </w:tc>
        <w:tc>
          <w:tcPr>
            <w:tcW w:w="879" w:type="dxa"/>
            <w:shd w:val="clear" w:color="auto" w:fill="auto"/>
          </w:tcPr>
          <w:p w14:paraId="0563BE7F" w14:textId="5F02DE71" w:rsidR="009A7EC3" w:rsidRPr="00DE25AD" w:rsidRDefault="009A7EC3" w:rsidP="009A7EC3">
            <w:pPr>
              <w:pStyle w:val="ASSADACCESStablecentre"/>
            </w:pPr>
            <w:r w:rsidRPr="002E5727">
              <w:rPr>
                <w:bCs w:val="0"/>
                <w:color w:val="000000"/>
              </w:rPr>
              <w:t>9^</w:t>
            </w:r>
          </w:p>
        </w:tc>
      </w:tr>
      <w:tr w:rsidR="009A7EC3" w:rsidRPr="00DE25AD" w14:paraId="0DFCF778" w14:textId="77777777" w:rsidTr="005F678B">
        <w:tc>
          <w:tcPr>
            <w:tcW w:w="1517" w:type="dxa"/>
            <w:tcMar>
              <w:left w:w="57" w:type="dxa"/>
            </w:tcMar>
          </w:tcPr>
          <w:p w14:paraId="4B120092" w14:textId="77777777" w:rsidR="009A7EC3" w:rsidRPr="00DE25AD" w:rsidRDefault="009A7EC3" w:rsidP="009A7EC3">
            <w:pPr>
              <w:pStyle w:val="ACCESSTableHeaderRow"/>
            </w:pPr>
          </w:p>
        </w:tc>
        <w:tc>
          <w:tcPr>
            <w:tcW w:w="1068" w:type="dxa"/>
            <w:shd w:val="clear" w:color="auto" w:fill="auto"/>
            <w:tcMar>
              <w:left w:w="57" w:type="dxa"/>
            </w:tcMar>
            <w:vAlign w:val="bottom"/>
          </w:tcPr>
          <w:p w14:paraId="0CACBB55" w14:textId="77777777" w:rsidR="009A7EC3" w:rsidRPr="00DE25AD" w:rsidRDefault="009A7EC3" w:rsidP="009A7EC3">
            <w:pPr>
              <w:pStyle w:val="ASSAD2017ACCESSBody1"/>
            </w:pPr>
            <w:r w:rsidRPr="00DE25AD">
              <w:t>Total</w:t>
            </w:r>
          </w:p>
        </w:tc>
        <w:tc>
          <w:tcPr>
            <w:tcW w:w="878" w:type="dxa"/>
            <w:shd w:val="clear" w:color="auto" w:fill="auto"/>
          </w:tcPr>
          <w:p w14:paraId="599B5AA2" w14:textId="0C1C915C" w:rsidR="009A7EC3" w:rsidRPr="00DE25AD" w:rsidRDefault="009A7EC3" w:rsidP="009A7EC3">
            <w:pPr>
              <w:pStyle w:val="ASSADACCESStablecentre"/>
            </w:pPr>
            <w:r w:rsidRPr="002E5727">
              <w:rPr>
                <w:bCs w:val="0"/>
                <w:color w:val="000000"/>
              </w:rPr>
              <w:t>28*</w:t>
            </w:r>
          </w:p>
        </w:tc>
        <w:tc>
          <w:tcPr>
            <w:tcW w:w="879" w:type="dxa"/>
            <w:shd w:val="clear" w:color="auto" w:fill="auto"/>
          </w:tcPr>
          <w:p w14:paraId="37F0DFE1" w14:textId="3F013703" w:rsidR="009A7EC3" w:rsidRPr="00DE25AD" w:rsidRDefault="009A7EC3" w:rsidP="009A7EC3">
            <w:pPr>
              <w:pStyle w:val="ASSADACCESStablecentre"/>
            </w:pPr>
            <w:r w:rsidRPr="002E5727">
              <w:rPr>
                <w:bCs w:val="0"/>
                <w:color w:val="000000"/>
              </w:rPr>
              <w:t>23*^</w:t>
            </w:r>
          </w:p>
        </w:tc>
        <w:tc>
          <w:tcPr>
            <w:tcW w:w="879" w:type="dxa"/>
            <w:shd w:val="clear" w:color="auto" w:fill="auto"/>
          </w:tcPr>
          <w:p w14:paraId="2EC98B36" w14:textId="2CA83799" w:rsidR="009A7EC3" w:rsidRPr="00DE25AD" w:rsidRDefault="009A7EC3" w:rsidP="009A7EC3">
            <w:pPr>
              <w:pStyle w:val="ASSADACCESStablecentre"/>
            </w:pPr>
            <w:r w:rsidRPr="002E5727">
              <w:rPr>
                <w:bCs w:val="0"/>
                <w:color w:val="000000"/>
              </w:rPr>
              <w:t>19*^</w:t>
            </w:r>
          </w:p>
        </w:tc>
        <w:tc>
          <w:tcPr>
            <w:tcW w:w="879" w:type="dxa"/>
            <w:shd w:val="clear" w:color="auto" w:fill="auto"/>
          </w:tcPr>
          <w:p w14:paraId="04EE739B" w14:textId="4C69A353" w:rsidR="009A7EC3" w:rsidRPr="00DE25AD" w:rsidRDefault="009A7EC3" w:rsidP="009A7EC3">
            <w:pPr>
              <w:pStyle w:val="ASSADACCESStablecentre"/>
            </w:pPr>
            <w:r w:rsidRPr="002E5727">
              <w:rPr>
                <w:bCs w:val="0"/>
                <w:color w:val="000000"/>
              </w:rPr>
              <w:t>13</w:t>
            </w:r>
            <w:r>
              <w:rPr>
                <w:bCs w:val="0"/>
                <w:color w:val="000000"/>
              </w:rPr>
              <w:t>*</w:t>
            </w:r>
            <w:r w:rsidRPr="002E5727">
              <w:rPr>
                <w:bCs w:val="0"/>
                <w:color w:val="000000"/>
              </w:rPr>
              <w:t>^</w:t>
            </w:r>
          </w:p>
        </w:tc>
        <w:tc>
          <w:tcPr>
            <w:tcW w:w="879" w:type="dxa"/>
            <w:shd w:val="clear" w:color="auto" w:fill="auto"/>
          </w:tcPr>
          <w:p w14:paraId="4AD5C4BE" w14:textId="0BAB9094" w:rsidR="009A7EC3" w:rsidRPr="00DE25AD" w:rsidRDefault="009A7EC3" w:rsidP="009A7EC3">
            <w:pPr>
              <w:pStyle w:val="ASSADACCESStablecentre"/>
            </w:pPr>
            <w:r w:rsidRPr="002E5727">
              <w:rPr>
                <w:bCs w:val="0"/>
                <w:color w:val="000000"/>
              </w:rPr>
              <w:t>9^</w:t>
            </w:r>
          </w:p>
        </w:tc>
        <w:tc>
          <w:tcPr>
            <w:tcW w:w="879" w:type="dxa"/>
            <w:shd w:val="clear" w:color="auto" w:fill="auto"/>
          </w:tcPr>
          <w:p w14:paraId="05E99926" w14:textId="4FD6470B" w:rsidR="009A7EC3" w:rsidRPr="00DE25AD" w:rsidRDefault="009A7EC3" w:rsidP="009A7EC3">
            <w:pPr>
              <w:pStyle w:val="ASSADACCESStablecentre"/>
            </w:pPr>
            <w:r w:rsidRPr="002E5727">
              <w:rPr>
                <w:bCs w:val="0"/>
                <w:color w:val="000000"/>
              </w:rPr>
              <w:t>10^</w:t>
            </w:r>
          </w:p>
        </w:tc>
        <w:tc>
          <w:tcPr>
            <w:tcW w:w="879" w:type="dxa"/>
            <w:shd w:val="clear" w:color="auto" w:fill="auto"/>
          </w:tcPr>
          <w:p w14:paraId="6DA4FE66" w14:textId="6A70638F" w:rsidR="009A7EC3" w:rsidRPr="00DE25AD" w:rsidRDefault="009A7EC3" w:rsidP="009A7EC3">
            <w:pPr>
              <w:pStyle w:val="ASSADACCESStablecentre"/>
            </w:pPr>
            <w:r w:rsidRPr="002E5727">
              <w:rPr>
                <w:bCs w:val="0"/>
                <w:color w:val="000000"/>
              </w:rPr>
              <w:t>10^</w:t>
            </w:r>
          </w:p>
        </w:tc>
        <w:tc>
          <w:tcPr>
            <w:tcW w:w="879" w:type="dxa"/>
            <w:shd w:val="clear" w:color="auto" w:fill="auto"/>
          </w:tcPr>
          <w:p w14:paraId="6DC086B6" w14:textId="74A85ABC" w:rsidR="009A7EC3" w:rsidRPr="00DE25AD" w:rsidRDefault="009A7EC3" w:rsidP="009A7EC3">
            <w:pPr>
              <w:pStyle w:val="ASSADACCESStablecentre"/>
            </w:pPr>
            <w:r>
              <w:rPr>
                <w:bCs w:val="0"/>
                <w:color w:val="000000"/>
              </w:rPr>
              <w:t>9</w:t>
            </w:r>
            <w:r w:rsidRPr="002E5727">
              <w:rPr>
                <w:bCs w:val="0"/>
                <w:color w:val="000000"/>
              </w:rPr>
              <w:t>^</w:t>
            </w:r>
          </w:p>
        </w:tc>
      </w:tr>
      <w:tr w:rsidR="009A7EC3" w:rsidRPr="00DE25AD" w14:paraId="66144223" w14:textId="77777777" w:rsidTr="00545FF4">
        <w:tc>
          <w:tcPr>
            <w:tcW w:w="1517" w:type="dxa"/>
            <w:tcMar>
              <w:left w:w="57" w:type="dxa"/>
            </w:tcMar>
          </w:tcPr>
          <w:p w14:paraId="3CAE7A1B"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0C8F2A8A" w14:textId="77777777" w:rsidR="009A7EC3" w:rsidRPr="00DE25AD" w:rsidRDefault="009A7EC3" w:rsidP="009A7EC3">
            <w:pPr>
              <w:pStyle w:val="ASSAD2017ACCESSBody1"/>
            </w:pPr>
            <w:r w:rsidRPr="00DE25AD">
              <w:t>Male</w:t>
            </w:r>
          </w:p>
        </w:tc>
        <w:tc>
          <w:tcPr>
            <w:tcW w:w="878" w:type="dxa"/>
            <w:shd w:val="clear" w:color="auto" w:fill="auto"/>
          </w:tcPr>
          <w:p w14:paraId="6B5FA39B" w14:textId="79ADCCD0" w:rsidR="009A7EC3" w:rsidRPr="00DE25AD" w:rsidRDefault="009A7EC3" w:rsidP="009A7EC3">
            <w:pPr>
              <w:pStyle w:val="ASSADACCESStablecentre"/>
            </w:pPr>
            <w:r w:rsidRPr="002E5727">
              <w:rPr>
                <w:bCs w:val="0"/>
                <w:color w:val="000000"/>
              </w:rPr>
              <w:t>28*</w:t>
            </w:r>
          </w:p>
        </w:tc>
        <w:tc>
          <w:tcPr>
            <w:tcW w:w="879" w:type="dxa"/>
            <w:shd w:val="clear" w:color="auto" w:fill="auto"/>
          </w:tcPr>
          <w:p w14:paraId="4F146958" w14:textId="1B9744C5" w:rsidR="009A7EC3" w:rsidRPr="00DE25AD" w:rsidRDefault="009A7EC3" w:rsidP="009A7EC3">
            <w:pPr>
              <w:pStyle w:val="ASSADACCESStablecentre"/>
            </w:pPr>
            <w:r w:rsidRPr="002E5727">
              <w:rPr>
                <w:bCs w:val="0"/>
                <w:color w:val="000000"/>
              </w:rPr>
              <w:t>21*^</w:t>
            </w:r>
          </w:p>
        </w:tc>
        <w:tc>
          <w:tcPr>
            <w:tcW w:w="879" w:type="dxa"/>
            <w:shd w:val="clear" w:color="auto" w:fill="auto"/>
          </w:tcPr>
          <w:p w14:paraId="5D1A2E82" w14:textId="15360120" w:rsidR="009A7EC3" w:rsidRPr="00DE25AD" w:rsidRDefault="009A7EC3" w:rsidP="009A7EC3">
            <w:pPr>
              <w:pStyle w:val="ASSADACCESStablecentre"/>
            </w:pPr>
            <w:r w:rsidRPr="002E5727">
              <w:rPr>
                <w:bCs w:val="0"/>
                <w:color w:val="000000"/>
              </w:rPr>
              <w:t>18*^</w:t>
            </w:r>
          </w:p>
        </w:tc>
        <w:tc>
          <w:tcPr>
            <w:tcW w:w="879" w:type="dxa"/>
            <w:shd w:val="clear" w:color="auto" w:fill="auto"/>
          </w:tcPr>
          <w:p w14:paraId="50770D63" w14:textId="53D5EE02" w:rsidR="009A7EC3" w:rsidRPr="00DE25AD" w:rsidRDefault="009A7EC3" w:rsidP="009A7EC3">
            <w:pPr>
              <w:pStyle w:val="ASSADACCESStablecentre"/>
            </w:pPr>
            <w:r w:rsidRPr="002E5727">
              <w:rPr>
                <w:bCs w:val="0"/>
                <w:color w:val="000000"/>
              </w:rPr>
              <w:t>11</w:t>
            </w:r>
            <w:r>
              <w:rPr>
                <w:bCs w:val="0"/>
                <w:color w:val="000000"/>
              </w:rPr>
              <w:t>*</w:t>
            </w:r>
            <w:r w:rsidRPr="002E5727">
              <w:rPr>
                <w:bCs w:val="0"/>
                <w:color w:val="000000"/>
              </w:rPr>
              <w:t>^</w:t>
            </w:r>
          </w:p>
        </w:tc>
        <w:tc>
          <w:tcPr>
            <w:tcW w:w="879" w:type="dxa"/>
            <w:shd w:val="clear" w:color="auto" w:fill="auto"/>
          </w:tcPr>
          <w:p w14:paraId="024978D8" w14:textId="5118A435" w:rsidR="009A7EC3" w:rsidRPr="00DE25AD" w:rsidRDefault="009A7EC3" w:rsidP="009A7EC3">
            <w:pPr>
              <w:pStyle w:val="ASSADACCESStablecentre"/>
            </w:pPr>
            <w:r w:rsidRPr="002E5727">
              <w:rPr>
                <w:bCs w:val="0"/>
                <w:color w:val="000000"/>
              </w:rPr>
              <w:t>8^</w:t>
            </w:r>
          </w:p>
        </w:tc>
        <w:tc>
          <w:tcPr>
            <w:tcW w:w="879" w:type="dxa"/>
            <w:shd w:val="clear" w:color="auto" w:fill="auto"/>
          </w:tcPr>
          <w:p w14:paraId="57AD9CD5" w14:textId="39606B28" w:rsidR="009A7EC3" w:rsidRPr="00DE25AD" w:rsidRDefault="009A7EC3" w:rsidP="009A7EC3">
            <w:pPr>
              <w:pStyle w:val="ASSADACCESStablecentre"/>
            </w:pPr>
            <w:r w:rsidRPr="002E5727">
              <w:rPr>
                <w:bCs w:val="0"/>
                <w:color w:val="000000"/>
              </w:rPr>
              <w:t>9^</w:t>
            </w:r>
          </w:p>
        </w:tc>
        <w:tc>
          <w:tcPr>
            <w:tcW w:w="879" w:type="dxa"/>
            <w:shd w:val="clear" w:color="auto" w:fill="auto"/>
          </w:tcPr>
          <w:p w14:paraId="3A667139" w14:textId="42FBB892" w:rsidR="009A7EC3" w:rsidRPr="00DE25AD" w:rsidRDefault="009A7EC3" w:rsidP="009A7EC3">
            <w:pPr>
              <w:pStyle w:val="ASSADACCESStablecentre"/>
            </w:pPr>
            <w:r w:rsidRPr="002E5727">
              <w:rPr>
                <w:bCs w:val="0"/>
                <w:color w:val="000000"/>
              </w:rPr>
              <w:t>9^</w:t>
            </w:r>
          </w:p>
        </w:tc>
        <w:tc>
          <w:tcPr>
            <w:tcW w:w="879" w:type="dxa"/>
            <w:shd w:val="clear" w:color="auto" w:fill="auto"/>
          </w:tcPr>
          <w:p w14:paraId="07125A06" w14:textId="4DE4871D" w:rsidR="009A7EC3" w:rsidRPr="00DE25AD" w:rsidRDefault="009A7EC3" w:rsidP="009A7EC3">
            <w:pPr>
              <w:pStyle w:val="ASSADACCESStablecentre"/>
            </w:pPr>
            <w:r>
              <w:rPr>
                <w:bCs w:val="0"/>
                <w:color w:val="000000"/>
              </w:rPr>
              <w:t>9</w:t>
            </w:r>
            <w:r w:rsidRPr="002E5727">
              <w:rPr>
                <w:bCs w:val="0"/>
                <w:color w:val="000000"/>
              </w:rPr>
              <w:t>^</w:t>
            </w:r>
          </w:p>
        </w:tc>
      </w:tr>
      <w:tr w:rsidR="009A7EC3" w:rsidRPr="00DE25AD" w14:paraId="246EFB6A" w14:textId="77777777" w:rsidTr="005F678B">
        <w:tc>
          <w:tcPr>
            <w:tcW w:w="1517" w:type="dxa"/>
            <w:tcMar>
              <w:left w:w="57" w:type="dxa"/>
            </w:tcMar>
          </w:tcPr>
          <w:p w14:paraId="323A2E21" w14:textId="77777777" w:rsidR="009A7EC3" w:rsidRPr="00DE25AD" w:rsidRDefault="009A7EC3" w:rsidP="009A7EC3">
            <w:pPr>
              <w:pStyle w:val="ACCESSTableHeaderRow"/>
            </w:pPr>
          </w:p>
        </w:tc>
        <w:tc>
          <w:tcPr>
            <w:tcW w:w="1068" w:type="dxa"/>
            <w:shd w:val="clear" w:color="auto" w:fill="auto"/>
            <w:tcMar>
              <w:left w:w="57" w:type="dxa"/>
            </w:tcMar>
            <w:vAlign w:val="bottom"/>
          </w:tcPr>
          <w:p w14:paraId="7D0873AA" w14:textId="77777777" w:rsidR="009A7EC3" w:rsidRPr="00DE25AD" w:rsidRDefault="009A7EC3" w:rsidP="009A7EC3">
            <w:pPr>
              <w:pStyle w:val="ASSAD2017ACCESSBody1"/>
            </w:pPr>
            <w:r w:rsidRPr="00DE25AD">
              <w:t>Female</w:t>
            </w:r>
          </w:p>
        </w:tc>
        <w:tc>
          <w:tcPr>
            <w:tcW w:w="878" w:type="dxa"/>
            <w:shd w:val="clear" w:color="auto" w:fill="auto"/>
          </w:tcPr>
          <w:p w14:paraId="484A2C21" w14:textId="532047B7" w:rsidR="009A7EC3" w:rsidRPr="00DE25AD" w:rsidRDefault="009A7EC3" w:rsidP="009A7EC3">
            <w:pPr>
              <w:pStyle w:val="ASSADACCESStablecentre"/>
            </w:pPr>
            <w:r w:rsidRPr="002E5727">
              <w:rPr>
                <w:bCs w:val="0"/>
                <w:color w:val="000000"/>
              </w:rPr>
              <w:t>22*</w:t>
            </w:r>
          </w:p>
        </w:tc>
        <w:tc>
          <w:tcPr>
            <w:tcW w:w="879" w:type="dxa"/>
            <w:shd w:val="clear" w:color="auto" w:fill="auto"/>
          </w:tcPr>
          <w:p w14:paraId="608BD311" w14:textId="186C0BB4" w:rsidR="009A7EC3" w:rsidRPr="00DE25AD" w:rsidRDefault="009A7EC3" w:rsidP="009A7EC3">
            <w:pPr>
              <w:pStyle w:val="ASSADACCESStablecentre"/>
            </w:pPr>
            <w:r w:rsidRPr="002E5727">
              <w:rPr>
                <w:bCs w:val="0"/>
                <w:color w:val="000000"/>
              </w:rPr>
              <w:t>18*^</w:t>
            </w:r>
          </w:p>
        </w:tc>
        <w:tc>
          <w:tcPr>
            <w:tcW w:w="879" w:type="dxa"/>
            <w:shd w:val="clear" w:color="auto" w:fill="auto"/>
          </w:tcPr>
          <w:p w14:paraId="6F2D0E49" w14:textId="0409B22A" w:rsidR="009A7EC3" w:rsidRPr="00DE25AD" w:rsidRDefault="009A7EC3" w:rsidP="009A7EC3">
            <w:pPr>
              <w:pStyle w:val="ASSADACCESStablecentre"/>
            </w:pPr>
            <w:r w:rsidRPr="002E5727">
              <w:rPr>
                <w:bCs w:val="0"/>
                <w:color w:val="000000"/>
              </w:rPr>
              <w:t>14*^</w:t>
            </w:r>
          </w:p>
        </w:tc>
        <w:tc>
          <w:tcPr>
            <w:tcW w:w="879" w:type="dxa"/>
            <w:shd w:val="clear" w:color="auto" w:fill="auto"/>
          </w:tcPr>
          <w:p w14:paraId="2E8A01EE" w14:textId="0304AA76" w:rsidR="009A7EC3" w:rsidRPr="00DE25AD" w:rsidRDefault="009A7EC3" w:rsidP="009A7EC3">
            <w:pPr>
              <w:pStyle w:val="ASSADACCESStablecentre"/>
            </w:pPr>
            <w:r w:rsidRPr="002E5727">
              <w:rPr>
                <w:bCs w:val="0"/>
                <w:color w:val="000000"/>
              </w:rPr>
              <w:t>9^</w:t>
            </w:r>
          </w:p>
        </w:tc>
        <w:tc>
          <w:tcPr>
            <w:tcW w:w="879" w:type="dxa"/>
            <w:shd w:val="clear" w:color="auto" w:fill="auto"/>
          </w:tcPr>
          <w:p w14:paraId="7F78C13A" w14:textId="650C22FE" w:rsidR="009A7EC3" w:rsidRPr="00DE25AD" w:rsidRDefault="009A7EC3" w:rsidP="009A7EC3">
            <w:pPr>
              <w:pStyle w:val="ASSADACCESStablecentre"/>
            </w:pPr>
            <w:r w:rsidRPr="002E5727">
              <w:rPr>
                <w:bCs w:val="0"/>
                <w:color w:val="000000"/>
              </w:rPr>
              <w:t>7^</w:t>
            </w:r>
          </w:p>
        </w:tc>
        <w:tc>
          <w:tcPr>
            <w:tcW w:w="879" w:type="dxa"/>
            <w:shd w:val="clear" w:color="auto" w:fill="auto"/>
          </w:tcPr>
          <w:p w14:paraId="5699CFFF" w14:textId="1DA757F9" w:rsidR="009A7EC3" w:rsidRPr="00DE25AD" w:rsidRDefault="009A7EC3" w:rsidP="009A7EC3">
            <w:pPr>
              <w:pStyle w:val="ASSADACCESStablecentre"/>
            </w:pPr>
            <w:r w:rsidRPr="002E5727">
              <w:rPr>
                <w:bCs w:val="0"/>
                <w:color w:val="000000"/>
              </w:rPr>
              <w:t>7^</w:t>
            </w:r>
          </w:p>
        </w:tc>
        <w:tc>
          <w:tcPr>
            <w:tcW w:w="879" w:type="dxa"/>
            <w:shd w:val="clear" w:color="auto" w:fill="auto"/>
          </w:tcPr>
          <w:p w14:paraId="65CD4246" w14:textId="37E6B2F0" w:rsidR="009A7EC3" w:rsidRPr="00DE25AD" w:rsidRDefault="009A7EC3" w:rsidP="009A7EC3">
            <w:pPr>
              <w:pStyle w:val="ASSADACCESStablecentre"/>
            </w:pPr>
            <w:r w:rsidRPr="002E5727">
              <w:rPr>
                <w:bCs w:val="0"/>
                <w:color w:val="000000"/>
              </w:rPr>
              <w:t>8^</w:t>
            </w:r>
          </w:p>
        </w:tc>
        <w:tc>
          <w:tcPr>
            <w:tcW w:w="879" w:type="dxa"/>
            <w:shd w:val="clear" w:color="auto" w:fill="auto"/>
          </w:tcPr>
          <w:p w14:paraId="0E747311" w14:textId="286B85F8" w:rsidR="009A7EC3" w:rsidRPr="00DE25AD" w:rsidRDefault="009A7EC3" w:rsidP="009A7EC3">
            <w:pPr>
              <w:pStyle w:val="ASSADACCESStablecentre"/>
            </w:pPr>
            <w:r>
              <w:rPr>
                <w:bCs w:val="0"/>
                <w:color w:val="000000"/>
              </w:rPr>
              <w:t>8</w:t>
            </w:r>
            <w:r w:rsidRPr="002E5727">
              <w:rPr>
                <w:bCs w:val="0"/>
                <w:color w:val="000000"/>
              </w:rPr>
              <w:t>^</w:t>
            </w:r>
          </w:p>
        </w:tc>
      </w:tr>
      <w:tr w:rsidR="009A7EC3" w:rsidRPr="00DE25AD" w14:paraId="50E598E5" w14:textId="77777777" w:rsidTr="005F678B">
        <w:tc>
          <w:tcPr>
            <w:tcW w:w="1517" w:type="dxa"/>
            <w:tcMar>
              <w:left w:w="57" w:type="dxa"/>
            </w:tcMar>
          </w:tcPr>
          <w:p w14:paraId="50AFD9BD" w14:textId="77777777" w:rsidR="009A7EC3" w:rsidRPr="00DE25AD" w:rsidRDefault="009A7EC3" w:rsidP="009A7EC3">
            <w:pPr>
              <w:pStyle w:val="ACCESSTableHeaderRow"/>
            </w:pPr>
          </w:p>
        </w:tc>
        <w:tc>
          <w:tcPr>
            <w:tcW w:w="1068" w:type="dxa"/>
            <w:shd w:val="clear" w:color="auto" w:fill="auto"/>
            <w:tcMar>
              <w:left w:w="57" w:type="dxa"/>
            </w:tcMar>
            <w:vAlign w:val="bottom"/>
          </w:tcPr>
          <w:p w14:paraId="05410566" w14:textId="77777777" w:rsidR="009A7EC3" w:rsidRPr="00DE25AD" w:rsidRDefault="009A7EC3" w:rsidP="009A7EC3">
            <w:pPr>
              <w:pStyle w:val="ASSAD2017ACCESSBody1"/>
            </w:pPr>
            <w:r w:rsidRPr="00DE25AD">
              <w:t>Total</w:t>
            </w:r>
          </w:p>
        </w:tc>
        <w:tc>
          <w:tcPr>
            <w:tcW w:w="878" w:type="dxa"/>
            <w:shd w:val="clear" w:color="auto" w:fill="auto"/>
          </w:tcPr>
          <w:p w14:paraId="2A78D673" w14:textId="3FFF3A55" w:rsidR="009A7EC3" w:rsidRPr="00DE25AD" w:rsidRDefault="009A7EC3" w:rsidP="009A7EC3">
            <w:pPr>
              <w:pStyle w:val="ASSADACCESStablecentre"/>
            </w:pPr>
            <w:r w:rsidRPr="002E5727">
              <w:rPr>
                <w:bCs w:val="0"/>
                <w:color w:val="000000"/>
              </w:rPr>
              <w:t>25*</w:t>
            </w:r>
          </w:p>
        </w:tc>
        <w:tc>
          <w:tcPr>
            <w:tcW w:w="879" w:type="dxa"/>
            <w:shd w:val="clear" w:color="auto" w:fill="auto"/>
          </w:tcPr>
          <w:p w14:paraId="78C7BCAF" w14:textId="3D6DB468" w:rsidR="009A7EC3" w:rsidRPr="00DE25AD" w:rsidRDefault="009A7EC3" w:rsidP="009A7EC3">
            <w:pPr>
              <w:pStyle w:val="ASSADACCESStablecentre"/>
            </w:pPr>
            <w:r w:rsidRPr="002E5727">
              <w:rPr>
                <w:bCs w:val="0"/>
                <w:color w:val="000000"/>
              </w:rPr>
              <w:t>20*^</w:t>
            </w:r>
          </w:p>
        </w:tc>
        <w:tc>
          <w:tcPr>
            <w:tcW w:w="879" w:type="dxa"/>
            <w:shd w:val="clear" w:color="auto" w:fill="auto"/>
          </w:tcPr>
          <w:p w14:paraId="219E8DA5" w14:textId="34AED857" w:rsidR="009A7EC3" w:rsidRPr="00DE25AD" w:rsidRDefault="009A7EC3" w:rsidP="009A7EC3">
            <w:pPr>
              <w:pStyle w:val="ASSADACCESStablecentre"/>
            </w:pPr>
            <w:r w:rsidRPr="002E5727">
              <w:rPr>
                <w:bCs w:val="0"/>
                <w:color w:val="000000"/>
              </w:rPr>
              <w:t>16*^</w:t>
            </w:r>
          </w:p>
        </w:tc>
        <w:tc>
          <w:tcPr>
            <w:tcW w:w="879" w:type="dxa"/>
            <w:shd w:val="clear" w:color="auto" w:fill="auto"/>
          </w:tcPr>
          <w:p w14:paraId="5AACC762" w14:textId="32AE644A" w:rsidR="009A7EC3" w:rsidRPr="00DE25AD" w:rsidRDefault="009A7EC3" w:rsidP="009A7EC3">
            <w:pPr>
              <w:pStyle w:val="ASSADACCESStablecentre"/>
            </w:pPr>
            <w:r w:rsidRPr="002E5727">
              <w:rPr>
                <w:bCs w:val="0"/>
                <w:color w:val="000000"/>
              </w:rPr>
              <w:t>10^</w:t>
            </w:r>
          </w:p>
        </w:tc>
        <w:tc>
          <w:tcPr>
            <w:tcW w:w="879" w:type="dxa"/>
            <w:shd w:val="clear" w:color="auto" w:fill="auto"/>
          </w:tcPr>
          <w:p w14:paraId="3169EFA4" w14:textId="674A26D3" w:rsidR="009A7EC3" w:rsidRPr="00DE25AD" w:rsidRDefault="009A7EC3" w:rsidP="009A7EC3">
            <w:pPr>
              <w:pStyle w:val="ASSADACCESStablecentre"/>
            </w:pPr>
            <w:r w:rsidRPr="002E5727">
              <w:rPr>
                <w:bCs w:val="0"/>
                <w:color w:val="000000"/>
              </w:rPr>
              <w:t>8^</w:t>
            </w:r>
          </w:p>
        </w:tc>
        <w:tc>
          <w:tcPr>
            <w:tcW w:w="879" w:type="dxa"/>
            <w:shd w:val="clear" w:color="auto" w:fill="auto"/>
          </w:tcPr>
          <w:p w14:paraId="481B35C7" w14:textId="22C0527B" w:rsidR="009A7EC3" w:rsidRPr="00DE25AD" w:rsidRDefault="009A7EC3" w:rsidP="009A7EC3">
            <w:pPr>
              <w:pStyle w:val="ASSADACCESStablecentre"/>
            </w:pPr>
            <w:r w:rsidRPr="002E5727">
              <w:rPr>
                <w:bCs w:val="0"/>
                <w:color w:val="000000"/>
              </w:rPr>
              <w:t>8^</w:t>
            </w:r>
          </w:p>
        </w:tc>
        <w:tc>
          <w:tcPr>
            <w:tcW w:w="879" w:type="dxa"/>
            <w:shd w:val="clear" w:color="auto" w:fill="auto"/>
          </w:tcPr>
          <w:p w14:paraId="56EAECE8" w14:textId="47290CC1" w:rsidR="009A7EC3" w:rsidRPr="00DE25AD" w:rsidRDefault="009A7EC3" w:rsidP="009A7EC3">
            <w:pPr>
              <w:pStyle w:val="ASSADACCESStablecentre"/>
            </w:pPr>
            <w:r w:rsidRPr="002E5727">
              <w:rPr>
                <w:bCs w:val="0"/>
                <w:color w:val="000000"/>
              </w:rPr>
              <w:t>8^</w:t>
            </w:r>
          </w:p>
        </w:tc>
        <w:tc>
          <w:tcPr>
            <w:tcW w:w="879" w:type="dxa"/>
            <w:shd w:val="clear" w:color="auto" w:fill="auto"/>
          </w:tcPr>
          <w:p w14:paraId="0D8F636A" w14:textId="0CDB1A50" w:rsidR="009A7EC3" w:rsidRPr="00DE25AD" w:rsidRDefault="009A7EC3" w:rsidP="009A7EC3">
            <w:pPr>
              <w:pStyle w:val="ASSADACCESStablecentre"/>
            </w:pPr>
            <w:r>
              <w:rPr>
                <w:bCs w:val="0"/>
                <w:color w:val="000000"/>
              </w:rPr>
              <w:t>8</w:t>
            </w:r>
            <w:r w:rsidRPr="002E5727">
              <w:rPr>
                <w:bCs w:val="0"/>
                <w:color w:val="000000"/>
              </w:rPr>
              <w:t>^</w:t>
            </w:r>
          </w:p>
        </w:tc>
      </w:tr>
      <w:tr w:rsidR="009A7EC3" w:rsidRPr="00DE25AD" w14:paraId="49341637" w14:textId="77777777" w:rsidTr="005F678B">
        <w:tc>
          <w:tcPr>
            <w:tcW w:w="1517" w:type="dxa"/>
            <w:tcMar>
              <w:left w:w="57" w:type="dxa"/>
            </w:tcMar>
          </w:tcPr>
          <w:p w14:paraId="13277CA9"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6CE60F59" w14:textId="77777777" w:rsidR="009A7EC3" w:rsidRPr="00DE25AD" w:rsidRDefault="009A7EC3" w:rsidP="009A7EC3">
            <w:pPr>
              <w:pStyle w:val="ASSAD2017ACCESSBody1"/>
            </w:pPr>
            <w:r w:rsidRPr="00DE25AD">
              <w:t>Male</w:t>
            </w:r>
          </w:p>
        </w:tc>
        <w:tc>
          <w:tcPr>
            <w:tcW w:w="878" w:type="dxa"/>
            <w:shd w:val="clear" w:color="auto" w:fill="auto"/>
          </w:tcPr>
          <w:p w14:paraId="50E7ACC3" w14:textId="4C8D2C81" w:rsidR="009A7EC3" w:rsidRPr="00DE25AD" w:rsidRDefault="009A7EC3" w:rsidP="009A7EC3">
            <w:pPr>
              <w:pStyle w:val="ASSADACCESStablecentre"/>
            </w:pPr>
            <w:r w:rsidRPr="002E5727">
              <w:rPr>
                <w:bCs w:val="0"/>
                <w:color w:val="000000"/>
              </w:rPr>
              <w:t>18*</w:t>
            </w:r>
          </w:p>
        </w:tc>
        <w:tc>
          <w:tcPr>
            <w:tcW w:w="879" w:type="dxa"/>
            <w:shd w:val="clear" w:color="auto" w:fill="auto"/>
          </w:tcPr>
          <w:p w14:paraId="62DB902D" w14:textId="5EF1289A" w:rsidR="009A7EC3" w:rsidRPr="00DE25AD" w:rsidRDefault="009A7EC3" w:rsidP="009A7EC3">
            <w:pPr>
              <w:pStyle w:val="ASSADACCESStablecentre"/>
            </w:pPr>
            <w:r w:rsidRPr="002E5727">
              <w:rPr>
                <w:bCs w:val="0"/>
                <w:color w:val="000000"/>
              </w:rPr>
              <w:t>13*^</w:t>
            </w:r>
          </w:p>
        </w:tc>
        <w:tc>
          <w:tcPr>
            <w:tcW w:w="879" w:type="dxa"/>
            <w:shd w:val="clear" w:color="auto" w:fill="auto"/>
          </w:tcPr>
          <w:p w14:paraId="1C36F84C" w14:textId="64AF90AF" w:rsidR="009A7EC3" w:rsidRPr="00DE25AD" w:rsidRDefault="009A7EC3" w:rsidP="009A7EC3">
            <w:pPr>
              <w:pStyle w:val="ASSADACCESStablecentre"/>
            </w:pPr>
            <w:r w:rsidRPr="002E5727">
              <w:rPr>
                <w:bCs w:val="0"/>
                <w:color w:val="000000"/>
              </w:rPr>
              <w:t>10*^</w:t>
            </w:r>
          </w:p>
        </w:tc>
        <w:tc>
          <w:tcPr>
            <w:tcW w:w="879" w:type="dxa"/>
            <w:shd w:val="clear" w:color="auto" w:fill="auto"/>
          </w:tcPr>
          <w:p w14:paraId="03E04F4F" w14:textId="3E4E6344" w:rsidR="009A7EC3" w:rsidRPr="00DE25AD" w:rsidRDefault="009A7EC3" w:rsidP="009A7EC3">
            <w:pPr>
              <w:pStyle w:val="ASSADACCESStablecentre"/>
            </w:pPr>
            <w:r w:rsidRPr="002E5727">
              <w:rPr>
                <w:bCs w:val="0"/>
                <w:color w:val="000000"/>
              </w:rPr>
              <w:t>7^</w:t>
            </w:r>
          </w:p>
        </w:tc>
        <w:tc>
          <w:tcPr>
            <w:tcW w:w="879" w:type="dxa"/>
            <w:shd w:val="clear" w:color="auto" w:fill="auto"/>
          </w:tcPr>
          <w:p w14:paraId="4F4F390E" w14:textId="6042EB70" w:rsidR="009A7EC3" w:rsidRPr="00DE25AD" w:rsidRDefault="009A7EC3" w:rsidP="009A7EC3">
            <w:pPr>
              <w:pStyle w:val="ASSADACCESStablecentre"/>
            </w:pPr>
            <w:r w:rsidRPr="002E5727">
              <w:rPr>
                <w:bCs w:val="0"/>
                <w:color w:val="000000"/>
              </w:rPr>
              <w:t>5^</w:t>
            </w:r>
          </w:p>
        </w:tc>
        <w:tc>
          <w:tcPr>
            <w:tcW w:w="879" w:type="dxa"/>
            <w:shd w:val="clear" w:color="auto" w:fill="auto"/>
          </w:tcPr>
          <w:p w14:paraId="2D4CA022" w14:textId="024F0953" w:rsidR="009A7EC3" w:rsidRPr="00DE25AD" w:rsidRDefault="009A7EC3" w:rsidP="009A7EC3">
            <w:pPr>
              <w:pStyle w:val="ASSADACCESStablecentre"/>
            </w:pPr>
            <w:r w:rsidRPr="002E5727">
              <w:rPr>
                <w:bCs w:val="0"/>
                <w:color w:val="000000"/>
              </w:rPr>
              <w:t>5^</w:t>
            </w:r>
          </w:p>
        </w:tc>
        <w:tc>
          <w:tcPr>
            <w:tcW w:w="879" w:type="dxa"/>
            <w:shd w:val="clear" w:color="auto" w:fill="auto"/>
          </w:tcPr>
          <w:p w14:paraId="6FA80E38" w14:textId="2D255C44" w:rsidR="009A7EC3" w:rsidRPr="00DE25AD" w:rsidRDefault="009A7EC3" w:rsidP="009A7EC3">
            <w:pPr>
              <w:pStyle w:val="ASSADACCESStablecentre"/>
            </w:pPr>
            <w:r w:rsidRPr="002E5727">
              <w:rPr>
                <w:bCs w:val="0"/>
                <w:color w:val="000000"/>
              </w:rPr>
              <w:t>5^</w:t>
            </w:r>
          </w:p>
        </w:tc>
        <w:tc>
          <w:tcPr>
            <w:tcW w:w="879" w:type="dxa"/>
            <w:shd w:val="clear" w:color="auto" w:fill="auto"/>
          </w:tcPr>
          <w:p w14:paraId="1D365A54" w14:textId="0D516F81" w:rsidR="009A7EC3" w:rsidRPr="00DE25AD" w:rsidRDefault="009A7EC3" w:rsidP="009A7EC3">
            <w:pPr>
              <w:pStyle w:val="ASSADACCESStablecentre"/>
            </w:pPr>
            <w:r w:rsidRPr="002E5727">
              <w:rPr>
                <w:bCs w:val="0"/>
                <w:color w:val="000000"/>
              </w:rPr>
              <w:t>5^</w:t>
            </w:r>
          </w:p>
        </w:tc>
      </w:tr>
      <w:tr w:rsidR="009A7EC3" w:rsidRPr="00DE25AD" w14:paraId="7D3DE7B7" w14:textId="77777777" w:rsidTr="005F678B">
        <w:tc>
          <w:tcPr>
            <w:tcW w:w="1517" w:type="dxa"/>
            <w:tcMar>
              <w:left w:w="57" w:type="dxa"/>
            </w:tcMar>
          </w:tcPr>
          <w:p w14:paraId="6E4523AE" w14:textId="77777777" w:rsidR="009A7EC3" w:rsidRPr="00DE25AD" w:rsidRDefault="009A7EC3" w:rsidP="009A7EC3">
            <w:pPr>
              <w:pStyle w:val="ACCESSTableHeaderRow"/>
            </w:pPr>
          </w:p>
        </w:tc>
        <w:tc>
          <w:tcPr>
            <w:tcW w:w="1068" w:type="dxa"/>
            <w:shd w:val="clear" w:color="auto" w:fill="auto"/>
            <w:tcMar>
              <w:left w:w="57" w:type="dxa"/>
            </w:tcMar>
            <w:vAlign w:val="bottom"/>
          </w:tcPr>
          <w:p w14:paraId="6D76B308" w14:textId="77777777" w:rsidR="009A7EC3" w:rsidRPr="00DE25AD" w:rsidRDefault="009A7EC3" w:rsidP="009A7EC3">
            <w:pPr>
              <w:pStyle w:val="ASSAD2017ACCESSBody1"/>
            </w:pPr>
            <w:r w:rsidRPr="00DE25AD">
              <w:t>Female</w:t>
            </w:r>
          </w:p>
        </w:tc>
        <w:tc>
          <w:tcPr>
            <w:tcW w:w="878" w:type="dxa"/>
            <w:shd w:val="clear" w:color="auto" w:fill="auto"/>
          </w:tcPr>
          <w:p w14:paraId="7DBF3E9A" w14:textId="082F6755" w:rsidR="009A7EC3" w:rsidRPr="00DE25AD" w:rsidRDefault="009A7EC3" w:rsidP="009A7EC3">
            <w:pPr>
              <w:pStyle w:val="ASSADACCESStablecentre"/>
            </w:pPr>
            <w:r w:rsidRPr="002E5727">
              <w:rPr>
                <w:bCs w:val="0"/>
                <w:color w:val="000000"/>
              </w:rPr>
              <w:t>13*</w:t>
            </w:r>
          </w:p>
        </w:tc>
        <w:tc>
          <w:tcPr>
            <w:tcW w:w="879" w:type="dxa"/>
            <w:shd w:val="clear" w:color="auto" w:fill="auto"/>
          </w:tcPr>
          <w:p w14:paraId="2CD18E29" w14:textId="1D9BD596" w:rsidR="009A7EC3" w:rsidRPr="00DE25AD" w:rsidRDefault="009A7EC3" w:rsidP="009A7EC3">
            <w:pPr>
              <w:pStyle w:val="ASSADACCESStablecentre"/>
            </w:pPr>
            <w:r w:rsidRPr="002E5727">
              <w:rPr>
                <w:bCs w:val="0"/>
                <w:color w:val="000000"/>
              </w:rPr>
              <w:t>10*^</w:t>
            </w:r>
          </w:p>
        </w:tc>
        <w:tc>
          <w:tcPr>
            <w:tcW w:w="879" w:type="dxa"/>
            <w:shd w:val="clear" w:color="auto" w:fill="auto"/>
          </w:tcPr>
          <w:p w14:paraId="7E478A3D" w14:textId="7E5DADAF" w:rsidR="009A7EC3" w:rsidRPr="00DE25AD" w:rsidRDefault="009A7EC3" w:rsidP="009A7EC3">
            <w:pPr>
              <w:pStyle w:val="ASSADACCESStablecentre"/>
            </w:pPr>
            <w:r w:rsidRPr="002E5727">
              <w:rPr>
                <w:bCs w:val="0"/>
                <w:color w:val="000000"/>
              </w:rPr>
              <w:t>8*^</w:t>
            </w:r>
          </w:p>
        </w:tc>
        <w:tc>
          <w:tcPr>
            <w:tcW w:w="879" w:type="dxa"/>
            <w:shd w:val="clear" w:color="auto" w:fill="auto"/>
          </w:tcPr>
          <w:p w14:paraId="198F5414" w14:textId="6ADD1CBD" w:rsidR="009A7EC3" w:rsidRPr="00DE25AD" w:rsidRDefault="009A7EC3" w:rsidP="009A7EC3">
            <w:pPr>
              <w:pStyle w:val="ASSADACCESStablecentre"/>
            </w:pPr>
            <w:r w:rsidRPr="002E5727">
              <w:rPr>
                <w:bCs w:val="0"/>
                <w:color w:val="000000"/>
              </w:rPr>
              <w:t>4^</w:t>
            </w:r>
          </w:p>
        </w:tc>
        <w:tc>
          <w:tcPr>
            <w:tcW w:w="879" w:type="dxa"/>
            <w:shd w:val="clear" w:color="auto" w:fill="auto"/>
          </w:tcPr>
          <w:p w14:paraId="2A9937F1" w14:textId="3FA47CC4" w:rsidR="009A7EC3" w:rsidRPr="00DE25AD" w:rsidRDefault="009A7EC3" w:rsidP="009A7EC3">
            <w:pPr>
              <w:pStyle w:val="ASSADACCESStablecentre"/>
            </w:pPr>
            <w:r w:rsidRPr="002E5727">
              <w:rPr>
                <w:bCs w:val="0"/>
                <w:color w:val="000000"/>
              </w:rPr>
              <w:t>4^</w:t>
            </w:r>
          </w:p>
        </w:tc>
        <w:tc>
          <w:tcPr>
            <w:tcW w:w="879" w:type="dxa"/>
            <w:shd w:val="clear" w:color="auto" w:fill="auto"/>
          </w:tcPr>
          <w:p w14:paraId="5303E6A0" w14:textId="245339A8" w:rsidR="009A7EC3" w:rsidRPr="00DE25AD" w:rsidRDefault="009A7EC3" w:rsidP="009A7EC3">
            <w:pPr>
              <w:pStyle w:val="ASSADACCESStablecentre"/>
            </w:pPr>
            <w:r w:rsidRPr="002E5727">
              <w:rPr>
                <w:bCs w:val="0"/>
                <w:color w:val="000000"/>
              </w:rPr>
              <w:t>4^</w:t>
            </w:r>
          </w:p>
        </w:tc>
        <w:tc>
          <w:tcPr>
            <w:tcW w:w="879" w:type="dxa"/>
            <w:shd w:val="clear" w:color="auto" w:fill="auto"/>
          </w:tcPr>
          <w:p w14:paraId="57B36C4E" w14:textId="27D79C54" w:rsidR="009A7EC3" w:rsidRPr="00DE25AD" w:rsidRDefault="009A7EC3" w:rsidP="009A7EC3">
            <w:pPr>
              <w:pStyle w:val="ASSADACCESStablecentre"/>
            </w:pPr>
            <w:r w:rsidRPr="002E5727">
              <w:rPr>
                <w:bCs w:val="0"/>
                <w:color w:val="000000"/>
              </w:rPr>
              <w:t>4^</w:t>
            </w:r>
          </w:p>
        </w:tc>
        <w:tc>
          <w:tcPr>
            <w:tcW w:w="879" w:type="dxa"/>
            <w:shd w:val="clear" w:color="auto" w:fill="auto"/>
          </w:tcPr>
          <w:p w14:paraId="194EC08F" w14:textId="15950222" w:rsidR="009A7EC3" w:rsidRPr="00DE25AD" w:rsidRDefault="009A7EC3" w:rsidP="009A7EC3">
            <w:pPr>
              <w:pStyle w:val="ASSADACCESStablecentre"/>
            </w:pPr>
            <w:r w:rsidRPr="002E5727">
              <w:rPr>
                <w:bCs w:val="0"/>
                <w:color w:val="000000"/>
              </w:rPr>
              <w:t>4^</w:t>
            </w:r>
          </w:p>
        </w:tc>
      </w:tr>
      <w:tr w:rsidR="009A7EC3" w:rsidRPr="00DE25AD" w14:paraId="45E9ADF2" w14:textId="77777777" w:rsidTr="005F678B">
        <w:tc>
          <w:tcPr>
            <w:tcW w:w="1517" w:type="dxa"/>
            <w:tcMar>
              <w:left w:w="57" w:type="dxa"/>
            </w:tcMar>
          </w:tcPr>
          <w:p w14:paraId="4AEF5968" w14:textId="77777777" w:rsidR="009A7EC3" w:rsidRPr="00DE25AD" w:rsidRDefault="009A7EC3" w:rsidP="009A7EC3">
            <w:pPr>
              <w:pStyle w:val="ACCESSTableHeaderRow"/>
            </w:pPr>
          </w:p>
        </w:tc>
        <w:tc>
          <w:tcPr>
            <w:tcW w:w="1068" w:type="dxa"/>
            <w:shd w:val="clear" w:color="auto" w:fill="auto"/>
            <w:tcMar>
              <w:left w:w="57" w:type="dxa"/>
            </w:tcMar>
            <w:vAlign w:val="bottom"/>
          </w:tcPr>
          <w:p w14:paraId="5B45C36C" w14:textId="77777777" w:rsidR="009A7EC3" w:rsidRPr="00DE25AD" w:rsidRDefault="009A7EC3" w:rsidP="009A7EC3">
            <w:pPr>
              <w:pStyle w:val="ASSAD2017ACCESSBody1"/>
            </w:pPr>
            <w:r w:rsidRPr="00DE25AD">
              <w:t>Total</w:t>
            </w:r>
          </w:p>
        </w:tc>
        <w:tc>
          <w:tcPr>
            <w:tcW w:w="878" w:type="dxa"/>
            <w:shd w:val="clear" w:color="auto" w:fill="auto"/>
          </w:tcPr>
          <w:p w14:paraId="1E66DB81" w14:textId="107F8DFF" w:rsidR="009A7EC3" w:rsidRPr="00DE25AD" w:rsidRDefault="009A7EC3" w:rsidP="009A7EC3">
            <w:pPr>
              <w:pStyle w:val="ASSADACCESStablecentre"/>
            </w:pPr>
            <w:r w:rsidRPr="002E5727">
              <w:rPr>
                <w:bCs w:val="0"/>
                <w:color w:val="000000"/>
              </w:rPr>
              <w:t>15*</w:t>
            </w:r>
          </w:p>
        </w:tc>
        <w:tc>
          <w:tcPr>
            <w:tcW w:w="879" w:type="dxa"/>
            <w:shd w:val="clear" w:color="auto" w:fill="auto"/>
          </w:tcPr>
          <w:p w14:paraId="6AFFB276" w14:textId="08773998" w:rsidR="009A7EC3" w:rsidRPr="00DE25AD" w:rsidRDefault="009A7EC3" w:rsidP="009A7EC3">
            <w:pPr>
              <w:pStyle w:val="ASSADACCESStablecentre"/>
            </w:pPr>
            <w:r w:rsidRPr="002E5727">
              <w:rPr>
                <w:bCs w:val="0"/>
                <w:color w:val="000000"/>
              </w:rPr>
              <w:t>11*^</w:t>
            </w:r>
          </w:p>
        </w:tc>
        <w:tc>
          <w:tcPr>
            <w:tcW w:w="879" w:type="dxa"/>
            <w:shd w:val="clear" w:color="auto" w:fill="auto"/>
          </w:tcPr>
          <w:p w14:paraId="6E6E4775" w14:textId="60E93A68" w:rsidR="009A7EC3" w:rsidRPr="00DE25AD" w:rsidRDefault="009A7EC3" w:rsidP="009A7EC3">
            <w:pPr>
              <w:pStyle w:val="ASSADACCESStablecentre"/>
            </w:pPr>
            <w:r w:rsidRPr="002E5727">
              <w:rPr>
                <w:bCs w:val="0"/>
                <w:color w:val="000000"/>
              </w:rPr>
              <w:t>9*^</w:t>
            </w:r>
          </w:p>
        </w:tc>
        <w:tc>
          <w:tcPr>
            <w:tcW w:w="879" w:type="dxa"/>
            <w:shd w:val="clear" w:color="auto" w:fill="auto"/>
          </w:tcPr>
          <w:p w14:paraId="17B8579B" w14:textId="6E729ED7" w:rsidR="009A7EC3" w:rsidRPr="00DE25AD" w:rsidRDefault="009A7EC3" w:rsidP="009A7EC3">
            <w:pPr>
              <w:pStyle w:val="ASSADACCESStablecentre"/>
            </w:pPr>
            <w:r w:rsidRPr="002E5727">
              <w:rPr>
                <w:bCs w:val="0"/>
                <w:color w:val="000000"/>
              </w:rPr>
              <w:t>6^</w:t>
            </w:r>
          </w:p>
        </w:tc>
        <w:tc>
          <w:tcPr>
            <w:tcW w:w="879" w:type="dxa"/>
            <w:shd w:val="clear" w:color="auto" w:fill="auto"/>
          </w:tcPr>
          <w:p w14:paraId="160591C7" w14:textId="3E448FFF" w:rsidR="009A7EC3" w:rsidRPr="00DE25AD" w:rsidRDefault="009A7EC3" w:rsidP="009A7EC3">
            <w:pPr>
              <w:pStyle w:val="ASSADACCESStablecentre"/>
            </w:pPr>
            <w:r w:rsidRPr="002E5727">
              <w:rPr>
                <w:bCs w:val="0"/>
                <w:color w:val="000000"/>
              </w:rPr>
              <w:t>4^</w:t>
            </w:r>
          </w:p>
        </w:tc>
        <w:tc>
          <w:tcPr>
            <w:tcW w:w="879" w:type="dxa"/>
            <w:shd w:val="clear" w:color="auto" w:fill="auto"/>
          </w:tcPr>
          <w:p w14:paraId="6EB6492B" w14:textId="67550712" w:rsidR="009A7EC3" w:rsidRPr="00DE25AD" w:rsidRDefault="009A7EC3" w:rsidP="009A7EC3">
            <w:pPr>
              <w:pStyle w:val="ASSADACCESStablecentre"/>
            </w:pPr>
            <w:r w:rsidRPr="002E5727">
              <w:rPr>
                <w:bCs w:val="0"/>
                <w:color w:val="000000"/>
              </w:rPr>
              <w:t>4^</w:t>
            </w:r>
          </w:p>
        </w:tc>
        <w:tc>
          <w:tcPr>
            <w:tcW w:w="879" w:type="dxa"/>
            <w:shd w:val="clear" w:color="auto" w:fill="auto"/>
          </w:tcPr>
          <w:p w14:paraId="6221FA91" w14:textId="43FD2AC9" w:rsidR="009A7EC3" w:rsidRPr="00DE25AD" w:rsidRDefault="009A7EC3" w:rsidP="009A7EC3">
            <w:pPr>
              <w:pStyle w:val="ASSADACCESStablecentre"/>
            </w:pPr>
            <w:r w:rsidRPr="002E5727">
              <w:rPr>
                <w:bCs w:val="0"/>
                <w:color w:val="000000"/>
              </w:rPr>
              <w:t>4^</w:t>
            </w:r>
          </w:p>
        </w:tc>
        <w:tc>
          <w:tcPr>
            <w:tcW w:w="879" w:type="dxa"/>
            <w:shd w:val="clear" w:color="auto" w:fill="auto"/>
          </w:tcPr>
          <w:p w14:paraId="4C9687EF" w14:textId="625F346A" w:rsidR="009A7EC3" w:rsidRPr="00DE25AD" w:rsidRDefault="009A7EC3" w:rsidP="009A7EC3">
            <w:pPr>
              <w:pStyle w:val="ASSADACCESStablecentre"/>
            </w:pPr>
            <w:r w:rsidRPr="002E5727">
              <w:rPr>
                <w:bCs w:val="0"/>
                <w:color w:val="000000"/>
              </w:rPr>
              <w:t>5^</w:t>
            </w:r>
          </w:p>
        </w:tc>
      </w:tr>
      <w:tr w:rsidR="009A7EC3" w:rsidRPr="00DE25AD" w14:paraId="06719B3F" w14:textId="77777777" w:rsidTr="005F678B">
        <w:tc>
          <w:tcPr>
            <w:tcW w:w="1517" w:type="dxa"/>
            <w:tcMar>
              <w:left w:w="57" w:type="dxa"/>
            </w:tcMar>
          </w:tcPr>
          <w:p w14:paraId="30C2F9C0"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42F4169D" w14:textId="77777777" w:rsidR="009A7EC3" w:rsidRPr="00DE25AD" w:rsidRDefault="009A7EC3" w:rsidP="009A7EC3">
            <w:pPr>
              <w:pStyle w:val="ASSAD2017ACCESSBody1"/>
            </w:pPr>
            <w:r w:rsidRPr="00DE25AD">
              <w:t>Male</w:t>
            </w:r>
          </w:p>
        </w:tc>
        <w:tc>
          <w:tcPr>
            <w:tcW w:w="878" w:type="dxa"/>
            <w:shd w:val="clear" w:color="auto" w:fill="auto"/>
          </w:tcPr>
          <w:p w14:paraId="2914530A" w14:textId="796AA6B6" w:rsidR="009A7EC3" w:rsidRPr="00DE25AD" w:rsidRDefault="009A7EC3" w:rsidP="009A7EC3">
            <w:pPr>
              <w:pStyle w:val="ASSADACCESStablecentre"/>
            </w:pPr>
            <w:r w:rsidRPr="002E5727">
              <w:rPr>
                <w:bCs w:val="0"/>
                <w:color w:val="000000"/>
              </w:rPr>
              <w:t>11*</w:t>
            </w:r>
          </w:p>
        </w:tc>
        <w:tc>
          <w:tcPr>
            <w:tcW w:w="879" w:type="dxa"/>
            <w:shd w:val="clear" w:color="auto" w:fill="auto"/>
          </w:tcPr>
          <w:p w14:paraId="0BC25D7C" w14:textId="0B8A9D04" w:rsidR="009A7EC3" w:rsidRPr="00DE25AD" w:rsidRDefault="009A7EC3" w:rsidP="009A7EC3">
            <w:pPr>
              <w:pStyle w:val="ASSADACCESStablecentre"/>
            </w:pPr>
            <w:r w:rsidRPr="002E5727">
              <w:rPr>
                <w:bCs w:val="0"/>
                <w:color w:val="000000"/>
              </w:rPr>
              <w:t>8*^</w:t>
            </w:r>
          </w:p>
        </w:tc>
        <w:tc>
          <w:tcPr>
            <w:tcW w:w="879" w:type="dxa"/>
            <w:shd w:val="clear" w:color="auto" w:fill="auto"/>
          </w:tcPr>
          <w:p w14:paraId="3A891006" w14:textId="5FB65088" w:rsidR="009A7EC3" w:rsidRPr="00DE25AD" w:rsidRDefault="009A7EC3" w:rsidP="009A7EC3">
            <w:pPr>
              <w:pStyle w:val="ASSADACCESStablecentre"/>
            </w:pPr>
            <w:r w:rsidRPr="002E5727">
              <w:rPr>
                <w:bCs w:val="0"/>
                <w:color w:val="000000"/>
              </w:rPr>
              <w:t>7*^</w:t>
            </w:r>
          </w:p>
        </w:tc>
        <w:tc>
          <w:tcPr>
            <w:tcW w:w="879" w:type="dxa"/>
            <w:shd w:val="clear" w:color="auto" w:fill="auto"/>
          </w:tcPr>
          <w:p w14:paraId="373895F0" w14:textId="703C6671" w:rsidR="009A7EC3" w:rsidRPr="00DE25AD" w:rsidRDefault="009A7EC3" w:rsidP="009A7EC3">
            <w:pPr>
              <w:pStyle w:val="ASSADACCESStablecentre"/>
            </w:pPr>
            <w:r w:rsidRPr="002E5727">
              <w:rPr>
                <w:bCs w:val="0"/>
                <w:color w:val="000000"/>
              </w:rPr>
              <w:t>4^</w:t>
            </w:r>
          </w:p>
        </w:tc>
        <w:tc>
          <w:tcPr>
            <w:tcW w:w="879" w:type="dxa"/>
            <w:shd w:val="clear" w:color="auto" w:fill="auto"/>
          </w:tcPr>
          <w:p w14:paraId="10DCF746" w14:textId="5832F29D" w:rsidR="009A7EC3" w:rsidRPr="00DE25AD" w:rsidRDefault="009A7EC3" w:rsidP="009A7EC3">
            <w:pPr>
              <w:pStyle w:val="ASSADACCESStablecentre"/>
            </w:pPr>
            <w:r w:rsidRPr="002E5727">
              <w:rPr>
                <w:bCs w:val="0"/>
                <w:color w:val="000000"/>
              </w:rPr>
              <w:t>3^</w:t>
            </w:r>
          </w:p>
        </w:tc>
        <w:tc>
          <w:tcPr>
            <w:tcW w:w="879" w:type="dxa"/>
            <w:shd w:val="clear" w:color="auto" w:fill="auto"/>
          </w:tcPr>
          <w:p w14:paraId="0806FF2A" w14:textId="35924ABA" w:rsidR="009A7EC3" w:rsidRPr="00DE25AD" w:rsidRDefault="009A7EC3" w:rsidP="009A7EC3">
            <w:pPr>
              <w:pStyle w:val="ASSADACCESStablecentre"/>
            </w:pPr>
            <w:r w:rsidRPr="002E5727">
              <w:rPr>
                <w:bCs w:val="0"/>
                <w:color w:val="000000"/>
              </w:rPr>
              <w:t>3^</w:t>
            </w:r>
          </w:p>
        </w:tc>
        <w:tc>
          <w:tcPr>
            <w:tcW w:w="879" w:type="dxa"/>
            <w:shd w:val="clear" w:color="auto" w:fill="auto"/>
          </w:tcPr>
          <w:p w14:paraId="0F77B3B8" w14:textId="4849854E" w:rsidR="009A7EC3" w:rsidRPr="00DE25AD" w:rsidRDefault="009A7EC3" w:rsidP="009A7EC3">
            <w:pPr>
              <w:pStyle w:val="ASSADACCESStablecentre"/>
            </w:pPr>
            <w:r w:rsidRPr="002E5727">
              <w:rPr>
                <w:bCs w:val="0"/>
                <w:color w:val="000000"/>
              </w:rPr>
              <w:t>3^</w:t>
            </w:r>
          </w:p>
        </w:tc>
        <w:tc>
          <w:tcPr>
            <w:tcW w:w="879" w:type="dxa"/>
            <w:shd w:val="clear" w:color="auto" w:fill="auto"/>
          </w:tcPr>
          <w:p w14:paraId="7E365BED" w14:textId="478BE2F8" w:rsidR="009A7EC3" w:rsidRPr="00DE25AD" w:rsidRDefault="009A7EC3" w:rsidP="009A7EC3">
            <w:pPr>
              <w:pStyle w:val="ASSADACCESStablecentre"/>
            </w:pPr>
            <w:r>
              <w:rPr>
                <w:bCs w:val="0"/>
                <w:color w:val="000000"/>
              </w:rPr>
              <w:t>3</w:t>
            </w:r>
            <w:r w:rsidRPr="002E5727">
              <w:rPr>
                <w:bCs w:val="0"/>
                <w:color w:val="000000"/>
              </w:rPr>
              <w:t>^</w:t>
            </w:r>
          </w:p>
        </w:tc>
      </w:tr>
      <w:tr w:rsidR="009A7EC3" w:rsidRPr="00DE25AD" w14:paraId="38060F28" w14:textId="77777777" w:rsidTr="005F678B">
        <w:tc>
          <w:tcPr>
            <w:tcW w:w="1517" w:type="dxa"/>
            <w:tcMar>
              <w:left w:w="57" w:type="dxa"/>
            </w:tcMar>
          </w:tcPr>
          <w:p w14:paraId="4F5D7503" w14:textId="77777777" w:rsidR="009A7EC3" w:rsidRPr="00DE25AD" w:rsidRDefault="009A7EC3" w:rsidP="009A7EC3">
            <w:pPr>
              <w:pStyle w:val="ACCESSTableHeaderRow"/>
            </w:pPr>
          </w:p>
        </w:tc>
        <w:tc>
          <w:tcPr>
            <w:tcW w:w="1068" w:type="dxa"/>
            <w:shd w:val="clear" w:color="auto" w:fill="auto"/>
            <w:tcMar>
              <w:left w:w="57" w:type="dxa"/>
            </w:tcMar>
            <w:vAlign w:val="bottom"/>
          </w:tcPr>
          <w:p w14:paraId="4F5EC59C" w14:textId="77777777" w:rsidR="009A7EC3" w:rsidRPr="00DE25AD" w:rsidRDefault="009A7EC3" w:rsidP="009A7EC3">
            <w:pPr>
              <w:pStyle w:val="ASSAD2017ACCESSBody1"/>
            </w:pPr>
            <w:r w:rsidRPr="00DE25AD">
              <w:t>Female</w:t>
            </w:r>
          </w:p>
        </w:tc>
        <w:tc>
          <w:tcPr>
            <w:tcW w:w="878" w:type="dxa"/>
            <w:shd w:val="clear" w:color="auto" w:fill="auto"/>
          </w:tcPr>
          <w:p w14:paraId="01CFE37E" w14:textId="5C8F1191" w:rsidR="009A7EC3" w:rsidRPr="00DE25AD" w:rsidRDefault="009A7EC3" w:rsidP="009A7EC3">
            <w:pPr>
              <w:pStyle w:val="ASSADACCESStablecentre"/>
            </w:pPr>
            <w:r w:rsidRPr="002E5727">
              <w:rPr>
                <w:bCs w:val="0"/>
                <w:color w:val="000000"/>
              </w:rPr>
              <w:t>7*</w:t>
            </w:r>
          </w:p>
        </w:tc>
        <w:tc>
          <w:tcPr>
            <w:tcW w:w="879" w:type="dxa"/>
            <w:shd w:val="clear" w:color="auto" w:fill="auto"/>
          </w:tcPr>
          <w:p w14:paraId="1F5708E1" w14:textId="77A1E0D5" w:rsidR="009A7EC3" w:rsidRPr="00DE25AD" w:rsidRDefault="009A7EC3" w:rsidP="009A7EC3">
            <w:pPr>
              <w:pStyle w:val="ASSADACCESStablecentre"/>
            </w:pPr>
            <w:r w:rsidRPr="002E5727">
              <w:rPr>
                <w:bCs w:val="0"/>
                <w:color w:val="000000"/>
              </w:rPr>
              <w:t>5*^</w:t>
            </w:r>
          </w:p>
        </w:tc>
        <w:tc>
          <w:tcPr>
            <w:tcW w:w="879" w:type="dxa"/>
            <w:shd w:val="clear" w:color="auto" w:fill="auto"/>
          </w:tcPr>
          <w:p w14:paraId="68FC6ABE" w14:textId="183B4092" w:rsidR="009A7EC3" w:rsidRPr="00DE25AD" w:rsidRDefault="009A7EC3" w:rsidP="009A7EC3">
            <w:pPr>
              <w:pStyle w:val="ASSADACCESStablecentre"/>
            </w:pPr>
            <w:r w:rsidRPr="002E5727">
              <w:rPr>
                <w:bCs w:val="0"/>
                <w:color w:val="000000"/>
              </w:rPr>
              <w:t>4*^</w:t>
            </w:r>
          </w:p>
        </w:tc>
        <w:tc>
          <w:tcPr>
            <w:tcW w:w="879" w:type="dxa"/>
            <w:shd w:val="clear" w:color="auto" w:fill="auto"/>
          </w:tcPr>
          <w:p w14:paraId="3697E50C" w14:textId="3428D7D0" w:rsidR="009A7EC3" w:rsidRPr="00DE25AD" w:rsidRDefault="009A7EC3" w:rsidP="009A7EC3">
            <w:pPr>
              <w:pStyle w:val="ASSADACCESStablecentre"/>
            </w:pPr>
            <w:r w:rsidRPr="002E5727">
              <w:rPr>
                <w:bCs w:val="0"/>
                <w:color w:val="000000"/>
              </w:rPr>
              <w:t>3^</w:t>
            </w:r>
          </w:p>
        </w:tc>
        <w:tc>
          <w:tcPr>
            <w:tcW w:w="879" w:type="dxa"/>
            <w:shd w:val="clear" w:color="auto" w:fill="auto"/>
          </w:tcPr>
          <w:p w14:paraId="7C3AD805" w14:textId="1DEC17F0" w:rsidR="009A7EC3" w:rsidRPr="00DE25AD" w:rsidRDefault="009A7EC3" w:rsidP="009A7EC3">
            <w:pPr>
              <w:pStyle w:val="ASSADACCESStablecentre"/>
            </w:pPr>
            <w:r w:rsidRPr="002E5727">
              <w:rPr>
                <w:bCs w:val="0"/>
                <w:color w:val="000000"/>
              </w:rPr>
              <w:t>2^</w:t>
            </w:r>
          </w:p>
        </w:tc>
        <w:tc>
          <w:tcPr>
            <w:tcW w:w="879" w:type="dxa"/>
            <w:shd w:val="clear" w:color="auto" w:fill="auto"/>
          </w:tcPr>
          <w:p w14:paraId="787E2FC6" w14:textId="055F0FB5" w:rsidR="009A7EC3" w:rsidRPr="00DE25AD" w:rsidRDefault="009A7EC3" w:rsidP="009A7EC3">
            <w:pPr>
              <w:pStyle w:val="ASSADACCESStablecentre"/>
            </w:pPr>
            <w:r w:rsidRPr="002E5727">
              <w:rPr>
                <w:bCs w:val="0"/>
                <w:color w:val="000000"/>
              </w:rPr>
              <w:t>2^</w:t>
            </w:r>
          </w:p>
        </w:tc>
        <w:tc>
          <w:tcPr>
            <w:tcW w:w="879" w:type="dxa"/>
            <w:shd w:val="clear" w:color="auto" w:fill="auto"/>
          </w:tcPr>
          <w:p w14:paraId="1BFBB7CB" w14:textId="2AEA4B1A" w:rsidR="009A7EC3" w:rsidRPr="00DE25AD" w:rsidRDefault="009A7EC3" w:rsidP="009A7EC3">
            <w:pPr>
              <w:pStyle w:val="ASSADACCESStablecentre"/>
            </w:pPr>
            <w:r w:rsidRPr="002E5727">
              <w:rPr>
                <w:bCs w:val="0"/>
                <w:color w:val="000000"/>
              </w:rPr>
              <w:t>2^</w:t>
            </w:r>
          </w:p>
        </w:tc>
        <w:tc>
          <w:tcPr>
            <w:tcW w:w="879" w:type="dxa"/>
            <w:shd w:val="clear" w:color="auto" w:fill="auto"/>
          </w:tcPr>
          <w:p w14:paraId="22C699C6" w14:textId="794FEEB2" w:rsidR="009A7EC3" w:rsidRPr="00DE25AD" w:rsidRDefault="009A7EC3" w:rsidP="009A7EC3">
            <w:pPr>
              <w:pStyle w:val="ASSADACCESStablecentre"/>
            </w:pPr>
            <w:r w:rsidRPr="002E5727">
              <w:rPr>
                <w:bCs w:val="0"/>
                <w:color w:val="000000"/>
              </w:rPr>
              <w:t>2^</w:t>
            </w:r>
          </w:p>
        </w:tc>
      </w:tr>
      <w:tr w:rsidR="009A7EC3" w:rsidRPr="00DE25AD" w14:paraId="6209B744" w14:textId="77777777" w:rsidTr="005F678B">
        <w:tc>
          <w:tcPr>
            <w:tcW w:w="1517" w:type="dxa"/>
            <w:tcMar>
              <w:left w:w="57" w:type="dxa"/>
            </w:tcMar>
          </w:tcPr>
          <w:p w14:paraId="5B803D48" w14:textId="77777777" w:rsidR="009A7EC3" w:rsidRPr="00DE25AD" w:rsidRDefault="009A7EC3" w:rsidP="009A7EC3">
            <w:pPr>
              <w:pStyle w:val="ACCESSTableHeaderRow"/>
            </w:pPr>
          </w:p>
        </w:tc>
        <w:tc>
          <w:tcPr>
            <w:tcW w:w="1068" w:type="dxa"/>
            <w:shd w:val="clear" w:color="auto" w:fill="auto"/>
            <w:tcMar>
              <w:left w:w="57" w:type="dxa"/>
            </w:tcMar>
            <w:vAlign w:val="bottom"/>
          </w:tcPr>
          <w:p w14:paraId="61BBE57F" w14:textId="77777777" w:rsidR="009A7EC3" w:rsidRPr="00DE25AD" w:rsidRDefault="009A7EC3" w:rsidP="009A7EC3">
            <w:pPr>
              <w:pStyle w:val="ASSAD2017ACCESSBody1"/>
            </w:pPr>
            <w:r w:rsidRPr="00DE25AD">
              <w:t>Total</w:t>
            </w:r>
          </w:p>
        </w:tc>
        <w:tc>
          <w:tcPr>
            <w:tcW w:w="878" w:type="dxa"/>
            <w:shd w:val="clear" w:color="auto" w:fill="auto"/>
          </w:tcPr>
          <w:p w14:paraId="00601A06" w14:textId="0A852318" w:rsidR="009A7EC3" w:rsidRPr="00DE25AD" w:rsidRDefault="009A7EC3" w:rsidP="009A7EC3">
            <w:pPr>
              <w:pStyle w:val="ASSADACCESStablecentre"/>
            </w:pPr>
            <w:r w:rsidRPr="002E5727">
              <w:rPr>
                <w:bCs w:val="0"/>
                <w:color w:val="000000"/>
              </w:rPr>
              <w:t>9*</w:t>
            </w:r>
          </w:p>
        </w:tc>
        <w:tc>
          <w:tcPr>
            <w:tcW w:w="879" w:type="dxa"/>
            <w:shd w:val="clear" w:color="auto" w:fill="auto"/>
          </w:tcPr>
          <w:p w14:paraId="01D30657" w14:textId="30A01015" w:rsidR="009A7EC3" w:rsidRPr="00DE25AD" w:rsidRDefault="009A7EC3" w:rsidP="009A7EC3">
            <w:pPr>
              <w:pStyle w:val="ASSADACCESStablecentre"/>
            </w:pPr>
            <w:r w:rsidRPr="002E5727">
              <w:rPr>
                <w:bCs w:val="0"/>
                <w:color w:val="000000"/>
              </w:rPr>
              <w:t>7*^</w:t>
            </w:r>
          </w:p>
        </w:tc>
        <w:tc>
          <w:tcPr>
            <w:tcW w:w="879" w:type="dxa"/>
            <w:shd w:val="clear" w:color="auto" w:fill="auto"/>
          </w:tcPr>
          <w:p w14:paraId="17A6E6E4" w14:textId="0795D098" w:rsidR="009A7EC3" w:rsidRPr="00DE25AD" w:rsidRDefault="009A7EC3" w:rsidP="009A7EC3">
            <w:pPr>
              <w:pStyle w:val="ASSADACCESStablecentre"/>
            </w:pPr>
            <w:r w:rsidRPr="002E5727">
              <w:rPr>
                <w:bCs w:val="0"/>
                <w:color w:val="000000"/>
              </w:rPr>
              <w:t>5*^</w:t>
            </w:r>
          </w:p>
        </w:tc>
        <w:tc>
          <w:tcPr>
            <w:tcW w:w="879" w:type="dxa"/>
            <w:shd w:val="clear" w:color="auto" w:fill="auto"/>
          </w:tcPr>
          <w:p w14:paraId="78F46BEA" w14:textId="19701E54" w:rsidR="009A7EC3" w:rsidRPr="00DE25AD" w:rsidRDefault="009A7EC3" w:rsidP="009A7EC3">
            <w:pPr>
              <w:pStyle w:val="ASSADACCESStablecentre"/>
            </w:pPr>
            <w:r w:rsidRPr="002E5727">
              <w:rPr>
                <w:bCs w:val="0"/>
                <w:color w:val="000000"/>
              </w:rPr>
              <w:t>4^</w:t>
            </w:r>
          </w:p>
        </w:tc>
        <w:tc>
          <w:tcPr>
            <w:tcW w:w="879" w:type="dxa"/>
            <w:shd w:val="clear" w:color="auto" w:fill="auto"/>
          </w:tcPr>
          <w:p w14:paraId="53DCEBAD" w14:textId="7D483E73" w:rsidR="009A7EC3" w:rsidRPr="00DE25AD" w:rsidRDefault="009A7EC3" w:rsidP="009A7EC3">
            <w:pPr>
              <w:pStyle w:val="ASSADACCESStablecentre"/>
            </w:pPr>
            <w:r w:rsidRPr="002E5727">
              <w:rPr>
                <w:bCs w:val="0"/>
                <w:color w:val="000000"/>
              </w:rPr>
              <w:t>3^</w:t>
            </w:r>
          </w:p>
        </w:tc>
        <w:tc>
          <w:tcPr>
            <w:tcW w:w="879" w:type="dxa"/>
            <w:shd w:val="clear" w:color="auto" w:fill="auto"/>
          </w:tcPr>
          <w:p w14:paraId="5D4A3139" w14:textId="5790BBFC" w:rsidR="009A7EC3" w:rsidRPr="00DE25AD" w:rsidRDefault="009A7EC3" w:rsidP="009A7EC3">
            <w:pPr>
              <w:pStyle w:val="ASSADACCESStablecentre"/>
            </w:pPr>
            <w:r w:rsidRPr="002E5727">
              <w:rPr>
                <w:bCs w:val="0"/>
                <w:color w:val="000000"/>
              </w:rPr>
              <w:t>2^</w:t>
            </w:r>
          </w:p>
        </w:tc>
        <w:tc>
          <w:tcPr>
            <w:tcW w:w="879" w:type="dxa"/>
            <w:shd w:val="clear" w:color="auto" w:fill="auto"/>
          </w:tcPr>
          <w:p w14:paraId="024F4EB2" w14:textId="66889646" w:rsidR="009A7EC3" w:rsidRPr="00DE25AD" w:rsidRDefault="009A7EC3" w:rsidP="009A7EC3">
            <w:pPr>
              <w:pStyle w:val="ASSADACCESStablecentre"/>
            </w:pPr>
            <w:r w:rsidRPr="002E5727">
              <w:rPr>
                <w:bCs w:val="0"/>
                <w:color w:val="000000"/>
              </w:rPr>
              <w:t>3^</w:t>
            </w:r>
          </w:p>
        </w:tc>
        <w:tc>
          <w:tcPr>
            <w:tcW w:w="879" w:type="dxa"/>
            <w:shd w:val="clear" w:color="auto" w:fill="auto"/>
          </w:tcPr>
          <w:p w14:paraId="378AC739" w14:textId="20F9F291" w:rsidR="009A7EC3" w:rsidRPr="00DE25AD" w:rsidRDefault="009A7EC3" w:rsidP="009A7EC3">
            <w:pPr>
              <w:pStyle w:val="ASSADACCESStablecentre"/>
            </w:pPr>
            <w:r w:rsidRPr="002E5727">
              <w:rPr>
                <w:bCs w:val="0"/>
                <w:color w:val="000000"/>
              </w:rPr>
              <w:t>3^</w:t>
            </w:r>
          </w:p>
        </w:tc>
      </w:tr>
      <w:tr w:rsidR="009A7EC3" w:rsidRPr="00DE25AD" w14:paraId="7F010B25" w14:textId="77777777" w:rsidTr="005F678B">
        <w:tc>
          <w:tcPr>
            <w:tcW w:w="1517" w:type="dxa"/>
            <w:tcMar>
              <w:left w:w="57" w:type="dxa"/>
            </w:tcMar>
          </w:tcPr>
          <w:p w14:paraId="29C88937" w14:textId="77777777" w:rsidR="009A7EC3" w:rsidRDefault="009A7EC3" w:rsidP="009A7EC3">
            <w:pPr>
              <w:pStyle w:val="ACCESSTableHeaderRow"/>
            </w:pPr>
            <w:r>
              <w:t>Aged 16-17</w:t>
            </w:r>
          </w:p>
        </w:tc>
        <w:tc>
          <w:tcPr>
            <w:tcW w:w="1068" w:type="dxa"/>
            <w:shd w:val="clear" w:color="auto" w:fill="auto"/>
            <w:tcMar>
              <w:left w:w="57" w:type="dxa"/>
            </w:tcMar>
            <w:vAlign w:val="bottom"/>
          </w:tcPr>
          <w:p w14:paraId="0D44D0D6" w14:textId="77777777" w:rsidR="009A7EC3" w:rsidRPr="00DE25AD" w:rsidRDefault="009A7EC3" w:rsidP="009A7EC3">
            <w:pPr>
              <w:pStyle w:val="ASSAD2017ACCESSBody1"/>
            </w:pPr>
          </w:p>
        </w:tc>
        <w:tc>
          <w:tcPr>
            <w:tcW w:w="878" w:type="dxa"/>
            <w:shd w:val="clear" w:color="auto" w:fill="auto"/>
            <w:vAlign w:val="bottom"/>
          </w:tcPr>
          <w:p w14:paraId="240C4AA8" w14:textId="77777777" w:rsidR="009A7EC3" w:rsidRPr="00DE25AD" w:rsidRDefault="009A7EC3" w:rsidP="009A7EC3">
            <w:pPr>
              <w:pStyle w:val="ASSADACCESStablecentre"/>
            </w:pPr>
          </w:p>
        </w:tc>
        <w:tc>
          <w:tcPr>
            <w:tcW w:w="879" w:type="dxa"/>
            <w:shd w:val="clear" w:color="auto" w:fill="auto"/>
            <w:vAlign w:val="bottom"/>
          </w:tcPr>
          <w:p w14:paraId="0698C941" w14:textId="77777777" w:rsidR="009A7EC3" w:rsidRPr="00DE25AD" w:rsidRDefault="009A7EC3" w:rsidP="009A7EC3">
            <w:pPr>
              <w:pStyle w:val="ASSADACCESStablecentre"/>
            </w:pPr>
          </w:p>
        </w:tc>
        <w:tc>
          <w:tcPr>
            <w:tcW w:w="879" w:type="dxa"/>
            <w:shd w:val="clear" w:color="auto" w:fill="auto"/>
            <w:vAlign w:val="bottom"/>
          </w:tcPr>
          <w:p w14:paraId="2E6D7B43" w14:textId="77777777" w:rsidR="009A7EC3" w:rsidRPr="00DE25AD" w:rsidRDefault="009A7EC3" w:rsidP="009A7EC3">
            <w:pPr>
              <w:pStyle w:val="ASSADACCESStablecentre"/>
            </w:pPr>
          </w:p>
        </w:tc>
        <w:tc>
          <w:tcPr>
            <w:tcW w:w="879" w:type="dxa"/>
            <w:shd w:val="clear" w:color="auto" w:fill="auto"/>
            <w:vAlign w:val="bottom"/>
          </w:tcPr>
          <w:p w14:paraId="391E791B" w14:textId="77777777" w:rsidR="009A7EC3" w:rsidRPr="00DE25AD" w:rsidRDefault="009A7EC3" w:rsidP="009A7EC3">
            <w:pPr>
              <w:pStyle w:val="ASSADACCESStablecentre"/>
            </w:pPr>
          </w:p>
        </w:tc>
        <w:tc>
          <w:tcPr>
            <w:tcW w:w="879" w:type="dxa"/>
            <w:shd w:val="clear" w:color="auto" w:fill="auto"/>
            <w:vAlign w:val="bottom"/>
          </w:tcPr>
          <w:p w14:paraId="6118CA63" w14:textId="77777777" w:rsidR="009A7EC3" w:rsidRPr="00DE25AD" w:rsidRDefault="009A7EC3" w:rsidP="009A7EC3">
            <w:pPr>
              <w:pStyle w:val="ASSADACCESStablecentre"/>
            </w:pPr>
          </w:p>
        </w:tc>
        <w:tc>
          <w:tcPr>
            <w:tcW w:w="879" w:type="dxa"/>
            <w:shd w:val="clear" w:color="auto" w:fill="auto"/>
            <w:vAlign w:val="bottom"/>
          </w:tcPr>
          <w:p w14:paraId="0F19200B" w14:textId="77777777" w:rsidR="009A7EC3" w:rsidRPr="00DE25AD" w:rsidRDefault="009A7EC3" w:rsidP="009A7EC3">
            <w:pPr>
              <w:pStyle w:val="ASSADACCESStablecentre"/>
            </w:pPr>
          </w:p>
        </w:tc>
        <w:tc>
          <w:tcPr>
            <w:tcW w:w="879" w:type="dxa"/>
            <w:shd w:val="clear" w:color="auto" w:fill="auto"/>
            <w:vAlign w:val="bottom"/>
          </w:tcPr>
          <w:p w14:paraId="51EF04EF" w14:textId="77777777" w:rsidR="009A7EC3" w:rsidRPr="00DE25AD" w:rsidRDefault="009A7EC3" w:rsidP="009A7EC3">
            <w:pPr>
              <w:pStyle w:val="ASSADACCESStablecentre"/>
            </w:pPr>
          </w:p>
        </w:tc>
        <w:tc>
          <w:tcPr>
            <w:tcW w:w="879" w:type="dxa"/>
            <w:shd w:val="clear" w:color="auto" w:fill="auto"/>
            <w:vAlign w:val="bottom"/>
          </w:tcPr>
          <w:p w14:paraId="599D34D7" w14:textId="77777777" w:rsidR="009A7EC3" w:rsidRPr="00DE25AD" w:rsidRDefault="009A7EC3" w:rsidP="009A7EC3">
            <w:pPr>
              <w:pStyle w:val="ASSADACCESStablecentre"/>
            </w:pPr>
          </w:p>
        </w:tc>
      </w:tr>
      <w:tr w:rsidR="009A7EC3" w:rsidRPr="00DE25AD" w14:paraId="188FA698" w14:textId="77777777" w:rsidTr="005F678B">
        <w:tc>
          <w:tcPr>
            <w:tcW w:w="1517" w:type="dxa"/>
            <w:tcMar>
              <w:left w:w="57" w:type="dxa"/>
            </w:tcMar>
          </w:tcPr>
          <w:p w14:paraId="661591FC" w14:textId="77777777" w:rsidR="009A7EC3" w:rsidRDefault="009A7EC3" w:rsidP="009A7EC3">
            <w:pPr>
              <w:pStyle w:val="ACCESSTableHeaderRow"/>
            </w:pPr>
            <w:r w:rsidRPr="00DE25AD">
              <w:t>Recency</w:t>
            </w:r>
          </w:p>
        </w:tc>
        <w:tc>
          <w:tcPr>
            <w:tcW w:w="1068" w:type="dxa"/>
            <w:shd w:val="clear" w:color="auto" w:fill="auto"/>
            <w:tcMar>
              <w:left w:w="57" w:type="dxa"/>
            </w:tcMar>
            <w:vAlign w:val="center"/>
          </w:tcPr>
          <w:p w14:paraId="648E6103" w14:textId="77777777" w:rsidR="009A7EC3" w:rsidRPr="005C5B03" w:rsidRDefault="009A7EC3" w:rsidP="009A7EC3">
            <w:pPr>
              <w:pStyle w:val="ASSAD2017ACCESSBody1"/>
              <w:rPr>
                <w:b/>
                <w:bCs w:val="0"/>
              </w:rPr>
            </w:pPr>
            <w:r w:rsidRPr="005C5B03">
              <w:rPr>
                <w:b/>
                <w:bCs w:val="0"/>
              </w:rPr>
              <w:t>Sex</w:t>
            </w:r>
          </w:p>
        </w:tc>
        <w:tc>
          <w:tcPr>
            <w:tcW w:w="878" w:type="dxa"/>
            <w:shd w:val="clear" w:color="auto" w:fill="auto"/>
            <w:vAlign w:val="bottom"/>
          </w:tcPr>
          <w:p w14:paraId="452CA295" w14:textId="77777777" w:rsidR="009A7EC3" w:rsidRPr="00DE25AD" w:rsidRDefault="009A7EC3" w:rsidP="009A7EC3">
            <w:pPr>
              <w:pStyle w:val="ASSADACCESStablecentre"/>
            </w:pPr>
          </w:p>
        </w:tc>
        <w:tc>
          <w:tcPr>
            <w:tcW w:w="879" w:type="dxa"/>
            <w:shd w:val="clear" w:color="auto" w:fill="auto"/>
            <w:vAlign w:val="bottom"/>
          </w:tcPr>
          <w:p w14:paraId="5C65F695" w14:textId="77777777" w:rsidR="009A7EC3" w:rsidRPr="00DE25AD" w:rsidRDefault="009A7EC3" w:rsidP="009A7EC3">
            <w:pPr>
              <w:pStyle w:val="ASSADACCESStablecentre"/>
            </w:pPr>
          </w:p>
        </w:tc>
        <w:tc>
          <w:tcPr>
            <w:tcW w:w="879" w:type="dxa"/>
            <w:shd w:val="clear" w:color="auto" w:fill="auto"/>
            <w:vAlign w:val="bottom"/>
          </w:tcPr>
          <w:p w14:paraId="4EB1A4C5" w14:textId="77777777" w:rsidR="009A7EC3" w:rsidRPr="00DE25AD" w:rsidRDefault="009A7EC3" w:rsidP="009A7EC3">
            <w:pPr>
              <w:pStyle w:val="ASSADACCESStablecentre"/>
            </w:pPr>
          </w:p>
        </w:tc>
        <w:tc>
          <w:tcPr>
            <w:tcW w:w="879" w:type="dxa"/>
            <w:shd w:val="clear" w:color="auto" w:fill="auto"/>
            <w:vAlign w:val="bottom"/>
          </w:tcPr>
          <w:p w14:paraId="100AEFF6" w14:textId="77777777" w:rsidR="009A7EC3" w:rsidRPr="00DE25AD" w:rsidRDefault="009A7EC3" w:rsidP="009A7EC3">
            <w:pPr>
              <w:pStyle w:val="ASSADACCESStablecentre"/>
            </w:pPr>
          </w:p>
        </w:tc>
        <w:tc>
          <w:tcPr>
            <w:tcW w:w="879" w:type="dxa"/>
            <w:shd w:val="clear" w:color="auto" w:fill="auto"/>
            <w:vAlign w:val="bottom"/>
          </w:tcPr>
          <w:p w14:paraId="0EA47468" w14:textId="77777777" w:rsidR="009A7EC3" w:rsidRPr="00DE25AD" w:rsidRDefault="009A7EC3" w:rsidP="009A7EC3">
            <w:pPr>
              <w:pStyle w:val="ASSADACCESStablecentre"/>
            </w:pPr>
          </w:p>
        </w:tc>
        <w:tc>
          <w:tcPr>
            <w:tcW w:w="879" w:type="dxa"/>
            <w:shd w:val="clear" w:color="auto" w:fill="auto"/>
            <w:vAlign w:val="bottom"/>
          </w:tcPr>
          <w:p w14:paraId="56126A8F" w14:textId="77777777" w:rsidR="009A7EC3" w:rsidRPr="00DE25AD" w:rsidRDefault="009A7EC3" w:rsidP="009A7EC3">
            <w:pPr>
              <w:pStyle w:val="ASSADACCESStablecentre"/>
            </w:pPr>
          </w:p>
        </w:tc>
        <w:tc>
          <w:tcPr>
            <w:tcW w:w="879" w:type="dxa"/>
            <w:shd w:val="clear" w:color="auto" w:fill="auto"/>
            <w:vAlign w:val="bottom"/>
          </w:tcPr>
          <w:p w14:paraId="1B8ED34F" w14:textId="77777777" w:rsidR="009A7EC3" w:rsidRPr="00DE25AD" w:rsidRDefault="009A7EC3" w:rsidP="009A7EC3">
            <w:pPr>
              <w:pStyle w:val="ASSADACCESStablecentre"/>
            </w:pPr>
          </w:p>
        </w:tc>
        <w:tc>
          <w:tcPr>
            <w:tcW w:w="879" w:type="dxa"/>
            <w:shd w:val="clear" w:color="auto" w:fill="auto"/>
            <w:vAlign w:val="bottom"/>
          </w:tcPr>
          <w:p w14:paraId="514D2BA1" w14:textId="77777777" w:rsidR="009A7EC3" w:rsidRPr="00DE25AD" w:rsidRDefault="009A7EC3" w:rsidP="009A7EC3">
            <w:pPr>
              <w:pStyle w:val="ASSADACCESStablecentre"/>
            </w:pPr>
          </w:p>
        </w:tc>
      </w:tr>
      <w:tr w:rsidR="009A7EC3" w:rsidRPr="00DE25AD" w14:paraId="4FB11E92" w14:textId="77777777" w:rsidTr="00545FF4">
        <w:tc>
          <w:tcPr>
            <w:tcW w:w="1517" w:type="dxa"/>
            <w:tcMar>
              <w:left w:w="57" w:type="dxa"/>
            </w:tcMar>
          </w:tcPr>
          <w:p w14:paraId="59F6C64C"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6B222A79" w14:textId="77777777" w:rsidR="009A7EC3" w:rsidRPr="00DE25AD" w:rsidRDefault="009A7EC3" w:rsidP="009A7EC3">
            <w:pPr>
              <w:pStyle w:val="ASSAD2017ACCESSBody1"/>
            </w:pPr>
            <w:r w:rsidRPr="00DE25AD">
              <w:t>Male</w:t>
            </w:r>
          </w:p>
        </w:tc>
        <w:tc>
          <w:tcPr>
            <w:tcW w:w="878" w:type="dxa"/>
            <w:shd w:val="clear" w:color="auto" w:fill="auto"/>
          </w:tcPr>
          <w:p w14:paraId="18C44E22" w14:textId="756E40C2" w:rsidR="009A7EC3" w:rsidRPr="00DE25AD" w:rsidRDefault="009A7EC3" w:rsidP="009A7EC3">
            <w:pPr>
              <w:pStyle w:val="ASSADACCESStablecentre"/>
            </w:pPr>
            <w:r w:rsidRPr="002E5727">
              <w:rPr>
                <w:bCs w:val="0"/>
                <w:color w:val="000000"/>
              </w:rPr>
              <w:t>55*</w:t>
            </w:r>
          </w:p>
        </w:tc>
        <w:tc>
          <w:tcPr>
            <w:tcW w:w="879" w:type="dxa"/>
            <w:shd w:val="clear" w:color="auto" w:fill="auto"/>
          </w:tcPr>
          <w:p w14:paraId="3DF630AA" w14:textId="21B7523B" w:rsidR="009A7EC3" w:rsidRPr="00DE25AD" w:rsidRDefault="009A7EC3" w:rsidP="009A7EC3">
            <w:pPr>
              <w:pStyle w:val="ASSADACCESStablecentre"/>
            </w:pPr>
            <w:r w:rsidRPr="002E5727">
              <w:rPr>
                <w:bCs w:val="0"/>
                <w:color w:val="000000"/>
              </w:rPr>
              <w:t>50*</w:t>
            </w:r>
          </w:p>
        </w:tc>
        <w:tc>
          <w:tcPr>
            <w:tcW w:w="879" w:type="dxa"/>
            <w:shd w:val="clear" w:color="auto" w:fill="auto"/>
          </w:tcPr>
          <w:p w14:paraId="28B5BA15" w14:textId="10DA6FBD" w:rsidR="009A7EC3" w:rsidRPr="00DE25AD" w:rsidRDefault="009A7EC3" w:rsidP="009A7EC3">
            <w:pPr>
              <w:pStyle w:val="ASSADACCESStablecentre"/>
            </w:pPr>
            <w:r w:rsidRPr="002E5727">
              <w:rPr>
                <w:bCs w:val="0"/>
                <w:color w:val="000000"/>
              </w:rPr>
              <w:t>42*^</w:t>
            </w:r>
          </w:p>
        </w:tc>
        <w:tc>
          <w:tcPr>
            <w:tcW w:w="879" w:type="dxa"/>
            <w:shd w:val="clear" w:color="auto" w:fill="auto"/>
          </w:tcPr>
          <w:p w14:paraId="5EB086AD" w14:textId="26FD5205" w:rsidR="009A7EC3" w:rsidRPr="00DE25AD" w:rsidRDefault="009A7EC3" w:rsidP="009A7EC3">
            <w:pPr>
              <w:pStyle w:val="ASSADACCESStablecentre"/>
            </w:pPr>
            <w:r w:rsidRPr="002E5727">
              <w:rPr>
                <w:bCs w:val="0"/>
                <w:color w:val="000000"/>
              </w:rPr>
              <w:t>33^</w:t>
            </w:r>
          </w:p>
        </w:tc>
        <w:tc>
          <w:tcPr>
            <w:tcW w:w="879" w:type="dxa"/>
            <w:shd w:val="clear" w:color="auto" w:fill="auto"/>
          </w:tcPr>
          <w:p w14:paraId="352B8CE4" w14:textId="5F4051AC" w:rsidR="009A7EC3" w:rsidRPr="00DE25AD" w:rsidRDefault="009A7EC3" w:rsidP="009A7EC3">
            <w:pPr>
              <w:pStyle w:val="ASSADACCESStablecentre"/>
            </w:pPr>
            <w:r w:rsidRPr="002E5727">
              <w:rPr>
                <w:bCs w:val="0"/>
                <w:color w:val="000000"/>
              </w:rPr>
              <w:t>27^</w:t>
            </w:r>
          </w:p>
        </w:tc>
        <w:tc>
          <w:tcPr>
            <w:tcW w:w="879" w:type="dxa"/>
            <w:shd w:val="clear" w:color="auto" w:fill="auto"/>
          </w:tcPr>
          <w:p w14:paraId="62C8CBD6" w14:textId="418A14BE" w:rsidR="009A7EC3" w:rsidRPr="00DE25AD" w:rsidRDefault="009A7EC3" w:rsidP="009A7EC3">
            <w:pPr>
              <w:pStyle w:val="ASSADACCESStablecentre"/>
            </w:pPr>
            <w:r w:rsidRPr="002E5727">
              <w:rPr>
                <w:bCs w:val="0"/>
                <w:color w:val="000000"/>
              </w:rPr>
              <w:t>30^</w:t>
            </w:r>
          </w:p>
        </w:tc>
        <w:tc>
          <w:tcPr>
            <w:tcW w:w="879" w:type="dxa"/>
            <w:shd w:val="clear" w:color="auto" w:fill="auto"/>
          </w:tcPr>
          <w:p w14:paraId="4C40B5BF" w14:textId="694A8E05" w:rsidR="009A7EC3" w:rsidRPr="00DE25AD" w:rsidRDefault="009A7EC3" w:rsidP="009A7EC3">
            <w:pPr>
              <w:pStyle w:val="ASSADACCESStablecentre"/>
            </w:pPr>
            <w:r w:rsidRPr="002E5727">
              <w:rPr>
                <w:bCs w:val="0"/>
                <w:color w:val="000000"/>
              </w:rPr>
              <w:t>31^</w:t>
            </w:r>
          </w:p>
        </w:tc>
        <w:tc>
          <w:tcPr>
            <w:tcW w:w="879" w:type="dxa"/>
            <w:shd w:val="clear" w:color="auto" w:fill="auto"/>
          </w:tcPr>
          <w:p w14:paraId="69893487" w14:textId="6C373D37" w:rsidR="009A7EC3" w:rsidRPr="00DE25AD" w:rsidRDefault="009A7EC3" w:rsidP="009A7EC3">
            <w:pPr>
              <w:pStyle w:val="ASSADACCESStablecentre"/>
            </w:pPr>
            <w:r w:rsidRPr="002E5727">
              <w:rPr>
                <w:bCs w:val="0"/>
                <w:color w:val="000000"/>
              </w:rPr>
              <w:t>3</w:t>
            </w:r>
            <w:r>
              <w:rPr>
                <w:bCs w:val="0"/>
                <w:color w:val="000000"/>
              </w:rPr>
              <w:t>3</w:t>
            </w:r>
            <w:r w:rsidRPr="002E5727">
              <w:rPr>
                <w:bCs w:val="0"/>
                <w:color w:val="000000"/>
              </w:rPr>
              <w:t>^</w:t>
            </w:r>
          </w:p>
        </w:tc>
      </w:tr>
      <w:tr w:rsidR="009A7EC3" w:rsidRPr="00DE25AD" w14:paraId="2AC248CE" w14:textId="77777777" w:rsidTr="005F678B">
        <w:tc>
          <w:tcPr>
            <w:tcW w:w="1517" w:type="dxa"/>
            <w:tcMar>
              <w:left w:w="57" w:type="dxa"/>
            </w:tcMar>
          </w:tcPr>
          <w:p w14:paraId="58EEA6B9" w14:textId="77777777" w:rsidR="009A7EC3" w:rsidRPr="00DE25AD" w:rsidRDefault="009A7EC3" w:rsidP="009A7EC3">
            <w:pPr>
              <w:pStyle w:val="ACCESSTableHeaderRow"/>
            </w:pPr>
          </w:p>
        </w:tc>
        <w:tc>
          <w:tcPr>
            <w:tcW w:w="1068" w:type="dxa"/>
            <w:shd w:val="clear" w:color="auto" w:fill="auto"/>
            <w:tcMar>
              <w:left w:w="57" w:type="dxa"/>
            </w:tcMar>
            <w:vAlign w:val="bottom"/>
          </w:tcPr>
          <w:p w14:paraId="567EDF52" w14:textId="77777777" w:rsidR="009A7EC3" w:rsidRPr="00DE25AD" w:rsidRDefault="009A7EC3" w:rsidP="009A7EC3">
            <w:pPr>
              <w:pStyle w:val="ASSAD2017ACCESSBody1"/>
            </w:pPr>
            <w:r w:rsidRPr="00DE25AD">
              <w:t>Female</w:t>
            </w:r>
          </w:p>
        </w:tc>
        <w:tc>
          <w:tcPr>
            <w:tcW w:w="878" w:type="dxa"/>
            <w:shd w:val="clear" w:color="auto" w:fill="auto"/>
          </w:tcPr>
          <w:p w14:paraId="5C4A3E01" w14:textId="1E345A4C" w:rsidR="009A7EC3" w:rsidRPr="00DE25AD" w:rsidRDefault="009A7EC3" w:rsidP="009A7EC3">
            <w:pPr>
              <w:pStyle w:val="ASSADACCESStablecentre"/>
            </w:pPr>
            <w:r w:rsidRPr="002E5727">
              <w:rPr>
                <w:bCs w:val="0"/>
                <w:color w:val="000000"/>
              </w:rPr>
              <w:t>50*</w:t>
            </w:r>
          </w:p>
        </w:tc>
        <w:tc>
          <w:tcPr>
            <w:tcW w:w="879" w:type="dxa"/>
            <w:shd w:val="clear" w:color="auto" w:fill="auto"/>
          </w:tcPr>
          <w:p w14:paraId="273997D0" w14:textId="5978DE10" w:rsidR="009A7EC3" w:rsidRPr="00DE25AD" w:rsidRDefault="009A7EC3" w:rsidP="009A7EC3">
            <w:pPr>
              <w:pStyle w:val="ASSADACCESStablecentre"/>
            </w:pPr>
            <w:r w:rsidRPr="002E5727">
              <w:rPr>
                <w:bCs w:val="0"/>
                <w:color w:val="000000"/>
              </w:rPr>
              <w:t>43*^</w:t>
            </w:r>
          </w:p>
        </w:tc>
        <w:tc>
          <w:tcPr>
            <w:tcW w:w="879" w:type="dxa"/>
            <w:shd w:val="clear" w:color="auto" w:fill="auto"/>
          </w:tcPr>
          <w:p w14:paraId="6781CC2B" w14:textId="0CEBFE75" w:rsidR="009A7EC3" w:rsidRPr="00DE25AD" w:rsidRDefault="009A7EC3" w:rsidP="009A7EC3">
            <w:pPr>
              <w:pStyle w:val="ASSADACCESStablecentre"/>
            </w:pPr>
            <w:r w:rsidRPr="002E5727">
              <w:rPr>
                <w:bCs w:val="0"/>
                <w:color w:val="000000"/>
              </w:rPr>
              <w:t>36*^</w:t>
            </w:r>
          </w:p>
        </w:tc>
        <w:tc>
          <w:tcPr>
            <w:tcW w:w="879" w:type="dxa"/>
            <w:shd w:val="clear" w:color="auto" w:fill="auto"/>
          </w:tcPr>
          <w:p w14:paraId="79828401" w14:textId="548D7E88" w:rsidR="009A7EC3" w:rsidRPr="00DE25AD" w:rsidRDefault="009A7EC3" w:rsidP="009A7EC3">
            <w:pPr>
              <w:pStyle w:val="ASSADACCESStablecentre"/>
            </w:pPr>
            <w:r w:rsidRPr="002E5727">
              <w:rPr>
                <w:bCs w:val="0"/>
                <w:color w:val="000000"/>
              </w:rPr>
              <w:t>29^</w:t>
            </w:r>
          </w:p>
        </w:tc>
        <w:tc>
          <w:tcPr>
            <w:tcW w:w="879" w:type="dxa"/>
            <w:shd w:val="clear" w:color="auto" w:fill="auto"/>
          </w:tcPr>
          <w:p w14:paraId="1F0F1A45" w14:textId="533C11CE" w:rsidR="009A7EC3" w:rsidRPr="00DE25AD" w:rsidRDefault="009A7EC3" w:rsidP="009A7EC3">
            <w:pPr>
              <w:pStyle w:val="ASSADACCESStablecentre"/>
            </w:pPr>
            <w:r w:rsidRPr="002E5727">
              <w:rPr>
                <w:bCs w:val="0"/>
                <w:color w:val="000000"/>
              </w:rPr>
              <w:t>22*^</w:t>
            </w:r>
          </w:p>
        </w:tc>
        <w:tc>
          <w:tcPr>
            <w:tcW w:w="879" w:type="dxa"/>
            <w:shd w:val="clear" w:color="auto" w:fill="auto"/>
          </w:tcPr>
          <w:p w14:paraId="216F7EF1" w14:textId="4283E2FA" w:rsidR="009A7EC3" w:rsidRPr="00DE25AD" w:rsidRDefault="009A7EC3" w:rsidP="009A7EC3">
            <w:pPr>
              <w:pStyle w:val="ASSADACCESStablecentre"/>
            </w:pPr>
            <w:r w:rsidRPr="002E5727">
              <w:rPr>
                <w:bCs w:val="0"/>
                <w:color w:val="000000"/>
              </w:rPr>
              <w:t>24^</w:t>
            </w:r>
          </w:p>
        </w:tc>
        <w:tc>
          <w:tcPr>
            <w:tcW w:w="879" w:type="dxa"/>
            <w:shd w:val="clear" w:color="auto" w:fill="auto"/>
          </w:tcPr>
          <w:p w14:paraId="4D65AE07" w14:textId="58A7742D" w:rsidR="009A7EC3" w:rsidRPr="00DE25AD" w:rsidRDefault="009A7EC3" w:rsidP="009A7EC3">
            <w:pPr>
              <w:pStyle w:val="ASSADACCESStablecentre"/>
            </w:pPr>
            <w:r w:rsidRPr="002E5727">
              <w:rPr>
                <w:bCs w:val="0"/>
                <w:color w:val="000000"/>
              </w:rPr>
              <w:t>26^</w:t>
            </w:r>
          </w:p>
        </w:tc>
        <w:tc>
          <w:tcPr>
            <w:tcW w:w="879" w:type="dxa"/>
            <w:shd w:val="clear" w:color="auto" w:fill="auto"/>
          </w:tcPr>
          <w:p w14:paraId="50D23183" w14:textId="2B20B6A5" w:rsidR="009A7EC3" w:rsidRPr="00DE25AD" w:rsidRDefault="009A7EC3" w:rsidP="009A7EC3">
            <w:pPr>
              <w:pStyle w:val="ASSADACCESStablecentre"/>
            </w:pPr>
            <w:r w:rsidRPr="002E5727">
              <w:rPr>
                <w:bCs w:val="0"/>
                <w:color w:val="000000"/>
              </w:rPr>
              <w:t>2</w:t>
            </w:r>
            <w:r>
              <w:rPr>
                <w:bCs w:val="0"/>
                <w:color w:val="000000"/>
              </w:rPr>
              <w:t>8</w:t>
            </w:r>
            <w:r w:rsidRPr="002E5727">
              <w:rPr>
                <w:bCs w:val="0"/>
                <w:color w:val="000000"/>
              </w:rPr>
              <w:t>^</w:t>
            </w:r>
          </w:p>
        </w:tc>
      </w:tr>
      <w:tr w:rsidR="009A7EC3" w:rsidRPr="00DE25AD" w14:paraId="293E87A3" w14:textId="77777777" w:rsidTr="005F678B">
        <w:trPr>
          <w:trHeight w:val="247"/>
        </w:trPr>
        <w:tc>
          <w:tcPr>
            <w:tcW w:w="1517" w:type="dxa"/>
            <w:tcMar>
              <w:left w:w="57" w:type="dxa"/>
            </w:tcMar>
          </w:tcPr>
          <w:p w14:paraId="7A6FD4FC" w14:textId="77777777" w:rsidR="009A7EC3" w:rsidRPr="00DE25AD" w:rsidRDefault="009A7EC3" w:rsidP="009A7EC3">
            <w:pPr>
              <w:pStyle w:val="ACCESSTableHeaderRow"/>
            </w:pPr>
          </w:p>
        </w:tc>
        <w:tc>
          <w:tcPr>
            <w:tcW w:w="1068" w:type="dxa"/>
            <w:shd w:val="clear" w:color="auto" w:fill="auto"/>
            <w:tcMar>
              <w:left w:w="57" w:type="dxa"/>
            </w:tcMar>
            <w:vAlign w:val="bottom"/>
          </w:tcPr>
          <w:p w14:paraId="2F4AB2B2" w14:textId="77777777" w:rsidR="009A7EC3" w:rsidRPr="00DE25AD" w:rsidRDefault="009A7EC3" w:rsidP="009A7EC3">
            <w:pPr>
              <w:pStyle w:val="ASSAD2017ACCESSBody1"/>
            </w:pPr>
            <w:r w:rsidRPr="00DE25AD">
              <w:t>Total</w:t>
            </w:r>
          </w:p>
        </w:tc>
        <w:tc>
          <w:tcPr>
            <w:tcW w:w="878" w:type="dxa"/>
            <w:shd w:val="clear" w:color="auto" w:fill="auto"/>
          </w:tcPr>
          <w:p w14:paraId="5FB626E9" w14:textId="210B98AF" w:rsidR="009A7EC3" w:rsidRPr="00DE25AD" w:rsidRDefault="009A7EC3" w:rsidP="009A7EC3">
            <w:pPr>
              <w:pStyle w:val="ASSADACCESStablecentre"/>
            </w:pPr>
            <w:r w:rsidRPr="002E5727">
              <w:rPr>
                <w:bCs w:val="0"/>
                <w:color w:val="000000"/>
              </w:rPr>
              <w:t>52*</w:t>
            </w:r>
          </w:p>
        </w:tc>
        <w:tc>
          <w:tcPr>
            <w:tcW w:w="879" w:type="dxa"/>
            <w:shd w:val="clear" w:color="auto" w:fill="auto"/>
          </w:tcPr>
          <w:p w14:paraId="69FFA716" w14:textId="54ED22A7" w:rsidR="009A7EC3" w:rsidRPr="00DE25AD" w:rsidRDefault="009A7EC3" w:rsidP="009A7EC3">
            <w:pPr>
              <w:pStyle w:val="ASSADACCESStablecentre"/>
            </w:pPr>
            <w:r w:rsidRPr="002E5727">
              <w:rPr>
                <w:bCs w:val="0"/>
                <w:color w:val="000000"/>
              </w:rPr>
              <w:t>46*^</w:t>
            </w:r>
          </w:p>
        </w:tc>
        <w:tc>
          <w:tcPr>
            <w:tcW w:w="879" w:type="dxa"/>
            <w:shd w:val="clear" w:color="auto" w:fill="auto"/>
          </w:tcPr>
          <w:p w14:paraId="0FB9ED28" w14:textId="28573989" w:rsidR="009A7EC3" w:rsidRPr="00DE25AD" w:rsidRDefault="009A7EC3" w:rsidP="009A7EC3">
            <w:pPr>
              <w:pStyle w:val="ASSADACCESStablecentre"/>
            </w:pPr>
            <w:r w:rsidRPr="002E5727">
              <w:rPr>
                <w:bCs w:val="0"/>
                <w:color w:val="000000"/>
              </w:rPr>
              <w:t>39*^</w:t>
            </w:r>
          </w:p>
        </w:tc>
        <w:tc>
          <w:tcPr>
            <w:tcW w:w="879" w:type="dxa"/>
            <w:shd w:val="clear" w:color="auto" w:fill="auto"/>
          </w:tcPr>
          <w:p w14:paraId="6ACBDC2A" w14:textId="35470095" w:rsidR="009A7EC3" w:rsidRPr="00DE25AD" w:rsidRDefault="009A7EC3" w:rsidP="009A7EC3">
            <w:pPr>
              <w:pStyle w:val="ASSADACCESStablecentre"/>
            </w:pPr>
            <w:r w:rsidRPr="002E5727">
              <w:rPr>
                <w:bCs w:val="0"/>
                <w:color w:val="000000"/>
              </w:rPr>
              <w:t>31^</w:t>
            </w:r>
          </w:p>
        </w:tc>
        <w:tc>
          <w:tcPr>
            <w:tcW w:w="879" w:type="dxa"/>
            <w:shd w:val="clear" w:color="auto" w:fill="auto"/>
          </w:tcPr>
          <w:p w14:paraId="29CA1FC9" w14:textId="7FEE165D" w:rsidR="009A7EC3" w:rsidRPr="00DE25AD" w:rsidRDefault="009A7EC3" w:rsidP="009A7EC3">
            <w:pPr>
              <w:pStyle w:val="ASSADACCESStablecentre"/>
            </w:pPr>
            <w:r w:rsidRPr="002E5727">
              <w:rPr>
                <w:bCs w:val="0"/>
                <w:color w:val="000000"/>
              </w:rPr>
              <w:t>24*^</w:t>
            </w:r>
          </w:p>
        </w:tc>
        <w:tc>
          <w:tcPr>
            <w:tcW w:w="879" w:type="dxa"/>
            <w:shd w:val="clear" w:color="auto" w:fill="auto"/>
          </w:tcPr>
          <w:p w14:paraId="4A32247B" w14:textId="6BDCDD80" w:rsidR="009A7EC3" w:rsidRPr="00DE25AD" w:rsidRDefault="009A7EC3" w:rsidP="009A7EC3">
            <w:pPr>
              <w:pStyle w:val="ASSADACCESStablecentre"/>
            </w:pPr>
            <w:r w:rsidRPr="002E5727">
              <w:rPr>
                <w:bCs w:val="0"/>
                <w:color w:val="000000"/>
              </w:rPr>
              <w:t>27^</w:t>
            </w:r>
          </w:p>
        </w:tc>
        <w:tc>
          <w:tcPr>
            <w:tcW w:w="879" w:type="dxa"/>
            <w:shd w:val="clear" w:color="auto" w:fill="auto"/>
          </w:tcPr>
          <w:p w14:paraId="00AE60F3" w14:textId="132A711D" w:rsidR="009A7EC3" w:rsidRPr="00DE25AD" w:rsidRDefault="009A7EC3" w:rsidP="009A7EC3">
            <w:pPr>
              <w:pStyle w:val="ASSADACCESStablecentre"/>
            </w:pPr>
            <w:r w:rsidRPr="002E5727">
              <w:rPr>
                <w:bCs w:val="0"/>
                <w:color w:val="000000"/>
              </w:rPr>
              <w:t>28^</w:t>
            </w:r>
          </w:p>
        </w:tc>
        <w:tc>
          <w:tcPr>
            <w:tcW w:w="879" w:type="dxa"/>
            <w:shd w:val="clear" w:color="auto" w:fill="auto"/>
          </w:tcPr>
          <w:p w14:paraId="3CC9EAB9" w14:textId="5E421184" w:rsidR="009A7EC3" w:rsidRPr="00DE25AD" w:rsidRDefault="009A7EC3" w:rsidP="009A7EC3">
            <w:pPr>
              <w:pStyle w:val="ASSADACCESStablecentre"/>
            </w:pPr>
            <w:r w:rsidRPr="002E5727">
              <w:rPr>
                <w:bCs w:val="0"/>
                <w:color w:val="000000"/>
              </w:rPr>
              <w:t>3</w:t>
            </w:r>
            <w:r>
              <w:rPr>
                <w:bCs w:val="0"/>
                <w:color w:val="000000"/>
              </w:rPr>
              <w:t>0</w:t>
            </w:r>
            <w:r w:rsidRPr="002E5727">
              <w:rPr>
                <w:bCs w:val="0"/>
                <w:color w:val="000000"/>
              </w:rPr>
              <w:t>^</w:t>
            </w:r>
          </w:p>
        </w:tc>
      </w:tr>
      <w:tr w:rsidR="009A7EC3" w:rsidRPr="00DE25AD" w14:paraId="1A61183C" w14:textId="77777777" w:rsidTr="00545FF4">
        <w:trPr>
          <w:trHeight w:val="247"/>
        </w:trPr>
        <w:tc>
          <w:tcPr>
            <w:tcW w:w="1517" w:type="dxa"/>
            <w:tcMar>
              <w:left w:w="57" w:type="dxa"/>
            </w:tcMar>
          </w:tcPr>
          <w:p w14:paraId="5EE641A5" w14:textId="77777777" w:rsidR="009A7EC3" w:rsidRPr="00DE25AD" w:rsidRDefault="009A7EC3" w:rsidP="009A7EC3">
            <w:pPr>
              <w:pStyle w:val="ACCESSTableHeaderRow"/>
              <w:rPr>
                <w:vertAlign w:val="superscript"/>
              </w:rPr>
            </w:pPr>
            <w:r>
              <w:t>Past year</w:t>
            </w:r>
          </w:p>
        </w:tc>
        <w:tc>
          <w:tcPr>
            <w:tcW w:w="1068" w:type="dxa"/>
            <w:shd w:val="clear" w:color="auto" w:fill="auto"/>
            <w:tcMar>
              <w:left w:w="57" w:type="dxa"/>
            </w:tcMar>
            <w:vAlign w:val="bottom"/>
          </w:tcPr>
          <w:p w14:paraId="42713115" w14:textId="77777777" w:rsidR="009A7EC3" w:rsidRPr="00DE25AD" w:rsidRDefault="009A7EC3" w:rsidP="009A7EC3">
            <w:pPr>
              <w:pStyle w:val="ASSAD2017ACCESSBody1"/>
            </w:pPr>
            <w:r w:rsidRPr="00DE25AD">
              <w:t>Male</w:t>
            </w:r>
          </w:p>
        </w:tc>
        <w:tc>
          <w:tcPr>
            <w:tcW w:w="878" w:type="dxa"/>
            <w:shd w:val="clear" w:color="auto" w:fill="auto"/>
          </w:tcPr>
          <w:p w14:paraId="0B74B9D0" w14:textId="27A6E6B2" w:rsidR="009A7EC3" w:rsidRPr="00DE25AD" w:rsidRDefault="009A7EC3" w:rsidP="009A7EC3">
            <w:pPr>
              <w:pStyle w:val="ASSADACCESStablecentre"/>
            </w:pPr>
            <w:r w:rsidRPr="002E5727">
              <w:rPr>
                <w:bCs w:val="0"/>
                <w:color w:val="000000"/>
              </w:rPr>
              <w:t>49*</w:t>
            </w:r>
          </w:p>
        </w:tc>
        <w:tc>
          <w:tcPr>
            <w:tcW w:w="879" w:type="dxa"/>
            <w:shd w:val="clear" w:color="auto" w:fill="auto"/>
          </w:tcPr>
          <w:p w14:paraId="18092978" w14:textId="48ED0A2A" w:rsidR="009A7EC3" w:rsidRPr="00DE25AD" w:rsidRDefault="009A7EC3" w:rsidP="009A7EC3">
            <w:pPr>
              <w:pStyle w:val="ASSADACCESStablecentre"/>
            </w:pPr>
            <w:r w:rsidRPr="002E5727">
              <w:rPr>
                <w:bCs w:val="0"/>
                <w:color w:val="000000"/>
              </w:rPr>
              <w:t>41*^</w:t>
            </w:r>
          </w:p>
        </w:tc>
        <w:tc>
          <w:tcPr>
            <w:tcW w:w="879" w:type="dxa"/>
            <w:shd w:val="clear" w:color="auto" w:fill="auto"/>
          </w:tcPr>
          <w:p w14:paraId="3288B052" w14:textId="48ABBC62" w:rsidR="009A7EC3" w:rsidRPr="00DE25AD" w:rsidRDefault="009A7EC3" w:rsidP="009A7EC3">
            <w:pPr>
              <w:pStyle w:val="ASSADACCESStablecentre"/>
            </w:pPr>
            <w:r w:rsidRPr="002E5727">
              <w:rPr>
                <w:bCs w:val="0"/>
                <w:color w:val="000000"/>
              </w:rPr>
              <w:t>35^</w:t>
            </w:r>
          </w:p>
        </w:tc>
        <w:tc>
          <w:tcPr>
            <w:tcW w:w="879" w:type="dxa"/>
            <w:shd w:val="clear" w:color="auto" w:fill="auto"/>
          </w:tcPr>
          <w:p w14:paraId="40E0F775" w14:textId="7F66CE3E" w:rsidR="009A7EC3" w:rsidRPr="00DE25AD" w:rsidRDefault="009A7EC3" w:rsidP="009A7EC3">
            <w:pPr>
              <w:pStyle w:val="ASSADACCESStablecentre"/>
            </w:pPr>
            <w:r w:rsidRPr="002E5727">
              <w:rPr>
                <w:bCs w:val="0"/>
                <w:color w:val="000000"/>
              </w:rPr>
              <w:t>27^</w:t>
            </w:r>
          </w:p>
        </w:tc>
        <w:tc>
          <w:tcPr>
            <w:tcW w:w="879" w:type="dxa"/>
            <w:shd w:val="clear" w:color="auto" w:fill="auto"/>
          </w:tcPr>
          <w:p w14:paraId="118209CA" w14:textId="26032E24" w:rsidR="009A7EC3" w:rsidRPr="00DE25AD" w:rsidRDefault="009A7EC3" w:rsidP="009A7EC3">
            <w:pPr>
              <w:pStyle w:val="ASSADACCESStablecentre"/>
            </w:pPr>
            <w:r w:rsidRPr="002E5727">
              <w:rPr>
                <w:bCs w:val="0"/>
                <w:color w:val="000000"/>
              </w:rPr>
              <w:t>23*^</w:t>
            </w:r>
          </w:p>
        </w:tc>
        <w:tc>
          <w:tcPr>
            <w:tcW w:w="879" w:type="dxa"/>
            <w:shd w:val="clear" w:color="auto" w:fill="auto"/>
          </w:tcPr>
          <w:p w14:paraId="44BE4C65" w14:textId="630DDA3E" w:rsidR="009A7EC3" w:rsidRPr="00DE25AD" w:rsidRDefault="009A7EC3" w:rsidP="009A7EC3">
            <w:pPr>
              <w:pStyle w:val="ASSADACCESStablecentre"/>
            </w:pPr>
            <w:r w:rsidRPr="002E5727">
              <w:rPr>
                <w:bCs w:val="0"/>
                <w:color w:val="000000"/>
              </w:rPr>
              <w:t>26^</w:t>
            </w:r>
          </w:p>
        </w:tc>
        <w:tc>
          <w:tcPr>
            <w:tcW w:w="879" w:type="dxa"/>
            <w:shd w:val="clear" w:color="auto" w:fill="auto"/>
          </w:tcPr>
          <w:p w14:paraId="53859981" w14:textId="257A5B16" w:rsidR="009A7EC3" w:rsidRPr="00DE25AD" w:rsidRDefault="009A7EC3" w:rsidP="009A7EC3">
            <w:pPr>
              <w:pStyle w:val="ASSADACCESStablecentre"/>
            </w:pPr>
            <w:r w:rsidRPr="002E5727">
              <w:rPr>
                <w:bCs w:val="0"/>
                <w:color w:val="000000"/>
              </w:rPr>
              <w:t>27^</w:t>
            </w:r>
          </w:p>
        </w:tc>
        <w:tc>
          <w:tcPr>
            <w:tcW w:w="879" w:type="dxa"/>
            <w:shd w:val="clear" w:color="auto" w:fill="auto"/>
          </w:tcPr>
          <w:p w14:paraId="475EC966" w14:textId="6205174F" w:rsidR="009A7EC3" w:rsidRPr="00DE25AD" w:rsidRDefault="009A7EC3" w:rsidP="009A7EC3">
            <w:pPr>
              <w:pStyle w:val="ASSADACCESStablecentre"/>
            </w:pPr>
            <w:r w:rsidRPr="002E5727">
              <w:rPr>
                <w:bCs w:val="0"/>
                <w:color w:val="000000"/>
              </w:rPr>
              <w:t>3</w:t>
            </w:r>
            <w:r>
              <w:rPr>
                <w:bCs w:val="0"/>
                <w:color w:val="000000"/>
              </w:rPr>
              <w:t>0</w:t>
            </w:r>
            <w:r w:rsidRPr="002E5727">
              <w:rPr>
                <w:bCs w:val="0"/>
                <w:color w:val="000000"/>
              </w:rPr>
              <w:t>^</w:t>
            </w:r>
          </w:p>
        </w:tc>
      </w:tr>
      <w:tr w:rsidR="009A7EC3" w:rsidRPr="00DE25AD" w14:paraId="6863500F" w14:textId="77777777" w:rsidTr="005F678B">
        <w:trPr>
          <w:trHeight w:val="247"/>
        </w:trPr>
        <w:tc>
          <w:tcPr>
            <w:tcW w:w="1517" w:type="dxa"/>
            <w:tcMar>
              <w:left w:w="57" w:type="dxa"/>
            </w:tcMar>
          </w:tcPr>
          <w:p w14:paraId="19EB88E5" w14:textId="77777777" w:rsidR="009A7EC3" w:rsidRPr="00DE25AD" w:rsidRDefault="009A7EC3" w:rsidP="009A7EC3">
            <w:pPr>
              <w:pStyle w:val="ACCESSTableHeaderRow"/>
            </w:pPr>
          </w:p>
        </w:tc>
        <w:tc>
          <w:tcPr>
            <w:tcW w:w="1068" w:type="dxa"/>
            <w:shd w:val="clear" w:color="auto" w:fill="auto"/>
            <w:tcMar>
              <w:left w:w="57" w:type="dxa"/>
            </w:tcMar>
            <w:vAlign w:val="bottom"/>
          </w:tcPr>
          <w:p w14:paraId="7BEF7D86" w14:textId="77777777" w:rsidR="009A7EC3" w:rsidRPr="00DE25AD" w:rsidRDefault="009A7EC3" w:rsidP="009A7EC3">
            <w:pPr>
              <w:pStyle w:val="ASSAD2017ACCESSBody1"/>
            </w:pPr>
            <w:r w:rsidRPr="00DE25AD">
              <w:t>Female</w:t>
            </w:r>
          </w:p>
        </w:tc>
        <w:tc>
          <w:tcPr>
            <w:tcW w:w="878" w:type="dxa"/>
            <w:shd w:val="clear" w:color="auto" w:fill="auto"/>
          </w:tcPr>
          <w:p w14:paraId="2DAF70B2" w14:textId="785C1401" w:rsidR="009A7EC3" w:rsidRPr="00DE25AD" w:rsidRDefault="009A7EC3" w:rsidP="009A7EC3">
            <w:pPr>
              <w:pStyle w:val="ASSADACCESStablecentre"/>
            </w:pPr>
            <w:r w:rsidRPr="002E5727">
              <w:rPr>
                <w:bCs w:val="0"/>
                <w:color w:val="000000"/>
              </w:rPr>
              <w:t>44*</w:t>
            </w:r>
          </w:p>
        </w:tc>
        <w:tc>
          <w:tcPr>
            <w:tcW w:w="879" w:type="dxa"/>
            <w:shd w:val="clear" w:color="auto" w:fill="auto"/>
          </w:tcPr>
          <w:p w14:paraId="3E832F9C" w14:textId="7F785030" w:rsidR="009A7EC3" w:rsidRPr="00DE25AD" w:rsidRDefault="009A7EC3" w:rsidP="009A7EC3">
            <w:pPr>
              <w:pStyle w:val="ASSADACCESStablecentre"/>
            </w:pPr>
            <w:r w:rsidRPr="002E5727">
              <w:rPr>
                <w:bCs w:val="0"/>
                <w:color w:val="000000"/>
              </w:rPr>
              <w:t>35*^</w:t>
            </w:r>
          </w:p>
        </w:tc>
        <w:tc>
          <w:tcPr>
            <w:tcW w:w="879" w:type="dxa"/>
            <w:shd w:val="clear" w:color="auto" w:fill="auto"/>
          </w:tcPr>
          <w:p w14:paraId="49C6506F" w14:textId="45A93BF2" w:rsidR="009A7EC3" w:rsidRPr="00DE25AD" w:rsidRDefault="009A7EC3" w:rsidP="009A7EC3">
            <w:pPr>
              <w:pStyle w:val="ASSADACCESStablecentre"/>
            </w:pPr>
            <w:r w:rsidRPr="002E5727">
              <w:rPr>
                <w:bCs w:val="0"/>
                <w:color w:val="000000"/>
              </w:rPr>
              <w:t>30^</w:t>
            </w:r>
          </w:p>
        </w:tc>
        <w:tc>
          <w:tcPr>
            <w:tcW w:w="879" w:type="dxa"/>
            <w:shd w:val="clear" w:color="auto" w:fill="auto"/>
          </w:tcPr>
          <w:p w14:paraId="58088738" w14:textId="086D8C28" w:rsidR="009A7EC3" w:rsidRPr="00DE25AD" w:rsidRDefault="009A7EC3" w:rsidP="009A7EC3">
            <w:pPr>
              <w:pStyle w:val="ASSADACCESStablecentre"/>
            </w:pPr>
            <w:r w:rsidRPr="002E5727">
              <w:rPr>
                <w:bCs w:val="0"/>
                <w:color w:val="000000"/>
              </w:rPr>
              <w:t>23^</w:t>
            </w:r>
          </w:p>
        </w:tc>
        <w:tc>
          <w:tcPr>
            <w:tcW w:w="879" w:type="dxa"/>
            <w:shd w:val="clear" w:color="auto" w:fill="auto"/>
          </w:tcPr>
          <w:p w14:paraId="5A384177" w14:textId="6DA69AD1" w:rsidR="009A7EC3" w:rsidRPr="00DE25AD" w:rsidRDefault="009A7EC3" w:rsidP="009A7EC3">
            <w:pPr>
              <w:pStyle w:val="ASSADACCESStablecentre"/>
            </w:pPr>
            <w:r w:rsidRPr="002E5727">
              <w:rPr>
                <w:bCs w:val="0"/>
                <w:color w:val="000000"/>
              </w:rPr>
              <w:t>19*^</w:t>
            </w:r>
          </w:p>
        </w:tc>
        <w:tc>
          <w:tcPr>
            <w:tcW w:w="879" w:type="dxa"/>
            <w:shd w:val="clear" w:color="auto" w:fill="auto"/>
          </w:tcPr>
          <w:p w14:paraId="3B344F11" w14:textId="2B8E3E49" w:rsidR="009A7EC3" w:rsidRPr="00DE25AD" w:rsidRDefault="009A7EC3" w:rsidP="009A7EC3">
            <w:pPr>
              <w:pStyle w:val="ASSADACCESStablecentre"/>
            </w:pPr>
            <w:r w:rsidRPr="002E5727">
              <w:rPr>
                <w:bCs w:val="0"/>
                <w:color w:val="000000"/>
              </w:rPr>
              <w:t>21^</w:t>
            </w:r>
          </w:p>
        </w:tc>
        <w:tc>
          <w:tcPr>
            <w:tcW w:w="879" w:type="dxa"/>
            <w:shd w:val="clear" w:color="auto" w:fill="auto"/>
          </w:tcPr>
          <w:p w14:paraId="60CA1B09" w14:textId="0AF841D3" w:rsidR="009A7EC3" w:rsidRPr="00DE25AD" w:rsidRDefault="009A7EC3" w:rsidP="009A7EC3">
            <w:pPr>
              <w:pStyle w:val="ASSADACCESStablecentre"/>
            </w:pPr>
            <w:r w:rsidRPr="002E5727">
              <w:rPr>
                <w:bCs w:val="0"/>
                <w:color w:val="000000"/>
              </w:rPr>
              <w:t>23^</w:t>
            </w:r>
          </w:p>
        </w:tc>
        <w:tc>
          <w:tcPr>
            <w:tcW w:w="879" w:type="dxa"/>
            <w:shd w:val="clear" w:color="auto" w:fill="auto"/>
          </w:tcPr>
          <w:p w14:paraId="447C1CA2" w14:textId="7102042E" w:rsidR="009A7EC3" w:rsidRPr="00DE25AD" w:rsidRDefault="009A7EC3" w:rsidP="009A7EC3">
            <w:pPr>
              <w:pStyle w:val="ASSADACCESStablecentre"/>
            </w:pPr>
            <w:r w:rsidRPr="002E5727">
              <w:rPr>
                <w:bCs w:val="0"/>
                <w:color w:val="000000"/>
              </w:rPr>
              <w:t>2</w:t>
            </w:r>
            <w:r>
              <w:rPr>
                <w:bCs w:val="0"/>
                <w:color w:val="000000"/>
              </w:rPr>
              <w:t>6</w:t>
            </w:r>
            <w:r w:rsidRPr="002E5727">
              <w:rPr>
                <w:bCs w:val="0"/>
                <w:color w:val="000000"/>
              </w:rPr>
              <w:t>^</w:t>
            </w:r>
          </w:p>
        </w:tc>
      </w:tr>
      <w:tr w:rsidR="009A7EC3" w:rsidRPr="00DE25AD" w14:paraId="226C3402" w14:textId="77777777" w:rsidTr="005F678B">
        <w:trPr>
          <w:trHeight w:val="247"/>
        </w:trPr>
        <w:tc>
          <w:tcPr>
            <w:tcW w:w="1517" w:type="dxa"/>
            <w:tcMar>
              <w:left w:w="57" w:type="dxa"/>
            </w:tcMar>
          </w:tcPr>
          <w:p w14:paraId="45034E27" w14:textId="77777777" w:rsidR="009A7EC3" w:rsidRPr="00DE25AD" w:rsidRDefault="009A7EC3" w:rsidP="009A7EC3">
            <w:pPr>
              <w:pStyle w:val="ACCESSTableHeaderRow"/>
            </w:pPr>
          </w:p>
        </w:tc>
        <w:tc>
          <w:tcPr>
            <w:tcW w:w="1068" w:type="dxa"/>
            <w:shd w:val="clear" w:color="auto" w:fill="auto"/>
            <w:tcMar>
              <w:left w:w="57" w:type="dxa"/>
            </w:tcMar>
            <w:vAlign w:val="bottom"/>
          </w:tcPr>
          <w:p w14:paraId="2ADA0DEE" w14:textId="77777777" w:rsidR="009A7EC3" w:rsidRPr="00DE25AD" w:rsidRDefault="009A7EC3" w:rsidP="009A7EC3">
            <w:pPr>
              <w:pStyle w:val="ASSAD2017ACCESSBody1"/>
            </w:pPr>
            <w:r w:rsidRPr="00DE25AD">
              <w:t>Total</w:t>
            </w:r>
          </w:p>
        </w:tc>
        <w:tc>
          <w:tcPr>
            <w:tcW w:w="878" w:type="dxa"/>
            <w:shd w:val="clear" w:color="auto" w:fill="auto"/>
          </w:tcPr>
          <w:p w14:paraId="0A551C2F" w14:textId="75675251" w:rsidR="009A7EC3" w:rsidRPr="00DE25AD" w:rsidRDefault="009A7EC3" w:rsidP="009A7EC3">
            <w:pPr>
              <w:pStyle w:val="ASSADACCESStablecentre"/>
            </w:pPr>
            <w:r w:rsidRPr="002E5727">
              <w:rPr>
                <w:bCs w:val="0"/>
                <w:color w:val="000000"/>
              </w:rPr>
              <w:t>4</w:t>
            </w:r>
            <w:r>
              <w:rPr>
                <w:bCs w:val="0"/>
                <w:color w:val="000000"/>
              </w:rPr>
              <w:t>6</w:t>
            </w:r>
            <w:r w:rsidRPr="002E5727">
              <w:rPr>
                <w:bCs w:val="0"/>
                <w:color w:val="000000"/>
              </w:rPr>
              <w:t>*</w:t>
            </w:r>
          </w:p>
        </w:tc>
        <w:tc>
          <w:tcPr>
            <w:tcW w:w="879" w:type="dxa"/>
            <w:shd w:val="clear" w:color="auto" w:fill="auto"/>
          </w:tcPr>
          <w:p w14:paraId="7E26FDCE" w14:textId="17CDE623" w:rsidR="009A7EC3" w:rsidRPr="00DE25AD" w:rsidRDefault="009A7EC3" w:rsidP="009A7EC3">
            <w:pPr>
              <w:pStyle w:val="ASSADACCESStablecentre"/>
            </w:pPr>
            <w:r w:rsidRPr="002E5727">
              <w:rPr>
                <w:bCs w:val="0"/>
                <w:color w:val="000000"/>
              </w:rPr>
              <w:t>38*^</w:t>
            </w:r>
          </w:p>
        </w:tc>
        <w:tc>
          <w:tcPr>
            <w:tcW w:w="879" w:type="dxa"/>
            <w:shd w:val="clear" w:color="auto" w:fill="auto"/>
          </w:tcPr>
          <w:p w14:paraId="38E3B3A9" w14:textId="5102982B" w:rsidR="009A7EC3" w:rsidRPr="00DE25AD" w:rsidRDefault="009A7EC3" w:rsidP="009A7EC3">
            <w:pPr>
              <w:pStyle w:val="ASSADACCESStablecentre"/>
            </w:pPr>
            <w:r w:rsidRPr="002E5727">
              <w:rPr>
                <w:bCs w:val="0"/>
                <w:color w:val="000000"/>
              </w:rPr>
              <w:t>3</w:t>
            </w:r>
            <w:r>
              <w:rPr>
                <w:bCs w:val="0"/>
                <w:color w:val="000000"/>
              </w:rPr>
              <w:t>2</w:t>
            </w:r>
            <w:r w:rsidRPr="002E5727">
              <w:rPr>
                <w:bCs w:val="0"/>
                <w:color w:val="000000"/>
              </w:rPr>
              <w:t>^</w:t>
            </w:r>
          </w:p>
        </w:tc>
        <w:tc>
          <w:tcPr>
            <w:tcW w:w="879" w:type="dxa"/>
            <w:shd w:val="clear" w:color="auto" w:fill="auto"/>
          </w:tcPr>
          <w:p w14:paraId="12701C8F" w14:textId="6B948016" w:rsidR="009A7EC3" w:rsidRPr="00DE25AD" w:rsidRDefault="009A7EC3" w:rsidP="009A7EC3">
            <w:pPr>
              <w:pStyle w:val="ASSADACCESStablecentre"/>
            </w:pPr>
            <w:r w:rsidRPr="002E5727">
              <w:rPr>
                <w:bCs w:val="0"/>
                <w:color w:val="000000"/>
              </w:rPr>
              <w:t>25^</w:t>
            </w:r>
          </w:p>
        </w:tc>
        <w:tc>
          <w:tcPr>
            <w:tcW w:w="879" w:type="dxa"/>
            <w:shd w:val="clear" w:color="auto" w:fill="auto"/>
          </w:tcPr>
          <w:p w14:paraId="72045C55" w14:textId="3B02BD5C" w:rsidR="009A7EC3" w:rsidRPr="00DE25AD" w:rsidRDefault="009A7EC3" w:rsidP="009A7EC3">
            <w:pPr>
              <w:pStyle w:val="ASSADACCESStablecentre"/>
            </w:pPr>
            <w:r w:rsidRPr="002E5727">
              <w:rPr>
                <w:bCs w:val="0"/>
                <w:color w:val="000000"/>
              </w:rPr>
              <w:t>21</w:t>
            </w:r>
            <w:r>
              <w:rPr>
                <w:bCs w:val="0"/>
                <w:color w:val="000000"/>
              </w:rPr>
              <w:t>*</w:t>
            </w:r>
            <w:r w:rsidRPr="002E5727">
              <w:rPr>
                <w:bCs w:val="0"/>
                <w:color w:val="000000"/>
              </w:rPr>
              <w:t>^</w:t>
            </w:r>
          </w:p>
        </w:tc>
        <w:tc>
          <w:tcPr>
            <w:tcW w:w="879" w:type="dxa"/>
            <w:shd w:val="clear" w:color="auto" w:fill="auto"/>
          </w:tcPr>
          <w:p w14:paraId="2C572689" w14:textId="73274584" w:rsidR="009A7EC3" w:rsidRPr="00DE25AD" w:rsidRDefault="009A7EC3" w:rsidP="009A7EC3">
            <w:pPr>
              <w:pStyle w:val="ASSADACCESStablecentre"/>
            </w:pPr>
            <w:r w:rsidRPr="002E5727">
              <w:rPr>
                <w:bCs w:val="0"/>
                <w:color w:val="000000"/>
              </w:rPr>
              <w:t>23^</w:t>
            </w:r>
          </w:p>
        </w:tc>
        <w:tc>
          <w:tcPr>
            <w:tcW w:w="879" w:type="dxa"/>
            <w:shd w:val="clear" w:color="auto" w:fill="auto"/>
          </w:tcPr>
          <w:p w14:paraId="266E20C6" w14:textId="44A2C3A7" w:rsidR="009A7EC3" w:rsidRPr="00DE25AD" w:rsidRDefault="009A7EC3" w:rsidP="009A7EC3">
            <w:pPr>
              <w:pStyle w:val="ASSADACCESStablecentre"/>
            </w:pPr>
            <w:r w:rsidRPr="002E5727">
              <w:rPr>
                <w:bCs w:val="0"/>
                <w:color w:val="000000"/>
              </w:rPr>
              <w:t>25^</w:t>
            </w:r>
          </w:p>
        </w:tc>
        <w:tc>
          <w:tcPr>
            <w:tcW w:w="879" w:type="dxa"/>
            <w:shd w:val="clear" w:color="auto" w:fill="auto"/>
          </w:tcPr>
          <w:p w14:paraId="69EC1EF3" w14:textId="3338AA52" w:rsidR="009A7EC3" w:rsidRPr="00DE25AD" w:rsidRDefault="009A7EC3" w:rsidP="009A7EC3">
            <w:pPr>
              <w:pStyle w:val="ASSADACCESStablecentre"/>
            </w:pPr>
            <w:r w:rsidRPr="002E5727">
              <w:rPr>
                <w:bCs w:val="0"/>
                <w:color w:val="000000"/>
              </w:rPr>
              <w:t>2</w:t>
            </w:r>
            <w:r>
              <w:rPr>
                <w:bCs w:val="0"/>
                <w:color w:val="000000"/>
              </w:rPr>
              <w:t>8</w:t>
            </w:r>
            <w:r w:rsidRPr="002E5727">
              <w:rPr>
                <w:bCs w:val="0"/>
                <w:color w:val="000000"/>
              </w:rPr>
              <w:t>^</w:t>
            </w:r>
          </w:p>
        </w:tc>
      </w:tr>
      <w:tr w:rsidR="009A7EC3" w:rsidRPr="00DE25AD" w14:paraId="5CB63191" w14:textId="77777777" w:rsidTr="005F678B">
        <w:trPr>
          <w:trHeight w:val="247"/>
        </w:trPr>
        <w:tc>
          <w:tcPr>
            <w:tcW w:w="1517" w:type="dxa"/>
            <w:tcMar>
              <w:left w:w="57" w:type="dxa"/>
            </w:tcMar>
          </w:tcPr>
          <w:p w14:paraId="2C140180"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168A5E00" w14:textId="77777777" w:rsidR="009A7EC3" w:rsidRPr="00DE25AD" w:rsidRDefault="009A7EC3" w:rsidP="009A7EC3">
            <w:pPr>
              <w:pStyle w:val="ASSAD2017ACCESSBody1"/>
            </w:pPr>
            <w:r w:rsidRPr="00DE25AD">
              <w:t>Male</w:t>
            </w:r>
          </w:p>
        </w:tc>
        <w:tc>
          <w:tcPr>
            <w:tcW w:w="878" w:type="dxa"/>
            <w:shd w:val="clear" w:color="auto" w:fill="auto"/>
          </w:tcPr>
          <w:p w14:paraId="5544D8F3" w14:textId="1FEADEA9" w:rsidR="009A7EC3" w:rsidRPr="00DE25AD" w:rsidRDefault="009A7EC3" w:rsidP="009A7EC3">
            <w:pPr>
              <w:pStyle w:val="ASSADACCESStablecentre"/>
            </w:pPr>
            <w:r w:rsidRPr="002E5727">
              <w:rPr>
                <w:bCs w:val="0"/>
                <w:color w:val="000000"/>
              </w:rPr>
              <w:t>31*</w:t>
            </w:r>
          </w:p>
        </w:tc>
        <w:tc>
          <w:tcPr>
            <w:tcW w:w="879" w:type="dxa"/>
            <w:shd w:val="clear" w:color="auto" w:fill="auto"/>
          </w:tcPr>
          <w:p w14:paraId="4D43CFE6" w14:textId="106CCF31" w:rsidR="009A7EC3" w:rsidRPr="00DE25AD" w:rsidRDefault="009A7EC3" w:rsidP="009A7EC3">
            <w:pPr>
              <w:pStyle w:val="ASSADACCESStablecentre"/>
            </w:pPr>
            <w:r w:rsidRPr="002E5727">
              <w:rPr>
                <w:bCs w:val="0"/>
                <w:color w:val="000000"/>
              </w:rPr>
              <w:t>23</w:t>
            </w:r>
            <w:r>
              <w:rPr>
                <w:bCs w:val="0"/>
                <w:color w:val="000000"/>
              </w:rPr>
              <w:t>*</w:t>
            </w:r>
            <w:r w:rsidRPr="002E5727">
              <w:rPr>
                <w:bCs w:val="0"/>
                <w:color w:val="000000"/>
              </w:rPr>
              <w:t>^</w:t>
            </w:r>
          </w:p>
        </w:tc>
        <w:tc>
          <w:tcPr>
            <w:tcW w:w="879" w:type="dxa"/>
            <w:shd w:val="clear" w:color="auto" w:fill="auto"/>
          </w:tcPr>
          <w:p w14:paraId="3D8B7A6E" w14:textId="39553D74" w:rsidR="009A7EC3" w:rsidRPr="00DE25AD" w:rsidRDefault="009A7EC3" w:rsidP="009A7EC3">
            <w:pPr>
              <w:pStyle w:val="ASSADACCESStablecentre"/>
            </w:pPr>
            <w:r w:rsidRPr="002E5727">
              <w:rPr>
                <w:bCs w:val="0"/>
                <w:color w:val="000000"/>
              </w:rPr>
              <w:t>20^</w:t>
            </w:r>
          </w:p>
        </w:tc>
        <w:tc>
          <w:tcPr>
            <w:tcW w:w="879" w:type="dxa"/>
            <w:shd w:val="clear" w:color="auto" w:fill="auto"/>
          </w:tcPr>
          <w:p w14:paraId="2AE49991" w14:textId="16235CE4" w:rsidR="009A7EC3" w:rsidRPr="00DE25AD" w:rsidRDefault="009A7EC3" w:rsidP="009A7EC3">
            <w:pPr>
              <w:pStyle w:val="ASSADACCESStablecentre"/>
            </w:pPr>
            <w:r w:rsidRPr="002E5727">
              <w:rPr>
                <w:bCs w:val="0"/>
                <w:color w:val="000000"/>
              </w:rPr>
              <w:t>14^</w:t>
            </w:r>
          </w:p>
        </w:tc>
        <w:tc>
          <w:tcPr>
            <w:tcW w:w="879" w:type="dxa"/>
            <w:shd w:val="clear" w:color="auto" w:fill="auto"/>
          </w:tcPr>
          <w:p w14:paraId="1EE40DB8" w14:textId="65AF50D2" w:rsidR="009A7EC3" w:rsidRPr="00DE25AD" w:rsidRDefault="009A7EC3" w:rsidP="009A7EC3">
            <w:pPr>
              <w:pStyle w:val="ASSADACCESStablecentre"/>
            </w:pPr>
            <w:r w:rsidRPr="002E5727">
              <w:rPr>
                <w:bCs w:val="0"/>
                <w:color w:val="000000"/>
              </w:rPr>
              <w:t>13^</w:t>
            </w:r>
          </w:p>
        </w:tc>
        <w:tc>
          <w:tcPr>
            <w:tcW w:w="879" w:type="dxa"/>
            <w:shd w:val="clear" w:color="auto" w:fill="auto"/>
          </w:tcPr>
          <w:p w14:paraId="2DEF0E9B" w14:textId="11BC78C2" w:rsidR="009A7EC3" w:rsidRPr="00DE25AD" w:rsidRDefault="009A7EC3" w:rsidP="009A7EC3">
            <w:pPr>
              <w:pStyle w:val="ASSADACCESStablecentre"/>
            </w:pPr>
            <w:r w:rsidRPr="002E5727">
              <w:rPr>
                <w:bCs w:val="0"/>
                <w:color w:val="000000"/>
              </w:rPr>
              <w:t>15^</w:t>
            </w:r>
          </w:p>
        </w:tc>
        <w:tc>
          <w:tcPr>
            <w:tcW w:w="879" w:type="dxa"/>
            <w:shd w:val="clear" w:color="auto" w:fill="auto"/>
          </w:tcPr>
          <w:p w14:paraId="47102414" w14:textId="0671769C" w:rsidR="009A7EC3" w:rsidRPr="00DE25AD" w:rsidRDefault="009A7EC3" w:rsidP="009A7EC3">
            <w:pPr>
              <w:pStyle w:val="ASSADACCESStablecentre"/>
            </w:pPr>
            <w:r w:rsidRPr="002E5727">
              <w:rPr>
                <w:bCs w:val="0"/>
                <w:color w:val="000000"/>
              </w:rPr>
              <w:t>16^</w:t>
            </w:r>
          </w:p>
        </w:tc>
        <w:tc>
          <w:tcPr>
            <w:tcW w:w="879" w:type="dxa"/>
            <w:shd w:val="clear" w:color="auto" w:fill="auto"/>
          </w:tcPr>
          <w:p w14:paraId="5144EFF4" w14:textId="49DFE0C4" w:rsidR="009A7EC3" w:rsidRPr="00DE25AD" w:rsidRDefault="009A7EC3" w:rsidP="009A7EC3">
            <w:pPr>
              <w:pStyle w:val="ASSADACCESStablecentre"/>
            </w:pPr>
            <w:r w:rsidRPr="002E5727">
              <w:rPr>
                <w:bCs w:val="0"/>
                <w:color w:val="000000"/>
              </w:rPr>
              <w:t>18^</w:t>
            </w:r>
          </w:p>
        </w:tc>
      </w:tr>
      <w:tr w:rsidR="009A7EC3" w:rsidRPr="00DE25AD" w14:paraId="6782929A" w14:textId="77777777" w:rsidTr="005F678B">
        <w:trPr>
          <w:trHeight w:val="247"/>
        </w:trPr>
        <w:tc>
          <w:tcPr>
            <w:tcW w:w="1517" w:type="dxa"/>
            <w:tcMar>
              <w:left w:w="57" w:type="dxa"/>
            </w:tcMar>
          </w:tcPr>
          <w:p w14:paraId="54985DEB" w14:textId="77777777" w:rsidR="009A7EC3" w:rsidRPr="00DE25AD" w:rsidRDefault="009A7EC3" w:rsidP="009A7EC3">
            <w:pPr>
              <w:pStyle w:val="ACCESSTableHeaderRow"/>
            </w:pPr>
          </w:p>
        </w:tc>
        <w:tc>
          <w:tcPr>
            <w:tcW w:w="1068" w:type="dxa"/>
            <w:shd w:val="clear" w:color="auto" w:fill="auto"/>
            <w:tcMar>
              <w:left w:w="57" w:type="dxa"/>
            </w:tcMar>
            <w:vAlign w:val="bottom"/>
          </w:tcPr>
          <w:p w14:paraId="7457DCD4" w14:textId="77777777" w:rsidR="009A7EC3" w:rsidRPr="00DE25AD" w:rsidRDefault="009A7EC3" w:rsidP="009A7EC3">
            <w:pPr>
              <w:pStyle w:val="ASSAD2017ACCESSBody1"/>
            </w:pPr>
            <w:r w:rsidRPr="00DE25AD">
              <w:t>Female</w:t>
            </w:r>
          </w:p>
        </w:tc>
        <w:tc>
          <w:tcPr>
            <w:tcW w:w="878" w:type="dxa"/>
            <w:shd w:val="clear" w:color="auto" w:fill="auto"/>
          </w:tcPr>
          <w:p w14:paraId="69BFB6C3" w14:textId="2CBE8B7B" w:rsidR="009A7EC3" w:rsidRPr="00DE25AD" w:rsidRDefault="009A7EC3" w:rsidP="009A7EC3">
            <w:pPr>
              <w:pStyle w:val="ASSADACCESStablecentre"/>
            </w:pPr>
            <w:r w:rsidRPr="002E5727">
              <w:rPr>
                <w:bCs w:val="0"/>
                <w:color w:val="000000"/>
              </w:rPr>
              <w:t>24*</w:t>
            </w:r>
          </w:p>
        </w:tc>
        <w:tc>
          <w:tcPr>
            <w:tcW w:w="879" w:type="dxa"/>
            <w:shd w:val="clear" w:color="auto" w:fill="auto"/>
          </w:tcPr>
          <w:p w14:paraId="7AD33984" w14:textId="24F9C414" w:rsidR="009A7EC3" w:rsidRPr="00DE25AD" w:rsidRDefault="009A7EC3" w:rsidP="009A7EC3">
            <w:pPr>
              <w:pStyle w:val="ASSADACCESStablecentre"/>
            </w:pPr>
            <w:r w:rsidRPr="002E5727">
              <w:rPr>
                <w:bCs w:val="0"/>
                <w:color w:val="000000"/>
              </w:rPr>
              <w:t>17^</w:t>
            </w:r>
          </w:p>
        </w:tc>
        <w:tc>
          <w:tcPr>
            <w:tcW w:w="879" w:type="dxa"/>
            <w:shd w:val="clear" w:color="auto" w:fill="auto"/>
          </w:tcPr>
          <w:p w14:paraId="145285A0" w14:textId="1CE3F74E" w:rsidR="009A7EC3" w:rsidRPr="00DE25AD" w:rsidRDefault="009A7EC3" w:rsidP="009A7EC3">
            <w:pPr>
              <w:pStyle w:val="ASSADACCESStablecentre"/>
            </w:pPr>
            <w:r w:rsidRPr="002E5727">
              <w:rPr>
                <w:bCs w:val="0"/>
                <w:color w:val="000000"/>
              </w:rPr>
              <w:t>15^</w:t>
            </w:r>
          </w:p>
        </w:tc>
        <w:tc>
          <w:tcPr>
            <w:tcW w:w="879" w:type="dxa"/>
            <w:shd w:val="clear" w:color="auto" w:fill="auto"/>
          </w:tcPr>
          <w:p w14:paraId="3CDD0A97" w14:textId="70931C1D" w:rsidR="009A7EC3" w:rsidRPr="00DE25AD" w:rsidRDefault="009A7EC3" w:rsidP="009A7EC3">
            <w:pPr>
              <w:pStyle w:val="ASSADACCESStablecentre"/>
            </w:pPr>
            <w:r w:rsidRPr="002E5727">
              <w:rPr>
                <w:bCs w:val="0"/>
                <w:color w:val="000000"/>
              </w:rPr>
              <w:t>9*^</w:t>
            </w:r>
          </w:p>
        </w:tc>
        <w:tc>
          <w:tcPr>
            <w:tcW w:w="879" w:type="dxa"/>
            <w:shd w:val="clear" w:color="auto" w:fill="auto"/>
          </w:tcPr>
          <w:p w14:paraId="06EC16EE" w14:textId="56AA67E4" w:rsidR="009A7EC3" w:rsidRPr="00DE25AD" w:rsidRDefault="009A7EC3" w:rsidP="009A7EC3">
            <w:pPr>
              <w:pStyle w:val="ASSADACCESStablecentre"/>
            </w:pPr>
            <w:r w:rsidRPr="002E5727">
              <w:rPr>
                <w:bCs w:val="0"/>
                <w:color w:val="000000"/>
              </w:rPr>
              <w:t>9*^</w:t>
            </w:r>
          </w:p>
        </w:tc>
        <w:tc>
          <w:tcPr>
            <w:tcW w:w="879" w:type="dxa"/>
            <w:shd w:val="clear" w:color="auto" w:fill="auto"/>
          </w:tcPr>
          <w:p w14:paraId="2A38544C" w14:textId="62606A45" w:rsidR="009A7EC3" w:rsidRPr="00DE25AD" w:rsidRDefault="009A7EC3" w:rsidP="009A7EC3">
            <w:pPr>
              <w:pStyle w:val="ASSADACCESStablecentre"/>
            </w:pPr>
            <w:r w:rsidRPr="002E5727">
              <w:rPr>
                <w:bCs w:val="0"/>
                <w:color w:val="000000"/>
              </w:rPr>
              <w:t>10</w:t>
            </w:r>
            <w:r>
              <w:rPr>
                <w:bCs w:val="0"/>
                <w:color w:val="000000"/>
              </w:rPr>
              <w:t>*</w:t>
            </w:r>
            <w:r w:rsidRPr="002E5727">
              <w:rPr>
                <w:bCs w:val="0"/>
                <w:color w:val="000000"/>
              </w:rPr>
              <w:t>^</w:t>
            </w:r>
          </w:p>
        </w:tc>
        <w:tc>
          <w:tcPr>
            <w:tcW w:w="879" w:type="dxa"/>
            <w:shd w:val="clear" w:color="auto" w:fill="auto"/>
          </w:tcPr>
          <w:p w14:paraId="4E06A50D" w14:textId="27D9CE1B" w:rsidR="009A7EC3" w:rsidRPr="00DE25AD" w:rsidRDefault="009A7EC3" w:rsidP="009A7EC3">
            <w:pPr>
              <w:pStyle w:val="ASSADACCESStablecentre"/>
            </w:pPr>
            <w:r w:rsidRPr="002E5727">
              <w:rPr>
                <w:bCs w:val="0"/>
                <w:color w:val="000000"/>
              </w:rPr>
              <w:t>10*^</w:t>
            </w:r>
          </w:p>
        </w:tc>
        <w:tc>
          <w:tcPr>
            <w:tcW w:w="879" w:type="dxa"/>
            <w:shd w:val="clear" w:color="auto" w:fill="auto"/>
          </w:tcPr>
          <w:p w14:paraId="6FF6BB76" w14:textId="69C4B101" w:rsidR="009A7EC3" w:rsidRPr="00DE25AD" w:rsidRDefault="009A7EC3" w:rsidP="009A7EC3">
            <w:pPr>
              <w:pStyle w:val="ASSADACCESStablecentre"/>
            </w:pPr>
            <w:r w:rsidRPr="002E5727">
              <w:rPr>
                <w:bCs w:val="0"/>
                <w:color w:val="000000"/>
              </w:rPr>
              <w:t>14^</w:t>
            </w:r>
          </w:p>
        </w:tc>
      </w:tr>
      <w:tr w:rsidR="009A7EC3" w:rsidRPr="00DE25AD" w14:paraId="25DC075F" w14:textId="77777777" w:rsidTr="005F678B">
        <w:trPr>
          <w:trHeight w:val="247"/>
        </w:trPr>
        <w:tc>
          <w:tcPr>
            <w:tcW w:w="1517" w:type="dxa"/>
            <w:tcMar>
              <w:left w:w="57" w:type="dxa"/>
            </w:tcMar>
          </w:tcPr>
          <w:p w14:paraId="173F1E27" w14:textId="77777777" w:rsidR="009A7EC3" w:rsidRPr="00DE25AD" w:rsidRDefault="009A7EC3" w:rsidP="009A7EC3">
            <w:pPr>
              <w:pStyle w:val="ACCESSTableHeaderRow"/>
            </w:pPr>
          </w:p>
        </w:tc>
        <w:tc>
          <w:tcPr>
            <w:tcW w:w="1068" w:type="dxa"/>
            <w:shd w:val="clear" w:color="auto" w:fill="auto"/>
            <w:tcMar>
              <w:left w:w="57" w:type="dxa"/>
            </w:tcMar>
            <w:vAlign w:val="bottom"/>
          </w:tcPr>
          <w:p w14:paraId="6B746979" w14:textId="77777777" w:rsidR="009A7EC3" w:rsidRPr="00DE25AD" w:rsidRDefault="009A7EC3" w:rsidP="009A7EC3">
            <w:pPr>
              <w:pStyle w:val="ASSAD2017ACCESSBody1"/>
            </w:pPr>
            <w:r w:rsidRPr="00DE25AD">
              <w:t>Total</w:t>
            </w:r>
          </w:p>
        </w:tc>
        <w:tc>
          <w:tcPr>
            <w:tcW w:w="878" w:type="dxa"/>
            <w:shd w:val="clear" w:color="auto" w:fill="auto"/>
          </w:tcPr>
          <w:p w14:paraId="6BFF46B5" w14:textId="39C77357" w:rsidR="009A7EC3" w:rsidRPr="00DE25AD" w:rsidRDefault="009A7EC3" w:rsidP="009A7EC3">
            <w:pPr>
              <w:pStyle w:val="ASSADACCESStablecentre"/>
            </w:pPr>
            <w:r w:rsidRPr="002E5727">
              <w:rPr>
                <w:bCs w:val="0"/>
                <w:color w:val="000000"/>
              </w:rPr>
              <w:t>27*</w:t>
            </w:r>
          </w:p>
        </w:tc>
        <w:tc>
          <w:tcPr>
            <w:tcW w:w="879" w:type="dxa"/>
            <w:shd w:val="clear" w:color="auto" w:fill="auto"/>
          </w:tcPr>
          <w:p w14:paraId="3B48826B" w14:textId="33A0B3BD" w:rsidR="009A7EC3" w:rsidRPr="00DE25AD" w:rsidRDefault="009A7EC3" w:rsidP="009A7EC3">
            <w:pPr>
              <w:pStyle w:val="ASSADACCESStablecentre"/>
            </w:pPr>
            <w:r w:rsidRPr="002E5727">
              <w:rPr>
                <w:bCs w:val="0"/>
                <w:color w:val="000000"/>
              </w:rPr>
              <w:t>20</w:t>
            </w:r>
            <w:r>
              <w:rPr>
                <w:bCs w:val="0"/>
                <w:color w:val="000000"/>
              </w:rPr>
              <w:t>*</w:t>
            </w:r>
            <w:r w:rsidRPr="002E5727">
              <w:rPr>
                <w:bCs w:val="0"/>
                <w:color w:val="000000"/>
              </w:rPr>
              <w:t>^</w:t>
            </w:r>
          </w:p>
        </w:tc>
        <w:tc>
          <w:tcPr>
            <w:tcW w:w="879" w:type="dxa"/>
            <w:shd w:val="clear" w:color="auto" w:fill="auto"/>
          </w:tcPr>
          <w:p w14:paraId="67C015AA" w14:textId="371C190D" w:rsidR="009A7EC3" w:rsidRPr="00DE25AD" w:rsidRDefault="009A7EC3" w:rsidP="009A7EC3">
            <w:pPr>
              <w:pStyle w:val="ASSADACCESStablecentre"/>
            </w:pPr>
            <w:r w:rsidRPr="002E5727">
              <w:rPr>
                <w:bCs w:val="0"/>
                <w:color w:val="000000"/>
              </w:rPr>
              <w:t>17^</w:t>
            </w:r>
          </w:p>
        </w:tc>
        <w:tc>
          <w:tcPr>
            <w:tcW w:w="879" w:type="dxa"/>
            <w:shd w:val="clear" w:color="auto" w:fill="auto"/>
          </w:tcPr>
          <w:p w14:paraId="4F0C0FF2" w14:textId="4BF9D4D3" w:rsidR="009A7EC3" w:rsidRPr="00DE25AD" w:rsidRDefault="009A7EC3" w:rsidP="009A7EC3">
            <w:pPr>
              <w:pStyle w:val="ASSADACCESStablecentre"/>
            </w:pPr>
            <w:r w:rsidRPr="002E5727">
              <w:rPr>
                <w:bCs w:val="0"/>
                <w:color w:val="000000"/>
              </w:rPr>
              <w:t>12*^</w:t>
            </w:r>
          </w:p>
        </w:tc>
        <w:tc>
          <w:tcPr>
            <w:tcW w:w="879" w:type="dxa"/>
            <w:shd w:val="clear" w:color="auto" w:fill="auto"/>
          </w:tcPr>
          <w:p w14:paraId="1CCC940D" w14:textId="4A6678F8" w:rsidR="009A7EC3" w:rsidRPr="00DE25AD" w:rsidRDefault="009A7EC3" w:rsidP="009A7EC3">
            <w:pPr>
              <w:pStyle w:val="ASSADACCESStablecentre"/>
            </w:pPr>
            <w:r w:rsidRPr="002E5727">
              <w:rPr>
                <w:bCs w:val="0"/>
                <w:color w:val="000000"/>
              </w:rPr>
              <w:t>11*^</w:t>
            </w:r>
          </w:p>
        </w:tc>
        <w:tc>
          <w:tcPr>
            <w:tcW w:w="879" w:type="dxa"/>
            <w:shd w:val="clear" w:color="auto" w:fill="auto"/>
          </w:tcPr>
          <w:p w14:paraId="6F588818" w14:textId="583BA586" w:rsidR="009A7EC3" w:rsidRPr="00DE25AD" w:rsidRDefault="009A7EC3" w:rsidP="009A7EC3">
            <w:pPr>
              <w:pStyle w:val="ASSADACCESStablecentre"/>
            </w:pPr>
            <w:r w:rsidRPr="002E5727">
              <w:rPr>
                <w:bCs w:val="0"/>
                <w:color w:val="000000"/>
              </w:rPr>
              <w:t>12^</w:t>
            </w:r>
          </w:p>
        </w:tc>
        <w:tc>
          <w:tcPr>
            <w:tcW w:w="879" w:type="dxa"/>
            <w:shd w:val="clear" w:color="auto" w:fill="auto"/>
          </w:tcPr>
          <w:p w14:paraId="3269E499" w14:textId="0349E0F2" w:rsidR="009A7EC3" w:rsidRPr="00DE25AD" w:rsidRDefault="009A7EC3" w:rsidP="009A7EC3">
            <w:pPr>
              <w:pStyle w:val="ASSADACCESStablecentre"/>
            </w:pPr>
            <w:r w:rsidRPr="002E5727">
              <w:rPr>
                <w:bCs w:val="0"/>
                <w:color w:val="000000"/>
              </w:rPr>
              <w:t>13^</w:t>
            </w:r>
          </w:p>
        </w:tc>
        <w:tc>
          <w:tcPr>
            <w:tcW w:w="879" w:type="dxa"/>
            <w:shd w:val="clear" w:color="auto" w:fill="auto"/>
          </w:tcPr>
          <w:p w14:paraId="2373A05E" w14:textId="44476088" w:rsidR="009A7EC3" w:rsidRPr="00DE25AD" w:rsidRDefault="009A7EC3" w:rsidP="009A7EC3">
            <w:pPr>
              <w:pStyle w:val="ASSADACCESStablecentre"/>
            </w:pPr>
            <w:r w:rsidRPr="002E5727">
              <w:rPr>
                <w:bCs w:val="0"/>
                <w:color w:val="000000"/>
              </w:rPr>
              <w:t>16^</w:t>
            </w:r>
          </w:p>
        </w:tc>
      </w:tr>
      <w:tr w:rsidR="009A7EC3" w:rsidRPr="00DE25AD" w14:paraId="40DAD26E" w14:textId="77777777" w:rsidTr="005F678B">
        <w:trPr>
          <w:trHeight w:val="247"/>
        </w:trPr>
        <w:tc>
          <w:tcPr>
            <w:tcW w:w="1517" w:type="dxa"/>
            <w:tcMar>
              <w:left w:w="57" w:type="dxa"/>
            </w:tcMar>
          </w:tcPr>
          <w:p w14:paraId="05139D75"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5C8C5217" w14:textId="77777777" w:rsidR="009A7EC3" w:rsidRPr="00DE25AD" w:rsidRDefault="009A7EC3" w:rsidP="009A7EC3">
            <w:pPr>
              <w:pStyle w:val="ASSAD2017ACCESSBody1"/>
            </w:pPr>
            <w:r w:rsidRPr="00DE25AD">
              <w:t>Male</w:t>
            </w:r>
          </w:p>
        </w:tc>
        <w:tc>
          <w:tcPr>
            <w:tcW w:w="878" w:type="dxa"/>
            <w:shd w:val="clear" w:color="auto" w:fill="auto"/>
          </w:tcPr>
          <w:p w14:paraId="0E362C3A" w14:textId="014F193B" w:rsidR="009A7EC3" w:rsidRPr="00DE25AD" w:rsidRDefault="009A7EC3" w:rsidP="009A7EC3">
            <w:pPr>
              <w:pStyle w:val="ASSADACCESStablecentre"/>
            </w:pPr>
            <w:r w:rsidRPr="002E5727">
              <w:rPr>
                <w:bCs w:val="0"/>
                <w:color w:val="000000"/>
              </w:rPr>
              <w:t>21*</w:t>
            </w:r>
          </w:p>
        </w:tc>
        <w:tc>
          <w:tcPr>
            <w:tcW w:w="879" w:type="dxa"/>
            <w:shd w:val="clear" w:color="auto" w:fill="auto"/>
          </w:tcPr>
          <w:p w14:paraId="4F4B67D0" w14:textId="52878C0D" w:rsidR="009A7EC3" w:rsidRPr="00DE25AD" w:rsidRDefault="009A7EC3" w:rsidP="009A7EC3">
            <w:pPr>
              <w:pStyle w:val="ASSADACCESStablecentre"/>
            </w:pPr>
            <w:r w:rsidRPr="002E5727">
              <w:rPr>
                <w:bCs w:val="0"/>
                <w:color w:val="000000"/>
              </w:rPr>
              <w:t>15</w:t>
            </w:r>
            <w:r>
              <w:rPr>
                <w:bCs w:val="0"/>
                <w:color w:val="000000"/>
              </w:rPr>
              <w:t>*</w:t>
            </w:r>
            <w:r w:rsidRPr="002E5727">
              <w:rPr>
                <w:bCs w:val="0"/>
                <w:color w:val="000000"/>
              </w:rPr>
              <w:t>^</w:t>
            </w:r>
          </w:p>
        </w:tc>
        <w:tc>
          <w:tcPr>
            <w:tcW w:w="879" w:type="dxa"/>
            <w:shd w:val="clear" w:color="auto" w:fill="auto"/>
          </w:tcPr>
          <w:p w14:paraId="1ADA7FFD" w14:textId="3514C197" w:rsidR="009A7EC3" w:rsidRPr="00DE25AD" w:rsidRDefault="009A7EC3" w:rsidP="009A7EC3">
            <w:pPr>
              <w:pStyle w:val="ASSADACCESStablecentre"/>
            </w:pPr>
            <w:r w:rsidRPr="002E5727">
              <w:rPr>
                <w:bCs w:val="0"/>
                <w:color w:val="000000"/>
              </w:rPr>
              <w:t>12^</w:t>
            </w:r>
          </w:p>
        </w:tc>
        <w:tc>
          <w:tcPr>
            <w:tcW w:w="879" w:type="dxa"/>
            <w:shd w:val="clear" w:color="auto" w:fill="auto"/>
          </w:tcPr>
          <w:p w14:paraId="4B6CD631" w14:textId="78538E40" w:rsidR="009A7EC3" w:rsidRPr="00DE25AD" w:rsidRDefault="009A7EC3" w:rsidP="009A7EC3">
            <w:pPr>
              <w:pStyle w:val="ASSADACCESStablecentre"/>
            </w:pPr>
            <w:r w:rsidRPr="002E5727">
              <w:rPr>
                <w:bCs w:val="0"/>
                <w:color w:val="000000"/>
              </w:rPr>
              <w:t>8^</w:t>
            </w:r>
          </w:p>
        </w:tc>
        <w:tc>
          <w:tcPr>
            <w:tcW w:w="879" w:type="dxa"/>
            <w:shd w:val="clear" w:color="auto" w:fill="auto"/>
          </w:tcPr>
          <w:p w14:paraId="2961E201" w14:textId="388529A2" w:rsidR="009A7EC3" w:rsidRPr="00DE25AD" w:rsidRDefault="009A7EC3" w:rsidP="009A7EC3">
            <w:pPr>
              <w:pStyle w:val="ASSADACCESStablecentre"/>
            </w:pPr>
            <w:r w:rsidRPr="002E5727">
              <w:rPr>
                <w:bCs w:val="0"/>
                <w:color w:val="000000"/>
              </w:rPr>
              <w:t>8^</w:t>
            </w:r>
          </w:p>
        </w:tc>
        <w:tc>
          <w:tcPr>
            <w:tcW w:w="879" w:type="dxa"/>
            <w:shd w:val="clear" w:color="auto" w:fill="auto"/>
          </w:tcPr>
          <w:p w14:paraId="2B280FCA" w14:textId="679AF368" w:rsidR="009A7EC3" w:rsidRPr="00DE25AD" w:rsidRDefault="009A7EC3" w:rsidP="009A7EC3">
            <w:pPr>
              <w:pStyle w:val="ASSADACCESStablecentre"/>
            </w:pPr>
            <w:r w:rsidRPr="002E5727">
              <w:rPr>
                <w:bCs w:val="0"/>
                <w:color w:val="000000"/>
              </w:rPr>
              <w:t>9^</w:t>
            </w:r>
          </w:p>
        </w:tc>
        <w:tc>
          <w:tcPr>
            <w:tcW w:w="879" w:type="dxa"/>
            <w:shd w:val="clear" w:color="auto" w:fill="auto"/>
          </w:tcPr>
          <w:p w14:paraId="3AF2808A" w14:textId="3E78C887" w:rsidR="009A7EC3" w:rsidRPr="00DE25AD" w:rsidRDefault="009A7EC3" w:rsidP="009A7EC3">
            <w:pPr>
              <w:pStyle w:val="ASSADACCESStablecentre"/>
            </w:pPr>
            <w:r w:rsidRPr="002E5727">
              <w:rPr>
                <w:bCs w:val="0"/>
                <w:color w:val="000000"/>
              </w:rPr>
              <w:t>9^</w:t>
            </w:r>
          </w:p>
        </w:tc>
        <w:tc>
          <w:tcPr>
            <w:tcW w:w="879" w:type="dxa"/>
            <w:shd w:val="clear" w:color="auto" w:fill="auto"/>
          </w:tcPr>
          <w:p w14:paraId="043A04E7" w14:textId="3AB1C486" w:rsidR="009A7EC3" w:rsidRPr="00DE25AD" w:rsidRDefault="009A7EC3" w:rsidP="009A7EC3">
            <w:pPr>
              <w:pStyle w:val="ASSADACCESStablecentre"/>
            </w:pPr>
            <w:r w:rsidRPr="002E5727">
              <w:rPr>
                <w:bCs w:val="0"/>
                <w:color w:val="000000"/>
              </w:rPr>
              <w:t>1</w:t>
            </w:r>
            <w:r>
              <w:rPr>
                <w:bCs w:val="0"/>
                <w:color w:val="000000"/>
              </w:rPr>
              <w:t>0</w:t>
            </w:r>
            <w:r w:rsidRPr="002E5727">
              <w:rPr>
                <w:bCs w:val="0"/>
                <w:color w:val="000000"/>
              </w:rPr>
              <w:t>^</w:t>
            </w:r>
          </w:p>
        </w:tc>
      </w:tr>
      <w:tr w:rsidR="009A7EC3" w:rsidRPr="00DE25AD" w14:paraId="33282ED0" w14:textId="77777777" w:rsidTr="005F678B">
        <w:trPr>
          <w:trHeight w:val="247"/>
        </w:trPr>
        <w:tc>
          <w:tcPr>
            <w:tcW w:w="1517" w:type="dxa"/>
            <w:tcMar>
              <w:left w:w="57" w:type="dxa"/>
            </w:tcMar>
          </w:tcPr>
          <w:p w14:paraId="25C7AEDD" w14:textId="77777777" w:rsidR="009A7EC3" w:rsidRPr="00DE25AD" w:rsidRDefault="009A7EC3" w:rsidP="009A7EC3">
            <w:pPr>
              <w:pStyle w:val="ACCESSTableHeaderRow"/>
            </w:pPr>
          </w:p>
        </w:tc>
        <w:tc>
          <w:tcPr>
            <w:tcW w:w="1068" w:type="dxa"/>
            <w:shd w:val="clear" w:color="auto" w:fill="auto"/>
            <w:tcMar>
              <w:left w:w="57" w:type="dxa"/>
            </w:tcMar>
            <w:vAlign w:val="bottom"/>
          </w:tcPr>
          <w:p w14:paraId="788C1326" w14:textId="77777777" w:rsidR="009A7EC3" w:rsidRPr="00DE25AD" w:rsidRDefault="009A7EC3" w:rsidP="009A7EC3">
            <w:pPr>
              <w:pStyle w:val="ASSAD2017ACCESSBody1"/>
            </w:pPr>
            <w:r w:rsidRPr="00DE25AD">
              <w:t>Female</w:t>
            </w:r>
          </w:p>
        </w:tc>
        <w:tc>
          <w:tcPr>
            <w:tcW w:w="878" w:type="dxa"/>
            <w:shd w:val="clear" w:color="auto" w:fill="auto"/>
          </w:tcPr>
          <w:p w14:paraId="30C781DB" w14:textId="50CD2E95" w:rsidR="009A7EC3" w:rsidRPr="00DE25AD" w:rsidRDefault="009A7EC3" w:rsidP="009A7EC3">
            <w:pPr>
              <w:pStyle w:val="ASSADACCESStablecentre"/>
            </w:pPr>
            <w:r w:rsidRPr="002E5727">
              <w:rPr>
                <w:bCs w:val="0"/>
                <w:color w:val="000000"/>
              </w:rPr>
              <w:t>13*</w:t>
            </w:r>
          </w:p>
        </w:tc>
        <w:tc>
          <w:tcPr>
            <w:tcW w:w="879" w:type="dxa"/>
            <w:shd w:val="clear" w:color="auto" w:fill="auto"/>
          </w:tcPr>
          <w:p w14:paraId="70CD7B82" w14:textId="6A80E52A" w:rsidR="009A7EC3" w:rsidRPr="00DE25AD" w:rsidRDefault="009A7EC3" w:rsidP="009A7EC3">
            <w:pPr>
              <w:pStyle w:val="ASSADACCESStablecentre"/>
            </w:pPr>
            <w:r w:rsidRPr="002E5727">
              <w:rPr>
                <w:bCs w:val="0"/>
                <w:color w:val="000000"/>
              </w:rPr>
              <w:t>9^</w:t>
            </w:r>
          </w:p>
        </w:tc>
        <w:tc>
          <w:tcPr>
            <w:tcW w:w="879" w:type="dxa"/>
            <w:shd w:val="clear" w:color="auto" w:fill="auto"/>
          </w:tcPr>
          <w:p w14:paraId="160818F9" w14:textId="6DE470B2" w:rsidR="009A7EC3" w:rsidRPr="00DE25AD" w:rsidRDefault="009A7EC3" w:rsidP="009A7EC3">
            <w:pPr>
              <w:pStyle w:val="ASSADACCESStablecentre"/>
            </w:pPr>
            <w:r w:rsidRPr="002E5727">
              <w:rPr>
                <w:bCs w:val="0"/>
                <w:color w:val="000000"/>
              </w:rPr>
              <w:t>8^</w:t>
            </w:r>
          </w:p>
        </w:tc>
        <w:tc>
          <w:tcPr>
            <w:tcW w:w="879" w:type="dxa"/>
            <w:shd w:val="clear" w:color="auto" w:fill="auto"/>
          </w:tcPr>
          <w:p w14:paraId="4FB2CDEA" w14:textId="6FC440D7" w:rsidR="009A7EC3" w:rsidRPr="00DE25AD" w:rsidRDefault="009A7EC3" w:rsidP="009A7EC3">
            <w:pPr>
              <w:pStyle w:val="ASSADACCESStablecentre"/>
            </w:pPr>
            <w:r w:rsidRPr="002E5727">
              <w:rPr>
                <w:bCs w:val="0"/>
                <w:color w:val="000000"/>
              </w:rPr>
              <w:t>4*^</w:t>
            </w:r>
          </w:p>
        </w:tc>
        <w:tc>
          <w:tcPr>
            <w:tcW w:w="879" w:type="dxa"/>
            <w:shd w:val="clear" w:color="auto" w:fill="auto"/>
          </w:tcPr>
          <w:p w14:paraId="19927276" w14:textId="56F872C3" w:rsidR="009A7EC3" w:rsidRPr="00DE25AD" w:rsidRDefault="009A7EC3" w:rsidP="009A7EC3">
            <w:pPr>
              <w:pStyle w:val="ASSADACCESStablecentre"/>
            </w:pPr>
            <w:r w:rsidRPr="002E5727">
              <w:rPr>
                <w:bCs w:val="0"/>
                <w:color w:val="000000"/>
              </w:rPr>
              <w:t>4*^</w:t>
            </w:r>
          </w:p>
        </w:tc>
        <w:tc>
          <w:tcPr>
            <w:tcW w:w="879" w:type="dxa"/>
            <w:shd w:val="clear" w:color="auto" w:fill="auto"/>
          </w:tcPr>
          <w:p w14:paraId="223DD44A" w14:textId="14578A05" w:rsidR="009A7EC3" w:rsidRPr="00DE25AD" w:rsidRDefault="009A7EC3" w:rsidP="009A7EC3">
            <w:pPr>
              <w:pStyle w:val="ASSADACCESStablecentre"/>
            </w:pPr>
            <w:r w:rsidRPr="002E5727">
              <w:rPr>
                <w:bCs w:val="0"/>
                <w:color w:val="000000"/>
              </w:rPr>
              <w:t>5^</w:t>
            </w:r>
          </w:p>
        </w:tc>
        <w:tc>
          <w:tcPr>
            <w:tcW w:w="879" w:type="dxa"/>
            <w:shd w:val="clear" w:color="auto" w:fill="auto"/>
          </w:tcPr>
          <w:p w14:paraId="3905CFEF" w14:textId="7D5699DC" w:rsidR="009A7EC3" w:rsidRPr="00DE25AD" w:rsidRDefault="009A7EC3" w:rsidP="009A7EC3">
            <w:pPr>
              <w:pStyle w:val="ASSADACCESStablecentre"/>
            </w:pPr>
            <w:r w:rsidRPr="002E5727">
              <w:rPr>
                <w:bCs w:val="0"/>
                <w:color w:val="000000"/>
              </w:rPr>
              <w:t>5^</w:t>
            </w:r>
          </w:p>
        </w:tc>
        <w:tc>
          <w:tcPr>
            <w:tcW w:w="879" w:type="dxa"/>
            <w:shd w:val="clear" w:color="auto" w:fill="auto"/>
          </w:tcPr>
          <w:p w14:paraId="2F06CE61" w14:textId="7E598807" w:rsidR="009A7EC3" w:rsidRPr="00DE25AD" w:rsidRDefault="009A7EC3" w:rsidP="009A7EC3">
            <w:pPr>
              <w:pStyle w:val="ASSADACCESStablecentre"/>
            </w:pPr>
            <w:r w:rsidRPr="002E5727">
              <w:rPr>
                <w:bCs w:val="0"/>
                <w:color w:val="000000"/>
              </w:rPr>
              <w:t>6^</w:t>
            </w:r>
          </w:p>
        </w:tc>
      </w:tr>
      <w:tr w:rsidR="009A7EC3" w:rsidRPr="00DE25AD" w14:paraId="48750B16" w14:textId="77777777" w:rsidTr="005F678B">
        <w:trPr>
          <w:trHeight w:val="247"/>
        </w:trPr>
        <w:tc>
          <w:tcPr>
            <w:tcW w:w="1517" w:type="dxa"/>
            <w:tcMar>
              <w:left w:w="57" w:type="dxa"/>
            </w:tcMar>
          </w:tcPr>
          <w:p w14:paraId="2798B7A8" w14:textId="77777777" w:rsidR="009A7EC3" w:rsidRPr="00DE25AD" w:rsidRDefault="009A7EC3" w:rsidP="009A7EC3">
            <w:pPr>
              <w:pStyle w:val="ACCESSTableHeaderRow"/>
            </w:pPr>
          </w:p>
        </w:tc>
        <w:tc>
          <w:tcPr>
            <w:tcW w:w="1068" w:type="dxa"/>
            <w:shd w:val="clear" w:color="auto" w:fill="auto"/>
            <w:tcMar>
              <w:left w:w="57" w:type="dxa"/>
            </w:tcMar>
            <w:vAlign w:val="bottom"/>
          </w:tcPr>
          <w:p w14:paraId="28CA768F" w14:textId="77777777" w:rsidR="009A7EC3" w:rsidRPr="00DE25AD" w:rsidRDefault="009A7EC3" w:rsidP="009A7EC3">
            <w:pPr>
              <w:pStyle w:val="ASSAD2017ACCESSBody1"/>
            </w:pPr>
            <w:r w:rsidRPr="00DE25AD">
              <w:t>Total</w:t>
            </w:r>
          </w:p>
        </w:tc>
        <w:tc>
          <w:tcPr>
            <w:tcW w:w="878" w:type="dxa"/>
            <w:shd w:val="clear" w:color="auto" w:fill="auto"/>
          </w:tcPr>
          <w:p w14:paraId="7A330D35" w14:textId="4BC45F2A" w:rsidR="009A7EC3" w:rsidRPr="00DE25AD" w:rsidRDefault="009A7EC3" w:rsidP="009A7EC3">
            <w:pPr>
              <w:pStyle w:val="ASSADACCESStablecentre"/>
            </w:pPr>
            <w:r w:rsidRPr="002E5727">
              <w:rPr>
                <w:bCs w:val="0"/>
                <w:color w:val="000000"/>
              </w:rPr>
              <w:t>17*</w:t>
            </w:r>
          </w:p>
        </w:tc>
        <w:tc>
          <w:tcPr>
            <w:tcW w:w="879" w:type="dxa"/>
            <w:shd w:val="clear" w:color="auto" w:fill="auto"/>
          </w:tcPr>
          <w:p w14:paraId="138EB27A" w14:textId="4783BA61" w:rsidR="009A7EC3" w:rsidRPr="00DE25AD" w:rsidRDefault="009A7EC3" w:rsidP="009A7EC3">
            <w:pPr>
              <w:pStyle w:val="ASSADACCESStablecentre"/>
            </w:pPr>
            <w:r w:rsidRPr="002E5727">
              <w:rPr>
                <w:bCs w:val="0"/>
                <w:color w:val="000000"/>
              </w:rPr>
              <w:t>12</w:t>
            </w:r>
            <w:r>
              <w:rPr>
                <w:bCs w:val="0"/>
                <w:color w:val="000000"/>
              </w:rPr>
              <w:t>*</w:t>
            </w:r>
            <w:r w:rsidRPr="002E5727">
              <w:rPr>
                <w:bCs w:val="0"/>
                <w:color w:val="000000"/>
              </w:rPr>
              <w:t>^</w:t>
            </w:r>
          </w:p>
        </w:tc>
        <w:tc>
          <w:tcPr>
            <w:tcW w:w="879" w:type="dxa"/>
            <w:shd w:val="clear" w:color="auto" w:fill="auto"/>
          </w:tcPr>
          <w:p w14:paraId="6461AE7C" w14:textId="2391F933" w:rsidR="009A7EC3" w:rsidRPr="00DE25AD" w:rsidRDefault="009A7EC3" w:rsidP="009A7EC3">
            <w:pPr>
              <w:pStyle w:val="ASSADACCESStablecentre"/>
            </w:pPr>
            <w:r w:rsidRPr="002E5727">
              <w:rPr>
                <w:bCs w:val="0"/>
                <w:color w:val="000000"/>
              </w:rPr>
              <w:t>10^</w:t>
            </w:r>
          </w:p>
        </w:tc>
        <w:tc>
          <w:tcPr>
            <w:tcW w:w="879" w:type="dxa"/>
            <w:shd w:val="clear" w:color="auto" w:fill="auto"/>
          </w:tcPr>
          <w:p w14:paraId="126FC5C8" w14:textId="3211EAD3" w:rsidR="009A7EC3" w:rsidRPr="00DE25AD" w:rsidRDefault="009A7EC3" w:rsidP="009A7EC3">
            <w:pPr>
              <w:pStyle w:val="ASSADACCESStablecentre"/>
            </w:pPr>
            <w:r w:rsidRPr="002E5727">
              <w:rPr>
                <w:bCs w:val="0"/>
                <w:color w:val="000000"/>
              </w:rPr>
              <w:t>6*^</w:t>
            </w:r>
          </w:p>
        </w:tc>
        <w:tc>
          <w:tcPr>
            <w:tcW w:w="879" w:type="dxa"/>
            <w:shd w:val="clear" w:color="auto" w:fill="auto"/>
          </w:tcPr>
          <w:p w14:paraId="6503515C" w14:textId="746A7D90" w:rsidR="009A7EC3" w:rsidRPr="00DE25AD" w:rsidRDefault="009A7EC3" w:rsidP="009A7EC3">
            <w:pPr>
              <w:pStyle w:val="ASSADACCESStablecentre"/>
            </w:pPr>
            <w:r w:rsidRPr="002E5727">
              <w:rPr>
                <w:bCs w:val="0"/>
                <w:color w:val="000000"/>
              </w:rPr>
              <w:t>6^</w:t>
            </w:r>
          </w:p>
        </w:tc>
        <w:tc>
          <w:tcPr>
            <w:tcW w:w="879" w:type="dxa"/>
            <w:shd w:val="clear" w:color="auto" w:fill="auto"/>
          </w:tcPr>
          <w:p w14:paraId="4B55301B" w14:textId="345FE025" w:rsidR="009A7EC3" w:rsidRPr="00DE25AD" w:rsidRDefault="009A7EC3" w:rsidP="009A7EC3">
            <w:pPr>
              <w:pStyle w:val="ASSADACCESStablecentre"/>
            </w:pPr>
            <w:r w:rsidRPr="002E5727">
              <w:rPr>
                <w:bCs w:val="0"/>
                <w:color w:val="000000"/>
              </w:rPr>
              <w:t>7^</w:t>
            </w:r>
          </w:p>
        </w:tc>
        <w:tc>
          <w:tcPr>
            <w:tcW w:w="879" w:type="dxa"/>
            <w:shd w:val="clear" w:color="auto" w:fill="auto"/>
          </w:tcPr>
          <w:p w14:paraId="1E23550D" w14:textId="5D26B565" w:rsidR="009A7EC3" w:rsidRPr="00DE25AD" w:rsidRDefault="009A7EC3" w:rsidP="009A7EC3">
            <w:pPr>
              <w:pStyle w:val="ASSADACCESStablecentre"/>
            </w:pPr>
            <w:r w:rsidRPr="002E5727">
              <w:rPr>
                <w:bCs w:val="0"/>
                <w:color w:val="000000"/>
              </w:rPr>
              <w:t>7^</w:t>
            </w:r>
          </w:p>
        </w:tc>
        <w:tc>
          <w:tcPr>
            <w:tcW w:w="879" w:type="dxa"/>
            <w:shd w:val="clear" w:color="auto" w:fill="auto"/>
          </w:tcPr>
          <w:p w14:paraId="4C829403" w14:textId="3109C83F" w:rsidR="009A7EC3" w:rsidRPr="00DE25AD" w:rsidRDefault="009A7EC3" w:rsidP="009A7EC3">
            <w:pPr>
              <w:pStyle w:val="ASSADACCESStablecentre"/>
            </w:pPr>
            <w:r>
              <w:rPr>
                <w:bCs w:val="0"/>
                <w:color w:val="000000"/>
              </w:rPr>
              <w:t>8</w:t>
            </w:r>
            <w:r w:rsidRPr="002E5727">
              <w:rPr>
                <w:bCs w:val="0"/>
                <w:color w:val="000000"/>
              </w:rPr>
              <w:t>^</w:t>
            </w:r>
          </w:p>
        </w:tc>
      </w:tr>
    </w:tbl>
    <w:p w14:paraId="4D371638" w14:textId="77777777" w:rsidR="00D7479A" w:rsidRDefault="00D7479A" w:rsidP="00D7479A">
      <w:pPr>
        <w:pStyle w:val="ASSAD2017CWTablenote1"/>
      </w:pPr>
      <w:r>
        <w:t>* Significantly different than 2017, p&lt;.01; ^ Significantly different than 1996, p&lt;.01.</w:t>
      </w:r>
    </w:p>
    <w:p w14:paraId="555C4A45" w14:textId="77777777" w:rsidR="00D7479A" w:rsidRDefault="00D7479A" w:rsidP="00D7479A">
      <w:pPr>
        <w:pStyle w:val="ASSAD2017CWTablenote1"/>
      </w:pPr>
    </w:p>
    <w:p w14:paraId="509A106F" w14:textId="77777777" w:rsidR="00D7479A" w:rsidRDefault="00D7479A" w:rsidP="00D7479A">
      <w:pPr>
        <w:suppressAutoHyphens w:val="0"/>
        <w:rPr>
          <w:rFonts w:ascii="Arial" w:eastAsia="Arial" w:hAnsi="Arial" w:cs="Arial"/>
          <w:sz w:val="18"/>
          <w:szCs w:val="18"/>
          <w:lang w:val="en-AU"/>
        </w:rPr>
      </w:pPr>
      <w:r>
        <w:br w:type="page"/>
      </w:r>
    </w:p>
    <w:p w14:paraId="41754439" w14:textId="6121CC04" w:rsidR="00D7479A" w:rsidRPr="0046446A" w:rsidRDefault="00D7479A" w:rsidP="00D7479A">
      <w:pPr>
        <w:pStyle w:val="ASSAD2017TableHeading"/>
      </w:pPr>
      <w:bookmarkStart w:id="84" w:name="_Toc44060500"/>
      <w:r w:rsidRPr="0046446A">
        <w:lastRenderedPageBreak/>
        <w:t xml:space="preserve">Table </w:t>
      </w:r>
      <w:r>
        <w:t>13</w:t>
      </w:r>
      <w:r w:rsidRPr="0046446A">
        <w:t xml:space="preserve"> </w:t>
      </w:r>
      <w:r>
        <w:t>Prevalence</w:t>
      </w:r>
      <w:r w:rsidRPr="0046446A">
        <w:t xml:space="preserve"> of </w:t>
      </w:r>
      <w:r>
        <w:t>cannabis</w:t>
      </w:r>
      <w:r w:rsidRPr="0046446A">
        <w:t xml:space="preserve"> use among secondary students aged 12-1</w:t>
      </w:r>
      <w:r>
        <w:t>7</w:t>
      </w:r>
      <w:r w:rsidRPr="0046446A">
        <w:t xml:space="preserve"> in Australia, ASSAD 1996-2017</w:t>
      </w:r>
      <w:bookmarkEnd w:id="84"/>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D7479A" w:rsidRPr="00DE25AD" w14:paraId="54A208CC" w14:textId="77777777" w:rsidTr="005F678B">
        <w:trPr>
          <w:tblHeader/>
        </w:trPr>
        <w:tc>
          <w:tcPr>
            <w:tcW w:w="1517" w:type="dxa"/>
            <w:tcMar>
              <w:left w:w="57" w:type="dxa"/>
            </w:tcMar>
          </w:tcPr>
          <w:p w14:paraId="4AC706A3" w14:textId="77777777" w:rsidR="00D7479A" w:rsidRPr="00DE25AD" w:rsidRDefault="00D7479A"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50568370" w14:textId="77777777" w:rsidR="00D7479A" w:rsidRPr="00DE25AD" w:rsidRDefault="00D7479A" w:rsidP="005F678B">
            <w:pPr>
              <w:pStyle w:val="ACCESSTableHeaderRow"/>
            </w:pPr>
          </w:p>
        </w:tc>
        <w:tc>
          <w:tcPr>
            <w:tcW w:w="878" w:type="dxa"/>
            <w:shd w:val="clear" w:color="auto" w:fill="auto"/>
            <w:vAlign w:val="bottom"/>
          </w:tcPr>
          <w:p w14:paraId="21FD52EE" w14:textId="77777777" w:rsidR="00D7479A" w:rsidRPr="00DE25AD" w:rsidRDefault="00D7479A" w:rsidP="005F678B">
            <w:pPr>
              <w:pStyle w:val="ACCESSTableHeaderRow"/>
              <w:jc w:val="center"/>
            </w:pPr>
            <w:r>
              <w:t>1996</w:t>
            </w:r>
          </w:p>
          <w:p w14:paraId="0E6335E0"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0F169BCF" w14:textId="77777777" w:rsidR="00D7479A" w:rsidRPr="00DE25AD" w:rsidRDefault="00D7479A" w:rsidP="005F678B">
            <w:pPr>
              <w:pStyle w:val="ACCESSTableHeaderRow"/>
              <w:jc w:val="center"/>
            </w:pPr>
            <w:r w:rsidRPr="00DE25AD">
              <w:t>1</w:t>
            </w:r>
            <w:r>
              <w:t>999</w:t>
            </w:r>
          </w:p>
          <w:p w14:paraId="716407F9"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2592C901" w14:textId="77777777" w:rsidR="00D7479A" w:rsidRPr="00DE25AD" w:rsidRDefault="00D7479A" w:rsidP="005F678B">
            <w:pPr>
              <w:pStyle w:val="ACCESSTableHeaderRow"/>
              <w:jc w:val="center"/>
            </w:pPr>
            <w:r>
              <w:t>2002</w:t>
            </w:r>
          </w:p>
          <w:p w14:paraId="0B35F46C"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2FEE8A88" w14:textId="77777777" w:rsidR="00D7479A" w:rsidRPr="00DE25AD" w:rsidRDefault="00D7479A" w:rsidP="005F678B">
            <w:pPr>
              <w:pStyle w:val="ACCESSTableHeaderRow"/>
              <w:jc w:val="center"/>
            </w:pPr>
            <w:r>
              <w:t>200</w:t>
            </w:r>
            <w:r w:rsidRPr="00DE25AD">
              <w:t>5</w:t>
            </w:r>
          </w:p>
          <w:p w14:paraId="6D455F31"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1961C833" w14:textId="77777777" w:rsidR="00D7479A" w:rsidRPr="00DE25AD" w:rsidRDefault="00D7479A" w:rsidP="005F678B">
            <w:pPr>
              <w:pStyle w:val="ACCESSTableHeaderRow"/>
              <w:jc w:val="center"/>
            </w:pPr>
            <w:r>
              <w:t>2008</w:t>
            </w:r>
          </w:p>
          <w:p w14:paraId="574A077F"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4E0E6B1A" w14:textId="77777777" w:rsidR="00D7479A" w:rsidRPr="00DE25AD" w:rsidRDefault="00D7479A" w:rsidP="005F678B">
            <w:pPr>
              <w:pStyle w:val="ACCESSTableHeaderRow"/>
              <w:jc w:val="center"/>
            </w:pPr>
            <w:r>
              <w:t>2011</w:t>
            </w:r>
          </w:p>
          <w:p w14:paraId="1A2FA7BA" w14:textId="77777777" w:rsidR="00D7479A" w:rsidRPr="00DE25AD" w:rsidRDefault="00D7479A" w:rsidP="005F678B">
            <w:pPr>
              <w:pStyle w:val="ACCESSTableHeaderRow"/>
              <w:jc w:val="center"/>
            </w:pPr>
            <w:r w:rsidRPr="00DE25AD">
              <w:t>(%)</w:t>
            </w:r>
          </w:p>
        </w:tc>
        <w:tc>
          <w:tcPr>
            <w:tcW w:w="879" w:type="dxa"/>
            <w:shd w:val="clear" w:color="auto" w:fill="auto"/>
            <w:vAlign w:val="bottom"/>
          </w:tcPr>
          <w:p w14:paraId="314257E6" w14:textId="77777777" w:rsidR="00D7479A" w:rsidRDefault="00D7479A" w:rsidP="005F678B">
            <w:pPr>
              <w:pStyle w:val="ACCESSTableHeaderRow"/>
              <w:jc w:val="center"/>
            </w:pPr>
            <w:r>
              <w:t>2014</w:t>
            </w:r>
          </w:p>
          <w:p w14:paraId="5932D76A" w14:textId="77777777" w:rsidR="00D7479A" w:rsidRPr="00DE25AD" w:rsidRDefault="00D7479A" w:rsidP="005F678B">
            <w:pPr>
              <w:pStyle w:val="ACCESSTableHeaderRow"/>
              <w:jc w:val="center"/>
            </w:pPr>
            <w:r>
              <w:t>(%)</w:t>
            </w:r>
          </w:p>
        </w:tc>
        <w:tc>
          <w:tcPr>
            <w:tcW w:w="879" w:type="dxa"/>
            <w:shd w:val="clear" w:color="auto" w:fill="auto"/>
            <w:vAlign w:val="bottom"/>
          </w:tcPr>
          <w:p w14:paraId="0E7ED494" w14:textId="77777777" w:rsidR="00D7479A" w:rsidRDefault="00D7479A" w:rsidP="005F678B">
            <w:pPr>
              <w:pStyle w:val="ACCESSTableHeaderRow"/>
              <w:jc w:val="center"/>
            </w:pPr>
            <w:r>
              <w:t>2017</w:t>
            </w:r>
          </w:p>
          <w:p w14:paraId="32ADE7CA" w14:textId="77777777" w:rsidR="00D7479A" w:rsidRPr="00DE25AD" w:rsidRDefault="00D7479A" w:rsidP="005F678B">
            <w:pPr>
              <w:pStyle w:val="ACCESSTableHeaderRow"/>
              <w:jc w:val="center"/>
            </w:pPr>
            <w:r w:rsidRPr="00DE25AD">
              <w:t>(%)</w:t>
            </w:r>
          </w:p>
        </w:tc>
      </w:tr>
      <w:tr w:rsidR="00D7479A" w:rsidRPr="00DE25AD" w14:paraId="54599CA3" w14:textId="77777777" w:rsidTr="005F678B">
        <w:trPr>
          <w:tblHeader/>
        </w:trPr>
        <w:tc>
          <w:tcPr>
            <w:tcW w:w="1517" w:type="dxa"/>
            <w:tcMar>
              <w:left w:w="57" w:type="dxa"/>
            </w:tcMar>
          </w:tcPr>
          <w:p w14:paraId="673860D6" w14:textId="77777777" w:rsidR="00D7479A" w:rsidRPr="00DE25AD" w:rsidRDefault="00D7479A" w:rsidP="005F678B">
            <w:pPr>
              <w:pStyle w:val="ACCESSTableHeaderRow"/>
            </w:pPr>
            <w:r w:rsidRPr="00DE25AD">
              <w:t>Recency</w:t>
            </w:r>
          </w:p>
        </w:tc>
        <w:tc>
          <w:tcPr>
            <w:tcW w:w="1068" w:type="dxa"/>
            <w:shd w:val="clear" w:color="auto" w:fill="auto"/>
            <w:tcMar>
              <w:left w:w="57" w:type="dxa"/>
            </w:tcMar>
            <w:vAlign w:val="center"/>
          </w:tcPr>
          <w:p w14:paraId="78E7CCB4" w14:textId="77777777" w:rsidR="00D7479A" w:rsidRPr="00DE25AD" w:rsidRDefault="00D7479A" w:rsidP="005F678B">
            <w:pPr>
              <w:pStyle w:val="ACCESSTableHeaderRow"/>
            </w:pPr>
            <w:r w:rsidRPr="00DE25AD">
              <w:t>Sex</w:t>
            </w:r>
          </w:p>
        </w:tc>
        <w:tc>
          <w:tcPr>
            <w:tcW w:w="878" w:type="dxa"/>
            <w:shd w:val="clear" w:color="auto" w:fill="auto"/>
            <w:vAlign w:val="bottom"/>
          </w:tcPr>
          <w:p w14:paraId="6FA502DC" w14:textId="77777777" w:rsidR="00D7479A" w:rsidRPr="00DE25AD" w:rsidRDefault="00D7479A" w:rsidP="005F678B">
            <w:pPr>
              <w:pStyle w:val="ACCESSTableHeaderRow"/>
            </w:pPr>
          </w:p>
        </w:tc>
        <w:tc>
          <w:tcPr>
            <w:tcW w:w="879" w:type="dxa"/>
            <w:shd w:val="clear" w:color="auto" w:fill="auto"/>
            <w:vAlign w:val="bottom"/>
          </w:tcPr>
          <w:p w14:paraId="286B9A4C" w14:textId="77777777" w:rsidR="00D7479A" w:rsidRPr="00DE25AD" w:rsidRDefault="00D7479A" w:rsidP="005F678B">
            <w:pPr>
              <w:pStyle w:val="ACCESSTableHeaderRow"/>
            </w:pPr>
          </w:p>
        </w:tc>
        <w:tc>
          <w:tcPr>
            <w:tcW w:w="879" w:type="dxa"/>
            <w:shd w:val="clear" w:color="auto" w:fill="auto"/>
            <w:vAlign w:val="bottom"/>
          </w:tcPr>
          <w:p w14:paraId="430B307F" w14:textId="77777777" w:rsidR="00D7479A" w:rsidRPr="00DE25AD" w:rsidRDefault="00D7479A" w:rsidP="005F678B">
            <w:pPr>
              <w:pStyle w:val="ACCESSTableHeaderRow"/>
            </w:pPr>
          </w:p>
        </w:tc>
        <w:tc>
          <w:tcPr>
            <w:tcW w:w="879" w:type="dxa"/>
            <w:shd w:val="clear" w:color="auto" w:fill="auto"/>
            <w:vAlign w:val="bottom"/>
          </w:tcPr>
          <w:p w14:paraId="1F505EA4" w14:textId="77777777" w:rsidR="00D7479A" w:rsidRPr="00DE25AD" w:rsidRDefault="00D7479A" w:rsidP="005F678B">
            <w:pPr>
              <w:pStyle w:val="ACCESSTableHeaderRow"/>
            </w:pPr>
          </w:p>
        </w:tc>
        <w:tc>
          <w:tcPr>
            <w:tcW w:w="879" w:type="dxa"/>
            <w:shd w:val="clear" w:color="auto" w:fill="auto"/>
            <w:vAlign w:val="bottom"/>
          </w:tcPr>
          <w:p w14:paraId="694B7FA2" w14:textId="77777777" w:rsidR="00D7479A" w:rsidRPr="00DE25AD" w:rsidRDefault="00D7479A" w:rsidP="005F678B">
            <w:pPr>
              <w:pStyle w:val="ACCESSTableHeaderRow"/>
            </w:pPr>
          </w:p>
        </w:tc>
        <w:tc>
          <w:tcPr>
            <w:tcW w:w="879" w:type="dxa"/>
            <w:shd w:val="clear" w:color="auto" w:fill="auto"/>
            <w:vAlign w:val="bottom"/>
          </w:tcPr>
          <w:p w14:paraId="106C63B0" w14:textId="77777777" w:rsidR="00D7479A" w:rsidRPr="00DE25AD" w:rsidRDefault="00D7479A" w:rsidP="005F678B">
            <w:pPr>
              <w:pStyle w:val="ACCESSTableHeaderRow"/>
            </w:pPr>
          </w:p>
        </w:tc>
        <w:tc>
          <w:tcPr>
            <w:tcW w:w="879" w:type="dxa"/>
            <w:shd w:val="clear" w:color="auto" w:fill="auto"/>
            <w:vAlign w:val="bottom"/>
          </w:tcPr>
          <w:p w14:paraId="293917C1" w14:textId="77777777" w:rsidR="00D7479A" w:rsidRPr="00DE25AD" w:rsidRDefault="00D7479A" w:rsidP="005F678B">
            <w:pPr>
              <w:pStyle w:val="ACCESSTableHeaderRow"/>
            </w:pPr>
          </w:p>
        </w:tc>
        <w:tc>
          <w:tcPr>
            <w:tcW w:w="879" w:type="dxa"/>
            <w:shd w:val="clear" w:color="auto" w:fill="auto"/>
            <w:vAlign w:val="bottom"/>
          </w:tcPr>
          <w:p w14:paraId="0E50FF2A" w14:textId="77777777" w:rsidR="00D7479A" w:rsidRPr="00DE25AD" w:rsidRDefault="00D7479A" w:rsidP="005F678B">
            <w:pPr>
              <w:pStyle w:val="ACCESSTableHeaderRow"/>
            </w:pPr>
          </w:p>
        </w:tc>
      </w:tr>
      <w:tr w:rsidR="009A7EC3" w:rsidRPr="00DE25AD" w14:paraId="5619BEAF" w14:textId="77777777" w:rsidTr="005F678B">
        <w:tc>
          <w:tcPr>
            <w:tcW w:w="1517" w:type="dxa"/>
            <w:tcMar>
              <w:left w:w="57" w:type="dxa"/>
            </w:tcMar>
          </w:tcPr>
          <w:p w14:paraId="0CDB03C4"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492C34EB" w14:textId="77777777" w:rsidR="009A7EC3" w:rsidRPr="00DE25AD" w:rsidRDefault="009A7EC3" w:rsidP="009A7EC3">
            <w:pPr>
              <w:pStyle w:val="ASSAD2017ACCESSBody1"/>
            </w:pPr>
            <w:r w:rsidRPr="00DE25AD">
              <w:t>Male</w:t>
            </w:r>
          </w:p>
        </w:tc>
        <w:tc>
          <w:tcPr>
            <w:tcW w:w="878" w:type="dxa"/>
            <w:shd w:val="clear" w:color="auto" w:fill="auto"/>
          </w:tcPr>
          <w:p w14:paraId="3FF6F67C" w14:textId="6EC1DAB8" w:rsidR="009A7EC3" w:rsidRPr="00DE25AD" w:rsidRDefault="009A7EC3" w:rsidP="009A7EC3">
            <w:pPr>
              <w:pStyle w:val="ASSADACCESStablecentre"/>
            </w:pPr>
            <w:r w:rsidRPr="002E5727">
              <w:rPr>
                <w:bCs w:val="0"/>
                <w:color w:val="000000"/>
              </w:rPr>
              <w:t>38*</w:t>
            </w:r>
          </w:p>
        </w:tc>
        <w:tc>
          <w:tcPr>
            <w:tcW w:w="879" w:type="dxa"/>
            <w:shd w:val="clear" w:color="auto" w:fill="auto"/>
          </w:tcPr>
          <w:p w14:paraId="005AC818" w14:textId="1DF0A8A7" w:rsidR="009A7EC3" w:rsidRPr="00DE25AD" w:rsidRDefault="009A7EC3" w:rsidP="009A7EC3">
            <w:pPr>
              <w:pStyle w:val="ASSADACCESStablecentre"/>
            </w:pPr>
            <w:r w:rsidRPr="002E5727">
              <w:rPr>
                <w:bCs w:val="0"/>
                <w:color w:val="000000"/>
              </w:rPr>
              <w:t>32*^</w:t>
            </w:r>
          </w:p>
        </w:tc>
        <w:tc>
          <w:tcPr>
            <w:tcW w:w="879" w:type="dxa"/>
            <w:shd w:val="clear" w:color="auto" w:fill="auto"/>
          </w:tcPr>
          <w:p w14:paraId="35BAFA6A" w14:textId="3482C00C" w:rsidR="009A7EC3" w:rsidRPr="00DE25AD" w:rsidRDefault="009A7EC3" w:rsidP="009A7EC3">
            <w:pPr>
              <w:pStyle w:val="ASSADACCESStablecentre"/>
            </w:pPr>
            <w:r w:rsidRPr="002E5727">
              <w:rPr>
                <w:bCs w:val="0"/>
                <w:color w:val="000000"/>
              </w:rPr>
              <w:t>27*^</w:t>
            </w:r>
          </w:p>
        </w:tc>
        <w:tc>
          <w:tcPr>
            <w:tcW w:w="879" w:type="dxa"/>
            <w:shd w:val="clear" w:color="auto" w:fill="auto"/>
          </w:tcPr>
          <w:p w14:paraId="6125891A" w14:textId="170E5ABD" w:rsidR="009A7EC3" w:rsidRPr="00DE25AD" w:rsidRDefault="009A7EC3" w:rsidP="009A7EC3">
            <w:pPr>
              <w:pStyle w:val="ASSADACCESStablecentre"/>
            </w:pPr>
            <w:r w:rsidRPr="002E5727">
              <w:rPr>
                <w:bCs w:val="0"/>
                <w:color w:val="000000"/>
              </w:rPr>
              <w:t>19</w:t>
            </w:r>
            <w:r>
              <w:rPr>
                <w:bCs w:val="0"/>
                <w:color w:val="000000"/>
              </w:rPr>
              <w:t>*</w:t>
            </w:r>
            <w:r w:rsidRPr="002E5727">
              <w:rPr>
                <w:bCs w:val="0"/>
                <w:color w:val="000000"/>
              </w:rPr>
              <w:t>^</w:t>
            </w:r>
          </w:p>
        </w:tc>
        <w:tc>
          <w:tcPr>
            <w:tcW w:w="879" w:type="dxa"/>
            <w:shd w:val="clear" w:color="auto" w:fill="auto"/>
          </w:tcPr>
          <w:p w14:paraId="78099571" w14:textId="1CBBB7FD" w:rsidR="009A7EC3" w:rsidRPr="00DE25AD" w:rsidRDefault="009A7EC3" w:rsidP="009A7EC3">
            <w:pPr>
              <w:pStyle w:val="ASSADACCESStablecentre"/>
            </w:pPr>
            <w:r w:rsidRPr="002E5727">
              <w:rPr>
                <w:bCs w:val="0"/>
                <w:color w:val="000000"/>
              </w:rPr>
              <w:t>14^</w:t>
            </w:r>
          </w:p>
        </w:tc>
        <w:tc>
          <w:tcPr>
            <w:tcW w:w="879" w:type="dxa"/>
            <w:shd w:val="clear" w:color="auto" w:fill="auto"/>
          </w:tcPr>
          <w:p w14:paraId="22B6F894" w14:textId="688E28A5" w:rsidR="009A7EC3" w:rsidRPr="00DE25AD" w:rsidRDefault="009A7EC3" w:rsidP="009A7EC3">
            <w:pPr>
              <w:pStyle w:val="ASSADACCESStablecentre"/>
            </w:pPr>
            <w:r w:rsidRPr="002E5727">
              <w:rPr>
                <w:bCs w:val="0"/>
                <w:color w:val="000000"/>
              </w:rPr>
              <w:t>16^</w:t>
            </w:r>
          </w:p>
        </w:tc>
        <w:tc>
          <w:tcPr>
            <w:tcW w:w="879" w:type="dxa"/>
            <w:shd w:val="clear" w:color="auto" w:fill="auto"/>
          </w:tcPr>
          <w:p w14:paraId="606B083A" w14:textId="30BA2393" w:rsidR="009A7EC3" w:rsidRPr="00DE25AD" w:rsidRDefault="009A7EC3" w:rsidP="009A7EC3">
            <w:pPr>
              <w:pStyle w:val="ASSADACCESStablecentre"/>
            </w:pPr>
            <w:r w:rsidRPr="002E5727">
              <w:rPr>
                <w:bCs w:val="0"/>
                <w:color w:val="000000"/>
              </w:rPr>
              <w:t>17^</w:t>
            </w:r>
          </w:p>
        </w:tc>
        <w:tc>
          <w:tcPr>
            <w:tcW w:w="879" w:type="dxa"/>
            <w:shd w:val="clear" w:color="auto" w:fill="auto"/>
          </w:tcPr>
          <w:p w14:paraId="05277756" w14:textId="6FF38BE0" w:rsidR="009A7EC3" w:rsidRPr="00DE25AD" w:rsidRDefault="009A7EC3" w:rsidP="009A7EC3">
            <w:pPr>
              <w:pStyle w:val="ASSADACCESStablecentre"/>
            </w:pPr>
            <w:r w:rsidRPr="002E5727">
              <w:rPr>
                <w:bCs w:val="0"/>
                <w:color w:val="000000"/>
              </w:rPr>
              <w:t>1</w:t>
            </w:r>
            <w:r>
              <w:rPr>
                <w:bCs w:val="0"/>
                <w:color w:val="000000"/>
              </w:rPr>
              <w:t>7</w:t>
            </w:r>
            <w:r w:rsidRPr="002E5727">
              <w:rPr>
                <w:bCs w:val="0"/>
                <w:color w:val="000000"/>
              </w:rPr>
              <w:t>^</w:t>
            </w:r>
          </w:p>
        </w:tc>
      </w:tr>
      <w:tr w:rsidR="009A7EC3" w:rsidRPr="00DE25AD" w14:paraId="4365F3BA" w14:textId="77777777" w:rsidTr="005F678B">
        <w:tc>
          <w:tcPr>
            <w:tcW w:w="1517" w:type="dxa"/>
            <w:tcMar>
              <w:left w:w="57" w:type="dxa"/>
            </w:tcMar>
          </w:tcPr>
          <w:p w14:paraId="34B5325E" w14:textId="77777777" w:rsidR="009A7EC3" w:rsidRPr="00DE25AD" w:rsidRDefault="009A7EC3" w:rsidP="009A7EC3">
            <w:pPr>
              <w:pStyle w:val="ACCESSTableHeaderRow"/>
            </w:pPr>
          </w:p>
        </w:tc>
        <w:tc>
          <w:tcPr>
            <w:tcW w:w="1068" w:type="dxa"/>
            <w:shd w:val="clear" w:color="auto" w:fill="auto"/>
            <w:tcMar>
              <w:left w:w="57" w:type="dxa"/>
            </w:tcMar>
            <w:vAlign w:val="bottom"/>
          </w:tcPr>
          <w:p w14:paraId="2659FE1E" w14:textId="77777777" w:rsidR="009A7EC3" w:rsidRPr="00DE25AD" w:rsidRDefault="009A7EC3" w:rsidP="009A7EC3">
            <w:pPr>
              <w:pStyle w:val="ASSAD2017ACCESSBody1"/>
            </w:pPr>
            <w:r w:rsidRPr="00DE25AD">
              <w:t>Female</w:t>
            </w:r>
          </w:p>
        </w:tc>
        <w:tc>
          <w:tcPr>
            <w:tcW w:w="878" w:type="dxa"/>
            <w:shd w:val="clear" w:color="auto" w:fill="auto"/>
          </w:tcPr>
          <w:p w14:paraId="657680B0" w14:textId="6D4A0988" w:rsidR="009A7EC3" w:rsidRPr="00DE25AD" w:rsidRDefault="009A7EC3" w:rsidP="009A7EC3">
            <w:pPr>
              <w:pStyle w:val="ASSADACCESStablecentre"/>
            </w:pPr>
            <w:r w:rsidRPr="002E5727">
              <w:rPr>
                <w:bCs w:val="0"/>
                <w:color w:val="000000"/>
              </w:rPr>
              <w:t>32*</w:t>
            </w:r>
          </w:p>
        </w:tc>
        <w:tc>
          <w:tcPr>
            <w:tcW w:w="879" w:type="dxa"/>
            <w:shd w:val="clear" w:color="auto" w:fill="auto"/>
          </w:tcPr>
          <w:p w14:paraId="0E33DE32" w14:textId="4C5C9BAB" w:rsidR="009A7EC3" w:rsidRPr="00DE25AD" w:rsidRDefault="009A7EC3" w:rsidP="009A7EC3">
            <w:pPr>
              <w:pStyle w:val="ASSADACCESStablecentre"/>
            </w:pPr>
            <w:r w:rsidRPr="002E5727">
              <w:rPr>
                <w:bCs w:val="0"/>
                <w:color w:val="000000"/>
              </w:rPr>
              <w:t>27*^</w:t>
            </w:r>
          </w:p>
        </w:tc>
        <w:tc>
          <w:tcPr>
            <w:tcW w:w="879" w:type="dxa"/>
            <w:shd w:val="clear" w:color="auto" w:fill="auto"/>
          </w:tcPr>
          <w:p w14:paraId="76DFDA1C" w14:textId="17CCD34E" w:rsidR="009A7EC3" w:rsidRPr="00DE25AD" w:rsidRDefault="009A7EC3" w:rsidP="009A7EC3">
            <w:pPr>
              <w:pStyle w:val="ASSADACCESStablecentre"/>
            </w:pPr>
            <w:r w:rsidRPr="002E5727">
              <w:rPr>
                <w:bCs w:val="0"/>
                <w:color w:val="000000"/>
              </w:rPr>
              <w:t>23*^</w:t>
            </w:r>
          </w:p>
        </w:tc>
        <w:tc>
          <w:tcPr>
            <w:tcW w:w="879" w:type="dxa"/>
            <w:shd w:val="clear" w:color="auto" w:fill="auto"/>
          </w:tcPr>
          <w:p w14:paraId="04BF5BFC" w14:textId="27D30532" w:rsidR="009A7EC3" w:rsidRPr="00DE25AD" w:rsidRDefault="009A7EC3" w:rsidP="009A7EC3">
            <w:pPr>
              <w:pStyle w:val="ASSADACCESStablecentre"/>
            </w:pPr>
            <w:r w:rsidRPr="002E5727">
              <w:rPr>
                <w:bCs w:val="0"/>
                <w:color w:val="000000"/>
              </w:rPr>
              <w:t>16^</w:t>
            </w:r>
          </w:p>
        </w:tc>
        <w:tc>
          <w:tcPr>
            <w:tcW w:w="879" w:type="dxa"/>
            <w:shd w:val="clear" w:color="auto" w:fill="auto"/>
          </w:tcPr>
          <w:p w14:paraId="3C38971B" w14:textId="657B08EF" w:rsidR="009A7EC3" w:rsidRPr="00DE25AD" w:rsidRDefault="009A7EC3" w:rsidP="009A7EC3">
            <w:pPr>
              <w:pStyle w:val="ASSADACCESStablecentre"/>
            </w:pPr>
            <w:r w:rsidRPr="002E5727">
              <w:rPr>
                <w:bCs w:val="0"/>
                <w:color w:val="000000"/>
              </w:rPr>
              <w:t>13^</w:t>
            </w:r>
          </w:p>
        </w:tc>
        <w:tc>
          <w:tcPr>
            <w:tcW w:w="879" w:type="dxa"/>
            <w:shd w:val="clear" w:color="auto" w:fill="auto"/>
          </w:tcPr>
          <w:p w14:paraId="6209C85D" w14:textId="3C129463" w:rsidR="009A7EC3" w:rsidRPr="00DE25AD" w:rsidRDefault="009A7EC3" w:rsidP="009A7EC3">
            <w:pPr>
              <w:pStyle w:val="ASSADACCESStablecentre"/>
            </w:pPr>
            <w:r w:rsidRPr="002E5727">
              <w:rPr>
                <w:bCs w:val="0"/>
                <w:color w:val="000000"/>
              </w:rPr>
              <w:t>13^</w:t>
            </w:r>
          </w:p>
        </w:tc>
        <w:tc>
          <w:tcPr>
            <w:tcW w:w="879" w:type="dxa"/>
            <w:shd w:val="clear" w:color="auto" w:fill="auto"/>
          </w:tcPr>
          <w:p w14:paraId="2C5884A8" w14:textId="2FD37275" w:rsidR="009A7EC3" w:rsidRPr="00DE25AD" w:rsidRDefault="009A7EC3" w:rsidP="009A7EC3">
            <w:pPr>
              <w:pStyle w:val="ASSADACCESStablecentre"/>
            </w:pPr>
            <w:r w:rsidRPr="002E5727">
              <w:rPr>
                <w:bCs w:val="0"/>
                <w:color w:val="000000"/>
              </w:rPr>
              <w:t>14^</w:t>
            </w:r>
          </w:p>
        </w:tc>
        <w:tc>
          <w:tcPr>
            <w:tcW w:w="879" w:type="dxa"/>
            <w:shd w:val="clear" w:color="auto" w:fill="auto"/>
          </w:tcPr>
          <w:p w14:paraId="5AE5F7F2" w14:textId="5DDAB9D6" w:rsidR="009A7EC3" w:rsidRPr="00DE25AD" w:rsidRDefault="009A7EC3" w:rsidP="009A7EC3">
            <w:pPr>
              <w:pStyle w:val="ASSADACCESStablecentre"/>
            </w:pPr>
            <w:r w:rsidRPr="002E5727">
              <w:rPr>
                <w:bCs w:val="0"/>
                <w:color w:val="000000"/>
              </w:rPr>
              <w:t>1</w:t>
            </w:r>
            <w:r>
              <w:rPr>
                <w:bCs w:val="0"/>
                <w:color w:val="000000"/>
              </w:rPr>
              <w:t>5</w:t>
            </w:r>
            <w:r w:rsidRPr="002E5727">
              <w:rPr>
                <w:bCs w:val="0"/>
                <w:color w:val="000000"/>
              </w:rPr>
              <w:t>^</w:t>
            </w:r>
          </w:p>
        </w:tc>
      </w:tr>
      <w:tr w:rsidR="009A7EC3" w:rsidRPr="00DE25AD" w14:paraId="7AD7304F" w14:textId="77777777" w:rsidTr="005F678B">
        <w:tc>
          <w:tcPr>
            <w:tcW w:w="1517" w:type="dxa"/>
            <w:tcMar>
              <w:left w:w="57" w:type="dxa"/>
            </w:tcMar>
          </w:tcPr>
          <w:p w14:paraId="3944073B" w14:textId="77777777" w:rsidR="009A7EC3" w:rsidRPr="00DE25AD" w:rsidRDefault="009A7EC3" w:rsidP="009A7EC3">
            <w:pPr>
              <w:pStyle w:val="ACCESSTableHeaderRow"/>
            </w:pPr>
          </w:p>
        </w:tc>
        <w:tc>
          <w:tcPr>
            <w:tcW w:w="1068" w:type="dxa"/>
            <w:shd w:val="clear" w:color="auto" w:fill="auto"/>
            <w:tcMar>
              <w:left w:w="57" w:type="dxa"/>
            </w:tcMar>
            <w:vAlign w:val="bottom"/>
          </w:tcPr>
          <w:p w14:paraId="01D6220D" w14:textId="77777777" w:rsidR="009A7EC3" w:rsidRPr="00DE25AD" w:rsidRDefault="009A7EC3" w:rsidP="009A7EC3">
            <w:pPr>
              <w:pStyle w:val="ASSAD2017ACCESSBody1"/>
            </w:pPr>
            <w:r w:rsidRPr="00DE25AD">
              <w:t>Total</w:t>
            </w:r>
          </w:p>
        </w:tc>
        <w:tc>
          <w:tcPr>
            <w:tcW w:w="878" w:type="dxa"/>
            <w:shd w:val="clear" w:color="auto" w:fill="auto"/>
          </w:tcPr>
          <w:p w14:paraId="0EE5085E" w14:textId="2B181D96" w:rsidR="009A7EC3" w:rsidRPr="00DE25AD" w:rsidRDefault="009A7EC3" w:rsidP="009A7EC3">
            <w:pPr>
              <w:pStyle w:val="ASSADACCESStablecentre"/>
            </w:pPr>
            <w:r w:rsidRPr="002E5727">
              <w:rPr>
                <w:bCs w:val="0"/>
                <w:color w:val="000000"/>
              </w:rPr>
              <w:t>35*</w:t>
            </w:r>
          </w:p>
        </w:tc>
        <w:tc>
          <w:tcPr>
            <w:tcW w:w="879" w:type="dxa"/>
            <w:shd w:val="clear" w:color="auto" w:fill="auto"/>
          </w:tcPr>
          <w:p w14:paraId="037EC81C" w14:textId="5733CAF9" w:rsidR="009A7EC3" w:rsidRPr="00DE25AD" w:rsidRDefault="009A7EC3" w:rsidP="009A7EC3">
            <w:pPr>
              <w:pStyle w:val="ASSADACCESStablecentre"/>
            </w:pPr>
            <w:r w:rsidRPr="002E5727">
              <w:rPr>
                <w:bCs w:val="0"/>
                <w:color w:val="000000"/>
              </w:rPr>
              <w:t>29*^</w:t>
            </w:r>
          </w:p>
        </w:tc>
        <w:tc>
          <w:tcPr>
            <w:tcW w:w="879" w:type="dxa"/>
            <w:shd w:val="clear" w:color="auto" w:fill="auto"/>
          </w:tcPr>
          <w:p w14:paraId="31CF8901" w14:textId="78FE973C" w:rsidR="009A7EC3" w:rsidRPr="00DE25AD" w:rsidRDefault="009A7EC3" w:rsidP="009A7EC3">
            <w:pPr>
              <w:pStyle w:val="ASSADACCESStablecentre"/>
            </w:pPr>
            <w:r w:rsidRPr="002E5727">
              <w:rPr>
                <w:bCs w:val="0"/>
                <w:color w:val="000000"/>
              </w:rPr>
              <w:t>25*^</w:t>
            </w:r>
          </w:p>
        </w:tc>
        <w:tc>
          <w:tcPr>
            <w:tcW w:w="879" w:type="dxa"/>
            <w:shd w:val="clear" w:color="auto" w:fill="auto"/>
          </w:tcPr>
          <w:p w14:paraId="01C7B300" w14:textId="59FCBE66" w:rsidR="009A7EC3" w:rsidRPr="00DE25AD" w:rsidRDefault="009A7EC3" w:rsidP="009A7EC3">
            <w:pPr>
              <w:pStyle w:val="ASSADACCESStablecentre"/>
            </w:pPr>
            <w:r w:rsidRPr="002E5727">
              <w:rPr>
                <w:bCs w:val="0"/>
                <w:color w:val="000000"/>
              </w:rPr>
              <w:t>18</w:t>
            </w:r>
            <w:r>
              <w:rPr>
                <w:bCs w:val="0"/>
                <w:color w:val="000000"/>
              </w:rPr>
              <w:t>*</w:t>
            </w:r>
            <w:r w:rsidRPr="002E5727">
              <w:rPr>
                <w:bCs w:val="0"/>
                <w:color w:val="000000"/>
              </w:rPr>
              <w:t>^</w:t>
            </w:r>
          </w:p>
        </w:tc>
        <w:tc>
          <w:tcPr>
            <w:tcW w:w="879" w:type="dxa"/>
            <w:shd w:val="clear" w:color="auto" w:fill="auto"/>
          </w:tcPr>
          <w:p w14:paraId="652AACFD" w14:textId="50213495" w:rsidR="009A7EC3" w:rsidRPr="00DE25AD" w:rsidRDefault="009A7EC3" w:rsidP="009A7EC3">
            <w:pPr>
              <w:pStyle w:val="ASSADACCESStablecentre"/>
            </w:pPr>
            <w:r w:rsidRPr="002E5727">
              <w:rPr>
                <w:bCs w:val="0"/>
                <w:color w:val="000000"/>
              </w:rPr>
              <w:t>14^</w:t>
            </w:r>
          </w:p>
        </w:tc>
        <w:tc>
          <w:tcPr>
            <w:tcW w:w="879" w:type="dxa"/>
            <w:shd w:val="clear" w:color="auto" w:fill="auto"/>
          </w:tcPr>
          <w:p w14:paraId="313B4346" w14:textId="24EB16B1" w:rsidR="009A7EC3" w:rsidRPr="00DE25AD" w:rsidRDefault="009A7EC3" w:rsidP="009A7EC3">
            <w:pPr>
              <w:pStyle w:val="ASSADACCESStablecentre"/>
            </w:pPr>
            <w:r w:rsidRPr="002E5727">
              <w:rPr>
                <w:bCs w:val="0"/>
                <w:color w:val="000000"/>
              </w:rPr>
              <w:t>15^</w:t>
            </w:r>
          </w:p>
        </w:tc>
        <w:tc>
          <w:tcPr>
            <w:tcW w:w="879" w:type="dxa"/>
            <w:shd w:val="clear" w:color="auto" w:fill="auto"/>
          </w:tcPr>
          <w:p w14:paraId="4990AB59" w14:textId="69D2409E" w:rsidR="009A7EC3" w:rsidRPr="00DE25AD" w:rsidRDefault="009A7EC3" w:rsidP="009A7EC3">
            <w:pPr>
              <w:pStyle w:val="ASSADACCESStablecentre"/>
            </w:pPr>
            <w:r w:rsidRPr="002E5727">
              <w:rPr>
                <w:bCs w:val="0"/>
                <w:color w:val="000000"/>
              </w:rPr>
              <w:t>16^</w:t>
            </w:r>
          </w:p>
        </w:tc>
        <w:tc>
          <w:tcPr>
            <w:tcW w:w="879" w:type="dxa"/>
            <w:shd w:val="clear" w:color="auto" w:fill="auto"/>
          </w:tcPr>
          <w:p w14:paraId="4E0A43C8" w14:textId="4205CFB4" w:rsidR="009A7EC3" w:rsidRPr="00DE25AD" w:rsidRDefault="009A7EC3" w:rsidP="009A7EC3">
            <w:pPr>
              <w:pStyle w:val="ASSADACCESStablecentre"/>
            </w:pPr>
            <w:r w:rsidRPr="002E5727">
              <w:rPr>
                <w:bCs w:val="0"/>
                <w:color w:val="000000"/>
              </w:rPr>
              <w:t>1</w:t>
            </w:r>
            <w:r>
              <w:rPr>
                <w:bCs w:val="0"/>
                <w:color w:val="000000"/>
              </w:rPr>
              <w:t>6</w:t>
            </w:r>
            <w:r w:rsidRPr="002E5727">
              <w:rPr>
                <w:bCs w:val="0"/>
                <w:color w:val="000000"/>
              </w:rPr>
              <w:t>^</w:t>
            </w:r>
          </w:p>
        </w:tc>
      </w:tr>
      <w:tr w:rsidR="009A7EC3" w:rsidRPr="00DE25AD" w14:paraId="60FCC40D" w14:textId="77777777" w:rsidTr="00545FF4">
        <w:tc>
          <w:tcPr>
            <w:tcW w:w="1517" w:type="dxa"/>
            <w:tcMar>
              <w:left w:w="57" w:type="dxa"/>
            </w:tcMar>
          </w:tcPr>
          <w:p w14:paraId="2C65530B" w14:textId="77777777" w:rsidR="009A7EC3" w:rsidRPr="00DE25AD" w:rsidRDefault="009A7EC3" w:rsidP="009A7EC3">
            <w:pPr>
              <w:pStyle w:val="ACCESSTableHeaderRow"/>
            </w:pPr>
            <w:r>
              <w:t>Past year</w:t>
            </w:r>
          </w:p>
        </w:tc>
        <w:tc>
          <w:tcPr>
            <w:tcW w:w="1068" w:type="dxa"/>
            <w:shd w:val="clear" w:color="auto" w:fill="auto"/>
            <w:tcMar>
              <w:left w:w="57" w:type="dxa"/>
            </w:tcMar>
            <w:vAlign w:val="bottom"/>
          </w:tcPr>
          <w:p w14:paraId="462F88B7" w14:textId="77777777" w:rsidR="009A7EC3" w:rsidRPr="00DE25AD" w:rsidRDefault="009A7EC3" w:rsidP="009A7EC3">
            <w:pPr>
              <w:pStyle w:val="ASSAD2017ACCESSBody1"/>
            </w:pPr>
            <w:r w:rsidRPr="00DE25AD">
              <w:t>Male</w:t>
            </w:r>
          </w:p>
        </w:tc>
        <w:tc>
          <w:tcPr>
            <w:tcW w:w="878" w:type="dxa"/>
            <w:shd w:val="clear" w:color="auto" w:fill="auto"/>
          </w:tcPr>
          <w:p w14:paraId="289CA568" w14:textId="73FE1237" w:rsidR="009A7EC3" w:rsidRPr="00DE25AD" w:rsidRDefault="009A7EC3" w:rsidP="009A7EC3">
            <w:pPr>
              <w:pStyle w:val="ASSADACCESStablecentre"/>
            </w:pPr>
            <w:r w:rsidRPr="002E5727">
              <w:rPr>
                <w:bCs w:val="0"/>
                <w:color w:val="000000"/>
              </w:rPr>
              <w:t>33*</w:t>
            </w:r>
          </w:p>
        </w:tc>
        <w:tc>
          <w:tcPr>
            <w:tcW w:w="879" w:type="dxa"/>
            <w:shd w:val="clear" w:color="auto" w:fill="auto"/>
          </w:tcPr>
          <w:p w14:paraId="1C8240DA" w14:textId="750DC269" w:rsidR="009A7EC3" w:rsidRPr="00DE25AD" w:rsidRDefault="009A7EC3" w:rsidP="009A7EC3">
            <w:pPr>
              <w:pStyle w:val="ASSADACCESStablecentre"/>
            </w:pPr>
            <w:r w:rsidRPr="002E5727">
              <w:rPr>
                <w:bCs w:val="0"/>
                <w:color w:val="000000"/>
              </w:rPr>
              <w:t>27*^</w:t>
            </w:r>
          </w:p>
        </w:tc>
        <w:tc>
          <w:tcPr>
            <w:tcW w:w="879" w:type="dxa"/>
            <w:shd w:val="clear" w:color="auto" w:fill="auto"/>
          </w:tcPr>
          <w:p w14:paraId="4BFEBC44" w14:textId="2BE82EDB" w:rsidR="009A7EC3" w:rsidRPr="00DE25AD" w:rsidRDefault="009A7EC3" w:rsidP="009A7EC3">
            <w:pPr>
              <w:pStyle w:val="ASSADACCESStablecentre"/>
            </w:pPr>
            <w:r w:rsidRPr="002E5727">
              <w:rPr>
                <w:bCs w:val="0"/>
                <w:color w:val="000000"/>
              </w:rPr>
              <w:t>23*^</w:t>
            </w:r>
          </w:p>
        </w:tc>
        <w:tc>
          <w:tcPr>
            <w:tcW w:w="879" w:type="dxa"/>
            <w:shd w:val="clear" w:color="auto" w:fill="auto"/>
          </w:tcPr>
          <w:p w14:paraId="06896B14" w14:textId="055A5304" w:rsidR="009A7EC3" w:rsidRPr="00DE25AD" w:rsidRDefault="009A7EC3" w:rsidP="009A7EC3">
            <w:pPr>
              <w:pStyle w:val="ASSADACCESStablecentre"/>
            </w:pPr>
            <w:r w:rsidRPr="002E5727">
              <w:rPr>
                <w:bCs w:val="0"/>
                <w:color w:val="000000"/>
              </w:rPr>
              <w:t>16^</w:t>
            </w:r>
          </w:p>
        </w:tc>
        <w:tc>
          <w:tcPr>
            <w:tcW w:w="879" w:type="dxa"/>
            <w:shd w:val="clear" w:color="auto" w:fill="auto"/>
          </w:tcPr>
          <w:p w14:paraId="60DD80BB" w14:textId="752F708E" w:rsidR="009A7EC3" w:rsidRPr="00DE25AD" w:rsidRDefault="009A7EC3" w:rsidP="009A7EC3">
            <w:pPr>
              <w:pStyle w:val="ASSADACCESStablecentre"/>
            </w:pPr>
            <w:r w:rsidRPr="002E5727">
              <w:rPr>
                <w:bCs w:val="0"/>
                <w:color w:val="000000"/>
              </w:rPr>
              <w:t>12*^</w:t>
            </w:r>
          </w:p>
        </w:tc>
        <w:tc>
          <w:tcPr>
            <w:tcW w:w="879" w:type="dxa"/>
            <w:shd w:val="clear" w:color="auto" w:fill="auto"/>
          </w:tcPr>
          <w:p w14:paraId="2CA0750E" w14:textId="37FDE8F4" w:rsidR="009A7EC3" w:rsidRPr="00DE25AD" w:rsidRDefault="009A7EC3" w:rsidP="009A7EC3">
            <w:pPr>
              <w:pStyle w:val="ASSADACCESStablecentre"/>
            </w:pPr>
            <w:r w:rsidRPr="002E5727">
              <w:rPr>
                <w:bCs w:val="0"/>
                <w:color w:val="000000"/>
              </w:rPr>
              <w:t>14^</w:t>
            </w:r>
          </w:p>
        </w:tc>
        <w:tc>
          <w:tcPr>
            <w:tcW w:w="879" w:type="dxa"/>
            <w:shd w:val="clear" w:color="auto" w:fill="auto"/>
          </w:tcPr>
          <w:p w14:paraId="22B75BE0" w14:textId="22DEABBD" w:rsidR="009A7EC3" w:rsidRPr="00DE25AD" w:rsidRDefault="009A7EC3" w:rsidP="009A7EC3">
            <w:pPr>
              <w:pStyle w:val="ASSADACCESStablecentre"/>
            </w:pPr>
            <w:r w:rsidRPr="002E5727">
              <w:rPr>
                <w:bCs w:val="0"/>
                <w:color w:val="000000"/>
              </w:rPr>
              <w:t>14^</w:t>
            </w:r>
          </w:p>
        </w:tc>
        <w:tc>
          <w:tcPr>
            <w:tcW w:w="879" w:type="dxa"/>
            <w:shd w:val="clear" w:color="auto" w:fill="auto"/>
          </w:tcPr>
          <w:p w14:paraId="6F4C6648" w14:textId="536F35FE" w:rsidR="009A7EC3" w:rsidRPr="00DE25AD" w:rsidRDefault="009A7EC3" w:rsidP="009A7EC3">
            <w:pPr>
              <w:pStyle w:val="ASSADACCESStablecentre"/>
            </w:pPr>
            <w:r w:rsidRPr="002E5727">
              <w:rPr>
                <w:bCs w:val="0"/>
                <w:color w:val="000000"/>
              </w:rPr>
              <w:t>1</w:t>
            </w:r>
            <w:r>
              <w:rPr>
                <w:bCs w:val="0"/>
                <w:color w:val="000000"/>
              </w:rPr>
              <w:t>5</w:t>
            </w:r>
            <w:r w:rsidRPr="002E5727">
              <w:rPr>
                <w:bCs w:val="0"/>
                <w:color w:val="000000"/>
              </w:rPr>
              <w:t>^</w:t>
            </w:r>
          </w:p>
        </w:tc>
      </w:tr>
      <w:tr w:rsidR="009A7EC3" w:rsidRPr="00DE25AD" w14:paraId="2C0FA0F1" w14:textId="77777777" w:rsidTr="005F678B">
        <w:tc>
          <w:tcPr>
            <w:tcW w:w="1517" w:type="dxa"/>
            <w:tcMar>
              <w:left w:w="57" w:type="dxa"/>
            </w:tcMar>
          </w:tcPr>
          <w:p w14:paraId="5BFA1624" w14:textId="77777777" w:rsidR="009A7EC3" w:rsidRPr="00DE25AD" w:rsidRDefault="009A7EC3" w:rsidP="009A7EC3">
            <w:pPr>
              <w:pStyle w:val="ACCESSTableHeaderRow"/>
            </w:pPr>
          </w:p>
        </w:tc>
        <w:tc>
          <w:tcPr>
            <w:tcW w:w="1068" w:type="dxa"/>
            <w:shd w:val="clear" w:color="auto" w:fill="auto"/>
            <w:tcMar>
              <w:left w:w="57" w:type="dxa"/>
            </w:tcMar>
            <w:vAlign w:val="bottom"/>
          </w:tcPr>
          <w:p w14:paraId="243040BE" w14:textId="77777777" w:rsidR="009A7EC3" w:rsidRPr="00DE25AD" w:rsidRDefault="009A7EC3" w:rsidP="009A7EC3">
            <w:pPr>
              <w:pStyle w:val="ASSAD2017ACCESSBody1"/>
            </w:pPr>
            <w:r w:rsidRPr="00DE25AD">
              <w:t>Female</w:t>
            </w:r>
          </w:p>
        </w:tc>
        <w:tc>
          <w:tcPr>
            <w:tcW w:w="878" w:type="dxa"/>
            <w:shd w:val="clear" w:color="auto" w:fill="auto"/>
          </w:tcPr>
          <w:p w14:paraId="6A306E72" w14:textId="6C774449" w:rsidR="009A7EC3" w:rsidRPr="00DE25AD" w:rsidRDefault="009A7EC3" w:rsidP="009A7EC3">
            <w:pPr>
              <w:pStyle w:val="ASSADACCESStablecentre"/>
            </w:pPr>
            <w:r w:rsidRPr="002E5727">
              <w:rPr>
                <w:bCs w:val="0"/>
                <w:color w:val="000000"/>
              </w:rPr>
              <w:t>28*</w:t>
            </w:r>
          </w:p>
        </w:tc>
        <w:tc>
          <w:tcPr>
            <w:tcW w:w="879" w:type="dxa"/>
            <w:shd w:val="clear" w:color="auto" w:fill="auto"/>
          </w:tcPr>
          <w:p w14:paraId="5F09F8CF" w14:textId="36839DC1" w:rsidR="009A7EC3" w:rsidRPr="00DE25AD" w:rsidRDefault="009A7EC3" w:rsidP="009A7EC3">
            <w:pPr>
              <w:pStyle w:val="ASSADACCESStablecentre"/>
            </w:pPr>
            <w:r w:rsidRPr="002E5727">
              <w:rPr>
                <w:bCs w:val="0"/>
                <w:color w:val="000000"/>
              </w:rPr>
              <w:t>23*^</w:t>
            </w:r>
          </w:p>
        </w:tc>
        <w:tc>
          <w:tcPr>
            <w:tcW w:w="879" w:type="dxa"/>
            <w:shd w:val="clear" w:color="auto" w:fill="auto"/>
          </w:tcPr>
          <w:p w14:paraId="1C9AFE89" w14:textId="7247CB0E" w:rsidR="009A7EC3" w:rsidRPr="00DE25AD" w:rsidRDefault="009A7EC3" w:rsidP="009A7EC3">
            <w:pPr>
              <w:pStyle w:val="ASSADACCESStablecentre"/>
            </w:pPr>
            <w:r w:rsidRPr="002E5727">
              <w:rPr>
                <w:bCs w:val="0"/>
                <w:color w:val="000000"/>
              </w:rPr>
              <w:t>19*^</w:t>
            </w:r>
          </w:p>
        </w:tc>
        <w:tc>
          <w:tcPr>
            <w:tcW w:w="879" w:type="dxa"/>
            <w:shd w:val="clear" w:color="auto" w:fill="auto"/>
          </w:tcPr>
          <w:p w14:paraId="01237F60" w14:textId="4745BF0A" w:rsidR="009A7EC3" w:rsidRPr="00DE25AD" w:rsidRDefault="009A7EC3" w:rsidP="009A7EC3">
            <w:pPr>
              <w:pStyle w:val="ASSADACCESStablecentre"/>
            </w:pPr>
            <w:r w:rsidRPr="002E5727">
              <w:rPr>
                <w:bCs w:val="0"/>
                <w:color w:val="000000"/>
              </w:rPr>
              <w:t>13^</w:t>
            </w:r>
          </w:p>
        </w:tc>
        <w:tc>
          <w:tcPr>
            <w:tcW w:w="879" w:type="dxa"/>
            <w:shd w:val="clear" w:color="auto" w:fill="auto"/>
          </w:tcPr>
          <w:p w14:paraId="49DA42CB" w14:textId="59BEAC49" w:rsidR="009A7EC3" w:rsidRPr="00DE25AD" w:rsidRDefault="009A7EC3" w:rsidP="009A7EC3">
            <w:pPr>
              <w:pStyle w:val="ASSADACCESStablecentre"/>
            </w:pPr>
            <w:r w:rsidRPr="002E5727">
              <w:rPr>
                <w:bCs w:val="0"/>
                <w:color w:val="000000"/>
              </w:rPr>
              <w:t>11*^</w:t>
            </w:r>
          </w:p>
        </w:tc>
        <w:tc>
          <w:tcPr>
            <w:tcW w:w="879" w:type="dxa"/>
            <w:shd w:val="clear" w:color="auto" w:fill="auto"/>
          </w:tcPr>
          <w:p w14:paraId="55413313" w14:textId="02E45B91" w:rsidR="009A7EC3" w:rsidRPr="00DE25AD" w:rsidRDefault="009A7EC3" w:rsidP="009A7EC3">
            <w:pPr>
              <w:pStyle w:val="ASSADACCESStablecentre"/>
            </w:pPr>
            <w:r w:rsidRPr="002E5727">
              <w:rPr>
                <w:bCs w:val="0"/>
                <w:color w:val="000000"/>
              </w:rPr>
              <w:t>12^</w:t>
            </w:r>
          </w:p>
        </w:tc>
        <w:tc>
          <w:tcPr>
            <w:tcW w:w="879" w:type="dxa"/>
            <w:shd w:val="clear" w:color="auto" w:fill="auto"/>
          </w:tcPr>
          <w:p w14:paraId="4151303A" w14:textId="0D99847F" w:rsidR="009A7EC3" w:rsidRPr="00DE25AD" w:rsidRDefault="009A7EC3" w:rsidP="009A7EC3">
            <w:pPr>
              <w:pStyle w:val="ASSADACCESStablecentre"/>
            </w:pPr>
            <w:r w:rsidRPr="002E5727">
              <w:rPr>
                <w:bCs w:val="0"/>
                <w:color w:val="000000"/>
              </w:rPr>
              <w:t>13^</w:t>
            </w:r>
          </w:p>
        </w:tc>
        <w:tc>
          <w:tcPr>
            <w:tcW w:w="879" w:type="dxa"/>
            <w:shd w:val="clear" w:color="auto" w:fill="auto"/>
          </w:tcPr>
          <w:p w14:paraId="62B3F01E" w14:textId="557CC62B" w:rsidR="009A7EC3" w:rsidRPr="00DE25AD" w:rsidRDefault="009A7EC3" w:rsidP="009A7EC3">
            <w:pPr>
              <w:pStyle w:val="ASSADACCESStablecentre"/>
            </w:pPr>
            <w:r w:rsidRPr="002E5727">
              <w:rPr>
                <w:bCs w:val="0"/>
                <w:color w:val="000000"/>
              </w:rPr>
              <w:t>14^</w:t>
            </w:r>
          </w:p>
        </w:tc>
      </w:tr>
      <w:tr w:rsidR="009A7EC3" w:rsidRPr="00DE25AD" w14:paraId="194C2726" w14:textId="77777777" w:rsidTr="005F678B">
        <w:tc>
          <w:tcPr>
            <w:tcW w:w="1517" w:type="dxa"/>
            <w:tcMar>
              <w:left w:w="57" w:type="dxa"/>
            </w:tcMar>
          </w:tcPr>
          <w:p w14:paraId="6E9E028F" w14:textId="77777777" w:rsidR="009A7EC3" w:rsidRPr="00DE25AD" w:rsidRDefault="009A7EC3" w:rsidP="009A7EC3">
            <w:pPr>
              <w:pStyle w:val="ACCESSTableHeaderRow"/>
            </w:pPr>
          </w:p>
        </w:tc>
        <w:tc>
          <w:tcPr>
            <w:tcW w:w="1068" w:type="dxa"/>
            <w:shd w:val="clear" w:color="auto" w:fill="auto"/>
            <w:tcMar>
              <w:left w:w="57" w:type="dxa"/>
            </w:tcMar>
            <w:vAlign w:val="bottom"/>
          </w:tcPr>
          <w:p w14:paraId="3ED50CF4" w14:textId="77777777" w:rsidR="009A7EC3" w:rsidRPr="00DE25AD" w:rsidRDefault="009A7EC3" w:rsidP="009A7EC3">
            <w:pPr>
              <w:pStyle w:val="ASSAD2017ACCESSBody1"/>
            </w:pPr>
            <w:r w:rsidRPr="00DE25AD">
              <w:t>Total</w:t>
            </w:r>
          </w:p>
        </w:tc>
        <w:tc>
          <w:tcPr>
            <w:tcW w:w="878" w:type="dxa"/>
            <w:shd w:val="clear" w:color="auto" w:fill="auto"/>
          </w:tcPr>
          <w:p w14:paraId="0E5EC0CA" w14:textId="2ECB3BC9" w:rsidR="009A7EC3" w:rsidRPr="00DE25AD" w:rsidRDefault="009A7EC3" w:rsidP="009A7EC3">
            <w:pPr>
              <w:pStyle w:val="ASSADACCESStablecentre"/>
            </w:pPr>
            <w:r w:rsidRPr="002E5727">
              <w:rPr>
                <w:bCs w:val="0"/>
                <w:color w:val="000000"/>
              </w:rPr>
              <w:t>31*</w:t>
            </w:r>
          </w:p>
        </w:tc>
        <w:tc>
          <w:tcPr>
            <w:tcW w:w="879" w:type="dxa"/>
            <w:shd w:val="clear" w:color="auto" w:fill="auto"/>
          </w:tcPr>
          <w:p w14:paraId="6416B82F" w14:textId="45C15188" w:rsidR="009A7EC3" w:rsidRPr="00DE25AD" w:rsidRDefault="009A7EC3" w:rsidP="009A7EC3">
            <w:pPr>
              <w:pStyle w:val="ASSADACCESStablecentre"/>
            </w:pPr>
            <w:r w:rsidRPr="002E5727">
              <w:rPr>
                <w:bCs w:val="0"/>
                <w:color w:val="000000"/>
              </w:rPr>
              <w:t>25*^</w:t>
            </w:r>
          </w:p>
        </w:tc>
        <w:tc>
          <w:tcPr>
            <w:tcW w:w="879" w:type="dxa"/>
            <w:shd w:val="clear" w:color="auto" w:fill="auto"/>
          </w:tcPr>
          <w:p w14:paraId="56A4C2C2" w14:textId="24619B23" w:rsidR="009A7EC3" w:rsidRPr="00DE25AD" w:rsidRDefault="009A7EC3" w:rsidP="009A7EC3">
            <w:pPr>
              <w:pStyle w:val="ASSADACCESStablecentre"/>
            </w:pPr>
            <w:r w:rsidRPr="002E5727">
              <w:rPr>
                <w:bCs w:val="0"/>
                <w:color w:val="000000"/>
              </w:rPr>
              <w:t>21*^</w:t>
            </w:r>
          </w:p>
        </w:tc>
        <w:tc>
          <w:tcPr>
            <w:tcW w:w="879" w:type="dxa"/>
            <w:shd w:val="clear" w:color="auto" w:fill="auto"/>
          </w:tcPr>
          <w:p w14:paraId="09D06499" w14:textId="4F894131" w:rsidR="009A7EC3" w:rsidRPr="00DE25AD" w:rsidRDefault="009A7EC3" w:rsidP="009A7EC3">
            <w:pPr>
              <w:pStyle w:val="ASSADACCESStablecentre"/>
            </w:pPr>
            <w:r w:rsidRPr="002E5727">
              <w:rPr>
                <w:bCs w:val="0"/>
                <w:color w:val="000000"/>
              </w:rPr>
              <w:t>14^</w:t>
            </w:r>
          </w:p>
        </w:tc>
        <w:tc>
          <w:tcPr>
            <w:tcW w:w="879" w:type="dxa"/>
            <w:shd w:val="clear" w:color="auto" w:fill="auto"/>
          </w:tcPr>
          <w:p w14:paraId="1AAFE613" w14:textId="5F96C679" w:rsidR="009A7EC3" w:rsidRPr="00DE25AD" w:rsidRDefault="009A7EC3" w:rsidP="009A7EC3">
            <w:pPr>
              <w:pStyle w:val="ASSADACCESStablecentre"/>
            </w:pPr>
            <w:r w:rsidRPr="002E5727">
              <w:rPr>
                <w:bCs w:val="0"/>
                <w:color w:val="000000"/>
              </w:rPr>
              <w:t>11*^</w:t>
            </w:r>
          </w:p>
        </w:tc>
        <w:tc>
          <w:tcPr>
            <w:tcW w:w="879" w:type="dxa"/>
            <w:shd w:val="clear" w:color="auto" w:fill="auto"/>
          </w:tcPr>
          <w:p w14:paraId="691A2BFC" w14:textId="3648E959" w:rsidR="009A7EC3" w:rsidRPr="00DE25AD" w:rsidRDefault="009A7EC3" w:rsidP="009A7EC3">
            <w:pPr>
              <w:pStyle w:val="ASSADACCESStablecentre"/>
            </w:pPr>
            <w:r w:rsidRPr="002E5727">
              <w:rPr>
                <w:bCs w:val="0"/>
                <w:color w:val="000000"/>
              </w:rPr>
              <w:t>13^</w:t>
            </w:r>
          </w:p>
        </w:tc>
        <w:tc>
          <w:tcPr>
            <w:tcW w:w="879" w:type="dxa"/>
            <w:shd w:val="clear" w:color="auto" w:fill="auto"/>
          </w:tcPr>
          <w:p w14:paraId="2C164E85" w14:textId="262CC98F" w:rsidR="009A7EC3" w:rsidRPr="00DE25AD" w:rsidRDefault="009A7EC3" w:rsidP="009A7EC3">
            <w:pPr>
              <w:pStyle w:val="ASSADACCESStablecentre"/>
            </w:pPr>
            <w:r w:rsidRPr="002E5727">
              <w:rPr>
                <w:bCs w:val="0"/>
                <w:color w:val="000000"/>
              </w:rPr>
              <w:t>14^</w:t>
            </w:r>
          </w:p>
        </w:tc>
        <w:tc>
          <w:tcPr>
            <w:tcW w:w="879" w:type="dxa"/>
            <w:shd w:val="clear" w:color="auto" w:fill="auto"/>
          </w:tcPr>
          <w:p w14:paraId="6ECF1456" w14:textId="1F3D3EB4" w:rsidR="009A7EC3" w:rsidRPr="00DE25AD" w:rsidRDefault="009A7EC3" w:rsidP="009A7EC3">
            <w:pPr>
              <w:pStyle w:val="ASSADACCESStablecentre"/>
            </w:pPr>
            <w:r w:rsidRPr="002E5727">
              <w:rPr>
                <w:bCs w:val="0"/>
                <w:color w:val="000000"/>
              </w:rPr>
              <w:t>1</w:t>
            </w:r>
            <w:r>
              <w:rPr>
                <w:bCs w:val="0"/>
                <w:color w:val="000000"/>
              </w:rPr>
              <w:t>4</w:t>
            </w:r>
            <w:r w:rsidRPr="002E5727">
              <w:rPr>
                <w:bCs w:val="0"/>
                <w:color w:val="000000"/>
              </w:rPr>
              <w:t>^</w:t>
            </w:r>
          </w:p>
        </w:tc>
      </w:tr>
      <w:tr w:rsidR="009A7EC3" w:rsidRPr="00DE25AD" w14:paraId="18F3F0B8" w14:textId="77777777" w:rsidTr="005F678B">
        <w:tc>
          <w:tcPr>
            <w:tcW w:w="1517" w:type="dxa"/>
            <w:tcMar>
              <w:left w:w="57" w:type="dxa"/>
            </w:tcMar>
          </w:tcPr>
          <w:p w14:paraId="198692AE"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5AB5E7B0" w14:textId="77777777" w:rsidR="009A7EC3" w:rsidRPr="00DE25AD" w:rsidRDefault="009A7EC3" w:rsidP="009A7EC3">
            <w:pPr>
              <w:pStyle w:val="ASSAD2017ACCESSBody1"/>
            </w:pPr>
            <w:r w:rsidRPr="00DE25AD">
              <w:t>Male</w:t>
            </w:r>
          </w:p>
        </w:tc>
        <w:tc>
          <w:tcPr>
            <w:tcW w:w="878" w:type="dxa"/>
            <w:shd w:val="clear" w:color="auto" w:fill="auto"/>
          </w:tcPr>
          <w:p w14:paraId="0F8639E9" w14:textId="0B9B4B5F" w:rsidR="009A7EC3" w:rsidRPr="00DE25AD" w:rsidRDefault="009A7EC3" w:rsidP="009A7EC3">
            <w:pPr>
              <w:pStyle w:val="ASSADACCESStablecentre"/>
            </w:pPr>
            <w:r w:rsidRPr="002E5727">
              <w:rPr>
                <w:bCs w:val="0"/>
                <w:color w:val="000000"/>
              </w:rPr>
              <w:t>21*</w:t>
            </w:r>
          </w:p>
        </w:tc>
        <w:tc>
          <w:tcPr>
            <w:tcW w:w="879" w:type="dxa"/>
            <w:shd w:val="clear" w:color="auto" w:fill="auto"/>
          </w:tcPr>
          <w:p w14:paraId="2B68537F" w14:textId="5FA73607" w:rsidR="009A7EC3" w:rsidRPr="00DE25AD" w:rsidRDefault="009A7EC3" w:rsidP="009A7EC3">
            <w:pPr>
              <w:pStyle w:val="ASSADACCESStablecentre"/>
            </w:pPr>
            <w:r w:rsidRPr="002E5727">
              <w:rPr>
                <w:bCs w:val="0"/>
                <w:color w:val="000000"/>
              </w:rPr>
              <w:t>15*^</w:t>
            </w:r>
          </w:p>
        </w:tc>
        <w:tc>
          <w:tcPr>
            <w:tcW w:w="879" w:type="dxa"/>
            <w:shd w:val="clear" w:color="auto" w:fill="auto"/>
          </w:tcPr>
          <w:p w14:paraId="5C57FD49" w14:textId="2CD0A56D" w:rsidR="009A7EC3" w:rsidRPr="00DE25AD" w:rsidRDefault="009A7EC3" w:rsidP="009A7EC3">
            <w:pPr>
              <w:pStyle w:val="ASSADACCESStablecentre"/>
            </w:pPr>
            <w:r w:rsidRPr="002E5727">
              <w:rPr>
                <w:bCs w:val="0"/>
                <w:color w:val="000000"/>
              </w:rPr>
              <w:t>13*^</w:t>
            </w:r>
          </w:p>
        </w:tc>
        <w:tc>
          <w:tcPr>
            <w:tcW w:w="879" w:type="dxa"/>
            <w:shd w:val="clear" w:color="auto" w:fill="auto"/>
          </w:tcPr>
          <w:p w14:paraId="369CC4AB" w14:textId="5B671C3D" w:rsidR="009A7EC3" w:rsidRPr="00DE25AD" w:rsidRDefault="009A7EC3" w:rsidP="009A7EC3">
            <w:pPr>
              <w:pStyle w:val="ASSADACCESStablecentre"/>
            </w:pPr>
            <w:r w:rsidRPr="002E5727">
              <w:rPr>
                <w:bCs w:val="0"/>
                <w:color w:val="000000"/>
              </w:rPr>
              <w:t>9^</w:t>
            </w:r>
          </w:p>
        </w:tc>
        <w:tc>
          <w:tcPr>
            <w:tcW w:w="879" w:type="dxa"/>
            <w:shd w:val="clear" w:color="auto" w:fill="auto"/>
          </w:tcPr>
          <w:p w14:paraId="3731A438" w14:textId="1DB3419B" w:rsidR="009A7EC3" w:rsidRPr="00DE25AD" w:rsidRDefault="009A7EC3" w:rsidP="009A7EC3">
            <w:pPr>
              <w:pStyle w:val="ASSADACCESStablecentre"/>
            </w:pPr>
            <w:r w:rsidRPr="002E5727">
              <w:rPr>
                <w:bCs w:val="0"/>
                <w:color w:val="000000"/>
              </w:rPr>
              <w:t>7^</w:t>
            </w:r>
          </w:p>
        </w:tc>
        <w:tc>
          <w:tcPr>
            <w:tcW w:w="879" w:type="dxa"/>
            <w:shd w:val="clear" w:color="auto" w:fill="auto"/>
          </w:tcPr>
          <w:p w14:paraId="0675D8DB" w14:textId="00E88AF0" w:rsidR="009A7EC3" w:rsidRPr="00DE25AD" w:rsidRDefault="009A7EC3" w:rsidP="009A7EC3">
            <w:pPr>
              <w:pStyle w:val="ASSADACCESStablecentre"/>
            </w:pPr>
            <w:r w:rsidRPr="002E5727">
              <w:rPr>
                <w:bCs w:val="0"/>
                <w:color w:val="000000"/>
              </w:rPr>
              <w:t>8^</w:t>
            </w:r>
          </w:p>
        </w:tc>
        <w:tc>
          <w:tcPr>
            <w:tcW w:w="879" w:type="dxa"/>
            <w:shd w:val="clear" w:color="auto" w:fill="auto"/>
          </w:tcPr>
          <w:p w14:paraId="720CFB3C" w14:textId="7426D26E" w:rsidR="009A7EC3" w:rsidRPr="00DE25AD" w:rsidRDefault="009A7EC3" w:rsidP="009A7EC3">
            <w:pPr>
              <w:pStyle w:val="ASSADACCESStablecentre"/>
            </w:pPr>
            <w:r w:rsidRPr="002E5727">
              <w:rPr>
                <w:bCs w:val="0"/>
                <w:color w:val="000000"/>
              </w:rPr>
              <w:t>8^</w:t>
            </w:r>
          </w:p>
        </w:tc>
        <w:tc>
          <w:tcPr>
            <w:tcW w:w="879" w:type="dxa"/>
            <w:shd w:val="clear" w:color="auto" w:fill="auto"/>
          </w:tcPr>
          <w:p w14:paraId="770F170B" w14:textId="1063BD7A" w:rsidR="009A7EC3" w:rsidRPr="00DE25AD" w:rsidRDefault="009A7EC3" w:rsidP="009A7EC3">
            <w:pPr>
              <w:pStyle w:val="ASSADACCESStablecentre"/>
            </w:pPr>
            <w:r w:rsidRPr="002E5727">
              <w:rPr>
                <w:bCs w:val="0"/>
                <w:color w:val="000000"/>
              </w:rPr>
              <w:t>9^</w:t>
            </w:r>
          </w:p>
        </w:tc>
      </w:tr>
      <w:tr w:rsidR="009A7EC3" w:rsidRPr="00DE25AD" w14:paraId="7705EFCC" w14:textId="77777777" w:rsidTr="005F678B">
        <w:tc>
          <w:tcPr>
            <w:tcW w:w="1517" w:type="dxa"/>
            <w:tcMar>
              <w:left w:w="57" w:type="dxa"/>
            </w:tcMar>
          </w:tcPr>
          <w:p w14:paraId="61666FB9" w14:textId="77777777" w:rsidR="009A7EC3" w:rsidRPr="00DE25AD" w:rsidRDefault="009A7EC3" w:rsidP="009A7EC3">
            <w:pPr>
              <w:pStyle w:val="ACCESSTableHeaderRow"/>
            </w:pPr>
          </w:p>
        </w:tc>
        <w:tc>
          <w:tcPr>
            <w:tcW w:w="1068" w:type="dxa"/>
            <w:shd w:val="clear" w:color="auto" w:fill="auto"/>
            <w:tcMar>
              <w:left w:w="57" w:type="dxa"/>
            </w:tcMar>
            <w:vAlign w:val="bottom"/>
          </w:tcPr>
          <w:p w14:paraId="31D904D8" w14:textId="77777777" w:rsidR="009A7EC3" w:rsidRPr="00DE25AD" w:rsidRDefault="009A7EC3" w:rsidP="009A7EC3">
            <w:pPr>
              <w:pStyle w:val="ASSAD2017ACCESSBody1"/>
            </w:pPr>
            <w:r w:rsidRPr="00DE25AD">
              <w:t>Female</w:t>
            </w:r>
          </w:p>
        </w:tc>
        <w:tc>
          <w:tcPr>
            <w:tcW w:w="878" w:type="dxa"/>
            <w:shd w:val="clear" w:color="auto" w:fill="auto"/>
          </w:tcPr>
          <w:p w14:paraId="6D9B96E0" w14:textId="5D68A58B" w:rsidR="009A7EC3" w:rsidRPr="00DE25AD" w:rsidRDefault="009A7EC3" w:rsidP="009A7EC3">
            <w:pPr>
              <w:pStyle w:val="ASSADACCESStablecentre"/>
            </w:pPr>
            <w:r w:rsidRPr="002E5727">
              <w:rPr>
                <w:bCs w:val="0"/>
                <w:color w:val="000000"/>
              </w:rPr>
              <w:t>16*</w:t>
            </w:r>
          </w:p>
        </w:tc>
        <w:tc>
          <w:tcPr>
            <w:tcW w:w="879" w:type="dxa"/>
            <w:shd w:val="clear" w:color="auto" w:fill="auto"/>
          </w:tcPr>
          <w:p w14:paraId="04F8095D" w14:textId="12A3B67E" w:rsidR="009A7EC3" w:rsidRPr="00DE25AD" w:rsidRDefault="009A7EC3" w:rsidP="009A7EC3">
            <w:pPr>
              <w:pStyle w:val="ASSADACCESStablecentre"/>
            </w:pPr>
            <w:r w:rsidRPr="002E5727">
              <w:rPr>
                <w:bCs w:val="0"/>
                <w:color w:val="000000"/>
              </w:rPr>
              <w:t>12*^</w:t>
            </w:r>
          </w:p>
        </w:tc>
        <w:tc>
          <w:tcPr>
            <w:tcW w:w="879" w:type="dxa"/>
            <w:shd w:val="clear" w:color="auto" w:fill="auto"/>
          </w:tcPr>
          <w:p w14:paraId="3A8BDD2C" w14:textId="2D9CAFF4" w:rsidR="009A7EC3" w:rsidRPr="00DE25AD" w:rsidRDefault="009A7EC3" w:rsidP="009A7EC3">
            <w:pPr>
              <w:pStyle w:val="ASSADACCESStablecentre"/>
            </w:pPr>
            <w:r w:rsidRPr="002E5727">
              <w:rPr>
                <w:bCs w:val="0"/>
                <w:color w:val="000000"/>
              </w:rPr>
              <w:t>10*^</w:t>
            </w:r>
          </w:p>
        </w:tc>
        <w:tc>
          <w:tcPr>
            <w:tcW w:w="879" w:type="dxa"/>
            <w:shd w:val="clear" w:color="auto" w:fill="auto"/>
          </w:tcPr>
          <w:p w14:paraId="22B0B727" w14:textId="6F16F59C" w:rsidR="009A7EC3" w:rsidRPr="00DE25AD" w:rsidRDefault="009A7EC3" w:rsidP="009A7EC3">
            <w:pPr>
              <w:pStyle w:val="ASSADACCESStablecentre"/>
            </w:pPr>
            <w:r w:rsidRPr="002E5727">
              <w:rPr>
                <w:bCs w:val="0"/>
                <w:color w:val="000000"/>
              </w:rPr>
              <w:t>6</w:t>
            </w:r>
            <w:r>
              <w:rPr>
                <w:bCs w:val="0"/>
                <w:color w:val="000000"/>
              </w:rPr>
              <w:t>*</w:t>
            </w:r>
            <w:r w:rsidRPr="002E5727">
              <w:rPr>
                <w:bCs w:val="0"/>
                <w:color w:val="000000"/>
              </w:rPr>
              <w:t>^</w:t>
            </w:r>
          </w:p>
        </w:tc>
        <w:tc>
          <w:tcPr>
            <w:tcW w:w="879" w:type="dxa"/>
            <w:shd w:val="clear" w:color="auto" w:fill="auto"/>
          </w:tcPr>
          <w:p w14:paraId="706F28A9" w14:textId="5ED956EF" w:rsidR="009A7EC3" w:rsidRPr="00DE25AD" w:rsidRDefault="009A7EC3" w:rsidP="009A7EC3">
            <w:pPr>
              <w:pStyle w:val="ASSADACCESStablecentre"/>
            </w:pPr>
            <w:r w:rsidRPr="002E5727">
              <w:rPr>
                <w:bCs w:val="0"/>
                <w:color w:val="000000"/>
              </w:rPr>
              <w:t>5*^</w:t>
            </w:r>
          </w:p>
        </w:tc>
        <w:tc>
          <w:tcPr>
            <w:tcW w:w="879" w:type="dxa"/>
            <w:shd w:val="clear" w:color="auto" w:fill="auto"/>
          </w:tcPr>
          <w:p w14:paraId="7377BEE6" w14:textId="52E8F301" w:rsidR="009A7EC3" w:rsidRPr="00DE25AD" w:rsidRDefault="009A7EC3" w:rsidP="009A7EC3">
            <w:pPr>
              <w:pStyle w:val="ASSADACCESStablecentre"/>
            </w:pPr>
            <w:r w:rsidRPr="002E5727">
              <w:rPr>
                <w:bCs w:val="0"/>
                <w:color w:val="000000"/>
              </w:rPr>
              <w:t>6</w:t>
            </w:r>
            <w:r>
              <w:rPr>
                <w:bCs w:val="0"/>
                <w:color w:val="000000"/>
              </w:rPr>
              <w:t>*</w:t>
            </w:r>
            <w:r w:rsidRPr="002E5727">
              <w:rPr>
                <w:bCs w:val="0"/>
                <w:color w:val="000000"/>
              </w:rPr>
              <w:t>^</w:t>
            </w:r>
          </w:p>
        </w:tc>
        <w:tc>
          <w:tcPr>
            <w:tcW w:w="879" w:type="dxa"/>
            <w:shd w:val="clear" w:color="auto" w:fill="auto"/>
          </w:tcPr>
          <w:p w14:paraId="53E35FC9" w14:textId="4DBF4195" w:rsidR="009A7EC3" w:rsidRPr="00DE25AD" w:rsidRDefault="009A7EC3" w:rsidP="009A7EC3">
            <w:pPr>
              <w:pStyle w:val="ASSADACCESStablecentre"/>
            </w:pPr>
            <w:r w:rsidRPr="002E5727">
              <w:rPr>
                <w:bCs w:val="0"/>
                <w:color w:val="000000"/>
              </w:rPr>
              <w:t>6</w:t>
            </w:r>
            <w:r>
              <w:rPr>
                <w:bCs w:val="0"/>
                <w:color w:val="000000"/>
              </w:rPr>
              <w:t>*</w:t>
            </w:r>
            <w:r w:rsidRPr="002E5727">
              <w:rPr>
                <w:bCs w:val="0"/>
                <w:color w:val="000000"/>
              </w:rPr>
              <w:t>^</w:t>
            </w:r>
          </w:p>
        </w:tc>
        <w:tc>
          <w:tcPr>
            <w:tcW w:w="879" w:type="dxa"/>
            <w:shd w:val="clear" w:color="auto" w:fill="auto"/>
          </w:tcPr>
          <w:p w14:paraId="54DE80F4" w14:textId="3D43D143" w:rsidR="009A7EC3" w:rsidRPr="00DE25AD" w:rsidRDefault="009A7EC3" w:rsidP="009A7EC3">
            <w:pPr>
              <w:pStyle w:val="ASSADACCESStablecentre"/>
            </w:pPr>
            <w:r w:rsidRPr="002E5727">
              <w:rPr>
                <w:bCs w:val="0"/>
                <w:color w:val="000000"/>
              </w:rPr>
              <w:t>7^</w:t>
            </w:r>
          </w:p>
        </w:tc>
      </w:tr>
      <w:tr w:rsidR="009A7EC3" w:rsidRPr="00DE25AD" w14:paraId="24338BE5" w14:textId="77777777" w:rsidTr="005F678B">
        <w:tc>
          <w:tcPr>
            <w:tcW w:w="1517" w:type="dxa"/>
            <w:tcMar>
              <w:left w:w="57" w:type="dxa"/>
            </w:tcMar>
          </w:tcPr>
          <w:p w14:paraId="39CD592D" w14:textId="77777777" w:rsidR="009A7EC3" w:rsidRPr="00DE25AD" w:rsidRDefault="009A7EC3" w:rsidP="009A7EC3">
            <w:pPr>
              <w:pStyle w:val="ACCESSTableHeaderRow"/>
            </w:pPr>
          </w:p>
        </w:tc>
        <w:tc>
          <w:tcPr>
            <w:tcW w:w="1068" w:type="dxa"/>
            <w:shd w:val="clear" w:color="auto" w:fill="auto"/>
            <w:tcMar>
              <w:left w:w="57" w:type="dxa"/>
            </w:tcMar>
            <w:vAlign w:val="bottom"/>
          </w:tcPr>
          <w:p w14:paraId="15E2D4C3" w14:textId="77777777" w:rsidR="009A7EC3" w:rsidRPr="00DE25AD" w:rsidRDefault="009A7EC3" w:rsidP="009A7EC3">
            <w:pPr>
              <w:pStyle w:val="ASSAD2017ACCESSBody1"/>
            </w:pPr>
            <w:r w:rsidRPr="00DE25AD">
              <w:t>Total</w:t>
            </w:r>
          </w:p>
        </w:tc>
        <w:tc>
          <w:tcPr>
            <w:tcW w:w="878" w:type="dxa"/>
            <w:shd w:val="clear" w:color="auto" w:fill="auto"/>
          </w:tcPr>
          <w:p w14:paraId="3A090645" w14:textId="6DBFD2E6" w:rsidR="009A7EC3" w:rsidRPr="00DE25AD" w:rsidRDefault="009A7EC3" w:rsidP="009A7EC3">
            <w:pPr>
              <w:pStyle w:val="ASSADACCESStablecentre"/>
            </w:pPr>
            <w:r w:rsidRPr="002E5727">
              <w:rPr>
                <w:bCs w:val="0"/>
                <w:color w:val="000000"/>
              </w:rPr>
              <w:t>18*</w:t>
            </w:r>
          </w:p>
        </w:tc>
        <w:tc>
          <w:tcPr>
            <w:tcW w:w="879" w:type="dxa"/>
            <w:shd w:val="clear" w:color="auto" w:fill="auto"/>
          </w:tcPr>
          <w:p w14:paraId="07425F35" w14:textId="730AC068" w:rsidR="009A7EC3" w:rsidRPr="00DE25AD" w:rsidRDefault="009A7EC3" w:rsidP="009A7EC3">
            <w:pPr>
              <w:pStyle w:val="ASSADACCESStablecentre"/>
            </w:pPr>
            <w:r w:rsidRPr="002E5727">
              <w:rPr>
                <w:bCs w:val="0"/>
                <w:color w:val="000000"/>
              </w:rPr>
              <w:t>14*^</w:t>
            </w:r>
          </w:p>
        </w:tc>
        <w:tc>
          <w:tcPr>
            <w:tcW w:w="879" w:type="dxa"/>
            <w:shd w:val="clear" w:color="auto" w:fill="auto"/>
          </w:tcPr>
          <w:p w14:paraId="184B3B70" w14:textId="7E84438C" w:rsidR="009A7EC3" w:rsidRPr="00DE25AD" w:rsidRDefault="009A7EC3" w:rsidP="009A7EC3">
            <w:pPr>
              <w:pStyle w:val="ASSADACCESStablecentre"/>
            </w:pPr>
            <w:r w:rsidRPr="002E5727">
              <w:rPr>
                <w:bCs w:val="0"/>
                <w:color w:val="000000"/>
              </w:rPr>
              <w:t>11*^</w:t>
            </w:r>
          </w:p>
        </w:tc>
        <w:tc>
          <w:tcPr>
            <w:tcW w:w="879" w:type="dxa"/>
            <w:shd w:val="clear" w:color="auto" w:fill="auto"/>
          </w:tcPr>
          <w:p w14:paraId="19340098" w14:textId="3320561C" w:rsidR="009A7EC3" w:rsidRPr="00DE25AD" w:rsidRDefault="009A7EC3" w:rsidP="009A7EC3">
            <w:pPr>
              <w:pStyle w:val="ASSADACCESStablecentre"/>
            </w:pPr>
            <w:r w:rsidRPr="002E5727">
              <w:rPr>
                <w:bCs w:val="0"/>
                <w:color w:val="000000"/>
              </w:rPr>
              <w:t>7^</w:t>
            </w:r>
          </w:p>
        </w:tc>
        <w:tc>
          <w:tcPr>
            <w:tcW w:w="879" w:type="dxa"/>
            <w:shd w:val="clear" w:color="auto" w:fill="auto"/>
          </w:tcPr>
          <w:p w14:paraId="7B0796F0" w14:textId="7A943A93" w:rsidR="009A7EC3" w:rsidRPr="00DE25AD" w:rsidRDefault="009A7EC3" w:rsidP="009A7EC3">
            <w:pPr>
              <w:pStyle w:val="ASSADACCESStablecentre"/>
            </w:pPr>
            <w:r w:rsidRPr="002E5727">
              <w:rPr>
                <w:bCs w:val="0"/>
                <w:color w:val="000000"/>
              </w:rPr>
              <w:t>6</w:t>
            </w:r>
            <w:r>
              <w:rPr>
                <w:bCs w:val="0"/>
                <w:color w:val="000000"/>
              </w:rPr>
              <w:t>*</w:t>
            </w:r>
            <w:r w:rsidRPr="002E5727">
              <w:rPr>
                <w:bCs w:val="0"/>
                <w:color w:val="000000"/>
              </w:rPr>
              <w:t>^</w:t>
            </w:r>
          </w:p>
        </w:tc>
        <w:tc>
          <w:tcPr>
            <w:tcW w:w="879" w:type="dxa"/>
            <w:shd w:val="clear" w:color="auto" w:fill="auto"/>
          </w:tcPr>
          <w:p w14:paraId="6D367F94" w14:textId="23980168" w:rsidR="009A7EC3" w:rsidRPr="00DE25AD" w:rsidRDefault="009A7EC3" w:rsidP="009A7EC3">
            <w:pPr>
              <w:pStyle w:val="ASSADACCESStablecentre"/>
            </w:pPr>
            <w:r w:rsidRPr="002E5727">
              <w:rPr>
                <w:bCs w:val="0"/>
                <w:color w:val="000000"/>
              </w:rPr>
              <w:t>7^</w:t>
            </w:r>
          </w:p>
        </w:tc>
        <w:tc>
          <w:tcPr>
            <w:tcW w:w="879" w:type="dxa"/>
            <w:shd w:val="clear" w:color="auto" w:fill="auto"/>
          </w:tcPr>
          <w:p w14:paraId="5EC93D7C" w14:textId="197AAAC1" w:rsidR="009A7EC3" w:rsidRPr="00DE25AD" w:rsidRDefault="009A7EC3" w:rsidP="009A7EC3">
            <w:pPr>
              <w:pStyle w:val="ASSADACCESStablecentre"/>
            </w:pPr>
            <w:r w:rsidRPr="002E5727">
              <w:rPr>
                <w:bCs w:val="0"/>
                <w:color w:val="000000"/>
              </w:rPr>
              <w:t>7^</w:t>
            </w:r>
          </w:p>
        </w:tc>
        <w:tc>
          <w:tcPr>
            <w:tcW w:w="879" w:type="dxa"/>
            <w:shd w:val="clear" w:color="auto" w:fill="auto"/>
          </w:tcPr>
          <w:p w14:paraId="6948AD77" w14:textId="11F57BE4" w:rsidR="009A7EC3" w:rsidRPr="00DE25AD" w:rsidRDefault="009A7EC3" w:rsidP="009A7EC3">
            <w:pPr>
              <w:pStyle w:val="ASSADACCESStablecentre"/>
            </w:pPr>
            <w:r w:rsidRPr="002E5727">
              <w:rPr>
                <w:bCs w:val="0"/>
                <w:color w:val="000000"/>
              </w:rPr>
              <w:t>8^</w:t>
            </w:r>
          </w:p>
        </w:tc>
      </w:tr>
      <w:tr w:rsidR="009A7EC3" w:rsidRPr="00DE25AD" w14:paraId="4B06B41C" w14:textId="77777777" w:rsidTr="005F678B">
        <w:tc>
          <w:tcPr>
            <w:tcW w:w="1517" w:type="dxa"/>
            <w:tcMar>
              <w:left w:w="57" w:type="dxa"/>
            </w:tcMar>
          </w:tcPr>
          <w:p w14:paraId="688A859D" w14:textId="77777777" w:rsidR="009A7EC3" w:rsidRPr="00DE25AD" w:rsidRDefault="009A7EC3" w:rsidP="009A7EC3">
            <w:pPr>
              <w:pStyle w:val="ACCESSTableHeaderRow"/>
            </w:pPr>
            <w:r>
              <w:t>Past week</w:t>
            </w:r>
          </w:p>
        </w:tc>
        <w:tc>
          <w:tcPr>
            <w:tcW w:w="1068" w:type="dxa"/>
            <w:shd w:val="clear" w:color="auto" w:fill="auto"/>
            <w:tcMar>
              <w:left w:w="57" w:type="dxa"/>
            </w:tcMar>
            <w:vAlign w:val="bottom"/>
          </w:tcPr>
          <w:p w14:paraId="2534C56F" w14:textId="77777777" w:rsidR="009A7EC3" w:rsidRPr="00DE25AD" w:rsidRDefault="009A7EC3" w:rsidP="009A7EC3">
            <w:pPr>
              <w:pStyle w:val="ASSAD2017ACCESSBody1"/>
            </w:pPr>
            <w:r w:rsidRPr="00DE25AD">
              <w:t>Male</w:t>
            </w:r>
          </w:p>
        </w:tc>
        <w:tc>
          <w:tcPr>
            <w:tcW w:w="878" w:type="dxa"/>
            <w:shd w:val="clear" w:color="auto" w:fill="auto"/>
          </w:tcPr>
          <w:p w14:paraId="7486EE4A" w14:textId="119EA223" w:rsidR="009A7EC3" w:rsidRPr="00DE25AD" w:rsidRDefault="009A7EC3" w:rsidP="009A7EC3">
            <w:pPr>
              <w:pStyle w:val="ASSADACCESStablecentre"/>
            </w:pPr>
            <w:r w:rsidRPr="002E5727">
              <w:rPr>
                <w:bCs w:val="0"/>
                <w:color w:val="000000"/>
              </w:rPr>
              <w:t>14*</w:t>
            </w:r>
          </w:p>
        </w:tc>
        <w:tc>
          <w:tcPr>
            <w:tcW w:w="879" w:type="dxa"/>
            <w:shd w:val="clear" w:color="auto" w:fill="auto"/>
          </w:tcPr>
          <w:p w14:paraId="77708B35" w14:textId="0DBED70F" w:rsidR="009A7EC3" w:rsidRPr="00DE25AD" w:rsidRDefault="009A7EC3" w:rsidP="009A7EC3">
            <w:pPr>
              <w:pStyle w:val="ASSADACCESStablecentre"/>
            </w:pPr>
            <w:r w:rsidRPr="002E5727">
              <w:rPr>
                <w:bCs w:val="0"/>
                <w:color w:val="000000"/>
              </w:rPr>
              <w:t>10*</w:t>
            </w:r>
            <w:r>
              <w:rPr>
                <w:bCs w:val="0"/>
                <w:color w:val="000000"/>
              </w:rPr>
              <w:t>^</w:t>
            </w:r>
          </w:p>
        </w:tc>
        <w:tc>
          <w:tcPr>
            <w:tcW w:w="879" w:type="dxa"/>
            <w:shd w:val="clear" w:color="auto" w:fill="auto"/>
          </w:tcPr>
          <w:p w14:paraId="33997A0C" w14:textId="6D4D12B8" w:rsidR="009A7EC3" w:rsidRPr="00DE25AD" w:rsidRDefault="009A7EC3" w:rsidP="009A7EC3">
            <w:pPr>
              <w:pStyle w:val="ASSADACCESStablecentre"/>
            </w:pPr>
            <w:r w:rsidRPr="002E5727">
              <w:rPr>
                <w:bCs w:val="0"/>
                <w:color w:val="000000"/>
              </w:rPr>
              <w:t>8*</w:t>
            </w:r>
            <w:r>
              <w:rPr>
                <w:bCs w:val="0"/>
                <w:color w:val="000000"/>
              </w:rPr>
              <w:t>^</w:t>
            </w:r>
          </w:p>
        </w:tc>
        <w:tc>
          <w:tcPr>
            <w:tcW w:w="879" w:type="dxa"/>
            <w:shd w:val="clear" w:color="auto" w:fill="auto"/>
          </w:tcPr>
          <w:p w14:paraId="21EBF9B3" w14:textId="40D4067E" w:rsidR="009A7EC3" w:rsidRPr="00DE25AD" w:rsidRDefault="009A7EC3" w:rsidP="009A7EC3">
            <w:pPr>
              <w:pStyle w:val="ASSADACCESStablecentre"/>
            </w:pPr>
            <w:r w:rsidRPr="002E5727">
              <w:rPr>
                <w:bCs w:val="0"/>
                <w:color w:val="000000"/>
              </w:rPr>
              <w:t>5^</w:t>
            </w:r>
          </w:p>
        </w:tc>
        <w:tc>
          <w:tcPr>
            <w:tcW w:w="879" w:type="dxa"/>
            <w:shd w:val="clear" w:color="auto" w:fill="auto"/>
          </w:tcPr>
          <w:p w14:paraId="74D70B9C" w14:textId="2109EE1C" w:rsidR="009A7EC3" w:rsidRPr="00DE25AD" w:rsidRDefault="009A7EC3" w:rsidP="009A7EC3">
            <w:pPr>
              <w:pStyle w:val="ASSADACCESStablecentre"/>
            </w:pPr>
            <w:r w:rsidRPr="002E5727">
              <w:rPr>
                <w:bCs w:val="0"/>
                <w:color w:val="000000"/>
              </w:rPr>
              <w:t>5^</w:t>
            </w:r>
          </w:p>
        </w:tc>
        <w:tc>
          <w:tcPr>
            <w:tcW w:w="879" w:type="dxa"/>
            <w:shd w:val="clear" w:color="auto" w:fill="auto"/>
          </w:tcPr>
          <w:p w14:paraId="78E559BA" w14:textId="150075F3" w:rsidR="009A7EC3" w:rsidRPr="00DE25AD" w:rsidRDefault="009A7EC3" w:rsidP="009A7EC3">
            <w:pPr>
              <w:pStyle w:val="ASSADACCESStablecentre"/>
            </w:pPr>
            <w:r w:rsidRPr="002E5727">
              <w:rPr>
                <w:bCs w:val="0"/>
                <w:color w:val="000000"/>
              </w:rPr>
              <w:t>4^</w:t>
            </w:r>
          </w:p>
        </w:tc>
        <w:tc>
          <w:tcPr>
            <w:tcW w:w="879" w:type="dxa"/>
            <w:shd w:val="clear" w:color="auto" w:fill="auto"/>
          </w:tcPr>
          <w:p w14:paraId="11B030BB" w14:textId="4DB9B395" w:rsidR="009A7EC3" w:rsidRPr="00DE25AD" w:rsidRDefault="009A7EC3" w:rsidP="009A7EC3">
            <w:pPr>
              <w:pStyle w:val="ASSADACCESStablecentre"/>
            </w:pPr>
            <w:r w:rsidRPr="002E5727">
              <w:rPr>
                <w:bCs w:val="0"/>
                <w:color w:val="000000"/>
              </w:rPr>
              <w:t>5^</w:t>
            </w:r>
          </w:p>
        </w:tc>
        <w:tc>
          <w:tcPr>
            <w:tcW w:w="879" w:type="dxa"/>
            <w:shd w:val="clear" w:color="auto" w:fill="auto"/>
          </w:tcPr>
          <w:p w14:paraId="2F4A28A9" w14:textId="682B3FD5" w:rsidR="009A7EC3" w:rsidRPr="00DE25AD" w:rsidRDefault="009A7EC3" w:rsidP="009A7EC3">
            <w:pPr>
              <w:pStyle w:val="ASSADACCESStablecentre"/>
            </w:pPr>
            <w:r>
              <w:rPr>
                <w:bCs w:val="0"/>
                <w:color w:val="000000"/>
              </w:rPr>
              <w:t>5</w:t>
            </w:r>
            <w:r w:rsidRPr="002E5727">
              <w:rPr>
                <w:bCs w:val="0"/>
                <w:color w:val="000000"/>
              </w:rPr>
              <w:t>^</w:t>
            </w:r>
          </w:p>
        </w:tc>
      </w:tr>
      <w:tr w:rsidR="009A7EC3" w:rsidRPr="00DE25AD" w14:paraId="7390E400" w14:textId="77777777" w:rsidTr="005F678B">
        <w:tc>
          <w:tcPr>
            <w:tcW w:w="1517" w:type="dxa"/>
            <w:tcMar>
              <w:left w:w="57" w:type="dxa"/>
            </w:tcMar>
          </w:tcPr>
          <w:p w14:paraId="5B387268" w14:textId="77777777" w:rsidR="009A7EC3" w:rsidRPr="00DE25AD" w:rsidRDefault="009A7EC3" w:rsidP="009A7EC3">
            <w:pPr>
              <w:pStyle w:val="ACCESSTableHeaderRow"/>
            </w:pPr>
          </w:p>
        </w:tc>
        <w:tc>
          <w:tcPr>
            <w:tcW w:w="1068" w:type="dxa"/>
            <w:shd w:val="clear" w:color="auto" w:fill="auto"/>
            <w:tcMar>
              <w:left w:w="57" w:type="dxa"/>
            </w:tcMar>
            <w:vAlign w:val="bottom"/>
          </w:tcPr>
          <w:p w14:paraId="1F89F0A0" w14:textId="77777777" w:rsidR="009A7EC3" w:rsidRPr="00DE25AD" w:rsidRDefault="009A7EC3" w:rsidP="009A7EC3">
            <w:pPr>
              <w:pStyle w:val="ASSAD2017ACCESSBody1"/>
            </w:pPr>
            <w:r w:rsidRPr="00DE25AD">
              <w:t>Female</w:t>
            </w:r>
          </w:p>
        </w:tc>
        <w:tc>
          <w:tcPr>
            <w:tcW w:w="878" w:type="dxa"/>
            <w:shd w:val="clear" w:color="auto" w:fill="auto"/>
          </w:tcPr>
          <w:p w14:paraId="09E0F2BC" w14:textId="5E3CAD03" w:rsidR="009A7EC3" w:rsidRPr="00DE25AD" w:rsidRDefault="009A7EC3" w:rsidP="009A7EC3">
            <w:pPr>
              <w:pStyle w:val="ASSADACCESStablecentre"/>
            </w:pPr>
            <w:r w:rsidRPr="002E5727">
              <w:rPr>
                <w:bCs w:val="0"/>
                <w:color w:val="000000"/>
              </w:rPr>
              <w:t>9</w:t>
            </w:r>
            <w:r>
              <w:rPr>
                <w:bCs w:val="0"/>
                <w:color w:val="000000"/>
              </w:rPr>
              <w:t>*</w:t>
            </w:r>
          </w:p>
        </w:tc>
        <w:tc>
          <w:tcPr>
            <w:tcW w:w="879" w:type="dxa"/>
            <w:shd w:val="clear" w:color="auto" w:fill="auto"/>
          </w:tcPr>
          <w:p w14:paraId="15CCCA26" w14:textId="58C635BD" w:rsidR="009A7EC3" w:rsidRPr="00DE25AD" w:rsidRDefault="009A7EC3" w:rsidP="009A7EC3">
            <w:pPr>
              <w:pStyle w:val="ASSADACCESStablecentre"/>
            </w:pPr>
            <w:r w:rsidRPr="002E5727">
              <w:rPr>
                <w:bCs w:val="0"/>
                <w:color w:val="000000"/>
              </w:rPr>
              <w:t>6</w:t>
            </w:r>
            <w:r>
              <w:rPr>
                <w:bCs w:val="0"/>
                <w:color w:val="000000"/>
              </w:rPr>
              <w:t>*^</w:t>
            </w:r>
          </w:p>
        </w:tc>
        <w:tc>
          <w:tcPr>
            <w:tcW w:w="879" w:type="dxa"/>
            <w:shd w:val="clear" w:color="auto" w:fill="auto"/>
          </w:tcPr>
          <w:p w14:paraId="6C73E1F4" w14:textId="470871D8" w:rsidR="009A7EC3" w:rsidRPr="00DE25AD" w:rsidRDefault="009A7EC3" w:rsidP="009A7EC3">
            <w:pPr>
              <w:pStyle w:val="ASSADACCESStablecentre"/>
            </w:pPr>
            <w:r w:rsidRPr="002E5727">
              <w:rPr>
                <w:bCs w:val="0"/>
                <w:color w:val="000000"/>
              </w:rPr>
              <w:t>5</w:t>
            </w:r>
            <w:r>
              <w:rPr>
                <w:bCs w:val="0"/>
                <w:color w:val="000000"/>
              </w:rPr>
              <w:t>*^</w:t>
            </w:r>
          </w:p>
        </w:tc>
        <w:tc>
          <w:tcPr>
            <w:tcW w:w="879" w:type="dxa"/>
            <w:shd w:val="clear" w:color="auto" w:fill="auto"/>
          </w:tcPr>
          <w:p w14:paraId="34B038CA" w14:textId="2A0451AC"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677F6DA1" w14:textId="02BE0409"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1E9DA7EF" w14:textId="4EAD8ADC"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21404BA0" w14:textId="72B4FF99"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3AA1FDC3" w14:textId="24BE9415" w:rsidR="009A7EC3" w:rsidRPr="00DE25AD" w:rsidRDefault="009A7EC3" w:rsidP="009A7EC3">
            <w:pPr>
              <w:pStyle w:val="ASSADACCESStablecentre"/>
            </w:pPr>
            <w:r w:rsidRPr="002E5727">
              <w:rPr>
                <w:bCs w:val="0"/>
                <w:color w:val="000000"/>
              </w:rPr>
              <w:t>4</w:t>
            </w:r>
            <w:r>
              <w:rPr>
                <w:bCs w:val="0"/>
                <w:color w:val="000000"/>
              </w:rPr>
              <w:t>^</w:t>
            </w:r>
          </w:p>
        </w:tc>
      </w:tr>
      <w:tr w:rsidR="009A7EC3" w:rsidRPr="00DE25AD" w14:paraId="5F967631" w14:textId="77777777" w:rsidTr="005F678B">
        <w:tc>
          <w:tcPr>
            <w:tcW w:w="1517" w:type="dxa"/>
            <w:tcMar>
              <w:left w:w="57" w:type="dxa"/>
            </w:tcMar>
          </w:tcPr>
          <w:p w14:paraId="1887BCC1" w14:textId="77777777" w:rsidR="009A7EC3" w:rsidRPr="00DE25AD" w:rsidRDefault="009A7EC3" w:rsidP="009A7EC3">
            <w:pPr>
              <w:pStyle w:val="ACCESSTableHeaderRow"/>
            </w:pPr>
          </w:p>
        </w:tc>
        <w:tc>
          <w:tcPr>
            <w:tcW w:w="1068" w:type="dxa"/>
            <w:shd w:val="clear" w:color="auto" w:fill="auto"/>
            <w:tcMar>
              <w:left w:w="57" w:type="dxa"/>
            </w:tcMar>
            <w:vAlign w:val="bottom"/>
          </w:tcPr>
          <w:p w14:paraId="2A60E931" w14:textId="77777777" w:rsidR="009A7EC3" w:rsidRPr="00DE25AD" w:rsidRDefault="009A7EC3" w:rsidP="009A7EC3">
            <w:pPr>
              <w:pStyle w:val="ASSAD2017ACCESSBody1"/>
            </w:pPr>
            <w:r w:rsidRPr="00DE25AD">
              <w:t>Total</w:t>
            </w:r>
          </w:p>
        </w:tc>
        <w:tc>
          <w:tcPr>
            <w:tcW w:w="878" w:type="dxa"/>
            <w:shd w:val="clear" w:color="auto" w:fill="auto"/>
          </w:tcPr>
          <w:p w14:paraId="62DED5AA" w14:textId="3E43BB14" w:rsidR="009A7EC3" w:rsidRPr="00DE25AD" w:rsidRDefault="009A7EC3" w:rsidP="009A7EC3">
            <w:pPr>
              <w:pStyle w:val="ASSADACCESStablecentre"/>
            </w:pPr>
            <w:r w:rsidRPr="002E5727">
              <w:rPr>
                <w:bCs w:val="0"/>
                <w:color w:val="000000"/>
              </w:rPr>
              <w:t>11*</w:t>
            </w:r>
          </w:p>
        </w:tc>
        <w:tc>
          <w:tcPr>
            <w:tcW w:w="879" w:type="dxa"/>
            <w:shd w:val="clear" w:color="auto" w:fill="auto"/>
          </w:tcPr>
          <w:p w14:paraId="19B7C4EF" w14:textId="476CB2C0" w:rsidR="009A7EC3" w:rsidRPr="00DE25AD" w:rsidRDefault="009A7EC3" w:rsidP="009A7EC3">
            <w:pPr>
              <w:pStyle w:val="ASSADACCESStablecentre"/>
            </w:pPr>
            <w:r w:rsidRPr="002E5727">
              <w:rPr>
                <w:bCs w:val="0"/>
                <w:color w:val="000000"/>
              </w:rPr>
              <w:t>8*^</w:t>
            </w:r>
          </w:p>
        </w:tc>
        <w:tc>
          <w:tcPr>
            <w:tcW w:w="879" w:type="dxa"/>
            <w:shd w:val="clear" w:color="auto" w:fill="auto"/>
          </w:tcPr>
          <w:p w14:paraId="3A0AC710" w14:textId="30124A57" w:rsidR="009A7EC3" w:rsidRPr="00DE25AD" w:rsidRDefault="009A7EC3" w:rsidP="009A7EC3">
            <w:pPr>
              <w:pStyle w:val="ASSADACCESStablecentre"/>
            </w:pPr>
            <w:r w:rsidRPr="002E5727">
              <w:rPr>
                <w:bCs w:val="0"/>
                <w:color w:val="000000"/>
              </w:rPr>
              <w:t>7*^</w:t>
            </w:r>
          </w:p>
        </w:tc>
        <w:tc>
          <w:tcPr>
            <w:tcW w:w="879" w:type="dxa"/>
            <w:shd w:val="clear" w:color="auto" w:fill="auto"/>
          </w:tcPr>
          <w:p w14:paraId="4A837A2B" w14:textId="48BAB63C" w:rsidR="009A7EC3" w:rsidRPr="00DE25AD" w:rsidRDefault="009A7EC3" w:rsidP="009A7EC3">
            <w:pPr>
              <w:pStyle w:val="ASSADACCESStablecentre"/>
            </w:pPr>
            <w:r w:rsidRPr="002E5727">
              <w:rPr>
                <w:bCs w:val="0"/>
                <w:color w:val="000000"/>
              </w:rPr>
              <w:t>4^</w:t>
            </w:r>
          </w:p>
        </w:tc>
        <w:tc>
          <w:tcPr>
            <w:tcW w:w="879" w:type="dxa"/>
            <w:shd w:val="clear" w:color="auto" w:fill="auto"/>
          </w:tcPr>
          <w:p w14:paraId="30F296CB" w14:textId="3DEDF257" w:rsidR="009A7EC3" w:rsidRPr="00DE25AD" w:rsidRDefault="009A7EC3" w:rsidP="009A7EC3">
            <w:pPr>
              <w:pStyle w:val="ASSADACCESStablecentre"/>
            </w:pPr>
            <w:r w:rsidRPr="002E5727">
              <w:rPr>
                <w:bCs w:val="0"/>
                <w:color w:val="000000"/>
              </w:rPr>
              <w:t>4^</w:t>
            </w:r>
          </w:p>
        </w:tc>
        <w:tc>
          <w:tcPr>
            <w:tcW w:w="879" w:type="dxa"/>
            <w:shd w:val="clear" w:color="auto" w:fill="auto"/>
          </w:tcPr>
          <w:p w14:paraId="658FB50C" w14:textId="6C76C593" w:rsidR="009A7EC3" w:rsidRPr="00DE25AD" w:rsidRDefault="009A7EC3" w:rsidP="009A7EC3">
            <w:pPr>
              <w:pStyle w:val="ASSADACCESStablecentre"/>
            </w:pPr>
            <w:r w:rsidRPr="002E5727">
              <w:rPr>
                <w:bCs w:val="0"/>
                <w:color w:val="000000"/>
              </w:rPr>
              <w:t>4^</w:t>
            </w:r>
          </w:p>
        </w:tc>
        <w:tc>
          <w:tcPr>
            <w:tcW w:w="879" w:type="dxa"/>
            <w:shd w:val="clear" w:color="auto" w:fill="auto"/>
          </w:tcPr>
          <w:p w14:paraId="55217C41" w14:textId="23868DAB" w:rsidR="009A7EC3" w:rsidRPr="00DE25AD" w:rsidRDefault="009A7EC3" w:rsidP="009A7EC3">
            <w:pPr>
              <w:pStyle w:val="ASSADACCESStablecentre"/>
            </w:pPr>
            <w:r w:rsidRPr="002E5727">
              <w:rPr>
                <w:bCs w:val="0"/>
                <w:color w:val="000000"/>
              </w:rPr>
              <w:t>4^</w:t>
            </w:r>
          </w:p>
        </w:tc>
        <w:tc>
          <w:tcPr>
            <w:tcW w:w="879" w:type="dxa"/>
            <w:shd w:val="clear" w:color="auto" w:fill="auto"/>
          </w:tcPr>
          <w:p w14:paraId="00A89CDD" w14:textId="7BF596EF" w:rsidR="009A7EC3" w:rsidRPr="00DE25AD" w:rsidRDefault="009A7EC3" w:rsidP="009A7EC3">
            <w:pPr>
              <w:pStyle w:val="ASSADACCESStablecentre"/>
            </w:pPr>
            <w:r>
              <w:rPr>
                <w:bCs w:val="0"/>
                <w:color w:val="000000"/>
              </w:rPr>
              <w:t>4</w:t>
            </w:r>
            <w:r w:rsidRPr="002E5727">
              <w:rPr>
                <w:bCs w:val="0"/>
                <w:color w:val="000000"/>
              </w:rPr>
              <w:t>^</w:t>
            </w:r>
          </w:p>
        </w:tc>
      </w:tr>
    </w:tbl>
    <w:p w14:paraId="2A412094" w14:textId="7A9126D5" w:rsidR="00D7479A" w:rsidRDefault="00D7479A" w:rsidP="00D7479A">
      <w:pPr>
        <w:pStyle w:val="ASSAD2017CWTablenote1"/>
      </w:pPr>
      <w:r>
        <w:t>* Significantly different than 2017, p&lt;.01; ^ Significantly different than 1996, p&lt;.01.</w:t>
      </w:r>
    </w:p>
    <w:p w14:paraId="2D8BB144" w14:textId="631C4927" w:rsidR="00AC50E8" w:rsidRDefault="00AC50E8" w:rsidP="00D7479A">
      <w:pPr>
        <w:pStyle w:val="ASSAD2017CWTablenote1"/>
      </w:pPr>
    </w:p>
    <w:p w14:paraId="4F2F59FF" w14:textId="669C7D00" w:rsidR="00AC50E8" w:rsidRDefault="00AC50E8">
      <w:pPr>
        <w:suppressAutoHyphens w:val="0"/>
        <w:rPr>
          <w:rFonts w:ascii="Arial" w:eastAsia="Arial" w:hAnsi="Arial" w:cs="Arial"/>
          <w:sz w:val="18"/>
          <w:szCs w:val="18"/>
          <w:lang w:val="en-AU"/>
        </w:rPr>
      </w:pPr>
      <w:r>
        <w:br w:type="page"/>
      </w:r>
    </w:p>
    <w:p w14:paraId="37EF2D55" w14:textId="7DB00849" w:rsidR="00AC50E8" w:rsidRPr="0046446A" w:rsidRDefault="00AC50E8" w:rsidP="00AC50E8">
      <w:pPr>
        <w:pStyle w:val="ASSAD2017TableHeading"/>
      </w:pPr>
      <w:bookmarkStart w:id="85" w:name="_Toc44060501"/>
      <w:r w:rsidRPr="0046446A">
        <w:lastRenderedPageBreak/>
        <w:t xml:space="preserve">Table </w:t>
      </w:r>
      <w:r>
        <w:t>14</w:t>
      </w:r>
      <w:r w:rsidRPr="0046446A">
        <w:t xml:space="preserve"> </w:t>
      </w:r>
      <w:r>
        <w:t>Prevalence</w:t>
      </w:r>
      <w:r w:rsidRPr="0046446A">
        <w:t xml:space="preserve"> of </w:t>
      </w:r>
      <w:r>
        <w:t>cocaine use</w:t>
      </w:r>
      <w:r w:rsidRPr="0046446A">
        <w:t xml:space="preserve"> among secondary students aged 12-1</w:t>
      </w:r>
      <w:r>
        <w:t>5, 16-17, &amp; 12-17</w:t>
      </w:r>
      <w:r w:rsidRPr="0046446A">
        <w:t xml:space="preserve"> in Australia, ASSAD 1996-2017</w:t>
      </w:r>
      <w:bookmarkEnd w:id="85"/>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AC50E8" w:rsidRPr="00DE25AD" w14:paraId="64A4A9B8" w14:textId="77777777" w:rsidTr="005F678B">
        <w:trPr>
          <w:tblHeader/>
        </w:trPr>
        <w:tc>
          <w:tcPr>
            <w:tcW w:w="1517" w:type="dxa"/>
            <w:tcMar>
              <w:left w:w="57" w:type="dxa"/>
            </w:tcMar>
          </w:tcPr>
          <w:p w14:paraId="6DAAE6A6" w14:textId="77777777" w:rsidR="00AC50E8" w:rsidRPr="00DE25AD" w:rsidRDefault="00AC50E8"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505F672A" w14:textId="77777777" w:rsidR="00AC50E8" w:rsidRPr="00DE25AD" w:rsidRDefault="00AC50E8" w:rsidP="005F678B">
            <w:pPr>
              <w:pStyle w:val="ACCESSTableHeaderRow"/>
            </w:pPr>
          </w:p>
        </w:tc>
        <w:tc>
          <w:tcPr>
            <w:tcW w:w="878" w:type="dxa"/>
            <w:shd w:val="clear" w:color="auto" w:fill="auto"/>
            <w:vAlign w:val="bottom"/>
          </w:tcPr>
          <w:p w14:paraId="77058FA5" w14:textId="77777777" w:rsidR="00AC50E8" w:rsidRPr="00DE25AD" w:rsidRDefault="00AC50E8" w:rsidP="005F678B">
            <w:pPr>
              <w:pStyle w:val="ACCESSTableHeaderRow"/>
              <w:jc w:val="center"/>
            </w:pPr>
            <w:r>
              <w:t>1996</w:t>
            </w:r>
          </w:p>
          <w:p w14:paraId="2B64A188" w14:textId="77777777" w:rsidR="00AC50E8" w:rsidRPr="00DE25AD" w:rsidRDefault="00AC50E8" w:rsidP="005F678B">
            <w:pPr>
              <w:pStyle w:val="ACCESSTableHeaderRow"/>
              <w:jc w:val="center"/>
            </w:pPr>
            <w:r w:rsidRPr="00DE25AD">
              <w:t>(%)</w:t>
            </w:r>
          </w:p>
        </w:tc>
        <w:tc>
          <w:tcPr>
            <w:tcW w:w="879" w:type="dxa"/>
            <w:shd w:val="clear" w:color="auto" w:fill="auto"/>
            <w:vAlign w:val="bottom"/>
          </w:tcPr>
          <w:p w14:paraId="4E95AA28" w14:textId="77777777" w:rsidR="00AC50E8" w:rsidRPr="00DE25AD" w:rsidRDefault="00AC50E8" w:rsidP="005F678B">
            <w:pPr>
              <w:pStyle w:val="ACCESSTableHeaderRow"/>
              <w:jc w:val="center"/>
            </w:pPr>
            <w:r w:rsidRPr="00DE25AD">
              <w:t>1</w:t>
            </w:r>
            <w:r>
              <w:t>999</w:t>
            </w:r>
          </w:p>
          <w:p w14:paraId="5EADB2DF" w14:textId="77777777" w:rsidR="00AC50E8" w:rsidRPr="00DE25AD" w:rsidRDefault="00AC50E8" w:rsidP="005F678B">
            <w:pPr>
              <w:pStyle w:val="ACCESSTableHeaderRow"/>
              <w:jc w:val="center"/>
            </w:pPr>
            <w:r w:rsidRPr="00DE25AD">
              <w:t>(%)</w:t>
            </w:r>
          </w:p>
        </w:tc>
        <w:tc>
          <w:tcPr>
            <w:tcW w:w="879" w:type="dxa"/>
            <w:shd w:val="clear" w:color="auto" w:fill="auto"/>
            <w:vAlign w:val="bottom"/>
          </w:tcPr>
          <w:p w14:paraId="48B3F5E5" w14:textId="77777777" w:rsidR="00AC50E8" w:rsidRPr="00DE25AD" w:rsidRDefault="00AC50E8" w:rsidP="005F678B">
            <w:pPr>
              <w:pStyle w:val="ACCESSTableHeaderRow"/>
              <w:jc w:val="center"/>
            </w:pPr>
            <w:r>
              <w:t>2002</w:t>
            </w:r>
          </w:p>
          <w:p w14:paraId="3AED26B6" w14:textId="77777777" w:rsidR="00AC50E8" w:rsidRPr="00DE25AD" w:rsidRDefault="00AC50E8" w:rsidP="005F678B">
            <w:pPr>
              <w:pStyle w:val="ACCESSTableHeaderRow"/>
              <w:jc w:val="center"/>
            </w:pPr>
            <w:r w:rsidRPr="00DE25AD">
              <w:t>(%)</w:t>
            </w:r>
          </w:p>
        </w:tc>
        <w:tc>
          <w:tcPr>
            <w:tcW w:w="879" w:type="dxa"/>
            <w:shd w:val="clear" w:color="auto" w:fill="auto"/>
            <w:vAlign w:val="bottom"/>
          </w:tcPr>
          <w:p w14:paraId="36F2E9C3" w14:textId="77777777" w:rsidR="00AC50E8" w:rsidRPr="00DE25AD" w:rsidRDefault="00AC50E8" w:rsidP="005F678B">
            <w:pPr>
              <w:pStyle w:val="ACCESSTableHeaderRow"/>
              <w:jc w:val="center"/>
            </w:pPr>
            <w:r>
              <w:t>200</w:t>
            </w:r>
            <w:r w:rsidRPr="00DE25AD">
              <w:t>5</w:t>
            </w:r>
          </w:p>
          <w:p w14:paraId="1FFEA8EC" w14:textId="77777777" w:rsidR="00AC50E8" w:rsidRPr="00DE25AD" w:rsidRDefault="00AC50E8" w:rsidP="005F678B">
            <w:pPr>
              <w:pStyle w:val="ACCESSTableHeaderRow"/>
              <w:jc w:val="center"/>
            </w:pPr>
            <w:r w:rsidRPr="00DE25AD">
              <w:t>(%)</w:t>
            </w:r>
          </w:p>
        </w:tc>
        <w:tc>
          <w:tcPr>
            <w:tcW w:w="879" w:type="dxa"/>
            <w:shd w:val="clear" w:color="auto" w:fill="auto"/>
            <w:vAlign w:val="bottom"/>
          </w:tcPr>
          <w:p w14:paraId="07A3195D" w14:textId="77777777" w:rsidR="00AC50E8" w:rsidRPr="00DE25AD" w:rsidRDefault="00AC50E8" w:rsidP="005F678B">
            <w:pPr>
              <w:pStyle w:val="ACCESSTableHeaderRow"/>
              <w:jc w:val="center"/>
            </w:pPr>
            <w:r>
              <w:t>2008</w:t>
            </w:r>
          </w:p>
          <w:p w14:paraId="1710BE08" w14:textId="77777777" w:rsidR="00AC50E8" w:rsidRPr="00DE25AD" w:rsidRDefault="00AC50E8" w:rsidP="005F678B">
            <w:pPr>
              <w:pStyle w:val="ACCESSTableHeaderRow"/>
              <w:jc w:val="center"/>
            </w:pPr>
            <w:r w:rsidRPr="00DE25AD">
              <w:t>(%)</w:t>
            </w:r>
          </w:p>
        </w:tc>
        <w:tc>
          <w:tcPr>
            <w:tcW w:w="879" w:type="dxa"/>
            <w:shd w:val="clear" w:color="auto" w:fill="auto"/>
            <w:vAlign w:val="bottom"/>
          </w:tcPr>
          <w:p w14:paraId="78570A0D" w14:textId="77777777" w:rsidR="00AC50E8" w:rsidRPr="00DE25AD" w:rsidRDefault="00AC50E8" w:rsidP="005F678B">
            <w:pPr>
              <w:pStyle w:val="ACCESSTableHeaderRow"/>
              <w:jc w:val="center"/>
            </w:pPr>
            <w:r>
              <w:t>2011</w:t>
            </w:r>
          </w:p>
          <w:p w14:paraId="3E298A10" w14:textId="77777777" w:rsidR="00AC50E8" w:rsidRPr="00DE25AD" w:rsidRDefault="00AC50E8" w:rsidP="005F678B">
            <w:pPr>
              <w:pStyle w:val="ACCESSTableHeaderRow"/>
              <w:jc w:val="center"/>
            </w:pPr>
            <w:r w:rsidRPr="00DE25AD">
              <w:t>(%)</w:t>
            </w:r>
          </w:p>
        </w:tc>
        <w:tc>
          <w:tcPr>
            <w:tcW w:w="879" w:type="dxa"/>
            <w:shd w:val="clear" w:color="auto" w:fill="auto"/>
            <w:vAlign w:val="bottom"/>
          </w:tcPr>
          <w:p w14:paraId="5AA24CAC" w14:textId="77777777" w:rsidR="00AC50E8" w:rsidRDefault="00AC50E8" w:rsidP="005F678B">
            <w:pPr>
              <w:pStyle w:val="ACCESSTableHeaderRow"/>
              <w:jc w:val="center"/>
            </w:pPr>
            <w:r>
              <w:t>2014</w:t>
            </w:r>
          </w:p>
          <w:p w14:paraId="1F64398E" w14:textId="77777777" w:rsidR="00AC50E8" w:rsidRPr="00DE25AD" w:rsidRDefault="00AC50E8" w:rsidP="005F678B">
            <w:pPr>
              <w:pStyle w:val="ACCESSTableHeaderRow"/>
              <w:jc w:val="center"/>
            </w:pPr>
            <w:r>
              <w:t>(%)</w:t>
            </w:r>
          </w:p>
        </w:tc>
        <w:tc>
          <w:tcPr>
            <w:tcW w:w="879" w:type="dxa"/>
            <w:shd w:val="clear" w:color="auto" w:fill="auto"/>
            <w:vAlign w:val="bottom"/>
          </w:tcPr>
          <w:p w14:paraId="6300B29C" w14:textId="61C1CD7C" w:rsidR="00AC50E8" w:rsidRDefault="00AC50E8" w:rsidP="005F678B">
            <w:pPr>
              <w:pStyle w:val="ACCESSTableHeaderRow"/>
              <w:jc w:val="center"/>
            </w:pPr>
            <w:r>
              <w:t>2017</w:t>
            </w:r>
          </w:p>
          <w:p w14:paraId="2CD0E317" w14:textId="77777777" w:rsidR="00AC50E8" w:rsidRPr="00DE25AD" w:rsidRDefault="00AC50E8" w:rsidP="005F678B">
            <w:pPr>
              <w:pStyle w:val="ACCESSTableHeaderRow"/>
              <w:jc w:val="center"/>
            </w:pPr>
            <w:r w:rsidRPr="00DE25AD">
              <w:t>(%)</w:t>
            </w:r>
          </w:p>
        </w:tc>
      </w:tr>
      <w:tr w:rsidR="00AC50E8" w:rsidRPr="00DE25AD" w14:paraId="58E02598" w14:textId="77777777" w:rsidTr="005F678B">
        <w:trPr>
          <w:tblHeader/>
        </w:trPr>
        <w:tc>
          <w:tcPr>
            <w:tcW w:w="1517" w:type="dxa"/>
            <w:tcMar>
              <w:left w:w="57" w:type="dxa"/>
            </w:tcMar>
          </w:tcPr>
          <w:p w14:paraId="1C0FD2CF" w14:textId="77777777" w:rsidR="00AC50E8" w:rsidRPr="00DE25AD" w:rsidRDefault="00AC50E8" w:rsidP="005F678B">
            <w:pPr>
              <w:pStyle w:val="ACCESSTableHeaderRow"/>
            </w:pPr>
            <w:r>
              <w:t>Aged 12-15</w:t>
            </w:r>
          </w:p>
        </w:tc>
        <w:tc>
          <w:tcPr>
            <w:tcW w:w="1068" w:type="dxa"/>
            <w:shd w:val="clear" w:color="auto" w:fill="auto"/>
            <w:tcMar>
              <w:left w:w="57" w:type="dxa"/>
            </w:tcMar>
            <w:vAlign w:val="center"/>
          </w:tcPr>
          <w:p w14:paraId="2617164F" w14:textId="77777777" w:rsidR="00AC50E8" w:rsidRPr="00DE25AD" w:rsidRDefault="00AC50E8" w:rsidP="005F678B">
            <w:pPr>
              <w:pStyle w:val="ACCESSTableHeaderRow"/>
            </w:pPr>
          </w:p>
        </w:tc>
        <w:tc>
          <w:tcPr>
            <w:tcW w:w="878" w:type="dxa"/>
            <w:shd w:val="clear" w:color="auto" w:fill="auto"/>
            <w:vAlign w:val="bottom"/>
          </w:tcPr>
          <w:p w14:paraId="5EBF96A2" w14:textId="77777777" w:rsidR="00AC50E8" w:rsidRPr="00DE25AD" w:rsidRDefault="00AC50E8" w:rsidP="005F678B">
            <w:pPr>
              <w:pStyle w:val="ACCESSTableHeaderRow"/>
            </w:pPr>
          </w:p>
        </w:tc>
        <w:tc>
          <w:tcPr>
            <w:tcW w:w="879" w:type="dxa"/>
            <w:shd w:val="clear" w:color="auto" w:fill="auto"/>
            <w:vAlign w:val="bottom"/>
          </w:tcPr>
          <w:p w14:paraId="7702BF0E" w14:textId="77777777" w:rsidR="00AC50E8" w:rsidRPr="00DE25AD" w:rsidRDefault="00AC50E8" w:rsidP="005F678B">
            <w:pPr>
              <w:pStyle w:val="ACCESSTableHeaderRow"/>
            </w:pPr>
          </w:p>
        </w:tc>
        <w:tc>
          <w:tcPr>
            <w:tcW w:w="879" w:type="dxa"/>
            <w:shd w:val="clear" w:color="auto" w:fill="auto"/>
            <w:vAlign w:val="bottom"/>
          </w:tcPr>
          <w:p w14:paraId="3F68861B" w14:textId="77777777" w:rsidR="00AC50E8" w:rsidRPr="00DE25AD" w:rsidRDefault="00AC50E8" w:rsidP="005F678B">
            <w:pPr>
              <w:pStyle w:val="ACCESSTableHeaderRow"/>
            </w:pPr>
          </w:p>
        </w:tc>
        <w:tc>
          <w:tcPr>
            <w:tcW w:w="879" w:type="dxa"/>
            <w:shd w:val="clear" w:color="auto" w:fill="auto"/>
            <w:vAlign w:val="bottom"/>
          </w:tcPr>
          <w:p w14:paraId="27ED83C4" w14:textId="77777777" w:rsidR="00AC50E8" w:rsidRPr="00DE25AD" w:rsidRDefault="00AC50E8" w:rsidP="005F678B">
            <w:pPr>
              <w:pStyle w:val="ACCESSTableHeaderRow"/>
            </w:pPr>
          </w:p>
        </w:tc>
        <w:tc>
          <w:tcPr>
            <w:tcW w:w="879" w:type="dxa"/>
            <w:shd w:val="clear" w:color="auto" w:fill="auto"/>
            <w:vAlign w:val="bottom"/>
          </w:tcPr>
          <w:p w14:paraId="5DE4B464" w14:textId="77777777" w:rsidR="00AC50E8" w:rsidRPr="00DE25AD" w:rsidRDefault="00AC50E8" w:rsidP="005F678B">
            <w:pPr>
              <w:pStyle w:val="ACCESSTableHeaderRow"/>
            </w:pPr>
          </w:p>
        </w:tc>
        <w:tc>
          <w:tcPr>
            <w:tcW w:w="879" w:type="dxa"/>
            <w:shd w:val="clear" w:color="auto" w:fill="auto"/>
            <w:vAlign w:val="bottom"/>
          </w:tcPr>
          <w:p w14:paraId="29E95764" w14:textId="77777777" w:rsidR="00AC50E8" w:rsidRPr="00DE25AD" w:rsidRDefault="00AC50E8" w:rsidP="005F678B">
            <w:pPr>
              <w:pStyle w:val="ACCESSTableHeaderRow"/>
            </w:pPr>
          </w:p>
        </w:tc>
        <w:tc>
          <w:tcPr>
            <w:tcW w:w="879" w:type="dxa"/>
            <w:shd w:val="clear" w:color="auto" w:fill="auto"/>
            <w:vAlign w:val="bottom"/>
          </w:tcPr>
          <w:p w14:paraId="77CA62DA" w14:textId="77777777" w:rsidR="00AC50E8" w:rsidRPr="00DE25AD" w:rsidRDefault="00AC50E8" w:rsidP="005F678B">
            <w:pPr>
              <w:pStyle w:val="ACCESSTableHeaderRow"/>
            </w:pPr>
          </w:p>
        </w:tc>
        <w:tc>
          <w:tcPr>
            <w:tcW w:w="879" w:type="dxa"/>
            <w:shd w:val="clear" w:color="auto" w:fill="auto"/>
            <w:vAlign w:val="bottom"/>
          </w:tcPr>
          <w:p w14:paraId="2A3F48FF" w14:textId="77777777" w:rsidR="00AC50E8" w:rsidRPr="00DE25AD" w:rsidRDefault="00AC50E8" w:rsidP="005F678B">
            <w:pPr>
              <w:pStyle w:val="ACCESSTableHeaderRow"/>
            </w:pPr>
          </w:p>
        </w:tc>
      </w:tr>
      <w:tr w:rsidR="00AC50E8" w:rsidRPr="00DE25AD" w14:paraId="6F4B1EC5" w14:textId="77777777" w:rsidTr="005F678B">
        <w:tc>
          <w:tcPr>
            <w:tcW w:w="1517" w:type="dxa"/>
            <w:tcMar>
              <w:left w:w="57" w:type="dxa"/>
            </w:tcMar>
          </w:tcPr>
          <w:p w14:paraId="2A0F1295" w14:textId="77777777" w:rsidR="00AC50E8" w:rsidRDefault="00AC50E8" w:rsidP="005F678B">
            <w:pPr>
              <w:pStyle w:val="ACCESSTableHeaderRow"/>
            </w:pPr>
            <w:r w:rsidRPr="00DE25AD">
              <w:t>Recency</w:t>
            </w:r>
          </w:p>
        </w:tc>
        <w:tc>
          <w:tcPr>
            <w:tcW w:w="1068" w:type="dxa"/>
            <w:shd w:val="clear" w:color="auto" w:fill="auto"/>
            <w:tcMar>
              <w:left w:w="57" w:type="dxa"/>
            </w:tcMar>
            <w:vAlign w:val="center"/>
          </w:tcPr>
          <w:p w14:paraId="1F48BA38" w14:textId="77777777" w:rsidR="00AC50E8" w:rsidRPr="00DE25AD" w:rsidRDefault="00AC50E8" w:rsidP="005F678B">
            <w:pPr>
              <w:pStyle w:val="ASSAD2017ACCESSBody1"/>
            </w:pPr>
            <w:r w:rsidRPr="005C5B03">
              <w:rPr>
                <w:b/>
                <w:bCs w:val="0"/>
              </w:rPr>
              <w:t>Sex</w:t>
            </w:r>
          </w:p>
        </w:tc>
        <w:tc>
          <w:tcPr>
            <w:tcW w:w="878" w:type="dxa"/>
            <w:shd w:val="clear" w:color="auto" w:fill="auto"/>
          </w:tcPr>
          <w:p w14:paraId="441CB2E3" w14:textId="77777777" w:rsidR="00AC50E8" w:rsidRPr="00DE25AD" w:rsidRDefault="00AC50E8" w:rsidP="005F678B">
            <w:pPr>
              <w:pStyle w:val="ASSADACCESStablecentre"/>
            </w:pPr>
          </w:p>
        </w:tc>
        <w:tc>
          <w:tcPr>
            <w:tcW w:w="879" w:type="dxa"/>
            <w:shd w:val="clear" w:color="auto" w:fill="auto"/>
          </w:tcPr>
          <w:p w14:paraId="1C077F51" w14:textId="77777777" w:rsidR="00AC50E8" w:rsidRPr="00DE25AD" w:rsidRDefault="00AC50E8" w:rsidP="005F678B">
            <w:pPr>
              <w:pStyle w:val="ASSADACCESStablecentre"/>
            </w:pPr>
          </w:p>
        </w:tc>
        <w:tc>
          <w:tcPr>
            <w:tcW w:w="879" w:type="dxa"/>
            <w:shd w:val="clear" w:color="auto" w:fill="auto"/>
          </w:tcPr>
          <w:p w14:paraId="66ABF986" w14:textId="77777777" w:rsidR="00AC50E8" w:rsidRPr="00DE25AD" w:rsidRDefault="00AC50E8" w:rsidP="005F678B">
            <w:pPr>
              <w:pStyle w:val="ASSADACCESStablecentre"/>
            </w:pPr>
          </w:p>
        </w:tc>
        <w:tc>
          <w:tcPr>
            <w:tcW w:w="879" w:type="dxa"/>
            <w:shd w:val="clear" w:color="auto" w:fill="auto"/>
          </w:tcPr>
          <w:p w14:paraId="6E90853C" w14:textId="77777777" w:rsidR="00AC50E8" w:rsidRPr="00DE25AD" w:rsidRDefault="00AC50E8" w:rsidP="005F678B">
            <w:pPr>
              <w:pStyle w:val="ASSADACCESStablecentre"/>
            </w:pPr>
          </w:p>
        </w:tc>
        <w:tc>
          <w:tcPr>
            <w:tcW w:w="879" w:type="dxa"/>
            <w:shd w:val="clear" w:color="auto" w:fill="auto"/>
          </w:tcPr>
          <w:p w14:paraId="39543CCB" w14:textId="77777777" w:rsidR="00AC50E8" w:rsidRPr="00DE25AD" w:rsidRDefault="00AC50E8" w:rsidP="005F678B">
            <w:pPr>
              <w:pStyle w:val="ASSADACCESStablecentre"/>
            </w:pPr>
          </w:p>
        </w:tc>
        <w:tc>
          <w:tcPr>
            <w:tcW w:w="879" w:type="dxa"/>
            <w:shd w:val="clear" w:color="auto" w:fill="auto"/>
          </w:tcPr>
          <w:p w14:paraId="6FAD0418" w14:textId="77777777" w:rsidR="00AC50E8" w:rsidRPr="00DE25AD" w:rsidRDefault="00AC50E8" w:rsidP="005F678B">
            <w:pPr>
              <w:pStyle w:val="ASSADACCESStablecentre"/>
            </w:pPr>
          </w:p>
        </w:tc>
        <w:tc>
          <w:tcPr>
            <w:tcW w:w="879" w:type="dxa"/>
            <w:shd w:val="clear" w:color="auto" w:fill="auto"/>
          </w:tcPr>
          <w:p w14:paraId="5B831071" w14:textId="77777777" w:rsidR="00AC50E8" w:rsidRPr="00DE25AD" w:rsidRDefault="00AC50E8" w:rsidP="005F678B">
            <w:pPr>
              <w:pStyle w:val="ASSADACCESStablecentre"/>
            </w:pPr>
          </w:p>
        </w:tc>
        <w:tc>
          <w:tcPr>
            <w:tcW w:w="879" w:type="dxa"/>
            <w:shd w:val="clear" w:color="auto" w:fill="auto"/>
          </w:tcPr>
          <w:p w14:paraId="4E1AA57A" w14:textId="77777777" w:rsidR="00AC50E8" w:rsidRPr="00DE25AD" w:rsidRDefault="00AC50E8" w:rsidP="005F678B">
            <w:pPr>
              <w:pStyle w:val="ASSADACCESStablecentre"/>
            </w:pPr>
          </w:p>
        </w:tc>
      </w:tr>
      <w:tr w:rsidR="009A7EC3" w:rsidRPr="00DE25AD" w14:paraId="5F5BA541" w14:textId="77777777" w:rsidTr="005F678B">
        <w:tc>
          <w:tcPr>
            <w:tcW w:w="1517" w:type="dxa"/>
            <w:tcMar>
              <w:left w:w="57" w:type="dxa"/>
            </w:tcMar>
          </w:tcPr>
          <w:p w14:paraId="2FE8698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0224FA32" w14:textId="77777777" w:rsidR="009A7EC3" w:rsidRPr="00DE25AD" w:rsidRDefault="009A7EC3" w:rsidP="009A7EC3">
            <w:pPr>
              <w:pStyle w:val="ASSAD2017ACCESSBody1"/>
            </w:pPr>
            <w:r w:rsidRPr="00DE25AD">
              <w:t>Male</w:t>
            </w:r>
          </w:p>
        </w:tc>
        <w:tc>
          <w:tcPr>
            <w:tcW w:w="878" w:type="dxa"/>
            <w:shd w:val="clear" w:color="auto" w:fill="auto"/>
          </w:tcPr>
          <w:p w14:paraId="5F9F12B3" w14:textId="3284B6A1" w:rsidR="009A7EC3" w:rsidRPr="00DE25AD" w:rsidRDefault="009A7EC3" w:rsidP="009A7EC3">
            <w:pPr>
              <w:pStyle w:val="ASSADACCESStablecentre"/>
            </w:pPr>
            <w:r w:rsidRPr="002E5727">
              <w:rPr>
                <w:bCs w:val="0"/>
                <w:color w:val="000000"/>
              </w:rPr>
              <w:t>5*</w:t>
            </w:r>
          </w:p>
        </w:tc>
        <w:tc>
          <w:tcPr>
            <w:tcW w:w="879" w:type="dxa"/>
            <w:shd w:val="clear" w:color="auto" w:fill="auto"/>
          </w:tcPr>
          <w:p w14:paraId="749D4241" w14:textId="285F0479" w:rsidR="009A7EC3" w:rsidRPr="00DE25AD" w:rsidRDefault="009A7EC3" w:rsidP="009A7EC3">
            <w:pPr>
              <w:pStyle w:val="ASSADACCESStablecentre"/>
            </w:pPr>
            <w:r w:rsidRPr="002E5727">
              <w:rPr>
                <w:bCs w:val="0"/>
                <w:color w:val="000000"/>
              </w:rPr>
              <w:t>4*</w:t>
            </w:r>
          </w:p>
        </w:tc>
        <w:tc>
          <w:tcPr>
            <w:tcW w:w="879" w:type="dxa"/>
            <w:shd w:val="clear" w:color="auto" w:fill="auto"/>
          </w:tcPr>
          <w:p w14:paraId="5003B7AA" w14:textId="603B6275" w:rsidR="009A7EC3" w:rsidRPr="00DE25AD" w:rsidRDefault="009A7EC3" w:rsidP="009A7EC3">
            <w:pPr>
              <w:pStyle w:val="ASSADACCESStablecentre"/>
            </w:pPr>
            <w:r w:rsidRPr="002E5727">
              <w:rPr>
                <w:bCs w:val="0"/>
                <w:color w:val="000000"/>
              </w:rPr>
              <w:t>4*^</w:t>
            </w:r>
          </w:p>
        </w:tc>
        <w:tc>
          <w:tcPr>
            <w:tcW w:w="879" w:type="dxa"/>
            <w:shd w:val="clear" w:color="auto" w:fill="auto"/>
          </w:tcPr>
          <w:p w14:paraId="39A9DEEF" w14:textId="613D0DCD" w:rsidR="009A7EC3" w:rsidRPr="00DE25AD" w:rsidRDefault="009A7EC3" w:rsidP="009A7EC3">
            <w:pPr>
              <w:pStyle w:val="ASSADACCESStablecentre"/>
            </w:pPr>
            <w:r w:rsidRPr="002E5727">
              <w:rPr>
                <w:bCs w:val="0"/>
                <w:color w:val="000000"/>
              </w:rPr>
              <w:t>3*^</w:t>
            </w:r>
          </w:p>
        </w:tc>
        <w:tc>
          <w:tcPr>
            <w:tcW w:w="879" w:type="dxa"/>
            <w:shd w:val="clear" w:color="auto" w:fill="auto"/>
          </w:tcPr>
          <w:p w14:paraId="44DA3910" w14:textId="7E474F81" w:rsidR="009A7EC3" w:rsidRPr="00DE25AD" w:rsidRDefault="009A7EC3" w:rsidP="009A7EC3">
            <w:pPr>
              <w:pStyle w:val="ASSADACCESStablecentre"/>
            </w:pPr>
            <w:r w:rsidRPr="002E5727">
              <w:rPr>
                <w:bCs w:val="0"/>
                <w:color w:val="000000"/>
              </w:rPr>
              <w:t>2^</w:t>
            </w:r>
          </w:p>
        </w:tc>
        <w:tc>
          <w:tcPr>
            <w:tcW w:w="879" w:type="dxa"/>
            <w:shd w:val="clear" w:color="auto" w:fill="auto"/>
          </w:tcPr>
          <w:p w14:paraId="02CBE42C" w14:textId="10C2067F" w:rsidR="009A7EC3" w:rsidRPr="00DE25AD" w:rsidRDefault="009A7EC3" w:rsidP="009A7EC3">
            <w:pPr>
              <w:pStyle w:val="ASSADACCESStablecentre"/>
            </w:pPr>
            <w:r w:rsidRPr="002E5727">
              <w:rPr>
                <w:bCs w:val="0"/>
                <w:color w:val="000000"/>
              </w:rPr>
              <w:t>2^</w:t>
            </w:r>
          </w:p>
        </w:tc>
        <w:tc>
          <w:tcPr>
            <w:tcW w:w="879" w:type="dxa"/>
            <w:shd w:val="clear" w:color="auto" w:fill="auto"/>
          </w:tcPr>
          <w:p w14:paraId="62FD18CA" w14:textId="7E7FE8B6" w:rsidR="009A7EC3" w:rsidRPr="00DE25AD" w:rsidRDefault="009A7EC3" w:rsidP="009A7EC3">
            <w:pPr>
              <w:pStyle w:val="ASSADACCESStablecentre"/>
            </w:pPr>
            <w:r w:rsidRPr="002E5727">
              <w:rPr>
                <w:bCs w:val="0"/>
                <w:color w:val="000000"/>
              </w:rPr>
              <w:t>2^</w:t>
            </w:r>
          </w:p>
        </w:tc>
        <w:tc>
          <w:tcPr>
            <w:tcW w:w="879" w:type="dxa"/>
            <w:shd w:val="clear" w:color="auto" w:fill="auto"/>
          </w:tcPr>
          <w:p w14:paraId="22ACEF0E" w14:textId="0C0F7F43" w:rsidR="009A7EC3" w:rsidRPr="00DE25AD" w:rsidRDefault="009A7EC3" w:rsidP="009A7EC3">
            <w:pPr>
              <w:pStyle w:val="ASSADACCESStablecentre"/>
            </w:pPr>
            <w:r>
              <w:rPr>
                <w:bCs w:val="0"/>
                <w:color w:val="000000"/>
              </w:rPr>
              <w:t>1</w:t>
            </w:r>
            <w:r w:rsidRPr="002E5727">
              <w:rPr>
                <w:bCs w:val="0"/>
                <w:color w:val="000000"/>
              </w:rPr>
              <w:t>^</w:t>
            </w:r>
          </w:p>
        </w:tc>
      </w:tr>
      <w:tr w:rsidR="009A7EC3" w:rsidRPr="00DE25AD" w14:paraId="451F8EA5" w14:textId="77777777" w:rsidTr="005F678B">
        <w:tc>
          <w:tcPr>
            <w:tcW w:w="1517" w:type="dxa"/>
            <w:tcMar>
              <w:left w:w="57" w:type="dxa"/>
            </w:tcMar>
          </w:tcPr>
          <w:p w14:paraId="59DF9F28" w14:textId="77777777" w:rsidR="009A7EC3" w:rsidRPr="00DE25AD" w:rsidRDefault="009A7EC3" w:rsidP="009A7EC3">
            <w:pPr>
              <w:pStyle w:val="ACCESSTableHeaderRow"/>
            </w:pPr>
          </w:p>
        </w:tc>
        <w:tc>
          <w:tcPr>
            <w:tcW w:w="1068" w:type="dxa"/>
            <w:shd w:val="clear" w:color="auto" w:fill="auto"/>
            <w:tcMar>
              <w:left w:w="57" w:type="dxa"/>
            </w:tcMar>
            <w:vAlign w:val="bottom"/>
          </w:tcPr>
          <w:p w14:paraId="72E994A0" w14:textId="77777777" w:rsidR="009A7EC3" w:rsidRPr="00DE25AD" w:rsidRDefault="009A7EC3" w:rsidP="009A7EC3">
            <w:pPr>
              <w:pStyle w:val="ASSAD2017ACCESSBody1"/>
            </w:pPr>
            <w:r w:rsidRPr="00DE25AD">
              <w:t>Female</w:t>
            </w:r>
          </w:p>
        </w:tc>
        <w:tc>
          <w:tcPr>
            <w:tcW w:w="878" w:type="dxa"/>
            <w:shd w:val="clear" w:color="auto" w:fill="auto"/>
          </w:tcPr>
          <w:p w14:paraId="05F7A8D4" w14:textId="4991EB9B" w:rsidR="009A7EC3" w:rsidRPr="00DE25AD" w:rsidRDefault="009A7EC3" w:rsidP="009A7EC3">
            <w:pPr>
              <w:pStyle w:val="ASSADACCESStablecentre"/>
            </w:pPr>
            <w:r w:rsidRPr="002E5727">
              <w:rPr>
                <w:bCs w:val="0"/>
                <w:color w:val="000000"/>
              </w:rPr>
              <w:t>3*</w:t>
            </w:r>
          </w:p>
        </w:tc>
        <w:tc>
          <w:tcPr>
            <w:tcW w:w="879" w:type="dxa"/>
            <w:shd w:val="clear" w:color="auto" w:fill="auto"/>
          </w:tcPr>
          <w:p w14:paraId="0914734F" w14:textId="7E0870F9" w:rsidR="009A7EC3" w:rsidRPr="00DE25AD" w:rsidRDefault="009A7EC3" w:rsidP="009A7EC3">
            <w:pPr>
              <w:pStyle w:val="ASSADACCESStablecentre"/>
            </w:pPr>
            <w:r w:rsidRPr="002E5727">
              <w:rPr>
                <w:bCs w:val="0"/>
                <w:color w:val="000000"/>
              </w:rPr>
              <w:t>3*</w:t>
            </w:r>
          </w:p>
        </w:tc>
        <w:tc>
          <w:tcPr>
            <w:tcW w:w="879" w:type="dxa"/>
            <w:shd w:val="clear" w:color="auto" w:fill="auto"/>
          </w:tcPr>
          <w:p w14:paraId="70984A34" w14:textId="24E2EE3B" w:rsidR="009A7EC3" w:rsidRPr="00DE25AD" w:rsidRDefault="009A7EC3" w:rsidP="009A7EC3">
            <w:pPr>
              <w:pStyle w:val="ASSADACCESStablecentre"/>
            </w:pPr>
            <w:r w:rsidRPr="002E5727">
              <w:rPr>
                <w:bCs w:val="0"/>
                <w:color w:val="000000"/>
              </w:rPr>
              <w:t>2*</w:t>
            </w:r>
          </w:p>
        </w:tc>
        <w:tc>
          <w:tcPr>
            <w:tcW w:w="879" w:type="dxa"/>
            <w:shd w:val="clear" w:color="auto" w:fill="auto"/>
          </w:tcPr>
          <w:p w14:paraId="1D63A90D" w14:textId="30DA04F5" w:rsidR="009A7EC3" w:rsidRPr="00DE25AD" w:rsidRDefault="009A7EC3" w:rsidP="009A7EC3">
            <w:pPr>
              <w:pStyle w:val="ASSADACCESStablecentre"/>
            </w:pPr>
            <w:r w:rsidRPr="002E5727">
              <w:rPr>
                <w:bCs w:val="0"/>
                <w:color w:val="000000"/>
              </w:rPr>
              <w:t>2*</w:t>
            </w:r>
          </w:p>
        </w:tc>
        <w:tc>
          <w:tcPr>
            <w:tcW w:w="879" w:type="dxa"/>
            <w:shd w:val="clear" w:color="auto" w:fill="auto"/>
          </w:tcPr>
          <w:p w14:paraId="13590A74" w14:textId="36FCF555" w:rsidR="009A7EC3" w:rsidRPr="00DE25AD" w:rsidRDefault="009A7EC3" w:rsidP="009A7EC3">
            <w:pPr>
              <w:pStyle w:val="ASSADACCESStablecentre"/>
            </w:pPr>
            <w:r w:rsidRPr="002E5727">
              <w:rPr>
                <w:bCs w:val="0"/>
                <w:color w:val="000000"/>
              </w:rPr>
              <w:t>2^</w:t>
            </w:r>
          </w:p>
        </w:tc>
        <w:tc>
          <w:tcPr>
            <w:tcW w:w="879" w:type="dxa"/>
            <w:shd w:val="clear" w:color="auto" w:fill="auto"/>
          </w:tcPr>
          <w:p w14:paraId="59F2B67E" w14:textId="215C9EEA" w:rsidR="009A7EC3" w:rsidRPr="00DE25AD" w:rsidRDefault="009A7EC3" w:rsidP="009A7EC3">
            <w:pPr>
              <w:pStyle w:val="ASSADACCESStablecentre"/>
            </w:pPr>
            <w:r w:rsidRPr="002E5727">
              <w:rPr>
                <w:bCs w:val="0"/>
                <w:color w:val="000000"/>
              </w:rPr>
              <w:t>1^</w:t>
            </w:r>
          </w:p>
        </w:tc>
        <w:tc>
          <w:tcPr>
            <w:tcW w:w="879" w:type="dxa"/>
            <w:shd w:val="clear" w:color="auto" w:fill="auto"/>
          </w:tcPr>
          <w:p w14:paraId="4F4FDC02" w14:textId="79493319" w:rsidR="009A7EC3" w:rsidRPr="00DE25AD" w:rsidRDefault="009A7EC3" w:rsidP="009A7EC3">
            <w:pPr>
              <w:pStyle w:val="ASSADACCESStablecentre"/>
            </w:pPr>
            <w:r w:rsidRPr="002E5727">
              <w:rPr>
                <w:bCs w:val="0"/>
                <w:color w:val="000000"/>
              </w:rPr>
              <w:t>1^</w:t>
            </w:r>
          </w:p>
        </w:tc>
        <w:tc>
          <w:tcPr>
            <w:tcW w:w="879" w:type="dxa"/>
            <w:shd w:val="clear" w:color="auto" w:fill="auto"/>
          </w:tcPr>
          <w:p w14:paraId="45B82992" w14:textId="083A39DA" w:rsidR="009A7EC3" w:rsidRPr="00DE25AD" w:rsidRDefault="009A7EC3" w:rsidP="009A7EC3">
            <w:pPr>
              <w:pStyle w:val="ASSADACCESStablecentre"/>
            </w:pPr>
            <w:r w:rsidRPr="002E5727">
              <w:rPr>
                <w:bCs w:val="0"/>
                <w:color w:val="000000"/>
              </w:rPr>
              <w:t>1^</w:t>
            </w:r>
          </w:p>
        </w:tc>
      </w:tr>
      <w:tr w:rsidR="009A7EC3" w:rsidRPr="00DE25AD" w14:paraId="3D4E02E6" w14:textId="77777777" w:rsidTr="005F678B">
        <w:tc>
          <w:tcPr>
            <w:tcW w:w="1517" w:type="dxa"/>
            <w:tcMar>
              <w:left w:w="57" w:type="dxa"/>
            </w:tcMar>
          </w:tcPr>
          <w:p w14:paraId="66B02A27" w14:textId="77777777" w:rsidR="009A7EC3" w:rsidRPr="00DE25AD" w:rsidRDefault="009A7EC3" w:rsidP="009A7EC3">
            <w:pPr>
              <w:pStyle w:val="ACCESSTableHeaderRow"/>
            </w:pPr>
          </w:p>
        </w:tc>
        <w:tc>
          <w:tcPr>
            <w:tcW w:w="1068" w:type="dxa"/>
            <w:shd w:val="clear" w:color="auto" w:fill="auto"/>
            <w:tcMar>
              <w:left w:w="57" w:type="dxa"/>
            </w:tcMar>
            <w:vAlign w:val="bottom"/>
          </w:tcPr>
          <w:p w14:paraId="0F4E0EAF" w14:textId="77777777" w:rsidR="009A7EC3" w:rsidRPr="00DE25AD" w:rsidRDefault="009A7EC3" w:rsidP="009A7EC3">
            <w:pPr>
              <w:pStyle w:val="ASSAD2017ACCESSBody1"/>
            </w:pPr>
            <w:r w:rsidRPr="00DE25AD">
              <w:t>Total</w:t>
            </w:r>
          </w:p>
        </w:tc>
        <w:tc>
          <w:tcPr>
            <w:tcW w:w="878" w:type="dxa"/>
            <w:shd w:val="clear" w:color="auto" w:fill="auto"/>
          </w:tcPr>
          <w:p w14:paraId="4096145C" w14:textId="3CCA05BC" w:rsidR="009A7EC3" w:rsidRPr="00DE25AD" w:rsidRDefault="009A7EC3" w:rsidP="009A7EC3">
            <w:pPr>
              <w:pStyle w:val="ASSADACCESStablecentre"/>
            </w:pPr>
            <w:r w:rsidRPr="002E5727">
              <w:rPr>
                <w:bCs w:val="0"/>
                <w:color w:val="000000"/>
              </w:rPr>
              <w:t>4*</w:t>
            </w:r>
          </w:p>
        </w:tc>
        <w:tc>
          <w:tcPr>
            <w:tcW w:w="879" w:type="dxa"/>
            <w:shd w:val="clear" w:color="auto" w:fill="auto"/>
          </w:tcPr>
          <w:p w14:paraId="5897DD85" w14:textId="2D4AD736" w:rsidR="009A7EC3" w:rsidRPr="00DE25AD" w:rsidRDefault="009A7EC3" w:rsidP="009A7EC3">
            <w:pPr>
              <w:pStyle w:val="ASSADACCESStablecentre"/>
            </w:pPr>
            <w:r w:rsidRPr="002E5727">
              <w:rPr>
                <w:bCs w:val="0"/>
                <w:color w:val="000000"/>
              </w:rPr>
              <w:t>3*</w:t>
            </w:r>
          </w:p>
        </w:tc>
        <w:tc>
          <w:tcPr>
            <w:tcW w:w="879" w:type="dxa"/>
            <w:shd w:val="clear" w:color="auto" w:fill="auto"/>
          </w:tcPr>
          <w:p w14:paraId="551A17D3" w14:textId="2B2F0B42" w:rsidR="009A7EC3" w:rsidRPr="00DE25AD" w:rsidRDefault="009A7EC3" w:rsidP="009A7EC3">
            <w:pPr>
              <w:pStyle w:val="ASSADACCESStablecentre"/>
            </w:pPr>
            <w:r w:rsidRPr="002E5727">
              <w:rPr>
                <w:bCs w:val="0"/>
                <w:color w:val="000000"/>
              </w:rPr>
              <w:t>3*^</w:t>
            </w:r>
          </w:p>
        </w:tc>
        <w:tc>
          <w:tcPr>
            <w:tcW w:w="879" w:type="dxa"/>
            <w:shd w:val="clear" w:color="auto" w:fill="auto"/>
          </w:tcPr>
          <w:p w14:paraId="6510D1B1" w14:textId="46CFB83F" w:rsidR="009A7EC3" w:rsidRPr="00DE25AD" w:rsidRDefault="009A7EC3" w:rsidP="009A7EC3">
            <w:pPr>
              <w:pStyle w:val="ASSADACCESStablecentre"/>
            </w:pPr>
            <w:r w:rsidRPr="002E5727">
              <w:rPr>
                <w:bCs w:val="0"/>
                <w:color w:val="000000"/>
              </w:rPr>
              <w:t>3*^</w:t>
            </w:r>
          </w:p>
        </w:tc>
        <w:tc>
          <w:tcPr>
            <w:tcW w:w="879" w:type="dxa"/>
            <w:shd w:val="clear" w:color="auto" w:fill="auto"/>
          </w:tcPr>
          <w:p w14:paraId="51495D8C" w14:textId="29DC177D" w:rsidR="009A7EC3" w:rsidRPr="00DE25AD" w:rsidRDefault="009A7EC3" w:rsidP="009A7EC3">
            <w:pPr>
              <w:pStyle w:val="ASSADACCESStablecentre"/>
            </w:pPr>
            <w:r w:rsidRPr="002E5727">
              <w:rPr>
                <w:bCs w:val="0"/>
                <w:color w:val="000000"/>
              </w:rPr>
              <w:t>2</w:t>
            </w:r>
            <w:r>
              <w:rPr>
                <w:bCs w:val="0"/>
                <w:color w:val="000000"/>
              </w:rPr>
              <w:t>*</w:t>
            </w:r>
            <w:r w:rsidRPr="002E5727">
              <w:rPr>
                <w:bCs w:val="0"/>
                <w:color w:val="000000"/>
              </w:rPr>
              <w:t>^</w:t>
            </w:r>
          </w:p>
        </w:tc>
        <w:tc>
          <w:tcPr>
            <w:tcW w:w="879" w:type="dxa"/>
            <w:shd w:val="clear" w:color="auto" w:fill="auto"/>
          </w:tcPr>
          <w:p w14:paraId="0696B36E" w14:textId="7B7DDEA3" w:rsidR="009A7EC3" w:rsidRPr="00DE25AD" w:rsidRDefault="009A7EC3" w:rsidP="009A7EC3">
            <w:pPr>
              <w:pStyle w:val="ASSADACCESStablecentre"/>
            </w:pPr>
            <w:r w:rsidRPr="002E5727">
              <w:rPr>
                <w:bCs w:val="0"/>
                <w:color w:val="000000"/>
              </w:rPr>
              <w:t>1^</w:t>
            </w:r>
          </w:p>
        </w:tc>
        <w:tc>
          <w:tcPr>
            <w:tcW w:w="879" w:type="dxa"/>
            <w:shd w:val="clear" w:color="auto" w:fill="auto"/>
          </w:tcPr>
          <w:p w14:paraId="5E6E4831" w14:textId="26D31751" w:rsidR="009A7EC3" w:rsidRPr="00DE25AD" w:rsidRDefault="009A7EC3" w:rsidP="009A7EC3">
            <w:pPr>
              <w:pStyle w:val="ASSADACCESStablecentre"/>
            </w:pPr>
            <w:r w:rsidRPr="002E5727">
              <w:rPr>
                <w:bCs w:val="0"/>
                <w:color w:val="000000"/>
              </w:rPr>
              <w:t>2^</w:t>
            </w:r>
          </w:p>
        </w:tc>
        <w:tc>
          <w:tcPr>
            <w:tcW w:w="879" w:type="dxa"/>
            <w:shd w:val="clear" w:color="auto" w:fill="auto"/>
          </w:tcPr>
          <w:p w14:paraId="47D479B5" w14:textId="0B323AE5" w:rsidR="009A7EC3" w:rsidRPr="00DE25AD" w:rsidRDefault="009A7EC3" w:rsidP="009A7EC3">
            <w:pPr>
              <w:pStyle w:val="ASSADACCESStablecentre"/>
            </w:pPr>
            <w:r>
              <w:rPr>
                <w:bCs w:val="0"/>
                <w:color w:val="000000"/>
              </w:rPr>
              <w:t>1</w:t>
            </w:r>
            <w:r w:rsidRPr="002E5727">
              <w:rPr>
                <w:bCs w:val="0"/>
                <w:color w:val="000000"/>
              </w:rPr>
              <w:t>^</w:t>
            </w:r>
          </w:p>
        </w:tc>
      </w:tr>
      <w:tr w:rsidR="009A7EC3" w:rsidRPr="00DE25AD" w14:paraId="2E96E784" w14:textId="77777777" w:rsidTr="005F678B">
        <w:tc>
          <w:tcPr>
            <w:tcW w:w="1517" w:type="dxa"/>
            <w:tcMar>
              <w:left w:w="57" w:type="dxa"/>
            </w:tcMar>
          </w:tcPr>
          <w:p w14:paraId="63616FAD" w14:textId="7EA56D17" w:rsidR="009A7EC3" w:rsidRPr="00DE25AD" w:rsidRDefault="009A7EC3" w:rsidP="009A7EC3">
            <w:pPr>
              <w:pStyle w:val="ACCESSTableHeaderRow"/>
            </w:pPr>
            <w:r w:rsidRPr="00DE25AD">
              <w:t xml:space="preserve">Past </w:t>
            </w:r>
            <w:r>
              <w:t>year</w:t>
            </w:r>
          </w:p>
        </w:tc>
        <w:tc>
          <w:tcPr>
            <w:tcW w:w="1068" w:type="dxa"/>
            <w:shd w:val="clear" w:color="auto" w:fill="auto"/>
            <w:tcMar>
              <w:left w:w="57" w:type="dxa"/>
            </w:tcMar>
            <w:vAlign w:val="bottom"/>
          </w:tcPr>
          <w:p w14:paraId="2C063569" w14:textId="77777777" w:rsidR="009A7EC3" w:rsidRPr="00DE25AD" w:rsidRDefault="009A7EC3" w:rsidP="009A7EC3">
            <w:pPr>
              <w:pStyle w:val="ASSAD2017ACCESSBody1"/>
            </w:pPr>
            <w:r w:rsidRPr="00DE25AD">
              <w:t>Male</w:t>
            </w:r>
          </w:p>
        </w:tc>
        <w:tc>
          <w:tcPr>
            <w:tcW w:w="878" w:type="dxa"/>
            <w:shd w:val="clear" w:color="auto" w:fill="auto"/>
          </w:tcPr>
          <w:p w14:paraId="053BD6C3" w14:textId="210A2D13" w:rsidR="009A7EC3" w:rsidRPr="00DE25AD" w:rsidRDefault="009A7EC3" w:rsidP="009A7EC3">
            <w:pPr>
              <w:pStyle w:val="ASSADACCESStablecentre"/>
            </w:pPr>
            <w:r w:rsidRPr="002E5727">
              <w:rPr>
                <w:bCs w:val="0"/>
                <w:color w:val="000000"/>
              </w:rPr>
              <w:t>3*</w:t>
            </w:r>
          </w:p>
        </w:tc>
        <w:tc>
          <w:tcPr>
            <w:tcW w:w="879" w:type="dxa"/>
            <w:shd w:val="clear" w:color="auto" w:fill="auto"/>
          </w:tcPr>
          <w:p w14:paraId="63AAB39B" w14:textId="1E6FE920" w:rsidR="009A7EC3" w:rsidRPr="00DE25AD" w:rsidRDefault="009A7EC3" w:rsidP="009A7EC3">
            <w:pPr>
              <w:pStyle w:val="ASSADACCESStablecentre"/>
            </w:pPr>
            <w:r w:rsidRPr="002E5727">
              <w:rPr>
                <w:bCs w:val="0"/>
                <w:color w:val="000000"/>
              </w:rPr>
              <w:t>3*</w:t>
            </w:r>
          </w:p>
        </w:tc>
        <w:tc>
          <w:tcPr>
            <w:tcW w:w="879" w:type="dxa"/>
            <w:shd w:val="clear" w:color="auto" w:fill="auto"/>
          </w:tcPr>
          <w:p w14:paraId="26B92710" w14:textId="464F4572" w:rsidR="009A7EC3" w:rsidRPr="00DE25AD" w:rsidRDefault="009A7EC3" w:rsidP="009A7EC3">
            <w:pPr>
              <w:pStyle w:val="ASSADACCESStablecentre"/>
            </w:pPr>
            <w:r w:rsidRPr="002E5727">
              <w:rPr>
                <w:bCs w:val="0"/>
                <w:color w:val="000000"/>
              </w:rPr>
              <w:t>3*</w:t>
            </w:r>
          </w:p>
        </w:tc>
        <w:tc>
          <w:tcPr>
            <w:tcW w:w="879" w:type="dxa"/>
            <w:shd w:val="clear" w:color="auto" w:fill="auto"/>
          </w:tcPr>
          <w:p w14:paraId="281C5DEA" w14:textId="6A27F191" w:rsidR="009A7EC3" w:rsidRPr="00DE25AD" w:rsidRDefault="009A7EC3" w:rsidP="009A7EC3">
            <w:pPr>
              <w:pStyle w:val="ASSADACCESStablecentre"/>
            </w:pPr>
            <w:r w:rsidRPr="002E5727">
              <w:rPr>
                <w:bCs w:val="0"/>
                <w:color w:val="000000"/>
              </w:rPr>
              <w:t>3*</w:t>
            </w:r>
          </w:p>
        </w:tc>
        <w:tc>
          <w:tcPr>
            <w:tcW w:w="879" w:type="dxa"/>
            <w:shd w:val="clear" w:color="auto" w:fill="auto"/>
          </w:tcPr>
          <w:p w14:paraId="634BB053" w14:textId="196B28A3" w:rsidR="009A7EC3" w:rsidRPr="00DE25AD" w:rsidRDefault="009A7EC3" w:rsidP="009A7EC3">
            <w:pPr>
              <w:pStyle w:val="ASSADACCESStablecentre"/>
            </w:pPr>
            <w:r w:rsidRPr="002E5727">
              <w:rPr>
                <w:bCs w:val="0"/>
                <w:color w:val="000000"/>
              </w:rPr>
              <w:t>2^</w:t>
            </w:r>
          </w:p>
        </w:tc>
        <w:tc>
          <w:tcPr>
            <w:tcW w:w="879" w:type="dxa"/>
            <w:shd w:val="clear" w:color="auto" w:fill="auto"/>
          </w:tcPr>
          <w:p w14:paraId="69B84394" w14:textId="3F02AA57" w:rsidR="009A7EC3" w:rsidRPr="00DE25AD" w:rsidRDefault="009A7EC3" w:rsidP="009A7EC3">
            <w:pPr>
              <w:pStyle w:val="ASSADACCESStablecentre"/>
            </w:pPr>
            <w:r w:rsidRPr="002E5727">
              <w:rPr>
                <w:bCs w:val="0"/>
                <w:color w:val="000000"/>
              </w:rPr>
              <w:t>1^</w:t>
            </w:r>
          </w:p>
        </w:tc>
        <w:tc>
          <w:tcPr>
            <w:tcW w:w="879" w:type="dxa"/>
            <w:shd w:val="clear" w:color="auto" w:fill="auto"/>
          </w:tcPr>
          <w:p w14:paraId="5D058664" w14:textId="644D9D20" w:rsidR="009A7EC3" w:rsidRPr="00DE25AD" w:rsidRDefault="009A7EC3" w:rsidP="009A7EC3">
            <w:pPr>
              <w:pStyle w:val="ASSADACCESStablecentre"/>
            </w:pPr>
            <w:r w:rsidRPr="002E5727">
              <w:rPr>
                <w:bCs w:val="0"/>
                <w:color w:val="000000"/>
              </w:rPr>
              <w:t>1^</w:t>
            </w:r>
          </w:p>
        </w:tc>
        <w:tc>
          <w:tcPr>
            <w:tcW w:w="879" w:type="dxa"/>
            <w:shd w:val="clear" w:color="auto" w:fill="auto"/>
          </w:tcPr>
          <w:p w14:paraId="38018D4F" w14:textId="1091C672" w:rsidR="009A7EC3" w:rsidRPr="00DE25AD" w:rsidRDefault="009A7EC3" w:rsidP="009A7EC3">
            <w:pPr>
              <w:pStyle w:val="ASSADACCESStablecentre"/>
            </w:pPr>
            <w:r w:rsidRPr="002E5727">
              <w:rPr>
                <w:bCs w:val="0"/>
                <w:color w:val="000000"/>
              </w:rPr>
              <w:t>1^</w:t>
            </w:r>
          </w:p>
        </w:tc>
      </w:tr>
      <w:tr w:rsidR="009A7EC3" w:rsidRPr="00DE25AD" w14:paraId="43598A32" w14:textId="77777777" w:rsidTr="005F678B">
        <w:tc>
          <w:tcPr>
            <w:tcW w:w="1517" w:type="dxa"/>
            <w:tcMar>
              <w:left w:w="57" w:type="dxa"/>
            </w:tcMar>
          </w:tcPr>
          <w:p w14:paraId="6E3C884B" w14:textId="77777777" w:rsidR="009A7EC3" w:rsidRPr="00DE25AD" w:rsidRDefault="009A7EC3" w:rsidP="009A7EC3">
            <w:pPr>
              <w:pStyle w:val="ACCESSTableHeaderRow"/>
            </w:pPr>
          </w:p>
        </w:tc>
        <w:tc>
          <w:tcPr>
            <w:tcW w:w="1068" w:type="dxa"/>
            <w:shd w:val="clear" w:color="auto" w:fill="auto"/>
            <w:tcMar>
              <w:left w:w="57" w:type="dxa"/>
            </w:tcMar>
            <w:vAlign w:val="bottom"/>
          </w:tcPr>
          <w:p w14:paraId="2345A12E" w14:textId="77777777" w:rsidR="009A7EC3" w:rsidRPr="00DE25AD" w:rsidRDefault="009A7EC3" w:rsidP="009A7EC3">
            <w:pPr>
              <w:pStyle w:val="ASSAD2017ACCESSBody1"/>
            </w:pPr>
            <w:r w:rsidRPr="00DE25AD">
              <w:t>Female</w:t>
            </w:r>
          </w:p>
        </w:tc>
        <w:tc>
          <w:tcPr>
            <w:tcW w:w="878" w:type="dxa"/>
            <w:shd w:val="clear" w:color="auto" w:fill="auto"/>
          </w:tcPr>
          <w:p w14:paraId="414525F9" w14:textId="4376B385" w:rsidR="009A7EC3" w:rsidRPr="00DE25AD" w:rsidRDefault="009A7EC3" w:rsidP="009A7EC3">
            <w:pPr>
              <w:pStyle w:val="ASSADACCESStablecentre"/>
            </w:pPr>
            <w:r w:rsidRPr="002E5727">
              <w:rPr>
                <w:bCs w:val="0"/>
                <w:color w:val="000000"/>
              </w:rPr>
              <w:t>2*</w:t>
            </w:r>
          </w:p>
        </w:tc>
        <w:tc>
          <w:tcPr>
            <w:tcW w:w="879" w:type="dxa"/>
            <w:shd w:val="clear" w:color="auto" w:fill="auto"/>
          </w:tcPr>
          <w:p w14:paraId="14CE8725" w14:textId="3BD1C052" w:rsidR="009A7EC3" w:rsidRPr="00DE25AD" w:rsidRDefault="009A7EC3" w:rsidP="009A7EC3">
            <w:pPr>
              <w:pStyle w:val="ASSADACCESStablecentre"/>
            </w:pPr>
            <w:r w:rsidRPr="002E5727">
              <w:rPr>
                <w:bCs w:val="0"/>
                <w:color w:val="000000"/>
              </w:rPr>
              <w:t>2*</w:t>
            </w:r>
          </w:p>
        </w:tc>
        <w:tc>
          <w:tcPr>
            <w:tcW w:w="879" w:type="dxa"/>
            <w:shd w:val="clear" w:color="auto" w:fill="auto"/>
          </w:tcPr>
          <w:p w14:paraId="52234712" w14:textId="78CBDCCE" w:rsidR="009A7EC3" w:rsidRPr="00DE25AD" w:rsidRDefault="009A7EC3" w:rsidP="009A7EC3">
            <w:pPr>
              <w:pStyle w:val="ASSADACCESStablecentre"/>
            </w:pPr>
            <w:r w:rsidRPr="002E5727">
              <w:rPr>
                <w:bCs w:val="0"/>
                <w:color w:val="000000"/>
              </w:rPr>
              <w:t>2*</w:t>
            </w:r>
          </w:p>
        </w:tc>
        <w:tc>
          <w:tcPr>
            <w:tcW w:w="879" w:type="dxa"/>
            <w:shd w:val="clear" w:color="auto" w:fill="auto"/>
          </w:tcPr>
          <w:p w14:paraId="2E6A52F5" w14:textId="3FE2D4EE" w:rsidR="009A7EC3" w:rsidRPr="00DE25AD" w:rsidRDefault="009A7EC3" w:rsidP="009A7EC3">
            <w:pPr>
              <w:pStyle w:val="ASSADACCESStablecentre"/>
            </w:pPr>
            <w:r w:rsidRPr="002E5727">
              <w:rPr>
                <w:bCs w:val="0"/>
                <w:color w:val="000000"/>
              </w:rPr>
              <w:t>1*</w:t>
            </w:r>
          </w:p>
        </w:tc>
        <w:tc>
          <w:tcPr>
            <w:tcW w:w="879" w:type="dxa"/>
            <w:shd w:val="clear" w:color="auto" w:fill="auto"/>
          </w:tcPr>
          <w:p w14:paraId="3FFD5D8A" w14:textId="7C0F7F4E" w:rsidR="009A7EC3" w:rsidRPr="00DE25AD" w:rsidRDefault="009A7EC3" w:rsidP="009A7EC3">
            <w:pPr>
              <w:pStyle w:val="ASSADACCESStablecentre"/>
            </w:pPr>
            <w:r w:rsidRPr="002E5727">
              <w:rPr>
                <w:bCs w:val="0"/>
                <w:color w:val="000000"/>
              </w:rPr>
              <w:t>1</w:t>
            </w:r>
          </w:p>
        </w:tc>
        <w:tc>
          <w:tcPr>
            <w:tcW w:w="879" w:type="dxa"/>
            <w:shd w:val="clear" w:color="auto" w:fill="auto"/>
          </w:tcPr>
          <w:p w14:paraId="75FA5D7B" w14:textId="7993D329" w:rsidR="009A7EC3" w:rsidRPr="00DE25AD" w:rsidRDefault="009A7EC3" w:rsidP="009A7EC3">
            <w:pPr>
              <w:pStyle w:val="ASSADACCESStablecentre"/>
            </w:pPr>
            <w:r w:rsidRPr="002E5727">
              <w:rPr>
                <w:bCs w:val="0"/>
                <w:color w:val="000000"/>
              </w:rPr>
              <w:t>1^</w:t>
            </w:r>
          </w:p>
        </w:tc>
        <w:tc>
          <w:tcPr>
            <w:tcW w:w="879" w:type="dxa"/>
            <w:shd w:val="clear" w:color="auto" w:fill="auto"/>
          </w:tcPr>
          <w:p w14:paraId="20E13C89" w14:textId="3718C79A" w:rsidR="009A7EC3" w:rsidRPr="00DE25AD" w:rsidRDefault="009A7EC3" w:rsidP="009A7EC3">
            <w:pPr>
              <w:pStyle w:val="ASSADACCESStablecentre"/>
            </w:pPr>
            <w:r w:rsidRPr="002E5727">
              <w:rPr>
                <w:bCs w:val="0"/>
                <w:color w:val="000000"/>
              </w:rPr>
              <w:t>1^</w:t>
            </w:r>
          </w:p>
        </w:tc>
        <w:tc>
          <w:tcPr>
            <w:tcW w:w="879" w:type="dxa"/>
            <w:shd w:val="clear" w:color="auto" w:fill="auto"/>
          </w:tcPr>
          <w:p w14:paraId="7BDC0931" w14:textId="4CAE3497" w:rsidR="009A7EC3" w:rsidRPr="00DE25AD" w:rsidRDefault="009A7EC3" w:rsidP="009A7EC3">
            <w:pPr>
              <w:pStyle w:val="ASSADACCESStablecentre"/>
            </w:pPr>
            <w:r w:rsidRPr="002E5727">
              <w:rPr>
                <w:bCs w:val="0"/>
                <w:color w:val="000000"/>
              </w:rPr>
              <w:t>1^</w:t>
            </w:r>
          </w:p>
        </w:tc>
      </w:tr>
      <w:tr w:rsidR="009A7EC3" w:rsidRPr="00DE25AD" w14:paraId="403E3B1C" w14:textId="77777777" w:rsidTr="005F678B">
        <w:tc>
          <w:tcPr>
            <w:tcW w:w="1517" w:type="dxa"/>
            <w:tcMar>
              <w:left w:w="57" w:type="dxa"/>
            </w:tcMar>
          </w:tcPr>
          <w:p w14:paraId="5D17817F" w14:textId="77777777" w:rsidR="009A7EC3" w:rsidRPr="00DE25AD" w:rsidRDefault="009A7EC3" w:rsidP="009A7EC3">
            <w:pPr>
              <w:pStyle w:val="ACCESSTableHeaderRow"/>
            </w:pPr>
          </w:p>
        </w:tc>
        <w:tc>
          <w:tcPr>
            <w:tcW w:w="1068" w:type="dxa"/>
            <w:shd w:val="clear" w:color="auto" w:fill="auto"/>
            <w:tcMar>
              <w:left w:w="57" w:type="dxa"/>
            </w:tcMar>
            <w:vAlign w:val="bottom"/>
          </w:tcPr>
          <w:p w14:paraId="69CFBD1A" w14:textId="77777777" w:rsidR="009A7EC3" w:rsidRPr="00DE25AD" w:rsidRDefault="009A7EC3" w:rsidP="009A7EC3">
            <w:pPr>
              <w:pStyle w:val="ASSAD2017ACCESSBody1"/>
            </w:pPr>
            <w:r w:rsidRPr="00DE25AD">
              <w:t>Total</w:t>
            </w:r>
          </w:p>
        </w:tc>
        <w:tc>
          <w:tcPr>
            <w:tcW w:w="878" w:type="dxa"/>
            <w:shd w:val="clear" w:color="auto" w:fill="auto"/>
          </w:tcPr>
          <w:p w14:paraId="619671B9" w14:textId="52244FEF" w:rsidR="009A7EC3" w:rsidRPr="00DE25AD" w:rsidRDefault="009A7EC3" w:rsidP="009A7EC3">
            <w:pPr>
              <w:pStyle w:val="ASSADACCESStablecentre"/>
            </w:pPr>
            <w:r w:rsidRPr="002E5727">
              <w:rPr>
                <w:bCs w:val="0"/>
                <w:color w:val="000000"/>
              </w:rPr>
              <w:t>3*</w:t>
            </w:r>
          </w:p>
        </w:tc>
        <w:tc>
          <w:tcPr>
            <w:tcW w:w="879" w:type="dxa"/>
            <w:shd w:val="clear" w:color="auto" w:fill="auto"/>
          </w:tcPr>
          <w:p w14:paraId="6395B9E5" w14:textId="561B5DD0" w:rsidR="009A7EC3" w:rsidRPr="00DE25AD" w:rsidRDefault="009A7EC3" w:rsidP="009A7EC3">
            <w:pPr>
              <w:pStyle w:val="ASSADACCESStablecentre"/>
            </w:pPr>
            <w:r w:rsidRPr="002E5727">
              <w:rPr>
                <w:bCs w:val="0"/>
                <w:color w:val="000000"/>
              </w:rPr>
              <w:t>2*</w:t>
            </w:r>
          </w:p>
        </w:tc>
        <w:tc>
          <w:tcPr>
            <w:tcW w:w="879" w:type="dxa"/>
            <w:shd w:val="clear" w:color="auto" w:fill="auto"/>
          </w:tcPr>
          <w:p w14:paraId="0209716B" w14:textId="72EAD42B" w:rsidR="009A7EC3" w:rsidRPr="00DE25AD" w:rsidRDefault="009A7EC3" w:rsidP="009A7EC3">
            <w:pPr>
              <w:pStyle w:val="ASSADACCESStablecentre"/>
            </w:pPr>
            <w:r w:rsidRPr="002E5727">
              <w:rPr>
                <w:bCs w:val="0"/>
                <w:color w:val="000000"/>
              </w:rPr>
              <w:t>2*</w:t>
            </w:r>
          </w:p>
        </w:tc>
        <w:tc>
          <w:tcPr>
            <w:tcW w:w="879" w:type="dxa"/>
            <w:shd w:val="clear" w:color="auto" w:fill="auto"/>
          </w:tcPr>
          <w:p w14:paraId="3F50C693" w14:textId="35DA6D22" w:rsidR="009A7EC3" w:rsidRPr="00DE25AD" w:rsidRDefault="009A7EC3" w:rsidP="009A7EC3">
            <w:pPr>
              <w:pStyle w:val="ASSADACCESStablecentre"/>
            </w:pPr>
            <w:r w:rsidRPr="002E5727">
              <w:rPr>
                <w:bCs w:val="0"/>
                <w:color w:val="000000"/>
              </w:rPr>
              <w:t>2*</w:t>
            </w:r>
          </w:p>
        </w:tc>
        <w:tc>
          <w:tcPr>
            <w:tcW w:w="879" w:type="dxa"/>
            <w:shd w:val="clear" w:color="auto" w:fill="auto"/>
          </w:tcPr>
          <w:p w14:paraId="18DED1CB" w14:textId="17998067" w:rsidR="009A7EC3" w:rsidRPr="00DE25AD" w:rsidRDefault="009A7EC3" w:rsidP="009A7EC3">
            <w:pPr>
              <w:pStyle w:val="ASSADACCESStablecentre"/>
            </w:pPr>
            <w:r w:rsidRPr="002E5727">
              <w:rPr>
                <w:bCs w:val="0"/>
                <w:color w:val="000000"/>
              </w:rPr>
              <w:t>2</w:t>
            </w:r>
            <w:r>
              <w:rPr>
                <w:bCs w:val="0"/>
                <w:color w:val="000000"/>
              </w:rPr>
              <w:t>*</w:t>
            </w:r>
            <w:r w:rsidRPr="002E5727">
              <w:rPr>
                <w:bCs w:val="0"/>
                <w:color w:val="000000"/>
              </w:rPr>
              <w:t>^</w:t>
            </w:r>
          </w:p>
        </w:tc>
        <w:tc>
          <w:tcPr>
            <w:tcW w:w="879" w:type="dxa"/>
            <w:shd w:val="clear" w:color="auto" w:fill="auto"/>
          </w:tcPr>
          <w:p w14:paraId="372321CD" w14:textId="76DFBB18" w:rsidR="009A7EC3" w:rsidRPr="00DE25AD" w:rsidRDefault="009A7EC3" w:rsidP="009A7EC3">
            <w:pPr>
              <w:pStyle w:val="ASSADACCESStablecentre"/>
            </w:pPr>
            <w:r w:rsidRPr="002E5727">
              <w:rPr>
                <w:bCs w:val="0"/>
                <w:color w:val="000000"/>
              </w:rPr>
              <w:t>1^</w:t>
            </w:r>
          </w:p>
        </w:tc>
        <w:tc>
          <w:tcPr>
            <w:tcW w:w="879" w:type="dxa"/>
            <w:shd w:val="clear" w:color="auto" w:fill="auto"/>
          </w:tcPr>
          <w:p w14:paraId="59D49322" w14:textId="00197318" w:rsidR="009A7EC3" w:rsidRPr="00DE25AD" w:rsidRDefault="009A7EC3" w:rsidP="009A7EC3">
            <w:pPr>
              <w:pStyle w:val="ASSADACCESStablecentre"/>
            </w:pPr>
            <w:r w:rsidRPr="002E5727">
              <w:rPr>
                <w:bCs w:val="0"/>
                <w:color w:val="000000"/>
              </w:rPr>
              <w:t>1^</w:t>
            </w:r>
          </w:p>
        </w:tc>
        <w:tc>
          <w:tcPr>
            <w:tcW w:w="879" w:type="dxa"/>
            <w:shd w:val="clear" w:color="auto" w:fill="auto"/>
          </w:tcPr>
          <w:p w14:paraId="4B1D5B23" w14:textId="6B611E6E" w:rsidR="009A7EC3" w:rsidRPr="00DE25AD" w:rsidRDefault="009A7EC3" w:rsidP="009A7EC3">
            <w:pPr>
              <w:pStyle w:val="ASSADACCESStablecentre"/>
            </w:pPr>
            <w:r w:rsidRPr="002E5727">
              <w:rPr>
                <w:bCs w:val="0"/>
                <w:color w:val="000000"/>
              </w:rPr>
              <w:t>1^</w:t>
            </w:r>
          </w:p>
        </w:tc>
      </w:tr>
      <w:tr w:rsidR="009A7EC3" w:rsidRPr="00DE25AD" w14:paraId="522D2F34" w14:textId="77777777" w:rsidTr="005F678B">
        <w:tc>
          <w:tcPr>
            <w:tcW w:w="1517" w:type="dxa"/>
            <w:tcMar>
              <w:left w:w="57" w:type="dxa"/>
            </w:tcMar>
          </w:tcPr>
          <w:p w14:paraId="74D20BD7"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391D3297" w14:textId="77777777" w:rsidR="009A7EC3" w:rsidRPr="00DE25AD" w:rsidRDefault="009A7EC3" w:rsidP="009A7EC3">
            <w:pPr>
              <w:pStyle w:val="ASSAD2017ACCESSBody1"/>
            </w:pPr>
            <w:r w:rsidRPr="00DE25AD">
              <w:t>Male</w:t>
            </w:r>
          </w:p>
        </w:tc>
        <w:tc>
          <w:tcPr>
            <w:tcW w:w="878" w:type="dxa"/>
            <w:shd w:val="clear" w:color="auto" w:fill="auto"/>
          </w:tcPr>
          <w:p w14:paraId="302A8B85" w14:textId="07D96371"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6B373DC9" w14:textId="39C8A285" w:rsidR="009A7EC3" w:rsidRPr="00DE25AD" w:rsidRDefault="009A7EC3" w:rsidP="009A7EC3">
            <w:pPr>
              <w:pStyle w:val="ASSADACCESStablecentre"/>
            </w:pPr>
            <w:r w:rsidRPr="002E5727">
              <w:rPr>
                <w:bCs w:val="0"/>
                <w:color w:val="000000"/>
              </w:rPr>
              <w:t>2</w:t>
            </w:r>
          </w:p>
        </w:tc>
        <w:tc>
          <w:tcPr>
            <w:tcW w:w="879" w:type="dxa"/>
            <w:shd w:val="clear" w:color="auto" w:fill="auto"/>
          </w:tcPr>
          <w:p w14:paraId="414A4B5E" w14:textId="610F9232"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5A3A3F05" w14:textId="2D6865C0"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079095E9" w14:textId="19144B92" w:rsidR="009A7EC3" w:rsidRPr="00DE25AD" w:rsidRDefault="009A7EC3" w:rsidP="009A7EC3">
            <w:pPr>
              <w:pStyle w:val="ASSADACCESStablecentre"/>
            </w:pPr>
            <w:r w:rsidRPr="002E5727">
              <w:rPr>
                <w:bCs w:val="0"/>
                <w:color w:val="000000"/>
              </w:rPr>
              <w:t>1^</w:t>
            </w:r>
          </w:p>
        </w:tc>
        <w:tc>
          <w:tcPr>
            <w:tcW w:w="879" w:type="dxa"/>
            <w:shd w:val="clear" w:color="auto" w:fill="auto"/>
          </w:tcPr>
          <w:p w14:paraId="50D3BF1F" w14:textId="3AA3EB31" w:rsidR="009A7EC3" w:rsidRPr="00DE25AD" w:rsidRDefault="009A7EC3" w:rsidP="009A7EC3">
            <w:pPr>
              <w:pStyle w:val="ASSADACCESStablecentre"/>
            </w:pPr>
            <w:r w:rsidRPr="002E5727">
              <w:rPr>
                <w:bCs w:val="0"/>
                <w:color w:val="000000"/>
              </w:rPr>
              <w:t>1^</w:t>
            </w:r>
          </w:p>
        </w:tc>
        <w:tc>
          <w:tcPr>
            <w:tcW w:w="879" w:type="dxa"/>
            <w:shd w:val="clear" w:color="auto" w:fill="auto"/>
          </w:tcPr>
          <w:p w14:paraId="6657D9EE" w14:textId="3D8297C2" w:rsidR="009A7EC3" w:rsidRPr="00DE25AD" w:rsidRDefault="009A7EC3" w:rsidP="009A7EC3">
            <w:pPr>
              <w:pStyle w:val="ASSADACCESStablecentre"/>
            </w:pPr>
            <w:r w:rsidRPr="002E5727">
              <w:rPr>
                <w:bCs w:val="0"/>
                <w:color w:val="000000"/>
              </w:rPr>
              <w:t>1^</w:t>
            </w:r>
          </w:p>
        </w:tc>
        <w:tc>
          <w:tcPr>
            <w:tcW w:w="879" w:type="dxa"/>
            <w:shd w:val="clear" w:color="auto" w:fill="auto"/>
          </w:tcPr>
          <w:p w14:paraId="53507F36" w14:textId="5604C8F7" w:rsidR="009A7EC3" w:rsidRPr="00DE25AD" w:rsidRDefault="009A7EC3" w:rsidP="009A7EC3">
            <w:pPr>
              <w:pStyle w:val="ASSADACCESStablecentre"/>
            </w:pPr>
            <w:r w:rsidRPr="002E5727">
              <w:rPr>
                <w:bCs w:val="0"/>
                <w:color w:val="000000"/>
              </w:rPr>
              <w:t>1</w:t>
            </w:r>
            <w:r>
              <w:rPr>
                <w:bCs w:val="0"/>
                <w:color w:val="000000"/>
              </w:rPr>
              <w:t>^</w:t>
            </w:r>
          </w:p>
        </w:tc>
      </w:tr>
      <w:tr w:rsidR="009A7EC3" w:rsidRPr="00DE25AD" w14:paraId="0AA17A74" w14:textId="77777777" w:rsidTr="005F678B">
        <w:tc>
          <w:tcPr>
            <w:tcW w:w="1517" w:type="dxa"/>
            <w:tcMar>
              <w:left w:w="57" w:type="dxa"/>
            </w:tcMar>
          </w:tcPr>
          <w:p w14:paraId="2A78D002" w14:textId="77777777" w:rsidR="009A7EC3" w:rsidRPr="00DE25AD" w:rsidRDefault="009A7EC3" w:rsidP="009A7EC3">
            <w:pPr>
              <w:pStyle w:val="ACCESSTableHeaderRow"/>
            </w:pPr>
          </w:p>
        </w:tc>
        <w:tc>
          <w:tcPr>
            <w:tcW w:w="1068" w:type="dxa"/>
            <w:shd w:val="clear" w:color="auto" w:fill="auto"/>
            <w:tcMar>
              <w:left w:w="57" w:type="dxa"/>
            </w:tcMar>
            <w:vAlign w:val="bottom"/>
          </w:tcPr>
          <w:p w14:paraId="77D0A8B3" w14:textId="77777777" w:rsidR="009A7EC3" w:rsidRPr="00DE25AD" w:rsidRDefault="009A7EC3" w:rsidP="009A7EC3">
            <w:pPr>
              <w:pStyle w:val="ASSAD2017ACCESSBody1"/>
            </w:pPr>
            <w:r w:rsidRPr="00DE25AD">
              <w:t>Female</w:t>
            </w:r>
          </w:p>
        </w:tc>
        <w:tc>
          <w:tcPr>
            <w:tcW w:w="878" w:type="dxa"/>
            <w:shd w:val="clear" w:color="auto" w:fill="auto"/>
          </w:tcPr>
          <w:p w14:paraId="1AE4E247" w14:textId="109E7D41" w:rsidR="009A7EC3" w:rsidRPr="00DE25AD" w:rsidRDefault="009A7EC3" w:rsidP="009A7EC3">
            <w:pPr>
              <w:pStyle w:val="ASSADACCESStablecentre"/>
            </w:pPr>
            <w:r w:rsidRPr="002E5727">
              <w:rPr>
                <w:bCs w:val="0"/>
                <w:color w:val="000000"/>
              </w:rPr>
              <w:t>1*</w:t>
            </w:r>
          </w:p>
        </w:tc>
        <w:tc>
          <w:tcPr>
            <w:tcW w:w="879" w:type="dxa"/>
            <w:shd w:val="clear" w:color="auto" w:fill="auto"/>
          </w:tcPr>
          <w:p w14:paraId="59C96C06" w14:textId="2B37F211" w:rsidR="009A7EC3" w:rsidRPr="00DE25AD" w:rsidRDefault="009A7EC3" w:rsidP="009A7EC3">
            <w:pPr>
              <w:pStyle w:val="ASSADACCESStablecentre"/>
            </w:pPr>
            <w:r w:rsidRPr="002E5727">
              <w:rPr>
                <w:bCs w:val="0"/>
                <w:color w:val="000000"/>
              </w:rPr>
              <w:t>1*</w:t>
            </w:r>
          </w:p>
        </w:tc>
        <w:tc>
          <w:tcPr>
            <w:tcW w:w="879" w:type="dxa"/>
            <w:shd w:val="clear" w:color="auto" w:fill="auto"/>
          </w:tcPr>
          <w:p w14:paraId="1F41FECB" w14:textId="1C4E4CA5" w:rsidR="009A7EC3" w:rsidRPr="00DE25AD" w:rsidRDefault="009A7EC3" w:rsidP="009A7EC3">
            <w:pPr>
              <w:pStyle w:val="ASSADACCESStablecentre"/>
            </w:pPr>
            <w:r w:rsidRPr="002E5727">
              <w:rPr>
                <w:bCs w:val="0"/>
                <w:color w:val="000000"/>
              </w:rPr>
              <w:t>1*</w:t>
            </w:r>
          </w:p>
        </w:tc>
        <w:tc>
          <w:tcPr>
            <w:tcW w:w="879" w:type="dxa"/>
            <w:shd w:val="clear" w:color="auto" w:fill="auto"/>
          </w:tcPr>
          <w:p w14:paraId="41D878B4" w14:textId="02DF20F3" w:rsidR="009A7EC3" w:rsidRPr="00DE25AD" w:rsidRDefault="009A7EC3" w:rsidP="009A7EC3">
            <w:pPr>
              <w:pStyle w:val="ASSADACCESStablecentre"/>
            </w:pPr>
            <w:r w:rsidRPr="002E5727">
              <w:rPr>
                <w:bCs w:val="0"/>
                <w:color w:val="000000"/>
              </w:rPr>
              <w:t>1*</w:t>
            </w:r>
          </w:p>
        </w:tc>
        <w:tc>
          <w:tcPr>
            <w:tcW w:w="879" w:type="dxa"/>
            <w:shd w:val="clear" w:color="auto" w:fill="auto"/>
          </w:tcPr>
          <w:p w14:paraId="289B6BC2" w14:textId="44FFB6EF" w:rsidR="009A7EC3" w:rsidRPr="00DE25AD" w:rsidRDefault="009A7EC3" w:rsidP="009A7EC3">
            <w:pPr>
              <w:pStyle w:val="ASSADACCESStablecentre"/>
            </w:pPr>
            <w:r w:rsidRPr="002E5727">
              <w:rPr>
                <w:bCs w:val="0"/>
                <w:color w:val="000000"/>
              </w:rPr>
              <w:t>1*</w:t>
            </w:r>
          </w:p>
        </w:tc>
        <w:tc>
          <w:tcPr>
            <w:tcW w:w="879" w:type="dxa"/>
            <w:shd w:val="clear" w:color="auto" w:fill="auto"/>
          </w:tcPr>
          <w:p w14:paraId="6D81A733" w14:textId="2119D28F" w:rsidR="009A7EC3" w:rsidRPr="00DE25AD" w:rsidRDefault="009A7EC3" w:rsidP="009A7EC3">
            <w:pPr>
              <w:pStyle w:val="ASSADACCESStablecentre"/>
            </w:pPr>
            <w:r w:rsidRPr="002E5727">
              <w:rPr>
                <w:bCs w:val="0"/>
                <w:color w:val="000000"/>
              </w:rPr>
              <w:t>&lt;1^</w:t>
            </w:r>
          </w:p>
        </w:tc>
        <w:tc>
          <w:tcPr>
            <w:tcW w:w="879" w:type="dxa"/>
            <w:shd w:val="clear" w:color="auto" w:fill="auto"/>
          </w:tcPr>
          <w:p w14:paraId="21F8326F" w14:textId="76AF795C" w:rsidR="009A7EC3" w:rsidRPr="00DE25AD" w:rsidRDefault="009A7EC3" w:rsidP="009A7EC3">
            <w:pPr>
              <w:pStyle w:val="ASSADACCESStablecentre"/>
            </w:pPr>
            <w:r w:rsidRPr="002E5727">
              <w:rPr>
                <w:bCs w:val="0"/>
                <w:color w:val="000000"/>
              </w:rPr>
              <w:t>1</w:t>
            </w:r>
          </w:p>
        </w:tc>
        <w:tc>
          <w:tcPr>
            <w:tcW w:w="879" w:type="dxa"/>
            <w:shd w:val="clear" w:color="auto" w:fill="auto"/>
          </w:tcPr>
          <w:p w14:paraId="49B39D2C" w14:textId="44CFAE37" w:rsidR="009A7EC3" w:rsidRPr="00DE25AD" w:rsidRDefault="009A7EC3" w:rsidP="009A7EC3">
            <w:pPr>
              <w:pStyle w:val="ASSADACCESStablecentre"/>
            </w:pPr>
            <w:r w:rsidRPr="002E5727">
              <w:rPr>
                <w:bCs w:val="0"/>
                <w:color w:val="000000"/>
              </w:rPr>
              <w:t>&lt;1^</w:t>
            </w:r>
          </w:p>
        </w:tc>
      </w:tr>
      <w:tr w:rsidR="009A7EC3" w:rsidRPr="00DE25AD" w14:paraId="2EF83577" w14:textId="77777777" w:rsidTr="005F678B">
        <w:tc>
          <w:tcPr>
            <w:tcW w:w="1517" w:type="dxa"/>
            <w:tcMar>
              <w:left w:w="57" w:type="dxa"/>
            </w:tcMar>
          </w:tcPr>
          <w:p w14:paraId="6FE362F8" w14:textId="77777777" w:rsidR="009A7EC3" w:rsidRPr="00DE25AD" w:rsidRDefault="009A7EC3" w:rsidP="009A7EC3">
            <w:pPr>
              <w:pStyle w:val="ACCESSTableHeaderRow"/>
            </w:pPr>
          </w:p>
        </w:tc>
        <w:tc>
          <w:tcPr>
            <w:tcW w:w="1068" w:type="dxa"/>
            <w:shd w:val="clear" w:color="auto" w:fill="auto"/>
            <w:tcMar>
              <w:left w:w="57" w:type="dxa"/>
            </w:tcMar>
            <w:vAlign w:val="bottom"/>
          </w:tcPr>
          <w:p w14:paraId="0158B218" w14:textId="77777777" w:rsidR="009A7EC3" w:rsidRPr="00DE25AD" w:rsidRDefault="009A7EC3" w:rsidP="009A7EC3">
            <w:pPr>
              <w:pStyle w:val="ASSAD2017ACCESSBody1"/>
            </w:pPr>
            <w:r w:rsidRPr="00DE25AD">
              <w:t>Total</w:t>
            </w:r>
          </w:p>
        </w:tc>
        <w:tc>
          <w:tcPr>
            <w:tcW w:w="878" w:type="dxa"/>
            <w:shd w:val="clear" w:color="auto" w:fill="auto"/>
          </w:tcPr>
          <w:p w14:paraId="42B4E8B5" w14:textId="6E5B4E1E" w:rsidR="009A7EC3" w:rsidRPr="00DE25AD" w:rsidRDefault="009A7EC3" w:rsidP="009A7EC3">
            <w:pPr>
              <w:pStyle w:val="ASSADACCESStablecentre"/>
            </w:pPr>
            <w:r w:rsidRPr="002E5727">
              <w:rPr>
                <w:bCs w:val="0"/>
                <w:color w:val="000000"/>
              </w:rPr>
              <w:t>1*</w:t>
            </w:r>
          </w:p>
        </w:tc>
        <w:tc>
          <w:tcPr>
            <w:tcW w:w="879" w:type="dxa"/>
            <w:shd w:val="clear" w:color="auto" w:fill="auto"/>
          </w:tcPr>
          <w:p w14:paraId="3150451E" w14:textId="3FD0C272" w:rsidR="009A7EC3" w:rsidRPr="00DE25AD" w:rsidRDefault="009A7EC3" w:rsidP="009A7EC3">
            <w:pPr>
              <w:pStyle w:val="ASSADACCESStablecentre"/>
            </w:pPr>
            <w:r w:rsidRPr="002E5727">
              <w:rPr>
                <w:bCs w:val="0"/>
                <w:color w:val="000000"/>
              </w:rPr>
              <w:t>1*</w:t>
            </w:r>
          </w:p>
        </w:tc>
        <w:tc>
          <w:tcPr>
            <w:tcW w:w="879" w:type="dxa"/>
            <w:shd w:val="clear" w:color="auto" w:fill="auto"/>
          </w:tcPr>
          <w:p w14:paraId="6F785B46" w14:textId="46C05878" w:rsidR="009A7EC3" w:rsidRPr="00DE25AD" w:rsidRDefault="009A7EC3" w:rsidP="009A7EC3">
            <w:pPr>
              <w:pStyle w:val="ASSADACCESStablecentre"/>
            </w:pPr>
            <w:r w:rsidRPr="002E5727">
              <w:rPr>
                <w:bCs w:val="0"/>
                <w:color w:val="000000"/>
              </w:rPr>
              <w:t>1*</w:t>
            </w:r>
          </w:p>
        </w:tc>
        <w:tc>
          <w:tcPr>
            <w:tcW w:w="879" w:type="dxa"/>
            <w:shd w:val="clear" w:color="auto" w:fill="auto"/>
          </w:tcPr>
          <w:p w14:paraId="7752824A" w14:textId="5C0ED141" w:rsidR="009A7EC3" w:rsidRPr="00DE25AD" w:rsidRDefault="009A7EC3" w:rsidP="009A7EC3">
            <w:pPr>
              <w:pStyle w:val="ASSADACCESStablecentre"/>
            </w:pPr>
            <w:r w:rsidRPr="002E5727">
              <w:rPr>
                <w:bCs w:val="0"/>
                <w:color w:val="000000"/>
              </w:rPr>
              <w:t>1*</w:t>
            </w:r>
          </w:p>
        </w:tc>
        <w:tc>
          <w:tcPr>
            <w:tcW w:w="879" w:type="dxa"/>
            <w:shd w:val="clear" w:color="auto" w:fill="auto"/>
          </w:tcPr>
          <w:p w14:paraId="335D4672" w14:textId="3F7E8667" w:rsidR="009A7EC3" w:rsidRPr="00DE25AD" w:rsidRDefault="009A7EC3" w:rsidP="009A7EC3">
            <w:pPr>
              <w:pStyle w:val="ASSADACCESStablecentre"/>
            </w:pPr>
            <w:r w:rsidRPr="002E5727">
              <w:rPr>
                <w:bCs w:val="0"/>
                <w:color w:val="000000"/>
              </w:rPr>
              <w:t>1^</w:t>
            </w:r>
          </w:p>
        </w:tc>
        <w:tc>
          <w:tcPr>
            <w:tcW w:w="879" w:type="dxa"/>
            <w:shd w:val="clear" w:color="auto" w:fill="auto"/>
          </w:tcPr>
          <w:p w14:paraId="1C645D1B" w14:textId="73F6E472" w:rsidR="009A7EC3" w:rsidRPr="00DE25AD" w:rsidRDefault="009A7EC3" w:rsidP="009A7EC3">
            <w:pPr>
              <w:pStyle w:val="ASSADACCESStablecentre"/>
            </w:pPr>
            <w:r>
              <w:rPr>
                <w:bCs w:val="0"/>
                <w:color w:val="000000"/>
              </w:rPr>
              <w:t>&lt;</w:t>
            </w:r>
            <w:r w:rsidRPr="002E5727">
              <w:rPr>
                <w:bCs w:val="0"/>
                <w:color w:val="000000"/>
              </w:rPr>
              <w:t>1^</w:t>
            </w:r>
          </w:p>
        </w:tc>
        <w:tc>
          <w:tcPr>
            <w:tcW w:w="879" w:type="dxa"/>
            <w:shd w:val="clear" w:color="auto" w:fill="auto"/>
          </w:tcPr>
          <w:p w14:paraId="5154988B" w14:textId="61A6F11C" w:rsidR="009A7EC3" w:rsidRPr="00DE25AD" w:rsidRDefault="009A7EC3" w:rsidP="009A7EC3">
            <w:pPr>
              <w:pStyle w:val="ASSADACCESStablecentre"/>
            </w:pPr>
            <w:r w:rsidRPr="002E5727">
              <w:rPr>
                <w:bCs w:val="0"/>
                <w:color w:val="000000"/>
              </w:rPr>
              <w:t>1^</w:t>
            </w:r>
          </w:p>
        </w:tc>
        <w:tc>
          <w:tcPr>
            <w:tcW w:w="879" w:type="dxa"/>
            <w:shd w:val="clear" w:color="auto" w:fill="auto"/>
          </w:tcPr>
          <w:p w14:paraId="356CEE21" w14:textId="5C7C9736" w:rsidR="009A7EC3" w:rsidRPr="00DE25AD" w:rsidRDefault="009A7EC3" w:rsidP="009A7EC3">
            <w:pPr>
              <w:pStyle w:val="ASSADACCESStablecentre"/>
            </w:pPr>
            <w:r w:rsidRPr="002E5727">
              <w:rPr>
                <w:bCs w:val="0"/>
                <w:color w:val="000000"/>
              </w:rPr>
              <w:t>1^</w:t>
            </w:r>
          </w:p>
        </w:tc>
      </w:tr>
      <w:tr w:rsidR="009A7EC3" w:rsidRPr="00DE25AD" w14:paraId="1887890A" w14:textId="77777777" w:rsidTr="005F678B">
        <w:tc>
          <w:tcPr>
            <w:tcW w:w="1517" w:type="dxa"/>
            <w:tcMar>
              <w:left w:w="57" w:type="dxa"/>
            </w:tcMar>
          </w:tcPr>
          <w:p w14:paraId="0327E908" w14:textId="77777777" w:rsidR="009A7EC3" w:rsidRDefault="009A7EC3" w:rsidP="009A7EC3">
            <w:pPr>
              <w:pStyle w:val="ACCESSTableHeaderRow"/>
            </w:pPr>
            <w:r>
              <w:t>Aged 16-17</w:t>
            </w:r>
          </w:p>
        </w:tc>
        <w:tc>
          <w:tcPr>
            <w:tcW w:w="1068" w:type="dxa"/>
            <w:shd w:val="clear" w:color="auto" w:fill="auto"/>
            <w:tcMar>
              <w:left w:w="57" w:type="dxa"/>
            </w:tcMar>
            <w:vAlign w:val="center"/>
          </w:tcPr>
          <w:p w14:paraId="2D23805E" w14:textId="77777777" w:rsidR="009A7EC3" w:rsidRPr="00DE25AD" w:rsidRDefault="009A7EC3" w:rsidP="009A7EC3">
            <w:pPr>
              <w:pStyle w:val="ASSAD2017ACCESSBody1"/>
            </w:pPr>
          </w:p>
        </w:tc>
        <w:tc>
          <w:tcPr>
            <w:tcW w:w="878" w:type="dxa"/>
            <w:shd w:val="clear" w:color="auto" w:fill="auto"/>
            <w:vAlign w:val="bottom"/>
          </w:tcPr>
          <w:p w14:paraId="46007349" w14:textId="77777777" w:rsidR="009A7EC3" w:rsidRPr="00DE25AD" w:rsidRDefault="009A7EC3" w:rsidP="009A7EC3">
            <w:pPr>
              <w:pStyle w:val="ASSADACCESStablecentre"/>
            </w:pPr>
          </w:p>
        </w:tc>
        <w:tc>
          <w:tcPr>
            <w:tcW w:w="879" w:type="dxa"/>
            <w:shd w:val="clear" w:color="auto" w:fill="auto"/>
            <w:vAlign w:val="bottom"/>
          </w:tcPr>
          <w:p w14:paraId="1A539FE6" w14:textId="77777777" w:rsidR="009A7EC3" w:rsidRPr="00DE25AD" w:rsidRDefault="009A7EC3" w:rsidP="009A7EC3">
            <w:pPr>
              <w:pStyle w:val="ASSADACCESStablecentre"/>
            </w:pPr>
          </w:p>
        </w:tc>
        <w:tc>
          <w:tcPr>
            <w:tcW w:w="879" w:type="dxa"/>
            <w:shd w:val="clear" w:color="auto" w:fill="auto"/>
            <w:vAlign w:val="bottom"/>
          </w:tcPr>
          <w:p w14:paraId="1529EF02" w14:textId="77777777" w:rsidR="009A7EC3" w:rsidRPr="00DE25AD" w:rsidRDefault="009A7EC3" w:rsidP="009A7EC3">
            <w:pPr>
              <w:pStyle w:val="ASSADACCESStablecentre"/>
            </w:pPr>
          </w:p>
        </w:tc>
        <w:tc>
          <w:tcPr>
            <w:tcW w:w="879" w:type="dxa"/>
            <w:shd w:val="clear" w:color="auto" w:fill="auto"/>
            <w:vAlign w:val="bottom"/>
          </w:tcPr>
          <w:p w14:paraId="04C2D8E7" w14:textId="77777777" w:rsidR="009A7EC3" w:rsidRPr="00DE25AD" w:rsidRDefault="009A7EC3" w:rsidP="009A7EC3">
            <w:pPr>
              <w:pStyle w:val="ASSADACCESStablecentre"/>
            </w:pPr>
          </w:p>
        </w:tc>
        <w:tc>
          <w:tcPr>
            <w:tcW w:w="879" w:type="dxa"/>
            <w:shd w:val="clear" w:color="auto" w:fill="auto"/>
            <w:vAlign w:val="bottom"/>
          </w:tcPr>
          <w:p w14:paraId="4207B9BC" w14:textId="77777777" w:rsidR="009A7EC3" w:rsidRPr="00DE25AD" w:rsidRDefault="009A7EC3" w:rsidP="009A7EC3">
            <w:pPr>
              <w:pStyle w:val="ASSADACCESStablecentre"/>
            </w:pPr>
          </w:p>
        </w:tc>
        <w:tc>
          <w:tcPr>
            <w:tcW w:w="879" w:type="dxa"/>
            <w:shd w:val="clear" w:color="auto" w:fill="auto"/>
            <w:vAlign w:val="bottom"/>
          </w:tcPr>
          <w:p w14:paraId="3D6D3465" w14:textId="77777777" w:rsidR="009A7EC3" w:rsidRPr="00DE25AD" w:rsidRDefault="009A7EC3" w:rsidP="009A7EC3">
            <w:pPr>
              <w:pStyle w:val="ASSADACCESStablecentre"/>
            </w:pPr>
          </w:p>
        </w:tc>
        <w:tc>
          <w:tcPr>
            <w:tcW w:w="879" w:type="dxa"/>
            <w:shd w:val="clear" w:color="auto" w:fill="auto"/>
            <w:vAlign w:val="bottom"/>
          </w:tcPr>
          <w:p w14:paraId="217FCB07" w14:textId="77777777" w:rsidR="009A7EC3" w:rsidRPr="00DE25AD" w:rsidRDefault="009A7EC3" w:rsidP="009A7EC3">
            <w:pPr>
              <w:pStyle w:val="ASSADACCESStablecentre"/>
            </w:pPr>
          </w:p>
        </w:tc>
        <w:tc>
          <w:tcPr>
            <w:tcW w:w="879" w:type="dxa"/>
            <w:shd w:val="clear" w:color="auto" w:fill="auto"/>
            <w:vAlign w:val="bottom"/>
          </w:tcPr>
          <w:p w14:paraId="3E9C9832" w14:textId="77777777" w:rsidR="009A7EC3" w:rsidRPr="00DE25AD" w:rsidRDefault="009A7EC3" w:rsidP="009A7EC3">
            <w:pPr>
              <w:pStyle w:val="ASSADACCESStablecentre"/>
            </w:pPr>
          </w:p>
        </w:tc>
      </w:tr>
      <w:tr w:rsidR="009A7EC3" w:rsidRPr="00DE25AD" w14:paraId="6BF6DBFD" w14:textId="77777777" w:rsidTr="005F678B">
        <w:tc>
          <w:tcPr>
            <w:tcW w:w="1517" w:type="dxa"/>
            <w:tcMar>
              <w:left w:w="57" w:type="dxa"/>
            </w:tcMar>
          </w:tcPr>
          <w:p w14:paraId="22A0F411" w14:textId="77777777" w:rsidR="009A7EC3" w:rsidRDefault="009A7EC3" w:rsidP="009A7EC3">
            <w:pPr>
              <w:pStyle w:val="ACCESSTableHeaderRow"/>
            </w:pPr>
            <w:r w:rsidRPr="00DE25AD">
              <w:t>Recency</w:t>
            </w:r>
          </w:p>
        </w:tc>
        <w:tc>
          <w:tcPr>
            <w:tcW w:w="1068" w:type="dxa"/>
            <w:shd w:val="clear" w:color="auto" w:fill="auto"/>
            <w:tcMar>
              <w:left w:w="57" w:type="dxa"/>
            </w:tcMar>
            <w:vAlign w:val="center"/>
          </w:tcPr>
          <w:p w14:paraId="13BFE2D5" w14:textId="77777777" w:rsidR="009A7EC3" w:rsidRPr="00DE25AD" w:rsidRDefault="009A7EC3" w:rsidP="009A7EC3">
            <w:pPr>
              <w:pStyle w:val="ASSAD2017ACCESSBody1"/>
            </w:pPr>
            <w:r w:rsidRPr="005C5B03">
              <w:rPr>
                <w:b/>
                <w:bCs w:val="0"/>
              </w:rPr>
              <w:t>Sex</w:t>
            </w:r>
          </w:p>
        </w:tc>
        <w:tc>
          <w:tcPr>
            <w:tcW w:w="878" w:type="dxa"/>
            <w:shd w:val="clear" w:color="auto" w:fill="auto"/>
            <w:vAlign w:val="bottom"/>
          </w:tcPr>
          <w:p w14:paraId="436DB0C3" w14:textId="77777777" w:rsidR="009A7EC3" w:rsidRPr="00DE25AD" w:rsidRDefault="009A7EC3" w:rsidP="009A7EC3">
            <w:pPr>
              <w:pStyle w:val="ASSADACCESStablecentre"/>
            </w:pPr>
          </w:p>
        </w:tc>
        <w:tc>
          <w:tcPr>
            <w:tcW w:w="879" w:type="dxa"/>
            <w:shd w:val="clear" w:color="auto" w:fill="auto"/>
            <w:vAlign w:val="bottom"/>
          </w:tcPr>
          <w:p w14:paraId="62230932" w14:textId="77777777" w:rsidR="009A7EC3" w:rsidRPr="00DE25AD" w:rsidRDefault="009A7EC3" w:rsidP="009A7EC3">
            <w:pPr>
              <w:pStyle w:val="ASSADACCESStablecentre"/>
            </w:pPr>
          </w:p>
        </w:tc>
        <w:tc>
          <w:tcPr>
            <w:tcW w:w="879" w:type="dxa"/>
            <w:shd w:val="clear" w:color="auto" w:fill="auto"/>
            <w:vAlign w:val="bottom"/>
          </w:tcPr>
          <w:p w14:paraId="7524B3A1" w14:textId="77777777" w:rsidR="009A7EC3" w:rsidRPr="00DE25AD" w:rsidRDefault="009A7EC3" w:rsidP="009A7EC3">
            <w:pPr>
              <w:pStyle w:val="ASSADACCESStablecentre"/>
            </w:pPr>
          </w:p>
        </w:tc>
        <w:tc>
          <w:tcPr>
            <w:tcW w:w="879" w:type="dxa"/>
            <w:shd w:val="clear" w:color="auto" w:fill="auto"/>
            <w:vAlign w:val="bottom"/>
          </w:tcPr>
          <w:p w14:paraId="1C0C19FB" w14:textId="77777777" w:rsidR="009A7EC3" w:rsidRPr="00DE25AD" w:rsidRDefault="009A7EC3" w:rsidP="009A7EC3">
            <w:pPr>
              <w:pStyle w:val="ASSADACCESStablecentre"/>
            </w:pPr>
          </w:p>
        </w:tc>
        <w:tc>
          <w:tcPr>
            <w:tcW w:w="879" w:type="dxa"/>
            <w:shd w:val="clear" w:color="auto" w:fill="auto"/>
            <w:vAlign w:val="bottom"/>
          </w:tcPr>
          <w:p w14:paraId="174D7AA4" w14:textId="77777777" w:rsidR="009A7EC3" w:rsidRPr="00DE25AD" w:rsidRDefault="009A7EC3" w:rsidP="009A7EC3">
            <w:pPr>
              <w:pStyle w:val="ASSADACCESStablecentre"/>
            </w:pPr>
          </w:p>
        </w:tc>
        <w:tc>
          <w:tcPr>
            <w:tcW w:w="879" w:type="dxa"/>
            <w:shd w:val="clear" w:color="auto" w:fill="auto"/>
            <w:vAlign w:val="bottom"/>
          </w:tcPr>
          <w:p w14:paraId="1266B1DC" w14:textId="77777777" w:rsidR="009A7EC3" w:rsidRPr="00DE25AD" w:rsidRDefault="009A7EC3" w:rsidP="009A7EC3">
            <w:pPr>
              <w:pStyle w:val="ASSADACCESStablecentre"/>
            </w:pPr>
          </w:p>
        </w:tc>
        <w:tc>
          <w:tcPr>
            <w:tcW w:w="879" w:type="dxa"/>
            <w:shd w:val="clear" w:color="auto" w:fill="auto"/>
            <w:vAlign w:val="bottom"/>
          </w:tcPr>
          <w:p w14:paraId="08C1F4F4" w14:textId="77777777" w:rsidR="009A7EC3" w:rsidRPr="00DE25AD" w:rsidRDefault="009A7EC3" w:rsidP="009A7EC3">
            <w:pPr>
              <w:pStyle w:val="ASSADACCESStablecentre"/>
            </w:pPr>
          </w:p>
        </w:tc>
        <w:tc>
          <w:tcPr>
            <w:tcW w:w="879" w:type="dxa"/>
            <w:shd w:val="clear" w:color="auto" w:fill="auto"/>
            <w:vAlign w:val="bottom"/>
          </w:tcPr>
          <w:p w14:paraId="13DEF8AE" w14:textId="77777777" w:rsidR="009A7EC3" w:rsidRPr="00DE25AD" w:rsidRDefault="009A7EC3" w:rsidP="009A7EC3">
            <w:pPr>
              <w:pStyle w:val="ASSADACCESStablecentre"/>
            </w:pPr>
          </w:p>
        </w:tc>
      </w:tr>
      <w:tr w:rsidR="009A7EC3" w:rsidRPr="00DE25AD" w14:paraId="09546081" w14:textId="77777777" w:rsidTr="00545FF4">
        <w:tc>
          <w:tcPr>
            <w:tcW w:w="1517" w:type="dxa"/>
            <w:tcMar>
              <w:left w:w="57" w:type="dxa"/>
            </w:tcMar>
          </w:tcPr>
          <w:p w14:paraId="78625C43"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707A7125" w14:textId="77777777" w:rsidR="009A7EC3" w:rsidRPr="00DE25AD" w:rsidRDefault="009A7EC3" w:rsidP="009A7EC3">
            <w:pPr>
              <w:pStyle w:val="ASSAD2017ACCESSBody1"/>
            </w:pPr>
            <w:r w:rsidRPr="00DE25AD">
              <w:t>Male</w:t>
            </w:r>
          </w:p>
        </w:tc>
        <w:tc>
          <w:tcPr>
            <w:tcW w:w="878" w:type="dxa"/>
            <w:shd w:val="clear" w:color="auto" w:fill="auto"/>
          </w:tcPr>
          <w:p w14:paraId="24538D8E" w14:textId="209668DD" w:rsidR="009A7EC3" w:rsidRPr="00DE25AD" w:rsidRDefault="009A7EC3" w:rsidP="009A7EC3">
            <w:pPr>
              <w:pStyle w:val="ASSADACCESStablecentre"/>
            </w:pPr>
            <w:r w:rsidRPr="002E5727">
              <w:rPr>
                <w:bCs w:val="0"/>
                <w:color w:val="000000"/>
              </w:rPr>
              <w:t>4</w:t>
            </w:r>
          </w:p>
        </w:tc>
        <w:tc>
          <w:tcPr>
            <w:tcW w:w="879" w:type="dxa"/>
            <w:shd w:val="clear" w:color="auto" w:fill="auto"/>
          </w:tcPr>
          <w:p w14:paraId="346A56D4" w14:textId="45419A6F" w:rsidR="009A7EC3" w:rsidRPr="00DE25AD" w:rsidRDefault="009A7EC3" w:rsidP="009A7EC3">
            <w:pPr>
              <w:pStyle w:val="ASSADACCESStablecentre"/>
            </w:pPr>
            <w:r w:rsidRPr="002E5727">
              <w:rPr>
                <w:bCs w:val="0"/>
                <w:color w:val="000000"/>
              </w:rPr>
              <w:t>5</w:t>
            </w:r>
          </w:p>
        </w:tc>
        <w:tc>
          <w:tcPr>
            <w:tcW w:w="879" w:type="dxa"/>
            <w:shd w:val="clear" w:color="auto" w:fill="auto"/>
          </w:tcPr>
          <w:p w14:paraId="6E91DF7A" w14:textId="00CE7E5A" w:rsidR="009A7EC3" w:rsidRPr="00DE25AD" w:rsidRDefault="009A7EC3" w:rsidP="009A7EC3">
            <w:pPr>
              <w:pStyle w:val="ASSADACCESStablecentre"/>
            </w:pPr>
            <w:r w:rsidRPr="002E5727">
              <w:rPr>
                <w:bCs w:val="0"/>
                <w:color w:val="000000"/>
              </w:rPr>
              <w:t>4</w:t>
            </w:r>
          </w:p>
        </w:tc>
        <w:tc>
          <w:tcPr>
            <w:tcW w:w="879" w:type="dxa"/>
            <w:shd w:val="clear" w:color="auto" w:fill="auto"/>
          </w:tcPr>
          <w:p w14:paraId="6D372AB4" w14:textId="0CD1F700" w:rsidR="009A7EC3" w:rsidRPr="00DE25AD" w:rsidRDefault="009A7EC3" w:rsidP="009A7EC3">
            <w:pPr>
              <w:pStyle w:val="ASSADACCESStablecentre"/>
            </w:pPr>
            <w:r w:rsidRPr="002E5727">
              <w:rPr>
                <w:bCs w:val="0"/>
                <w:color w:val="000000"/>
              </w:rPr>
              <w:t>4</w:t>
            </w:r>
          </w:p>
        </w:tc>
        <w:tc>
          <w:tcPr>
            <w:tcW w:w="879" w:type="dxa"/>
            <w:shd w:val="clear" w:color="auto" w:fill="auto"/>
          </w:tcPr>
          <w:p w14:paraId="786E1E11" w14:textId="6DFD663B" w:rsidR="009A7EC3" w:rsidRPr="00DE25AD" w:rsidRDefault="009A7EC3" w:rsidP="009A7EC3">
            <w:pPr>
              <w:pStyle w:val="ASSADACCESStablecentre"/>
            </w:pPr>
            <w:r w:rsidRPr="002E5727">
              <w:rPr>
                <w:bCs w:val="0"/>
                <w:color w:val="000000"/>
              </w:rPr>
              <w:t>5</w:t>
            </w:r>
          </w:p>
        </w:tc>
        <w:tc>
          <w:tcPr>
            <w:tcW w:w="879" w:type="dxa"/>
            <w:shd w:val="clear" w:color="auto" w:fill="auto"/>
          </w:tcPr>
          <w:p w14:paraId="33847AEC" w14:textId="2D47E9B9" w:rsidR="009A7EC3" w:rsidRPr="00DE25AD" w:rsidRDefault="009A7EC3" w:rsidP="009A7EC3">
            <w:pPr>
              <w:pStyle w:val="ASSADACCESStablecentre"/>
            </w:pPr>
            <w:r w:rsidRPr="002E5727">
              <w:rPr>
                <w:bCs w:val="0"/>
                <w:color w:val="000000"/>
              </w:rPr>
              <w:t>3*</w:t>
            </w:r>
          </w:p>
        </w:tc>
        <w:tc>
          <w:tcPr>
            <w:tcW w:w="879" w:type="dxa"/>
            <w:shd w:val="clear" w:color="auto" w:fill="auto"/>
          </w:tcPr>
          <w:p w14:paraId="7C6C763D" w14:textId="3ADE18E0" w:rsidR="009A7EC3" w:rsidRPr="00DE25AD" w:rsidRDefault="009A7EC3" w:rsidP="009A7EC3">
            <w:pPr>
              <w:pStyle w:val="ASSADACCESStablecentre"/>
            </w:pPr>
            <w:r w:rsidRPr="002E5727">
              <w:rPr>
                <w:bCs w:val="0"/>
                <w:color w:val="000000"/>
              </w:rPr>
              <w:t>4</w:t>
            </w:r>
          </w:p>
        </w:tc>
        <w:tc>
          <w:tcPr>
            <w:tcW w:w="879" w:type="dxa"/>
            <w:shd w:val="clear" w:color="auto" w:fill="auto"/>
          </w:tcPr>
          <w:p w14:paraId="6800FF70" w14:textId="756D2BD4" w:rsidR="009A7EC3" w:rsidRPr="00DE25AD" w:rsidRDefault="009A7EC3" w:rsidP="009A7EC3">
            <w:pPr>
              <w:pStyle w:val="ASSADACCESStablecentre"/>
            </w:pPr>
            <w:r w:rsidRPr="002E5727">
              <w:rPr>
                <w:bCs w:val="0"/>
                <w:color w:val="000000"/>
              </w:rPr>
              <w:t>5</w:t>
            </w:r>
          </w:p>
        </w:tc>
      </w:tr>
      <w:tr w:rsidR="009A7EC3" w:rsidRPr="00DE25AD" w14:paraId="0EEBCF15" w14:textId="77777777" w:rsidTr="005F678B">
        <w:tc>
          <w:tcPr>
            <w:tcW w:w="1517" w:type="dxa"/>
            <w:tcMar>
              <w:left w:w="57" w:type="dxa"/>
            </w:tcMar>
          </w:tcPr>
          <w:p w14:paraId="0506EF29" w14:textId="77777777" w:rsidR="009A7EC3" w:rsidRPr="00DE25AD" w:rsidRDefault="009A7EC3" w:rsidP="009A7EC3">
            <w:pPr>
              <w:pStyle w:val="ACCESSTableHeaderRow"/>
            </w:pPr>
          </w:p>
        </w:tc>
        <w:tc>
          <w:tcPr>
            <w:tcW w:w="1068" w:type="dxa"/>
            <w:shd w:val="clear" w:color="auto" w:fill="auto"/>
            <w:tcMar>
              <w:left w:w="57" w:type="dxa"/>
            </w:tcMar>
            <w:vAlign w:val="bottom"/>
          </w:tcPr>
          <w:p w14:paraId="7611B781" w14:textId="77777777" w:rsidR="009A7EC3" w:rsidRPr="00DE25AD" w:rsidRDefault="009A7EC3" w:rsidP="009A7EC3">
            <w:pPr>
              <w:pStyle w:val="ASSAD2017ACCESSBody1"/>
            </w:pPr>
            <w:r w:rsidRPr="00DE25AD">
              <w:t>Female</w:t>
            </w:r>
          </w:p>
        </w:tc>
        <w:tc>
          <w:tcPr>
            <w:tcW w:w="878" w:type="dxa"/>
            <w:shd w:val="clear" w:color="auto" w:fill="auto"/>
          </w:tcPr>
          <w:p w14:paraId="20B9D83C" w14:textId="783757C7" w:rsidR="009A7EC3" w:rsidRPr="00DE25AD" w:rsidRDefault="009A7EC3" w:rsidP="009A7EC3">
            <w:pPr>
              <w:pStyle w:val="ASSADACCESStablecentre"/>
            </w:pPr>
            <w:r w:rsidRPr="002E5727">
              <w:rPr>
                <w:bCs w:val="0"/>
                <w:color w:val="000000"/>
              </w:rPr>
              <w:t>2</w:t>
            </w:r>
          </w:p>
        </w:tc>
        <w:tc>
          <w:tcPr>
            <w:tcW w:w="879" w:type="dxa"/>
            <w:shd w:val="clear" w:color="auto" w:fill="auto"/>
          </w:tcPr>
          <w:p w14:paraId="14A93FC1" w14:textId="7E2F5F8E" w:rsidR="009A7EC3" w:rsidRPr="00DE25AD" w:rsidRDefault="009A7EC3" w:rsidP="009A7EC3">
            <w:pPr>
              <w:pStyle w:val="ASSADACCESStablecentre"/>
            </w:pPr>
            <w:r w:rsidRPr="002E5727">
              <w:rPr>
                <w:bCs w:val="0"/>
                <w:color w:val="000000"/>
              </w:rPr>
              <w:t>3</w:t>
            </w:r>
          </w:p>
        </w:tc>
        <w:tc>
          <w:tcPr>
            <w:tcW w:w="879" w:type="dxa"/>
            <w:shd w:val="clear" w:color="auto" w:fill="auto"/>
          </w:tcPr>
          <w:p w14:paraId="3BFF8D4E" w14:textId="7A71CAEF" w:rsidR="009A7EC3" w:rsidRPr="00DE25AD" w:rsidRDefault="009A7EC3" w:rsidP="009A7EC3">
            <w:pPr>
              <w:pStyle w:val="ASSADACCESStablecentre"/>
            </w:pPr>
            <w:r w:rsidRPr="002E5727">
              <w:rPr>
                <w:bCs w:val="0"/>
                <w:color w:val="000000"/>
              </w:rPr>
              <w:t>3</w:t>
            </w:r>
          </w:p>
        </w:tc>
        <w:tc>
          <w:tcPr>
            <w:tcW w:w="879" w:type="dxa"/>
            <w:shd w:val="clear" w:color="auto" w:fill="auto"/>
          </w:tcPr>
          <w:p w14:paraId="55DCBA08" w14:textId="7A8338DE" w:rsidR="009A7EC3" w:rsidRPr="00DE25AD" w:rsidRDefault="009A7EC3" w:rsidP="009A7EC3">
            <w:pPr>
              <w:pStyle w:val="ASSADACCESStablecentre"/>
            </w:pPr>
            <w:r w:rsidRPr="002E5727">
              <w:rPr>
                <w:bCs w:val="0"/>
                <w:color w:val="000000"/>
              </w:rPr>
              <w:t>3</w:t>
            </w:r>
          </w:p>
        </w:tc>
        <w:tc>
          <w:tcPr>
            <w:tcW w:w="879" w:type="dxa"/>
            <w:shd w:val="clear" w:color="auto" w:fill="auto"/>
          </w:tcPr>
          <w:p w14:paraId="0FD9B6CD" w14:textId="17299B35" w:rsidR="009A7EC3" w:rsidRPr="00DE25AD" w:rsidRDefault="009A7EC3" w:rsidP="009A7EC3">
            <w:pPr>
              <w:pStyle w:val="ASSADACCESStablecentre"/>
            </w:pPr>
            <w:r w:rsidRPr="002E5727">
              <w:rPr>
                <w:bCs w:val="0"/>
                <w:color w:val="000000"/>
              </w:rPr>
              <w:t>3</w:t>
            </w:r>
          </w:p>
        </w:tc>
        <w:tc>
          <w:tcPr>
            <w:tcW w:w="879" w:type="dxa"/>
            <w:shd w:val="clear" w:color="auto" w:fill="auto"/>
          </w:tcPr>
          <w:p w14:paraId="2E468D8C" w14:textId="3233EBCA" w:rsidR="009A7EC3" w:rsidRPr="00DE25AD" w:rsidRDefault="009A7EC3" w:rsidP="009A7EC3">
            <w:pPr>
              <w:pStyle w:val="ASSADACCESStablecentre"/>
            </w:pPr>
            <w:r w:rsidRPr="002E5727">
              <w:rPr>
                <w:bCs w:val="0"/>
                <w:color w:val="000000"/>
              </w:rPr>
              <w:t>2</w:t>
            </w:r>
          </w:p>
        </w:tc>
        <w:tc>
          <w:tcPr>
            <w:tcW w:w="879" w:type="dxa"/>
            <w:shd w:val="clear" w:color="auto" w:fill="auto"/>
          </w:tcPr>
          <w:p w14:paraId="63B0FABD" w14:textId="0CE96C51" w:rsidR="009A7EC3" w:rsidRPr="00DE25AD" w:rsidRDefault="009A7EC3" w:rsidP="009A7EC3">
            <w:pPr>
              <w:pStyle w:val="ASSADACCESStablecentre"/>
            </w:pPr>
            <w:r w:rsidRPr="002E5727">
              <w:rPr>
                <w:bCs w:val="0"/>
                <w:color w:val="000000"/>
              </w:rPr>
              <w:t>2</w:t>
            </w:r>
          </w:p>
        </w:tc>
        <w:tc>
          <w:tcPr>
            <w:tcW w:w="879" w:type="dxa"/>
            <w:shd w:val="clear" w:color="auto" w:fill="auto"/>
          </w:tcPr>
          <w:p w14:paraId="17901E6C" w14:textId="71ED2149" w:rsidR="009A7EC3" w:rsidRPr="00DE25AD" w:rsidRDefault="009A7EC3" w:rsidP="009A7EC3">
            <w:pPr>
              <w:pStyle w:val="ASSADACCESStablecentre"/>
            </w:pPr>
            <w:r>
              <w:rPr>
                <w:bCs w:val="0"/>
                <w:color w:val="000000"/>
              </w:rPr>
              <w:t>3</w:t>
            </w:r>
          </w:p>
        </w:tc>
      </w:tr>
      <w:tr w:rsidR="009A7EC3" w:rsidRPr="00DE25AD" w14:paraId="4BA226A5" w14:textId="77777777" w:rsidTr="005F678B">
        <w:trPr>
          <w:trHeight w:val="247"/>
        </w:trPr>
        <w:tc>
          <w:tcPr>
            <w:tcW w:w="1517" w:type="dxa"/>
            <w:tcMar>
              <w:left w:w="57" w:type="dxa"/>
            </w:tcMar>
          </w:tcPr>
          <w:p w14:paraId="077414CD" w14:textId="77777777" w:rsidR="009A7EC3" w:rsidRPr="00DE25AD" w:rsidRDefault="009A7EC3" w:rsidP="009A7EC3">
            <w:pPr>
              <w:pStyle w:val="ACCESSTableHeaderRow"/>
            </w:pPr>
          </w:p>
        </w:tc>
        <w:tc>
          <w:tcPr>
            <w:tcW w:w="1068" w:type="dxa"/>
            <w:shd w:val="clear" w:color="auto" w:fill="auto"/>
            <w:tcMar>
              <w:left w:w="57" w:type="dxa"/>
            </w:tcMar>
            <w:vAlign w:val="bottom"/>
          </w:tcPr>
          <w:p w14:paraId="0B4EAA7B" w14:textId="77777777" w:rsidR="009A7EC3" w:rsidRPr="00DE25AD" w:rsidRDefault="009A7EC3" w:rsidP="009A7EC3">
            <w:pPr>
              <w:pStyle w:val="ASSAD2017ACCESSBody1"/>
            </w:pPr>
            <w:r w:rsidRPr="00DE25AD">
              <w:t>Total</w:t>
            </w:r>
          </w:p>
        </w:tc>
        <w:tc>
          <w:tcPr>
            <w:tcW w:w="878" w:type="dxa"/>
            <w:shd w:val="clear" w:color="auto" w:fill="auto"/>
          </w:tcPr>
          <w:p w14:paraId="63EEF863" w14:textId="3122E0C3" w:rsidR="009A7EC3" w:rsidRPr="00DE25AD" w:rsidRDefault="009A7EC3" w:rsidP="009A7EC3">
            <w:pPr>
              <w:pStyle w:val="ASSADACCESStablecentre"/>
            </w:pPr>
            <w:r w:rsidRPr="002E5727">
              <w:rPr>
                <w:bCs w:val="0"/>
                <w:color w:val="000000"/>
              </w:rPr>
              <w:t>3</w:t>
            </w:r>
          </w:p>
        </w:tc>
        <w:tc>
          <w:tcPr>
            <w:tcW w:w="879" w:type="dxa"/>
            <w:shd w:val="clear" w:color="auto" w:fill="auto"/>
          </w:tcPr>
          <w:p w14:paraId="61BBE7A6" w14:textId="22155A67" w:rsidR="009A7EC3" w:rsidRPr="00DE25AD" w:rsidRDefault="009A7EC3" w:rsidP="009A7EC3">
            <w:pPr>
              <w:pStyle w:val="ASSADACCESStablecentre"/>
            </w:pPr>
            <w:r w:rsidRPr="002E5727">
              <w:rPr>
                <w:bCs w:val="0"/>
                <w:color w:val="000000"/>
              </w:rPr>
              <w:t>4</w:t>
            </w:r>
          </w:p>
        </w:tc>
        <w:tc>
          <w:tcPr>
            <w:tcW w:w="879" w:type="dxa"/>
            <w:shd w:val="clear" w:color="auto" w:fill="auto"/>
          </w:tcPr>
          <w:p w14:paraId="00B2A48C" w14:textId="2839F8C9" w:rsidR="009A7EC3" w:rsidRPr="00DE25AD" w:rsidRDefault="009A7EC3" w:rsidP="009A7EC3">
            <w:pPr>
              <w:pStyle w:val="ASSADACCESStablecentre"/>
            </w:pPr>
            <w:r w:rsidRPr="002E5727">
              <w:rPr>
                <w:bCs w:val="0"/>
                <w:color w:val="000000"/>
              </w:rPr>
              <w:t>4</w:t>
            </w:r>
          </w:p>
        </w:tc>
        <w:tc>
          <w:tcPr>
            <w:tcW w:w="879" w:type="dxa"/>
            <w:shd w:val="clear" w:color="auto" w:fill="auto"/>
          </w:tcPr>
          <w:p w14:paraId="605F4F25" w14:textId="530A08EA" w:rsidR="009A7EC3" w:rsidRPr="00DE25AD" w:rsidRDefault="009A7EC3" w:rsidP="009A7EC3">
            <w:pPr>
              <w:pStyle w:val="ASSADACCESStablecentre"/>
            </w:pPr>
            <w:r w:rsidRPr="002E5727">
              <w:rPr>
                <w:bCs w:val="0"/>
                <w:color w:val="000000"/>
              </w:rPr>
              <w:t>4</w:t>
            </w:r>
          </w:p>
        </w:tc>
        <w:tc>
          <w:tcPr>
            <w:tcW w:w="879" w:type="dxa"/>
            <w:shd w:val="clear" w:color="auto" w:fill="auto"/>
          </w:tcPr>
          <w:p w14:paraId="436C38CD" w14:textId="4304E74D" w:rsidR="009A7EC3" w:rsidRPr="00DE25AD" w:rsidRDefault="009A7EC3" w:rsidP="009A7EC3">
            <w:pPr>
              <w:pStyle w:val="ASSADACCESStablecentre"/>
            </w:pPr>
            <w:r w:rsidRPr="002E5727">
              <w:rPr>
                <w:bCs w:val="0"/>
                <w:color w:val="000000"/>
              </w:rPr>
              <w:t>4</w:t>
            </w:r>
          </w:p>
        </w:tc>
        <w:tc>
          <w:tcPr>
            <w:tcW w:w="879" w:type="dxa"/>
            <w:shd w:val="clear" w:color="auto" w:fill="auto"/>
          </w:tcPr>
          <w:p w14:paraId="29CBE72B" w14:textId="2E2A5D33" w:rsidR="009A7EC3" w:rsidRPr="00DE25AD" w:rsidRDefault="009A7EC3" w:rsidP="009A7EC3">
            <w:pPr>
              <w:pStyle w:val="ASSADACCESStablecentre"/>
            </w:pPr>
            <w:r w:rsidRPr="002E5727">
              <w:rPr>
                <w:bCs w:val="0"/>
                <w:color w:val="000000"/>
              </w:rPr>
              <w:t>2*^</w:t>
            </w:r>
          </w:p>
        </w:tc>
        <w:tc>
          <w:tcPr>
            <w:tcW w:w="879" w:type="dxa"/>
            <w:shd w:val="clear" w:color="auto" w:fill="auto"/>
          </w:tcPr>
          <w:p w14:paraId="0E70162B" w14:textId="2A463A68" w:rsidR="009A7EC3" w:rsidRPr="00DE25AD" w:rsidRDefault="009A7EC3" w:rsidP="009A7EC3">
            <w:pPr>
              <w:pStyle w:val="ASSADACCESStablecentre"/>
            </w:pPr>
            <w:r w:rsidRPr="002E5727">
              <w:rPr>
                <w:bCs w:val="0"/>
                <w:color w:val="000000"/>
              </w:rPr>
              <w:t>3</w:t>
            </w:r>
          </w:p>
        </w:tc>
        <w:tc>
          <w:tcPr>
            <w:tcW w:w="879" w:type="dxa"/>
            <w:shd w:val="clear" w:color="auto" w:fill="auto"/>
          </w:tcPr>
          <w:p w14:paraId="7D0F3646" w14:textId="633B6931" w:rsidR="009A7EC3" w:rsidRPr="00DE25AD" w:rsidRDefault="009A7EC3" w:rsidP="009A7EC3">
            <w:pPr>
              <w:pStyle w:val="ASSADACCESStablecentre"/>
            </w:pPr>
            <w:r w:rsidRPr="002E5727">
              <w:rPr>
                <w:bCs w:val="0"/>
                <w:color w:val="000000"/>
              </w:rPr>
              <w:t>4</w:t>
            </w:r>
          </w:p>
        </w:tc>
      </w:tr>
      <w:tr w:rsidR="009A7EC3" w:rsidRPr="00DE25AD" w14:paraId="7A75D532" w14:textId="77777777" w:rsidTr="005F678B">
        <w:tc>
          <w:tcPr>
            <w:tcW w:w="1517" w:type="dxa"/>
            <w:tcMar>
              <w:left w:w="57" w:type="dxa"/>
            </w:tcMar>
          </w:tcPr>
          <w:p w14:paraId="2B570CAF" w14:textId="19E912CC" w:rsidR="009A7EC3" w:rsidRPr="00DE25AD" w:rsidRDefault="009A7EC3" w:rsidP="009A7EC3">
            <w:pPr>
              <w:pStyle w:val="ACCESSTableHeaderRow"/>
            </w:pPr>
            <w:r w:rsidRPr="00DE25AD">
              <w:t xml:space="preserve">Past </w:t>
            </w:r>
            <w:r>
              <w:t>year</w:t>
            </w:r>
          </w:p>
        </w:tc>
        <w:tc>
          <w:tcPr>
            <w:tcW w:w="1068" w:type="dxa"/>
            <w:shd w:val="clear" w:color="auto" w:fill="auto"/>
            <w:tcMar>
              <w:left w:w="57" w:type="dxa"/>
            </w:tcMar>
            <w:vAlign w:val="bottom"/>
          </w:tcPr>
          <w:p w14:paraId="458E5CD5" w14:textId="77777777" w:rsidR="009A7EC3" w:rsidRPr="00DE25AD" w:rsidRDefault="009A7EC3" w:rsidP="009A7EC3">
            <w:pPr>
              <w:pStyle w:val="ASSAD2017ACCESSBody1"/>
            </w:pPr>
            <w:r w:rsidRPr="00DE25AD">
              <w:t>Male</w:t>
            </w:r>
          </w:p>
        </w:tc>
        <w:tc>
          <w:tcPr>
            <w:tcW w:w="878" w:type="dxa"/>
            <w:shd w:val="clear" w:color="auto" w:fill="auto"/>
          </w:tcPr>
          <w:p w14:paraId="018C2742" w14:textId="793F6C97" w:rsidR="009A7EC3" w:rsidRPr="00DE25AD" w:rsidRDefault="009A7EC3" w:rsidP="009A7EC3">
            <w:pPr>
              <w:pStyle w:val="ASSADACCESStablecentre"/>
            </w:pPr>
            <w:r w:rsidRPr="002E5727">
              <w:rPr>
                <w:bCs w:val="0"/>
                <w:color w:val="000000"/>
              </w:rPr>
              <w:t>3</w:t>
            </w:r>
          </w:p>
        </w:tc>
        <w:tc>
          <w:tcPr>
            <w:tcW w:w="879" w:type="dxa"/>
            <w:shd w:val="clear" w:color="auto" w:fill="auto"/>
          </w:tcPr>
          <w:p w14:paraId="78CAB436" w14:textId="1135DD5C" w:rsidR="009A7EC3" w:rsidRPr="00DE25AD" w:rsidRDefault="009A7EC3" w:rsidP="009A7EC3">
            <w:pPr>
              <w:pStyle w:val="ASSADACCESStablecentre"/>
            </w:pPr>
            <w:r w:rsidRPr="002E5727">
              <w:rPr>
                <w:bCs w:val="0"/>
                <w:color w:val="000000"/>
              </w:rPr>
              <w:t>3</w:t>
            </w:r>
          </w:p>
        </w:tc>
        <w:tc>
          <w:tcPr>
            <w:tcW w:w="879" w:type="dxa"/>
            <w:shd w:val="clear" w:color="auto" w:fill="auto"/>
          </w:tcPr>
          <w:p w14:paraId="13708663" w14:textId="5A79D9AD" w:rsidR="009A7EC3" w:rsidRPr="00DE25AD" w:rsidRDefault="009A7EC3" w:rsidP="009A7EC3">
            <w:pPr>
              <w:pStyle w:val="ASSADACCESStablecentre"/>
            </w:pPr>
            <w:r w:rsidRPr="002E5727">
              <w:rPr>
                <w:bCs w:val="0"/>
                <w:color w:val="000000"/>
              </w:rPr>
              <w:t>3</w:t>
            </w:r>
          </w:p>
        </w:tc>
        <w:tc>
          <w:tcPr>
            <w:tcW w:w="879" w:type="dxa"/>
            <w:shd w:val="clear" w:color="auto" w:fill="auto"/>
          </w:tcPr>
          <w:p w14:paraId="5EE05243" w14:textId="0FA0B816" w:rsidR="009A7EC3" w:rsidRPr="00DE25AD" w:rsidRDefault="009A7EC3" w:rsidP="009A7EC3">
            <w:pPr>
              <w:pStyle w:val="ASSADACCESStablecentre"/>
            </w:pPr>
            <w:r w:rsidRPr="002E5727">
              <w:rPr>
                <w:bCs w:val="0"/>
                <w:color w:val="000000"/>
              </w:rPr>
              <w:t>3</w:t>
            </w:r>
          </w:p>
        </w:tc>
        <w:tc>
          <w:tcPr>
            <w:tcW w:w="879" w:type="dxa"/>
            <w:shd w:val="clear" w:color="auto" w:fill="auto"/>
          </w:tcPr>
          <w:p w14:paraId="5EC0CD6C" w14:textId="23C2EF99" w:rsidR="009A7EC3" w:rsidRPr="00DE25AD" w:rsidRDefault="009A7EC3" w:rsidP="009A7EC3">
            <w:pPr>
              <w:pStyle w:val="ASSADACCESStablecentre"/>
            </w:pPr>
            <w:r w:rsidRPr="002E5727">
              <w:rPr>
                <w:bCs w:val="0"/>
                <w:color w:val="000000"/>
              </w:rPr>
              <w:t>4</w:t>
            </w:r>
          </w:p>
        </w:tc>
        <w:tc>
          <w:tcPr>
            <w:tcW w:w="879" w:type="dxa"/>
            <w:shd w:val="clear" w:color="auto" w:fill="auto"/>
          </w:tcPr>
          <w:p w14:paraId="25959675" w14:textId="086E7EA0" w:rsidR="009A7EC3" w:rsidRPr="00DE25AD" w:rsidRDefault="009A7EC3" w:rsidP="009A7EC3">
            <w:pPr>
              <w:pStyle w:val="ASSADACCESStablecentre"/>
            </w:pPr>
            <w:r w:rsidRPr="002E5727">
              <w:rPr>
                <w:bCs w:val="0"/>
                <w:color w:val="000000"/>
              </w:rPr>
              <w:t>2*</w:t>
            </w:r>
          </w:p>
        </w:tc>
        <w:tc>
          <w:tcPr>
            <w:tcW w:w="879" w:type="dxa"/>
            <w:shd w:val="clear" w:color="auto" w:fill="auto"/>
          </w:tcPr>
          <w:p w14:paraId="76B9C165" w14:textId="11FC82E4" w:rsidR="009A7EC3" w:rsidRPr="00DE25AD" w:rsidRDefault="009A7EC3" w:rsidP="009A7EC3">
            <w:pPr>
              <w:pStyle w:val="ASSADACCESStablecentre"/>
            </w:pPr>
            <w:r w:rsidRPr="002E5727">
              <w:rPr>
                <w:bCs w:val="0"/>
                <w:color w:val="000000"/>
              </w:rPr>
              <w:t>3</w:t>
            </w:r>
          </w:p>
        </w:tc>
        <w:tc>
          <w:tcPr>
            <w:tcW w:w="879" w:type="dxa"/>
            <w:shd w:val="clear" w:color="auto" w:fill="auto"/>
          </w:tcPr>
          <w:p w14:paraId="4F3D370D" w14:textId="1F36123D" w:rsidR="009A7EC3" w:rsidRPr="00DE25AD" w:rsidRDefault="009A7EC3" w:rsidP="009A7EC3">
            <w:pPr>
              <w:pStyle w:val="ASSADACCESStablecentre"/>
            </w:pPr>
            <w:r w:rsidRPr="002E5727">
              <w:rPr>
                <w:bCs w:val="0"/>
                <w:color w:val="000000"/>
              </w:rPr>
              <w:t>4</w:t>
            </w:r>
          </w:p>
        </w:tc>
      </w:tr>
      <w:tr w:rsidR="009A7EC3" w:rsidRPr="00DE25AD" w14:paraId="29C5F4AB" w14:textId="77777777" w:rsidTr="005F678B">
        <w:tc>
          <w:tcPr>
            <w:tcW w:w="1517" w:type="dxa"/>
            <w:tcMar>
              <w:left w:w="57" w:type="dxa"/>
            </w:tcMar>
          </w:tcPr>
          <w:p w14:paraId="1580D973" w14:textId="77777777" w:rsidR="009A7EC3" w:rsidRPr="00DE25AD" w:rsidRDefault="009A7EC3" w:rsidP="009A7EC3">
            <w:pPr>
              <w:pStyle w:val="ACCESSTableHeaderRow"/>
            </w:pPr>
          </w:p>
        </w:tc>
        <w:tc>
          <w:tcPr>
            <w:tcW w:w="1068" w:type="dxa"/>
            <w:shd w:val="clear" w:color="auto" w:fill="auto"/>
            <w:tcMar>
              <w:left w:w="57" w:type="dxa"/>
            </w:tcMar>
            <w:vAlign w:val="bottom"/>
          </w:tcPr>
          <w:p w14:paraId="0B22D50A" w14:textId="77777777" w:rsidR="009A7EC3" w:rsidRPr="00DE25AD" w:rsidRDefault="009A7EC3" w:rsidP="009A7EC3">
            <w:pPr>
              <w:pStyle w:val="ASSAD2017ACCESSBody1"/>
            </w:pPr>
            <w:r w:rsidRPr="00DE25AD">
              <w:t>Female</w:t>
            </w:r>
          </w:p>
        </w:tc>
        <w:tc>
          <w:tcPr>
            <w:tcW w:w="878" w:type="dxa"/>
            <w:shd w:val="clear" w:color="auto" w:fill="auto"/>
          </w:tcPr>
          <w:p w14:paraId="5253A651" w14:textId="7866647B" w:rsidR="009A7EC3" w:rsidRPr="00DE25AD" w:rsidRDefault="009A7EC3" w:rsidP="009A7EC3">
            <w:pPr>
              <w:pStyle w:val="ASSADACCESStablecentre"/>
            </w:pPr>
            <w:r w:rsidRPr="002E5727">
              <w:rPr>
                <w:bCs w:val="0"/>
                <w:color w:val="000000"/>
              </w:rPr>
              <w:t>2</w:t>
            </w:r>
          </w:p>
        </w:tc>
        <w:tc>
          <w:tcPr>
            <w:tcW w:w="879" w:type="dxa"/>
            <w:shd w:val="clear" w:color="auto" w:fill="auto"/>
          </w:tcPr>
          <w:p w14:paraId="6E20486A" w14:textId="0B29B6FA" w:rsidR="009A7EC3" w:rsidRPr="00DE25AD" w:rsidRDefault="009A7EC3" w:rsidP="009A7EC3">
            <w:pPr>
              <w:pStyle w:val="ASSADACCESStablecentre"/>
            </w:pPr>
            <w:r w:rsidRPr="002E5727">
              <w:rPr>
                <w:bCs w:val="0"/>
                <w:color w:val="000000"/>
              </w:rPr>
              <w:t>2</w:t>
            </w:r>
          </w:p>
        </w:tc>
        <w:tc>
          <w:tcPr>
            <w:tcW w:w="879" w:type="dxa"/>
            <w:shd w:val="clear" w:color="auto" w:fill="auto"/>
          </w:tcPr>
          <w:p w14:paraId="6787064A" w14:textId="5A5D44B3" w:rsidR="009A7EC3" w:rsidRPr="00DE25AD" w:rsidRDefault="009A7EC3" w:rsidP="009A7EC3">
            <w:pPr>
              <w:pStyle w:val="ASSADACCESStablecentre"/>
            </w:pPr>
            <w:r w:rsidRPr="002E5727">
              <w:rPr>
                <w:bCs w:val="0"/>
                <w:color w:val="000000"/>
              </w:rPr>
              <w:t>2</w:t>
            </w:r>
          </w:p>
        </w:tc>
        <w:tc>
          <w:tcPr>
            <w:tcW w:w="879" w:type="dxa"/>
            <w:shd w:val="clear" w:color="auto" w:fill="auto"/>
          </w:tcPr>
          <w:p w14:paraId="4209216B" w14:textId="4721637D" w:rsidR="009A7EC3" w:rsidRPr="00DE25AD" w:rsidRDefault="009A7EC3" w:rsidP="009A7EC3">
            <w:pPr>
              <w:pStyle w:val="ASSADACCESStablecentre"/>
            </w:pPr>
            <w:r w:rsidRPr="002E5727">
              <w:rPr>
                <w:bCs w:val="0"/>
                <w:color w:val="000000"/>
              </w:rPr>
              <w:t>2</w:t>
            </w:r>
          </w:p>
        </w:tc>
        <w:tc>
          <w:tcPr>
            <w:tcW w:w="879" w:type="dxa"/>
            <w:shd w:val="clear" w:color="auto" w:fill="auto"/>
          </w:tcPr>
          <w:p w14:paraId="7353EC38" w14:textId="66F291CB" w:rsidR="009A7EC3" w:rsidRPr="00DE25AD" w:rsidRDefault="009A7EC3" w:rsidP="009A7EC3">
            <w:pPr>
              <w:pStyle w:val="ASSADACCESStablecentre"/>
            </w:pPr>
            <w:r w:rsidRPr="002E5727">
              <w:rPr>
                <w:bCs w:val="0"/>
                <w:color w:val="000000"/>
              </w:rPr>
              <w:t>2</w:t>
            </w:r>
          </w:p>
        </w:tc>
        <w:tc>
          <w:tcPr>
            <w:tcW w:w="879" w:type="dxa"/>
            <w:shd w:val="clear" w:color="auto" w:fill="auto"/>
          </w:tcPr>
          <w:p w14:paraId="759A2530" w14:textId="02CFFB5B" w:rsidR="009A7EC3" w:rsidRPr="00DE25AD" w:rsidRDefault="009A7EC3" w:rsidP="009A7EC3">
            <w:pPr>
              <w:pStyle w:val="ASSADACCESStablecentre"/>
            </w:pPr>
            <w:r w:rsidRPr="002E5727">
              <w:rPr>
                <w:bCs w:val="0"/>
                <w:color w:val="000000"/>
              </w:rPr>
              <w:t>1</w:t>
            </w:r>
          </w:p>
        </w:tc>
        <w:tc>
          <w:tcPr>
            <w:tcW w:w="879" w:type="dxa"/>
            <w:shd w:val="clear" w:color="auto" w:fill="auto"/>
          </w:tcPr>
          <w:p w14:paraId="3591A497" w14:textId="7FEA8708" w:rsidR="009A7EC3" w:rsidRPr="00DE25AD" w:rsidRDefault="009A7EC3" w:rsidP="009A7EC3">
            <w:pPr>
              <w:pStyle w:val="ASSADACCESStablecentre"/>
            </w:pPr>
            <w:r w:rsidRPr="002E5727">
              <w:rPr>
                <w:bCs w:val="0"/>
                <w:color w:val="000000"/>
              </w:rPr>
              <w:t>1</w:t>
            </w:r>
          </w:p>
        </w:tc>
        <w:tc>
          <w:tcPr>
            <w:tcW w:w="879" w:type="dxa"/>
            <w:shd w:val="clear" w:color="auto" w:fill="auto"/>
          </w:tcPr>
          <w:p w14:paraId="2F63FBF7" w14:textId="634B27DB" w:rsidR="009A7EC3" w:rsidRPr="00DE25AD" w:rsidRDefault="009A7EC3" w:rsidP="009A7EC3">
            <w:pPr>
              <w:pStyle w:val="ASSADACCESStablecentre"/>
            </w:pPr>
            <w:r w:rsidRPr="002E5727">
              <w:rPr>
                <w:bCs w:val="0"/>
                <w:color w:val="000000"/>
              </w:rPr>
              <w:t>2</w:t>
            </w:r>
          </w:p>
        </w:tc>
      </w:tr>
      <w:tr w:rsidR="009A7EC3" w:rsidRPr="00DE25AD" w14:paraId="0CAF2631" w14:textId="77777777" w:rsidTr="005F678B">
        <w:tc>
          <w:tcPr>
            <w:tcW w:w="1517" w:type="dxa"/>
            <w:tcMar>
              <w:left w:w="57" w:type="dxa"/>
            </w:tcMar>
          </w:tcPr>
          <w:p w14:paraId="2A4817F8" w14:textId="77777777" w:rsidR="009A7EC3" w:rsidRPr="00DE25AD" w:rsidRDefault="009A7EC3" w:rsidP="009A7EC3">
            <w:pPr>
              <w:pStyle w:val="ACCESSTableHeaderRow"/>
            </w:pPr>
          </w:p>
        </w:tc>
        <w:tc>
          <w:tcPr>
            <w:tcW w:w="1068" w:type="dxa"/>
            <w:shd w:val="clear" w:color="auto" w:fill="auto"/>
            <w:tcMar>
              <w:left w:w="57" w:type="dxa"/>
            </w:tcMar>
            <w:vAlign w:val="bottom"/>
          </w:tcPr>
          <w:p w14:paraId="2ACC4263" w14:textId="77777777" w:rsidR="009A7EC3" w:rsidRPr="00DE25AD" w:rsidRDefault="009A7EC3" w:rsidP="009A7EC3">
            <w:pPr>
              <w:pStyle w:val="ASSAD2017ACCESSBody1"/>
            </w:pPr>
            <w:r w:rsidRPr="00DE25AD">
              <w:t>Total</w:t>
            </w:r>
          </w:p>
        </w:tc>
        <w:tc>
          <w:tcPr>
            <w:tcW w:w="878" w:type="dxa"/>
            <w:shd w:val="clear" w:color="auto" w:fill="auto"/>
          </w:tcPr>
          <w:p w14:paraId="791B99C4" w14:textId="5544E755" w:rsidR="009A7EC3" w:rsidRPr="00DE25AD" w:rsidRDefault="009A7EC3" w:rsidP="009A7EC3">
            <w:pPr>
              <w:pStyle w:val="ASSADACCESStablecentre"/>
            </w:pPr>
            <w:r w:rsidRPr="002E5727">
              <w:rPr>
                <w:bCs w:val="0"/>
                <w:color w:val="000000"/>
              </w:rPr>
              <w:t>2</w:t>
            </w:r>
          </w:p>
        </w:tc>
        <w:tc>
          <w:tcPr>
            <w:tcW w:w="879" w:type="dxa"/>
            <w:shd w:val="clear" w:color="auto" w:fill="auto"/>
          </w:tcPr>
          <w:p w14:paraId="32E6F12F" w14:textId="4F6B7B80" w:rsidR="009A7EC3" w:rsidRPr="00DE25AD" w:rsidRDefault="009A7EC3" w:rsidP="009A7EC3">
            <w:pPr>
              <w:pStyle w:val="ASSADACCESStablecentre"/>
            </w:pPr>
            <w:r w:rsidRPr="002E5727">
              <w:rPr>
                <w:bCs w:val="0"/>
                <w:color w:val="000000"/>
              </w:rPr>
              <w:t>3</w:t>
            </w:r>
          </w:p>
        </w:tc>
        <w:tc>
          <w:tcPr>
            <w:tcW w:w="879" w:type="dxa"/>
            <w:shd w:val="clear" w:color="auto" w:fill="auto"/>
          </w:tcPr>
          <w:p w14:paraId="60BF7103" w14:textId="696DAC3F" w:rsidR="009A7EC3" w:rsidRPr="00DE25AD" w:rsidRDefault="009A7EC3" w:rsidP="009A7EC3">
            <w:pPr>
              <w:pStyle w:val="ASSADACCESStablecentre"/>
            </w:pPr>
            <w:r w:rsidRPr="002E5727">
              <w:rPr>
                <w:bCs w:val="0"/>
                <w:color w:val="000000"/>
              </w:rPr>
              <w:t>2</w:t>
            </w:r>
          </w:p>
        </w:tc>
        <w:tc>
          <w:tcPr>
            <w:tcW w:w="879" w:type="dxa"/>
            <w:shd w:val="clear" w:color="auto" w:fill="auto"/>
          </w:tcPr>
          <w:p w14:paraId="2B5F713C" w14:textId="2F75E96B" w:rsidR="009A7EC3" w:rsidRPr="00DE25AD" w:rsidRDefault="009A7EC3" w:rsidP="009A7EC3">
            <w:pPr>
              <w:pStyle w:val="ASSADACCESStablecentre"/>
            </w:pPr>
            <w:r w:rsidRPr="002E5727">
              <w:rPr>
                <w:bCs w:val="0"/>
                <w:color w:val="000000"/>
              </w:rPr>
              <w:t>3</w:t>
            </w:r>
          </w:p>
        </w:tc>
        <w:tc>
          <w:tcPr>
            <w:tcW w:w="879" w:type="dxa"/>
            <w:shd w:val="clear" w:color="auto" w:fill="auto"/>
          </w:tcPr>
          <w:p w14:paraId="0787C8EB" w14:textId="5988835D" w:rsidR="009A7EC3" w:rsidRPr="00DE25AD" w:rsidRDefault="009A7EC3" w:rsidP="009A7EC3">
            <w:pPr>
              <w:pStyle w:val="ASSADACCESStablecentre"/>
            </w:pPr>
            <w:r w:rsidRPr="002E5727">
              <w:rPr>
                <w:bCs w:val="0"/>
                <w:color w:val="000000"/>
              </w:rPr>
              <w:t>3</w:t>
            </w:r>
          </w:p>
        </w:tc>
        <w:tc>
          <w:tcPr>
            <w:tcW w:w="879" w:type="dxa"/>
            <w:shd w:val="clear" w:color="auto" w:fill="auto"/>
          </w:tcPr>
          <w:p w14:paraId="7F3382BC" w14:textId="65246A4A" w:rsidR="009A7EC3" w:rsidRPr="00DE25AD" w:rsidRDefault="009A7EC3" w:rsidP="009A7EC3">
            <w:pPr>
              <w:pStyle w:val="ASSADACCESStablecentre"/>
            </w:pPr>
            <w:r w:rsidRPr="002E5727">
              <w:rPr>
                <w:bCs w:val="0"/>
                <w:color w:val="000000"/>
              </w:rPr>
              <w:t>2*</w:t>
            </w:r>
          </w:p>
        </w:tc>
        <w:tc>
          <w:tcPr>
            <w:tcW w:w="879" w:type="dxa"/>
            <w:shd w:val="clear" w:color="auto" w:fill="auto"/>
          </w:tcPr>
          <w:p w14:paraId="762B5C4E" w14:textId="410E7B1D" w:rsidR="009A7EC3" w:rsidRPr="00DE25AD" w:rsidRDefault="009A7EC3" w:rsidP="009A7EC3">
            <w:pPr>
              <w:pStyle w:val="ASSADACCESStablecentre"/>
            </w:pPr>
            <w:r w:rsidRPr="002E5727">
              <w:rPr>
                <w:bCs w:val="0"/>
                <w:color w:val="000000"/>
              </w:rPr>
              <w:t>2</w:t>
            </w:r>
          </w:p>
        </w:tc>
        <w:tc>
          <w:tcPr>
            <w:tcW w:w="879" w:type="dxa"/>
            <w:shd w:val="clear" w:color="auto" w:fill="auto"/>
          </w:tcPr>
          <w:p w14:paraId="78811FD5" w14:textId="6395E664" w:rsidR="009A7EC3" w:rsidRPr="00DE25AD" w:rsidRDefault="009A7EC3" w:rsidP="009A7EC3">
            <w:pPr>
              <w:pStyle w:val="ASSADACCESStablecentre"/>
            </w:pPr>
            <w:r w:rsidRPr="002E5727">
              <w:rPr>
                <w:bCs w:val="0"/>
                <w:color w:val="000000"/>
              </w:rPr>
              <w:t>3</w:t>
            </w:r>
          </w:p>
        </w:tc>
      </w:tr>
      <w:tr w:rsidR="009A7EC3" w:rsidRPr="00DE25AD" w14:paraId="3A333385" w14:textId="77777777" w:rsidTr="005F678B">
        <w:trPr>
          <w:trHeight w:val="247"/>
        </w:trPr>
        <w:tc>
          <w:tcPr>
            <w:tcW w:w="1517" w:type="dxa"/>
            <w:tcMar>
              <w:left w:w="57" w:type="dxa"/>
            </w:tcMar>
          </w:tcPr>
          <w:p w14:paraId="26B174AA"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00D566BE" w14:textId="77777777" w:rsidR="009A7EC3" w:rsidRPr="00DE25AD" w:rsidRDefault="009A7EC3" w:rsidP="009A7EC3">
            <w:pPr>
              <w:pStyle w:val="ASSAD2017ACCESSBody1"/>
            </w:pPr>
            <w:r w:rsidRPr="00DE25AD">
              <w:t>Male</w:t>
            </w:r>
          </w:p>
        </w:tc>
        <w:tc>
          <w:tcPr>
            <w:tcW w:w="878" w:type="dxa"/>
            <w:shd w:val="clear" w:color="auto" w:fill="auto"/>
          </w:tcPr>
          <w:p w14:paraId="15D3375B" w14:textId="08B488E3" w:rsidR="009A7EC3" w:rsidRPr="00DE25AD" w:rsidRDefault="009A7EC3" w:rsidP="009A7EC3">
            <w:pPr>
              <w:pStyle w:val="ASSADACCESStablecentre"/>
            </w:pPr>
            <w:r w:rsidRPr="002E5727">
              <w:rPr>
                <w:bCs w:val="0"/>
                <w:color w:val="000000"/>
              </w:rPr>
              <w:t>1</w:t>
            </w:r>
          </w:p>
        </w:tc>
        <w:tc>
          <w:tcPr>
            <w:tcW w:w="879" w:type="dxa"/>
            <w:shd w:val="clear" w:color="auto" w:fill="auto"/>
          </w:tcPr>
          <w:p w14:paraId="62FF579A" w14:textId="10F417ED" w:rsidR="009A7EC3" w:rsidRPr="00DE25AD" w:rsidRDefault="009A7EC3" w:rsidP="009A7EC3">
            <w:pPr>
              <w:pStyle w:val="ASSADACCESStablecentre"/>
            </w:pPr>
            <w:r w:rsidRPr="002E5727">
              <w:rPr>
                <w:bCs w:val="0"/>
                <w:color w:val="000000"/>
              </w:rPr>
              <w:t>2</w:t>
            </w:r>
          </w:p>
        </w:tc>
        <w:tc>
          <w:tcPr>
            <w:tcW w:w="879" w:type="dxa"/>
            <w:shd w:val="clear" w:color="auto" w:fill="auto"/>
          </w:tcPr>
          <w:p w14:paraId="78D0A777" w14:textId="7F46A00F" w:rsidR="009A7EC3" w:rsidRPr="00DE25AD" w:rsidRDefault="009A7EC3" w:rsidP="009A7EC3">
            <w:pPr>
              <w:pStyle w:val="ASSADACCESStablecentre"/>
            </w:pPr>
            <w:r w:rsidRPr="002E5727">
              <w:rPr>
                <w:bCs w:val="0"/>
                <w:color w:val="000000"/>
              </w:rPr>
              <w:t>1</w:t>
            </w:r>
          </w:p>
        </w:tc>
        <w:tc>
          <w:tcPr>
            <w:tcW w:w="879" w:type="dxa"/>
            <w:shd w:val="clear" w:color="auto" w:fill="auto"/>
          </w:tcPr>
          <w:p w14:paraId="77B573C4" w14:textId="53774BCB" w:rsidR="009A7EC3" w:rsidRPr="00DE25AD" w:rsidRDefault="009A7EC3" w:rsidP="009A7EC3">
            <w:pPr>
              <w:pStyle w:val="ASSADACCESStablecentre"/>
            </w:pPr>
            <w:r w:rsidRPr="002E5727">
              <w:rPr>
                <w:bCs w:val="0"/>
                <w:color w:val="000000"/>
              </w:rPr>
              <w:t>2</w:t>
            </w:r>
          </w:p>
        </w:tc>
        <w:tc>
          <w:tcPr>
            <w:tcW w:w="879" w:type="dxa"/>
            <w:shd w:val="clear" w:color="auto" w:fill="auto"/>
          </w:tcPr>
          <w:p w14:paraId="07272A01" w14:textId="22A39DC3" w:rsidR="009A7EC3" w:rsidRPr="00DE25AD" w:rsidRDefault="009A7EC3" w:rsidP="009A7EC3">
            <w:pPr>
              <w:pStyle w:val="ASSADACCESStablecentre"/>
            </w:pPr>
            <w:r w:rsidRPr="002E5727">
              <w:rPr>
                <w:bCs w:val="0"/>
                <w:color w:val="000000"/>
              </w:rPr>
              <w:t>2</w:t>
            </w:r>
          </w:p>
        </w:tc>
        <w:tc>
          <w:tcPr>
            <w:tcW w:w="879" w:type="dxa"/>
            <w:shd w:val="clear" w:color="auto" w:fill="auto"/>
          </w:tcPr>
          <w:p w14:paraId="04832F53" w14:textId="79E814B5" w:rsidR="009A7EC3" w:rsidRPr="00DE25AD" w:rsidRDefault="009A7EC3" w:rsidP="009A7EC3">
            <w:pPr>
              <w:pStyle w:val="ASSADACCESStablecentre"/>
            </w:pPr>
            <w:r w:rsidRPr="002E5727">
              <w:rPr>
                <w:bCs w:val="0"/>
                <w:color w:val="000000"/>
              </w:rPr>
              <w:t>2</w:t>
            </w:r>
          </w:p>
        </w:tc>
        <w:tc>
          <w:tcPr>
            <w:tcW w:w="879" w:type="dxa"/>
            <w:shd w:val="clear" w:color="auto" w:fill="auto"/>
          </w:tcPr>
          <w:p w14:paraId="37BB3727" w14:textId="576F5FE9" w:rsidR="009A7EC3" w:rsidRPr="00DE25AD" w:rsidRDefault="009A7EC3" w:rsidP="009A7EC3">
            <w:pPr>
              <w:pStyle w:val="ASSADACCESStablecentre"/>
            </w:pPr>
            <w:r w:rsidRPr="002E5727">
              <w:rPr>
                <w:bCs w:val="0"/>
                <w:color w:val="000000"/>
              </w:rPr>
              <w:t>1</w:t>
            </w:r>
          </w:p>
        </w:tc>
        <w:tc>
          <w:tcPr>
            <w:tcW w:w="879" w:type="dxa"/>
            <w:shd w:val="clear" w:color="auto" w:fill="auto"/>
          </w:tcPr>
          <w:p w14:paraId="243FAF42" w14:textId="66BF46BB" w:rsidR="009A7EC3" w:rsidRPr="00DE25AD" w:rsidRDefault="009A7EC3" w:rsidP="009A7EC3">
            <w:pPr>
              <w:pStyle w:val="ASSADACCESStablecentre"/>
            </w:pPr>
            <w:r w:rsidRPr="002E5727">
              <w:rPr>
                <w:bCs w:val="0"/>
                <w:color w:val="000000"/>
              </w:rPr>
              <w:t>2</w:t>
            </w:r>
          </w:p>
        </w:tc>
      </w:tr>
      <w:tr w:rsidR="009A7EC3" w:rsidRPr="00DE25AD" w14:paraId="23C101A8" w14:textId="77777777" w:rsidTr="005F678B">
        <w:trPr>
          <w:trHeight w:val="247"/>
        </w:trPr>
        <w:tc>
          <w:tcPr>
            <w:tcW w:w="1517" w:type="dxa"/>
            <w:tcMar>
              <w:left w:w="57" w:type="dxa"/>
            </w:tcMar>
          </w:tcPr>
          <w:p w14:paraId="594C462A" w14:textId="77777777" w:rsidR="009A7EC3" w:rsidRPr="00DE25AD" w:rsidRDefault="009A7EC3" w:rsidP="009A7EC3">
            <w:pPr>
              <w:pStyle w:val="ACCESSTableHeaderRow"/>
            </w:pPr>
          </w:p>
        </w:tc>
        <w:tc>
          <w:tcPr>
            <w:tcW w:w="1068" w:type="dxa"/>
            <w:shd w:val="clear" w:color="auto" w:fill="auto"/>
            <w:tcMar>
              <w:left w:w="57" w:type="dxa"/>
            </w:tcMar>
            <w:vAlign w:val="bottom"/>
          </w:tcPr>
          <w:p w14:paraId="5E2C92B8" w14:textId="77777777" w:rsidR="009A7EC3" w:rsidRPr="00DE25AD" w:rsidRDefault="009A7EC3" w:rsidP="009A7EC3">
            <w:pPr>
              <w:pStyle w:val="ASSAD2017ACCESSBody1"/>
            </w:pPr>
            <w:r w:rsidRPr="00DE25AD">
              <w:t>Female</w:t>
            </w:r>
          </w:p>
        </w:tc>
        <w:tc>
          <w:tcPr>
            <w:tcW w:w="878" w:type="dxa"/>
            <w:shd w:val="clear" w:color="auto" w:fill="auto"/>
          </w:tcPr>
          <w:p w14:paraId="6F059866" w14:textId="53097303" w:rsidR="009A7EC3" w:rsidRPr="00DE25AD" w:rsidRDefault="009A7EC3" w:rsidP="009A7EC3">
            <w:pPr>
              <w:pStyle w:val="ASSADACCESStablecentre"/>
            </w:pPr>
            <w:r w:rsidRPr="002E5727">
              <w:rPr>
                <w:bCs w:val="0"/>
                <w:color w:val="000000"/>
              </w:rPr>
              <w:t>&lt;1</w:t>
            </w:r>
          </w:p>
        </w:tc>
        <w:tc>
          <w:tcPr>
            <w:tcW w:w="879" w:type="dxa"/>
            <w:shd w:val="clear" w:color="auto" w:fill="auto"/>
          </w:tcPr>
          <w:p w14:paraId="44B46F0D" w14:textId="2C8E1654" w:rsidR="009A7EC3" w:rsidRPr="00DE25AD" w:rsidRDefault="009A7EC3" w:rsidP="009A7EC3">
            <w:pPr>
              <w:pStyle w:val="ASSADACCESStablecentre"/>
            </w:pPr>
            <w:r w:rsidRPr="002E5727">
              <w:rPr>
                <w:bCs w:val="0"/>
                <w:color w:val="000000"/>
              </w:rPr>
              <w:t>&lt;1</w:t>
            </w:r>
          </w:p>
        </w:tc>
        <w:tc>
          <w:tcPr>
            <w:tcW w:w="879" w:type="dxa"/>
            <w:shd w:val="clear" w:color="auto" w:fill="auto"/>
          </w:tcPr>
          <w:p w14:paraId="59151213" w14:textId="61FB5EFE" w:rsidR="009A7EC3" w:rsidRPr="00DE25AD" w:rsidRDefault="009A7EC3" w:rsidP="009A7EC3">
            <w:pPr>
              <w:pStyle w:val="ASSADACCESStablecentre"/>
            </w:pPr>
            <w:r w:rsidRPr="002E5727">
              <w:rPr>
                <w:bCs w:val="0"/>
                <w:color w:val="000000"/>
              </w:rPr>
              <w:t>1</w:t>
            </w:r>
          </w:p>
        </w:tc>
        <w:tc>
          <w:tcPr>
            <w:tcW w:w="879" w:type="dxa"/>
            <w:shd w:val="clear" w:color="auto" w:fill="auto"/>
          </w:tcPr>
          <w:p w14:paraId="18634044" w14:textId="0378253F" w:rsidR="009A7EC3" w:rsidRPr="00DE25AD" w:rsidRDefault="009A7EC3" w:rsidP="009A7EC3">
            <w:pPr>
              <w:pStyle w:val="ASSADACCESStablecentre"/>
            </w:pPr>
            <w:r w:rsidRPr="002E5727">
              <w:rPr>
                <w:bCs w:val="0"/>
                <w:color w:val="000000"/>
              </w:rPr>
              <w:t>1</w:t>
            </w:r>
          </w:p>
        </w:tc>
        <w:tc>
          <w:tcPr>
            <w:tcW w:w="879" w:type="dxa"/>
            <w:shd w:val="clear" w:color="auto" w:fill="auto"/>
          </w:tcPr>
          <w:p w14:paraId="32A5309E" w14:textId="333995BD" w:rsidR="009A7EC3" w:rsidRPr="00DE25AD" w:rsidRDefault="009A7EC3" w:rsidP="009A7EC3">
            <w:pPr>
              <w:pStyle w:val="ASSADACCESStablecentre"/>
            </w:pPr>
            <w:r w:rsidRPr="002E5727">
              <w:rPr>
                <w:bCs w:val="0"/>
                <w:color w:val="000000"/>
              </w:rPr>
              <w:t>1</w:t>
            </w:r>
          </w:p>
        </w:tc>
        <w:tc>
          <w:tcPr>
            <w:tcW w:w="879" w:type="dxa"/>
            <w:shd w:val="clear" w:color="auto" w:fill="auto"/>
          </w:tcPr>
          <w:p w14:paraId="0646F4EB" w14:textId="433241CF" w:rsidR="009A7EC3" w:rsidRPr="00DE25AD" w:rsidRDefault="009A7EC3" w:rsidP="009A7EC3">
            <w:pPr>
              <w:pStyle w:val="ASSADACCESStablecentre"/>
            </w:pPr>
            <w:r w:rsidRPr="002E5727">
              <w:rPr>
                <w:bCs w:val="0"/>
                <w:color w:val="000000"/>
              </w:rPr>
              <w:t>&lt;1</w:t>
            </w:r>
          </w:p>
        </w:tc>
        <w:tc>
          <w:tcPr>
            <w:tcW w:w="879" w:type="dxa"/>
            <w:shd w:val="clear" w:color="auto" w:fill="auto"/>
          </w:tcPr>
          <w:p w14:paraId="6B2E94D7" w14:textId="7A138D58" w:rsidR="009A7EC3" w:rsidRPr="00DE25AD" w:rsidRDefault="009A7EC3" w:rsidP="009A7EC3">
            <w:pPr>
              <w:pStyle w:val="ASSADACCESStablecentre"/>
            </w:pPr>
            <w:r w:rsidRPr="002E5727">
              <w:rPr>
                <w:bCs w:val="0"/>
                <w:color w:val="000000"/>
              </w:rPr>
              <w:t>&lt;1</w:t>
            </w:r>
          </w:p>
        </w:tc>
        <w:tc>
          <w:tcPr>
            <w:tcW w:w="879" w:type="dxa"/>
            <w:shd w:val="clear" w:color="auto" w:fill="auto"/>
          </w:tcPr>
          <w:p w14:paraId="7510E228" w14:textId="5B225F6E" w:rsidR="009A7EC3" w:rsidRPr="00DE25AD" w:rsidRDefault="009A7EC3" w:rsidP="009A7EC3">
            <w:pPr>
              <w:pStyle w:val="ASSADACCESStablecentre"/>
            </w:pPr>
            <w:r w:rsidRPr="002E5727">
              <w:rPr>
                <w:bCs w:val="0"/>
                <w:color w:val="000000"/>
              </w:rPr>
              <w:t>1</w:t>
            </w:r>
          </w:p>
        </w:tc>
      </w:tr>
      <w:tr w:rsidR="009A7EC3" w:rsidRPr="00DE25AD" w14:paraId="4015CACF" w14:textId="77777777" w:rsidTr="005F678B">
        <w:trPr>
          <w:trHeight w:val="247"/>
        </w:trPr>
        <w:tc>
          <w:tcPr>
            <w:tcW w:w="1517" w:type="dxa"/>
            <w:tcMar>
              <w:left w:w="57" w:type="dxa"/>
            </w:tcMar>
          </w:tcPr>
          <w:p w14:paraId="3E695DE0" w14:textId="77777777" w:rsidR="009A7EC3" w:rsidRPr="00DE25AD" w:rsidRDefault="009A7EC3" w:rsidP="009A7EC3">
            <w:pPr>
              <w:pStyle w:val="ACCESSTableHeaderRow"/>
            </w:pPr>
          </w:p>
        </w:tc>
        <w:tc>
          <w:tcPr>
            <w:tcW w:w="1068" w:type="dxa"/>
            <w:shd w:val="clear" w:color="auto" w:fill="auto"/>
            <w:tcMar>
              <w:left w:w="57" w:type="dxa"/>
            </w:tcMar>
            <w:vAlign w:val="bottom"/>
          </w:tcPr>
          <w:p w14:paraId="6B433E07" w14:textId="77777777" w:rsidR="009A7EC3" w:rsidRPr="00DE25AD" w:rsidRDefault="009A7EC3" w:rsidP="009A7EC3">
            <w:pPr>
              <w:pStyle w:val="ASSAD2017ACCESSBody1"/>
            </w:pPr>
            <w:r w:rsidRPr="00DE25AD">
              <w:t>Total</w:t>
            </w:r>
          </w:p>
        </w:tc>
        <w:tc>
          <w:tcPr>
            <w:tcW w:w="878" w:type="dxa"/>
            <w:shd w:val="clear" w:color="auto" w:fill="auto"/>
          </w:tcPr>
          <w:p w14:paraId="0DAF82B7" w14:textId="50B3DF8B" w:rsidR="009A7EC3" w:rsidRPr="00DE25AD" w:rsidRDefault="009A7EC3" w:rsidP="009A7EC3">
            <w:pPr>
              <w:pStyle w:val="ASSADACCESStablecentre"/>
            </w:pPr>
            <w:r w:rsidRPr="002E5727">
              <w:rPr>
                <w:bCs w:val="0"/>
                <w:color w:val="000000"/>
              </w:rPr>
              <w:t>1</w:t>
            </w:r>
          </w:p>
        </w:tc>
        <w:tc>
          <w:tcPr>
            <w:tcW w:w="879" w:type="dxa"/>
            <w:shd w:val="clear" w:color="auto" w:fill="auto"/>
          </w:tcPr>
          <w:p w14:paraId="213656D0" w14:textId="1F93B682" w:rsidR="009A7EC3" w:rsidRPr="00DE25AD" w:rsidRDefault="009A7EC3" w:rsidP="009A7EC3">
            <w:pPr>
              <w:pStyle w:val="ASSADACCESStablecentre"/>
            </w:pPr>
            <w:r w:rsidRPr="002E5727">
              <w:rPr>
                <w:bCs w:val="0"/>
                <w:color w:val="000000"/>
              </w:rPr>
              <w:t>1</w:t>
            </w:r>
          </w:p>
        </w:tc>
        <w:tc>
          <w:tcPr>
            <w:tcW w:w="879" w:type="dxa"/>
            <w:shd w:val="clear" w:color="auto" w:fill="auto"/>
          </w:tcPr>
          <w:p w14:paraId="3CAD231C" w14:textId="00CD58FF" w:rsidR="009A7EC3" w:rsidRPr="00DE25AD" w:rsidRDefault="009A7EC3" w:rsidP="009A7EC3">
            <w:pPr>
              <w:pStyle w:val="ASSADACCESStablecentre"/>
            </w:pPr>
            <w:r w:rsidRPr="002E5727">
              <w:rPr>
                <w:bCs w:val="0"/>
                <w:color w:val="000000"/>
              </w:rPr>
              <w:t>1</w:t>
            </w:r>
          </w:p>
        </w:tc>
        <w:tc>
          <w:tcPr>
            <w:tcW w:w="879" w:type="dxa"/>
            <w:shd w:val="clear" w:color="auto" w:fill="auto"/>
          </w:tcPr>
          <w:p w14:paraId="5928AFD4" w14:textId="60DBD1DA" w:rsidR="009A7EC3" w:rsidRPr="00DE25AD" w:rsidRDefault="009A7EC3" w:rsidP="009A7EC3">
            <w:pPr>
              <w:pStyle w:val="ASSADACCESStablecentre"/>
            </w:pPr>
            <w:r w:rsidRPr="002E5727">
              <w:rPr>
                <w:bCs w:val="0"/>
                <w:color w:val="000000"/>
              </w:rPr>
              <w:t>1</w:t>
            </w:r>
          </w:p>
        </w:tc>
        <w:tc>
          <w:tcPr>
            <w:tcW w:w="879" w:type="dxa"/>
            <w:shd w:val="clear" w:color="auto" w:fill="auto"/>
          </w:tcPr>
          <w:p w14:paraId="08EE3CDF" w14:textId="6C0E8045" w:rsidR="009A7EC3" w:rsidRPr="00DE25AD" w:rsidRDefault="009A7EC3" w:rsidP="009A7EC3">
            <w:pPr>
              <w:pStyle w:val="ASSADACCESStablecentre"/>
            </w:pPr>
            <w:r w:rsidRPr="002E5727">
              <w:rPr>
                <w:bCs w:val="0"/>
                <w:color w:val="000000"/>
              </w:rPr>
              <w:t>1</w:t>
            </w:r>
          </w:p>
        </w:tc>
        <w:tc>
          <w:tcPr>
            <w:tcW w:w="879" w:type="dxa"/>
            <w:shd w:val="clear" w:color="auto" w:fill="auto"/>
          </w:tcPr>
          <w:p w14:paraId="36A1FD38" w14:textId="035BC7D6" w:rsidR="009A7EC3" w:rsidRPr="00DE25AD" w:rsidRDefault="009A7EC3" w:rsidP="009A7EC3">
            <w:pPr>
              <w:pStyle w:val="ASSADACCESStablecentre"/>
            </w:pPr>
            <w:r w:rsidRPr="002E5727">
              <w:rPr>
                <w:bCs w:val="0"/>
                <w:color w:val="000000"/>
              </w:rPr>
              <w:t>1</w:t>
            </w:r>
          </w:p>
        </w:tc>
        <w:tc>
          <w:tcPr>
            <w:tcW w:w="879" w:type="dxa"/>
            <w:shd w:val="clear" w:color="auto" w:fill="auto"/>
          </w:tcPr>
          <w:p w14:paraId="7F7C2EBF" w14:textId="730E1E74" w:rsidR="009A7EC3" w:rsidRPr="00DE25AD" w:rsidRDefault="009A7EC3" w:rsidP="009A7EC3">
            <w:pPr>
              <w:pStyle w:val="ASSADACCESStablecentre"/>
            </w:pPr>
            <w:r w:rsidRPr="002E5727">
              <w:rPr>
                <w:bCs w:val="0"/>
                <w:color w:val="000000"/>
              </w:rPr>
              <w:t>1</w:t>
            </w:r>
          </w:p>
        </w:tc>
        <w:tc>
          <w:tcPr>
            <w:tcW w:w="879" w:type="dxa"/>
            <w:shd w:val="clear" w:color="auto" w:fill="auto"/>
          </w:tcPr>
          <w:p w14:paraId="5A1A5AAF" w14:textId="7FB32D71" w:rsidR="009A7EC3" w:rsidRPr="00DE25AD" w:rsidRDefault="009A7EC3" w:rsidP="009A7EC3">
            <w:pPr>
              <w:pStyle w:val="ASSADACCESStablecentre"/>
            </w:pPr>
            <w:r w:rsidRPr="002E5727">
              <w:rPr>
                <w:bCs w:val="0"/>
                <w:color w:val="000000"/>
              </w:rPr>
              <w:t>1</w:t>
            </w:r>
          </w:p>
        </w:tc>
      </w:tr>
      <w:tr w:rsidR="009A7EC3" w:rsidRPr="00DE25AD" w14:paraId="21FB3842" w14:textId="77777777" w:rsidTr="005F678B">
        <w:tc>
          <w:tcPr>
            <w:tcW w:w="1517" w:type="dxa"/>
            <w:tcMar>
              <w:left w:w="57" w:type="dxa"/>
            </w:tcMar>
          </w:tcPr>
          <w:p w14:paraId="1F123BDF" w14:textId="77777777" w:rsidR="009A7EC3" w:rsidRDefault="009A7EC3" w:rsidP="009A7EC3">
            <w:pPr>
              <w:pStyle w:val="ACCESSTableHeaderRow"/>
            </w:pPr>
            <w:r>
              <w:t>Aged 12-17</w:t>
            </w:r>
          </w:p>
        </w:tc>
        <w:tc>
          <w:tcPr>
            <w:tcW w:w="1068" w:type="dxa"/>
            <w:shd w:val="clear" w:color="auto" w:fill="auto"/>
            <w:tcMar>
              <w:left w:w="57" w:type="dxa"/>
            </w:tcMar>
            <w:vAlign w:val="center"/>
          </w:tcPr>
          <w:p w14:paraId="198F973B" w14:textId="77777777" w:rsidR="009A7EC3" w:rsidRPr="00DE25AD" w:rsidRDefault="009A7EC3" w:rsidP="009A7EC3">
            <w:pPr>
              <w:pStyle w:val="ASSAD2017ACCESSBody1"/>
            </w:pPr>
          </w:p>
        </w:tc>
        <w:tc>
          <w:tcPr>
            <w:tcW w:w="878" w:type="dxa"/>
            <w:shd w:val="clear" w:color="auto" w:fill="auto"/>
            <w:vAlign w:val="bottom"/>
          </w:tcPr>
          <w:p w14:paraId="34A97545" w14:textId="77777777" w:rsidR="009A7EC3" w:rsidRPr="00DE25AD" w:rsidRDefault="009A7EC3" w:rsidP="009A7EC3">
            <w:pPr>
              <w:pStyle w:val="ASSADACCESStablecentre"/>
            </w:pPr>
          </w:p>
        </w:tc>
        <w:tc>
          <w:tcPr>
            <w:tcW w:w="879" w:type="dxa"/>
            <w:shd w:val="clear" w:color="auto" w:fill="auto"/>
            <w:vAlign w:val="bottom"/>
          </w:tcPr>
          <w:p w14:paraId="6404B2CD" w14:textId="77777777" w:rsidR="009A7EC3" w:rsidRPr="00DE25AD" w:rsidRDefault="009A7EC3" w:rsidP="009A7EC3">
            <w:pPr>
              <w:pStyle w:val="ASSADACCESStablecentre"/>
            </w:pPr>
          </w:p>
        </w:tc>
        <w:tc>
          <w:tcPr>
            <w:tcW w:w="879" w:type="dxa"/>
            <w:shd w:val="clear" w:color="auto" w:fill="auto"/>
            <w:vAlign w:val="bottom"/>
          </w:tcPr>
          <w:p w14:paraId="234C6167" w14:textId="77777777" w:rsidR="009A7EC3" w:rsidRPr="00DE25AD" w:rsidRDefault="009A7EC3" w:rsidP="009A7EC3">
            <w:pPr>
              <w:pStyle w:val="ASSADACCESStablecentre"/>
            </w:pPr>
          </w:p>
        </w:tc>
        <w:tc>
          <w:tcPr>
            <w:tcW w:w="879" w:type="dxa"/>
            <w:shd w:val="clear" w:color="auto" w:fill="auto"/>
            <w:vAlign w:val="bottom"/>
          </w:tcPr>
          <w:p w14:paraId="44417AB8" w14:textId="77777777" w:rsidR="009A7EC3" w:rsidRPr="00DE25AD" w:rsidRDefault="009A7EC3" w:rsidP="009A7EC3">
            <w:pPr>
              <w:pStyle w:val="ASSADACCESStablecentre"/>
            </w:pPr>
          </w:p>
        </w:tc>
        <w:tc>
          <w:tcPr>
            <w:tcW w:w="879" w:type="dxa"/>
            <w:shd w:val="clear" w:color="auto" w:fill="auto"/>
            <w:vAlign w:val="bottom"/>
          </w:tcPr>
          <w:p w14:paraId="1F0DB791" w14:textId="77777777" w:rsidR="009A7EC3" w:rsidRPr="00DE25AD" w:rsidRDefault="009A7EC3" w:rsidP="009A7EC3">
            <w:pPr>
              <w:pStyle w:val="ASSADACCESStablecentre"/>
            </w:pPr>
          </w:p>
        </w:tc>
        <w:tc>
          <w:tcPr>
            <w:tcW w:w="879" w:type="dxa"/>
            <w:shd w:val="clear" w:color="auto" w:fill="auto"/>
            <w:vAlign w:val="bottom"/>
          </w:tcPr>
          <w:p w14:paraId="6C47FD88" w14:textId="77777777" w:rsidR="009A7EC3" w:rsidRPr="00DE25AD" w:rsidRDefault="009A7EC3" w:rsidP="009A7EC3">
            <w:pPr>
              <w:pStyle w:val="ASSADACCESStablecentre"/>
            </w:pPr>
          </w:p>
        </w:tc>
        <w:tc>
          <w:tcPr>
            <w:tcW w:w="879" w:type="dxa"/>
            <w:shd w:val="clear" w:color="auto" w:fill="auto"/>
            <w:vAlign w:val="bottom"/>
          </w:tcPr>
          <w:p w14:paraId="20D62BAA" w14:textId="77777777" w:rsidR="009A7EC3" w:rsidRPr="00DE25AD" w:rsidRDefault="009A7EC3" w:rsidP="009A7EC3">
            <w:pPr>
              <w:pStyle w:val="ASSADACCESStablecentre"/>
            </w:pPr>
          </w:p>
        </w:tc>
        <w:tc>
          <w:tcPr>
            <w:tcW w:w="879" w:type="dxa"/>
            <w:shd w:val="clear" w:color="auto" w:fill="auto"/>
            <w:vAlign w:val="bottom"/>
          </w:tcPr>
          <w:p w14:paraId="5355E9E8" w14:textId="77777777" w:rsidR="009A7EC3" w:rsidRPr="00DE25AD" w:rsidRDefault="009A7EC3" w:rsidP="009A7EC3">
            <w:pPr>
              <w:pStyle w:val="ASSADACCESStablecentre"/>
            </w:pPr>
          </w:p>
        </w:tc>
      </w:tr>
      <w:tr w:rsidR="009A7EC3" w:rsidRPr="00DE25AD" w14:paraId="7B72FFD5" w14:textId="77777777" w:rsidTr="005F678B">
        <w:tc>
          <w:tcPr>
            <w:tcW w:w="1517" w:type="dxa"/>
            <w:tcMar>
              <w:left w:w="57" w:type="dxa"/>
            </w:tcMar>
          </w:tcPr>
          <w:p w14:paraId="3DAA00B0" w14:textId="77777777" w:rsidR="009A7EC3" w:rsidRDefault="009A7EC3" w:rsidP="009A7EC3">
            <w:pPr>
              <w:pStyle w:val="ACCESSTableHeaderRow"/>
            </w:pPr>
            <w:r w:rsidRPr="00DE25AD">
              <w:t>Recency</w:t>
            </w:r>
          </w:p>
        </w:tc>
        <w:tc>
          <w:tcPr>
            <w:tcW w:w="1068" w:type="dxa"/>
            <w:shd w:val="clear" w:color="auto" w:fill="auto"/>
            <w:tcMar>
              <w:left w:w="57" w:type="dxa"/>
            </w:tcMar>
            <w:vAlign w:val="center"/>
          </w:tcPr>
          <w:p w14:paraId="3DE92911" w14:textId="77777777" w:rsidR="009A7EC3" w:rsidRPr="00DE25AD" w:rsidRDefault="009A7EC3" w:rsidP="009A7EC3">
            <w:pPr>
              <w:pStyle w:val="ASSAD2017ACCESSBody1"/>
            </w:pPr>
            <w:r w:rsidRPr="005C5B03">
              <w:rPr>
                <w:b/>
                <w:bCs w:val="0"/>
              </w:rPr>
              <w:t>Sex</w:t>
            </w:r>
          </w:p>
        </w:tc>
        <w:tc>
          <w:tcPr>
            <w:tcW w:w="878" w:type="dxa"/>
            <w:shd w:val="clear" w:color="auto" w:fill="auto"/>
            <w:vAlign w:val="bottom"/>
          </w:tcPr>
          <w:p w14:paraId="34D955CE" w14:textId="77777777" w:rsidR="009A7EC3" w:rsidRPr="00DE25AD" w:rsidRDefault="009A7EC3" w:rsidP="009A7EC3">
            <w:pPr>
              <w:pStyle w:val="ASSADACCESStablecentre"/>
            </w:pPr>
          </w:p>
        </w:tc>
        <w:tc>
          <w:tcPr>
            <w:tcW w:w="879" w:type="dxa"/>
            <w:shd w:val="clear" w:color="auto" w:fill="auto"/>
            <w:vAlign w:val="bottom"/>
          </w:tcPr>
          <w:p w14:paraId="10BD9781" w14:textId="77777777" w:rsidR="009A7EC3" w:rsidRPr="00DE25AD" w:rsidRDefault="009A7EC3" w:rsidP="009A7EC3">
            <w:pPr>
              <w:pStyle w:val="ASSADACCESStablecentre"/>
            </w:pPr>
          </w:p>
        </w:tc>
        <w:tc>
          <w:tcPr>
            <w:tcW w:w="879" w:type="dxa"/>
            <w:shd w:val="clear" w:color="auto" w:fill="auto"/>
            <w:vAlign w:val="bottom"/>
          </w:tcPr>
          <w:p w14:paraId="5469F745" w14:textId="77777777" w:rsidR="009A7EC3" w:rsidRPr="00DE25AD" w:rsidRDefault="009A7EC3" w:rsidP="009A7EC3">
            <w:pPr>
              <w:pStyle w:val="ASSADACCESStablecentre"/>
            </w:pPr>
          </w:p>
        </w:tc>
        <w:tc>
          <w:tcPr>
            <w:tcW w:w="879" w:type="dxa"/>
            <w:shd w:val="clear" w:color="auto" w:fill="auto"/>
            <w:vAlign w:val="bottom"/>
          </w:tcPr>
          <w:p w14:paraId="003FEFE1" w14:textId="77777777" w:rsidR="009A7EC3" w:rsidRPr="00DE25AD" w:rsidRDefault="009A7EC3" w:rsidP="009A7EC3">
            <w:pPr>
              <w:pStyle w:val="ASSADACCESStablecentre"/>
            </w:pPr>
          </w:p>
        </w:tc>
        <w:tc>
          <w:tcPr>
            <w:tcW w:w="879" w:type="dxa"/>
            <w:shd w:val="clear" w:color="auto" w:fill="auto"/>
            <w:vAlign w:val="bottom"/>
          </w:tcPr>
          <w:p w14:paraId="2FE24E1A" w14:textId="77777777" w:rsidR="009A7EC3" w:rsidRPr="00DE25AD" w:rsidRDefault="009A7EC3" w:rsidP="009A7EC3">
            <w:pPr>
              <w:pStyle w:val="ASSADACCESStablecentre"/>
            </w:pPr>
          </w:p>
        </w:tc>
        <w:tc>
          <w:tcPr>
            <w:tcW w:w="879" w:type="dxa"/>
            <w:shd w:val="clear" w:color="auto" w:fill="auto"/>
            <w:vAlign w:val="bottom"/>
          </w:tcPr>
          <w:p w14:paraId="17DAFA3D" w14:textId="77777777" w:rsidR="009A7EC3" w:rsidRPr="00DE25AD" w:rsidRDefault="009A7EC3" w:rsidP="009A7EC3">
            <w:pPr>
              <w:pStyle w:val="ASSADACCESStablecentre"/>
            </w:pPr>
          </w:p>
        </w:tc>
        <w:tc>
          <w:tcPr>
            <w:tcW w:w="879" w:type="dxa"/>
            <w:shd w:val="clear" w:color="auto" w:fill="auto"/>
            <w:vAlign w:val="bottom"/>
          </w:tcPr>
          <w:p w14:paraId="46BEC044" w14:textId="77777777" w:rsidR="009A7EC3" w:rsidRPr="00DE25AD" w:rsidRDefault="009A7EC3" w:rsidP="009A7EC3">
            <w:pPr>
              <w:pStyle w:val="ASSADACCESStablecentre"/>
            </w:pPr>
          </w:p>
        </w:tc>
        <w:tc>
          <w:tcPr>
            <w:tcW w:w="879" w:type="dxa"/>
            <w:shd w:val="clear" w:color="auto" w:fill="auto"/>
            <w:vAlign w:val="bottom"/>
          </w:tcPr>
          <w:p w14:paraId="1EE2BCD5" w14:textId="77777777" w:rsidR="009A7EC3" w:rsidRPr="00DE25AD" w:rsidRDefault="009A7EC3" w:rsidP="009A7EC3">
            <w:pPr>
              <w:pStyle w:val="ASSADACCESStablecentre"/>
            </w:pPr>
          </w:p>
        </w:tc>
      </w:tr>
      <w:tr w:rsidR="009A7EC3" w:rsidRPr="00DE25AD" w14:paraId="13409FF2" w14:textId="77777777" w:rsidTr="00545FF4">
        <w:tc>
          <w:tcPr>
            <w:tcW w:w="1517" w:type="dxa"/>
            <w:tcMar>
              <w:left w:w="57" w:type="dxa"/>
            </w:tcMar>
          </w:tcPr>
          <w:p w14:paraId="05CD8106" w14:textId="77777777" w:rsidR="009A7EC3" w:rsidRPr="00DE25AD" w:rsidRDefault="009A7EC3" w:rsidP="009A7EC3">
            <w:pPr>
              <w:pStyle w:val="ACCESSTableHeaderRow"/>
            </w:pPr>
            <w:r>
              <w:t>Lifetime</w:t>
            </w:r>
          </w:p>
        </w:tc>
        <w:tc>
          <w:tcPr>
            <w:tcW w:w="1068" w:type="dxa"/>
            <w:shd w:val="clear" w:color="auto" w:fill="auto"/>
            <w:tcMar>
              <w:left w:w="57" w:type="dxa"/>
            </w:tcMar>
            <w:vAlign w:val="bottom"/>
          </w:tcPr>
          <w:p w14:paraId="37DB735C" w14:textId="77777777" w:rsidR="009A7EC3" w:rsidRPr="00DE25AD" w:rsidRDefault="009A7EC3" w:rsidP="009A7EC3">
            <w:pPr>
              <w:pStyle w:val="ASSAD2017ACCESSBody1"/>
            </w:pPr>
            <w:r w:rsidRPr="00DE25AD">
              <w:t>Male</w:t>
            </w:r>
          </w:p>
        </w:tc>
        <w:tc>
          <w:tcPr>
            <w:tcW w:w="878" w:type="dxa"/>
            <w:shd w:val="clear" w:color="auto" w:fill="auto"/>
          </w:tcPr>
          <w:p w14:paraId="78E56264" w14:textId="4F844B6A" w:rsidR="009A7EC3" w:rsidRPr="00DE25AD" w:rsidRDefault="009A7EC3" w:rsidP="009A7EC3">
            <w:pPr>
              <w:pStyle w:val="ASSADACCESStablecentre"/>
            </w:pPr>
            <w:r w:rsidRPr="002E5727">
              <w:rPr>
                <w:bCs w:val="0"/>
                <w:color w:val="000000"/>
              </w:rPr>
              <w:t>5*</w:t>
            </w:r>
          </w:p>
        </w:tc>
        <w:tc>
          <w:tcPr>
            <w:tcW w:w="879" w:type="dxa"/>
            <w:shd w:val="clear" w:color="auto" w:fill="auto"/>
          </w:tcPr>
          <w:p w14:paraId="12FC8B98" w14:textId="214E0624" w:rsidR="009A7EC3" w:rsidRPr="00DE25AD" w:rsidRDefault="009A7EC3" w:rsidP="009A7EC3">
            <w:pPr>
              <w:pStyle w:val="ASSADACCESStablecentre"/>
            </w:pPr>
            <w:r w:rsidRPr="002E5727">
              <w:rPr>
                <w:bCs w:val="0"/>
                <w:color w:val="000000"/>
              </w:rPr>
              <w:t>4*</w:t>
            </w:r>
          </w:p>
        </w:tc>
        <w:tc>
          <w:tcPr>
            <w:tcW w:w="879" w:type="dxa"/>
            <w:shd w:val="clear" w:color="auto" w:fill="auto"/>
          </w:tcPr>
          <w:p w14:paraId="7D840408" w14:textId="494E4461" w:rsidR="009A7EC3" w:rsidRPr="00DE25AD" w:rsidRDefault="009A7EC3" w:rsidP="009A7EC3">
            <w:pPr>
              <w:pStyle w:val="ASSADACCESStablecentre"/>
            </w:pPr>
            <w:r w:rsidRPr="002E5727">
              <w:rPr>
                <w:bCs w:val="0"/>
                <w:color w:val="000000"/>
              </w:rPr>
              <w:t>4</w:t>
            </w:r>
            <w:r>
              <w:rPr>
                <w:bCs w:val="0"/>
                <w:color w:val="000000"/>
              </w:rPr>
              <w:t>*</w:t>
            </w:r>
            <w:r w:rsidRPr="002E5727">
              <w:rPr>
                <w:bCs w:val="0"/>
                <w:color w:val="000000"/>
              </w:rPr>
              <w:t>^</w:t>
            </w:r>
          </w:p>
        </w:tc>
        <w:tc>
          <w:tcPr>
            <w:tcW w:w="879" w:type="dxa"/>
            <w:shd w:val="clear" w:color="auto" w:fill="auto"/>
          </w:tcPr>
          <w:p w14:paraId="4C9BA17D" w14:textId="5AA22B02" w:rsidR="009A7EC3" w:rsidRPr="00DE25AD" w:rsidRDefault="009A7EC3" w:rsidP="009A7EC3">
            <w:pPr>
              <w:pStyle w:val="ASSADACCESStablecentre"/>
            </w:pPr>
            <w:r w:rsidRPr="002E5727">
              <w:rPr>
                <w:bCs w:val="0"/>
                <w:color w:val="000000"/>
              </w:rPr>
              <w:t>3^</w:t>
            </w:r>
          </w:p>
        </w:tc>
        <w:tc>
          <w:tcPr>
            <w:tcW w:w="879" w:type="dxa"/>
            <w:shd w:val="clear" w:color="auto" w:fill="auto"/>
          </w:tcPr>
          <w:p w14:paraId="098F188C" w14:textId="1A58C98A" w:rsidR="009A7EC3" w:rsidRPr="00DE25AD" w:rsidRDefault="009A7EC3" w:rsidP="009A7EC3">
            <w:pPr>
              <w:pStyle w:val="ASSADACCESStablecentre"/>
            </w:pPr>
            <w:r w:rsidRPr="002E5727">
              <w:rPr>
                <w:bCs w:val="0"/>
                <w:color w:val="000000"/>
              </w:rPr>
              <w:t>3^</w:t>
            </w:r>
          </w:p>
        </w:tc>
        <w:tc>
          <w:tcPr>
            <w:tcW w:w="879" w:type="dxa"/>
            <w:shd w:val="clear" w:color="auto" w:fill="auto"/>
          </w:tcPr>
          <w:p w14:paraId="51AD680F" w14:textId="5B38767E" w:rsidR="009A7EC3" w:rsidRPr="00DE25AD" w:rsidRDefault="009A7EC3" w:rsidP="009A7EC3">
            <w:pPr>
              <w:pStyle w:val="ASSADACCESStablecentre"/>
            </w:pPr>
            <w:r w:rsidRPr="002E5727">
              <w:rPr>
                <w:bCs w:val="0"/>
                <w:color w:val="000000"/>
              </w:rPr>
              <w:t>2^</w:t>
            </w:r>
          </w:p>
        </w:tc>
        <w:tc>
          <w:tcPr>
            <w:tcW w:w="879" w:type="dxa"/>
            <w:shd w:val="clear" w:color="auto" w:fill="auto"/>
          </w:tcPr>
          <w:p w14:paraId="047DDFF2" w14:textId="2026A4EE" w:rsidR="009A7EC3" w:rsidRPr="00DE25AD" w:rsidRDefault="009A7EC3" w:rsidP="009A7EC3">
            <w:pPr>
              <w:pStyle w:val="ASSADACCESStablecentre"/>
            </w:pPr>
            <w:r w:rsidRPr="002E5727">
              <w:rPr>
                <w:bCs w:val="0"/>
                <w:color w:val="000000"/>
              </w:rPr>
              <w:t>2^</w:t>
            </w:r>
          </w:p>
        </w:tc>
        <w:tc>
          <w:tcPr>
            <w:tcW w:w="879" w:type="dxa"/>
            <w:shd w:val="clear" w:color="auto" w:fill="auto"/>
          </w:tcPr>
          <w:p w14:paraId="6C04E7E1" w14:textId="0591FA2F" w:rsidR="009A7EC3" w:rsidRPr="00DE25AD" w:rsidRDefault="009A7EC3" w:rsidP="009A7EC3">
            <w:pPr>
              <w:pStyle w:val="ASSADACCESStablecentre"/>
            </w:pPr>
            <w:r w:rsidRPr="002E5727">
              <w:rPr>
                <w:bCs w:val="0"/>
                <w:color w:val="000000"/>
              </w:rPr>
              <w:t>3^</w:t>
            </w:r>
          </w:p>
        </w:tc>
      </w:tr>
      <w:tr w:rsidR="009A7EC3" w:rsidRPr="00DE25AD" w14:paraId="7FE1D77F" w14:textId="77777777" w:rsidTr="005F678B">
        <w:tc>
          <w:tcPr>
            <w:tcW w:w="1517" w:type="dxa"/>
            <w:tcMar>
              <w:left w:w="57" w:type="dxa"/>
            </w:tcMar>
          </w:tcPr>
          <w:p w14:paraId="3144CE79" w14:textId="77777777" w:rsidR="009A7EC3" w:rsidRPr="00DE25AD" w:rsidRDefault="009A7EC3" w:rsidP="009A7EC3">
            <w:pPr>
              <w:pStyle w:val="ACCESSTableHeaderRow"/>
            </w:pPr>
          </w:p>
        </w:tc>
        <w:tc>
          <w:tcPr>
            <w:tcW w:w="1068" w:type="dxa"/>
            <w:shd w:val="clear" w:color="auto" w:fill="auto"/>
            <w:tcMar>
              <w:left w:w="57" w:type="dxa"/>
            </w:tcMar>
            <w:vAlign w:val="bottom"/>
          </w:tcPr>
          <w:p w14:paraId="37B1BD57" w14:textId="77777777" w:rsidR="009A7EC3" w:rsidRPr="00DE25AD" w:rsidRDefault="009A7EC3" w:rsidP="009A7EC3">
            <w:pPr>
              <w:pStyle w:val="ASSAD2017ACCESSBody1"/>
            </w:pPr>
            <w:r w:rsidRPr="00DE25AD">
              <w:t>Female</w:t>
            </w:r>
          </w:p>
        </w:tc>
        <w:tc>
          <w:tcPr>
            <w:tcW w:w="878" w:type="dxa"/>
            <w:shd w:val="clear" w:color="auto" w:fill="auto"/>
          </w:tcPr>
          <w:p w14:paraId="38B99417" w14:textId="4C3787A2" w:rsidR="009A7EC3" w:rsidRPr="00DE25AD" w:rsidRDefault="009A7EC3" w:rsidP="009A7EC3">
            <w:pPr>
              <w:pStyle w:val="ASSADACCESStablecentre"/>
            </w:pPr>
            <w:r w:rsidRPr="002E5727">
              <w:rPr>
                <w:bCs w:val="0"/>
                <w:color w:val="000000"/>
              </w:rPr>
              <w:t>3</w:t>
            </w:r>
          </w:p>
        </w:tc>
        <w:tc>
          <w:tcPr>
            <w:tcW w:w="879" w:type="dxa"/>
            <w:shd w:val="clear" w:color="auto" w:fill="auto"/>
          </w:tcPr>
          <w:p w14:paraId="4272F5E5" w14:textId="095B324A" w:rsidR="009A7EC3" w:rsidRPr="00DE25AD" w:rsidRDefault="009A7EC3" w:rsidP="009A7EC3">
            <w:pPr>
              <w:pStyle w:val="ASSADACCESStablecentre"/>
            </w:pPr>
            <w:r w:rsidRPr="002E5727">
              <w:rPr>
                <w:bCs w:val="0"/>
                <w:color w:val="000000"/>
              </w:rPr>
              <w:t>3</w:t>
            </w:r>
          </w:p>
        </w:tc>
        <w:tc>
          <w:tcPr>
            <w:tcW w:w="879" w:type="dxa"/>
            <w:shd w:val="clear" w:color="auto" w:fill="auto"/>
          </w:tcPr>
          <w:p w14:paraId="4F502D3B" w14:textId="0AA4EB98" w:rsidR="009A7EC3" w:rsidRPr="00DE25AD" w:rsidRDefault="009A7EC3" w:rsidP="009A7EC3">
            <w:pPr>
              <w:pStyle w:val="ASSADACCESStablecentre"/>
            </w:pPr>
            <w:r w:rsidRPr="002E5727">
              <w:rPr>
                <w:bCs w:val="0"/>
                <w:color w:val="000000"/>
              </w:rPr>
              <w:t>3</w:t>
            </w:r>
          </w:p>
        </w:tc>
        <w:tc>
          <w:tcPr>
            <w:tcW w:w="879" w:type="dxa"/>
            <w:shd w:val="clear" w:color="auto" w:fill="auto"/>
          </w:tcPr>
          <w:p w14:paraId="51E3FE82" w14:textId="73EEEE39" w:rsidR="009A7EC3" w:rsidRPr="00DE25AD" w:rsidRDefault="009A7EC3" w:rsidP="009A7EC3">
            <w:pPr>
              <w:pStyle w:val="ASSADACCESStablecentre"/>
            </w:pPr>
            <w:r w:rsidRPr="002E5727">
              <w:rPr>
                <w:bCs w:val="0"/>
                <w:color w:val="000000"/>
              </w:rPr>
              <w:t>2</w:t>
            </w:r>
          </w:p>
        </w:tc>
        <w:tc>
          <w:tcPr>
            <w:tcW w:w="879" w:type="dxa"/>
            <w:shd w:val="clear" w:color="auto" w:fill="auto"/>
          </w:tcPr>
          <w:p w14:paraId="32A7A568" w14:textId="3035EFE7" w:rsidR="009A7EC3" w:rsidRPr="00DE25AD" w:rsidRDefault="009A7EC3" w:rsidP="009A7EC3">
            <w:pPr>
              <w:pStyle w:val="ASSADACCESStablecentre"/>
            </w:pPr>
            <w:r w:rsidRPr="002E5727">
              <w:rPr>
                <w:bCs w:val="0"/>
                <w:color w:val="000000"/>
              </w:rPr>
              <w:t>2</w:t>
            </w:r>
          </w:p>
        </w:tc>
        <w:tc>
          <w:tcPr>
            <w:tcW w:w="879" w:type="dxa"/>
            <w:shd w:val="clear" w:color="auto" w:fill="auto"/>
          </w:tcPr>
          <w:p w14:paraId="64815B00" w14:textId="204139AD" w:rsidR="009A7EC3" w:rsidRPr="00DE25AD" w:rsidRDefault="009A7EC3" w:rsidP="009A7EC3">
            <w:pPr>
              <w:pStyle w:val="ASSADACCESStablecentre"/>
            </w:pPr>
            <w:r w:rsidRPr="002E5727">
              <w:rPr>
                <w:bCs w:val="0"/>
                <w:color w:val="000000"/>
              </w:rPr>
              <w:t>1^</w:t>
            </w:r>
          </w:p>
        </w:tc>
        <w:tc>
          <w:tcPr>
            <w:tcW w:w="879" w:type="dxa"/>
            <w:shd w:val="clear" w:color="auto" w:fill="auto"/>
          </w:tcPr>
          <w:p w14:paraId="518CEF22" w14:textId="014E63A4" w:rsidR="009A7EC3" w:rsidRPr="00DE25AD" w:rsidRDefault="009A7EC3" w:rsidP="009A7EC3">
            <w:pPr>
              <w:pStyle w:val="ASSADACCESStablecentre"/>
            </w:pPr>
            <w:r w:rsidRPr="002E5727">
              <w:rPr>
                <w:bCs w:val="0"/>
                <w:color w:val="000000"/>
              </w:rPr>
              <w:t>1^</w:t>
            </w:r>
          </w:p>
        </w:tc>
        <w:tc>
          <w:tcPr>
            <w:tcW w:w="879" w:type="dxa"/>
            <w:shd w:val="clear" w:color="auto" w:fill="auto"/>
          </w:tcPr>
          <w:p w14:paraId="26BEC6EA" w14:textId="37512A20" w:rsidR="009A7EC3" w:rsidRPr="00DE25AD" w:rsidRDefault="009A7EC3" w:rsidP="009A7EC3">
            <w:pPr>
              <w:pStyle w:val="ASSADACCESStablecentre"/>
            </w:pPr>
            <w:r w:rsidRPr="002E5727">
              <w:rPr>
                <w:bCs w:val="0"/>
                <w:color w:val="000000"/>
              </w:rPr>
              <w:t>2</w:t>
            </w:r>
          </w:p>
        </w:tc>
      </w:tr>
      <w:tr w:rsidR="009A7EC3" w:rsidRPr="00DE25AD" w14:paraId="45906C69" w14:textId="77777777" w:rsidTr="005F678B">
        <w:trPr>
          <w:trHeight w:val="247"/>
        </w:trPr>
        <w:tc>
          <w:tcPr>
            <w:tcW w:w="1517" w:type="dxa"/>
            <w:tcMar>
              <w:left w:w="57" w:type="dxa"/>
            </w:tcMar>
          </w:tcPr>
          <w:p w14:paraId="161510D6" w14:textId="77777777" w:rsidR="009A7EC3" w:rsidRPr="00DE25AD" w:rsidRDefault="009A7EC3" w:rsidP="009A7EC3">
            <w:pPr>
              <w:pStyle w:val="ACCESSTableHeaderRow"/>
            </w:pPr>
          </w:p>
        </w:tc>
        <w:tc>
          <w:tcPr>
            <w:tcW w:w="1068" w:type="dxa"/>
            <w:shd w:val="clear" w:color="auto" w:fill="auto"/>
            <w:tcMar>
              <w:left w:w="57" w:type="dxa"/>
            </w:tcMar>
            <w:vAlign w:val="bottom"/>
          </w:tcPr>
          <w:p w14:paraId="41339239" w14:textId="77777777" w:rsidR="009A7EC3" w:rsidRPr="00DE25AD" w:rsidRDefault="009A7EC3" w:rsidP="009A7EC3">
            <w:pPr>
              <w:pStyle w:val="ASSAD2017ACCESSBody1"/>
            </w:pPr>
            <w:r w:rsidRPr="00DE25AD">
              <w:t>Total</w:t>
            </w:r>
          </w:p>
        </w:tc>
        <w:tc>
          <w:tcPr>
            <w:tcW w:w="878" w:type="dxa"/>
            <w:shd w:val="clear" w:color="auto" w:fill="auto"/>
          </w:tcPr>
          <w:p w14:paraId="727D5C30" w14:textId="3FC9D329" w:rsidR="009A7EC3" w:rsidRPr="00DE25AD" w:rsidRDefault="009A7EC3" w:rsidP="009A7EC3">
            <w:pPr>
              <w:pStyle w:val="ASSADACCESStablecentre"/>
            </w:pPr>
            <w:r w:rsidRPr="002E5727">
              <w:rPr>
                <w:bCs w:val="0"/>
                <w:color w:val="000000"/>
              </w:rPr>
              <w:t>4*</w:t>
            </w:r>
          </w:p>
        </w:tc>
        <w:tc>
          <w:tcPr>
            <w:tcW w:w="879" w:type="dxa"/>
            <w:shd w:val="clear" w:color="auto" w:fill="auto"/>
          </w:tcPr>
          <w:p w14:paraId="4E468237" w14:textId="3CB6A06A" w:rsidR="009A7EC3" w:rsidRPr="00DE25AD" w:rsidRDefault="009A7EC3" w:rsidP="009A7EC3">
            <w:pPr>
              <w:pStyle w:val="ASSADACCESStablecentre"/>
            </w:pPr>
            <w:r w:rsidRPr="002E5727">
              <w:rPr>
                <w:bCs w:val="0"/>
                <w:color w:val="000000"/>
              </w:rPr>
              <w:t>4*</w:t>
            </w:r>
          </w:p>
        </w:tc>
        <w:tc>
          <w:tcPr>
            <w:tcW w:w="879" w:type="dxa"/>
            <w:shd w:val="clear" w:color="auto" w:fill="auto"/>
          </w:tcPr>
          <w:p w14:paraId="01FE5DAA" w14:textId="4534D827"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165BE288" w14:textId="17551B40" w:rsidR="009A7EC3" w:rsidRPr="00DE25AD" w:rsidRDefault="009A7EC3" w:rsidP="009A7EC3">
            <w:pPr>
              <w:pStyle w:val="ASSADACCESStablecentre"/>
            </w:pPr>
            <w:r w:rsidRPr="002E5727">
              <w:rPr>
                <w:bCs w:val="0"/>
                <w:color w:val="000000"/>
              </w:rPr>
              <w:t>3^</w:t>
            </w:r>
          </w:p>
        </w:tc>
        <w:tc>
          <w:tcPr>
            <w:tcW w:w="879" w:type="dxa"/>
            <w:shd w:val="clear" w:color="auto" w:fill="auto"/>
          </w:tcPr>
          <w:p w14:paraId="5E0E2F7B" w14:textId="370319E0" w:rsidR="009A7EC3" w:rsidRPr="00DE25AD" w:rsidRDefault="009A7EC3" w:rsidP="009A7EC3">
            <w:pPr>
              <w:pStyle w:val="ASSADACCESStablecentre"/>
            </w:pPr>
            <w:r w:rsidRPr="002E5727">
              <w:rPr>
                <w:bCs w:val="0"/>
                <w:color w:val="000000"/>
              </w:rPr>
              <w:t>2^</w:t>
            </w:r>
          </w:p>
        </w:tc>
        <w:tc>
          <w:tcPr>
            <w:tcW w:w="879" w:type="dxa"/>
            <w:shd w:val="clear" w:color="auto" w:fill="auto"/>
          </w:tcPr>
          <w:p w14:paraId="61407BBD" w14:textId="7AF0838B" w:rsidR="009A7EC3" w:rsidRPr="00DE25AD" w:rsidRDefault="009A7EC3" w:rsidP="009A7EC3">
            <w:pPr>
              <w:pStyle w:val="ASSADACCESStablecentre"/>
            </w:pPr>
            <w:r w:rsidRPr="002E5727">
              <w:rPr>
                <w:bCs w:val="0"/>
                <w:color w:val="000000"/>
              </w:rPr>
              <w:t>2^</w:t>
            </w:r>
          </w:p>
        </w:tc>
        <w:tc>
          <w:tcPr>
            <w:tcW w:w="879" w:type="dxa"/>
            <w:shd w:val="clear" w:color="auto" w:fill="auto"/>
          </w:tcPr>
          <w:p w14:paraId="01D7FDBF" w14:textId="0194E5B3" w:rsidR="009A7EC3" w:rsidRPr="00DE25AD" w:rsidRDefault="009A7EC3" w:rsidP="009A7EC3">
            <w:pPr>
              <w:pStyle w:val="ASSADACCESStablecentre"/>
            </w:pPr>
            <w:r w:rsidRPr="002E5727">
              <w:rPr>
                <w:bCs w:val="0"/>
                <w:color w:val="000000"/>
              </w:rPr>
              <w:t>2^</w:t>
            </w:r>
          </w:p>
        </w:tc>
        <w:tc>
          <w:tcPr>
            <w:tcW w:w="879" w:type="dxa"/>
            <w:shd w:val="clear" w:color="auto" w:fill="auto"/>
          </w:tcPr>
          <w:p w14:paraId="562E3412" w14:textId="483CACA3" w:rsidR="009A7EC3" w:rsidRPr="00DE25AD" w:rsidRDefault="009A7EC3" w:rsidP="009A7EC3">
            <w:pPr>
              <w:pStyle w:val="ASSADACCESStablecentre"/>
            </w:pPr>
            <w:r w:rsidRPr="002E5727">
              <w:rPr>
                <w:bCs w:val="0"/>
                <w:color w:val="000000"/>
              </w:rPr>
              <w:t>2^</w:t>
            </w:r>
          </w:p>
        </w:tc>
      </w:tr>
      <w:tr w:rsidR="009A7EC3" w:rsidRPr="00DE25AD" w14:paraId="5DB776F3" w14:textId="77777777" w:rsidTr="005F678B">
        <w:tc>
          <w:tcPr>
            <w:tcW w:w="1517" w:type="dxa"/>
            <w:tcMar>
              <w:left w:w="57" w:type="dxa"/>
            </w:tcMar>
          </w:tcPr>
          <w:p w14:paraId="1D82D668" w14:textId="1C48B63B" w:rsidR="009A7EC3" w:rsidRPr="00DE25AD" w:rsidRDefault="009A7EC3" w:rsidP="009A7EC3">
            <w:pPr>
              <w:pStyle w:val="ACCESSTableHeaderRow"/>
            </w:pPr>
            <w:r w:rsidRPr="00DE25AD">
              <w:t xml:space="preserve">Past </w:t>
            </w:r>
            <w:r>
              <w:t>year</w:t>
            </w:r>
          </w:p>
        </w:tc>
        <w:tc>
          <w:tcPr>
            <w:tcW w:w="1068" w:type="dxa"/>
            <w:shd w:val="clear" w:color="auto" w:fill="auto"/>
            <w:tcMar>
              <w:left w:w="57" w:type="dxa"/>
            </w:tcMar>
            <w:vAlign w:val="bottom"/>
          </w:tcPr>
          <w:p w14:paraId="3F681365" w14:textId="77777777" w:rsidR="009A7EC3" w:rsidRPr="00DE25AD" w:rsidRDefault="009A7EC3" w:rsidP="009A7EC3">
            <w:pPr>
              <w:pStyle w:val="ASSAD2017ACCESSBody1"/>
            </w:pPr>
            <w:r w:rsidRPr="00DE25AD">
              <w:t>Male</w:t>
            </w:r>
          </w:p>
        </w:tc>
        <w:tc>
          <w:tcPr>
            <w:tcW w:w="878" w:type="dxa"/>
            <w:shd w:val="clear" w:color="auto" w:fill="auto"/>
          </w:tcPr>
          <w:p w14:paraId="16BCEBB3" w14:textId="5AB7D44A" w:rsidR="009A7EC3" w:rsidRPr="00DE25AD" w:rsidRDefault="009A7EC3" w:rsidP="009A7EC3">
            <w:pPr>
              <w:pStyle w:val="ASSADACCESStablecentre"/>
            </w:pPr>
            <w:r w:rsidRPr="002E5727">
              <w:rPr>
                <w:bCs w:val="0"/>
                <w:color w:val="000000"/>
              </w:rPr>
              <w:t>3</w:t>
            </w:r>
            <w:r>
              <w:rPr>
                <w:bCs w:val="0"/>
                <w:color w:val="000000"/>
              </w:rPr>
              <w:t>*</w:t>
            </w:r>
          </w:p>
        </w:tc>
        <w:tc>
          <w:tcPr>
            <w:tcW w:w="879" w:type="dxa"/>
            <w:shd w:val="clear" w:color="auto" w:fill="auto"/>
          </w:tcPr>
          <w:p w14:paraId="68AAFBFB" w14:textId="5957EF7A" w:rsidR="009A7EC3" w:rsidRPr="00DE25AD" w:rsidRDefault="009A7EC3" w:rsidP="009A7EC3">
            <w:pPr>
              <w:pStyle w:val="ASSADACCESStablecentre"/>
            </w:pPr>
            <w:r w:rsidRPr="002E5727">
              <w:rPr>
                <w:bCs w:val="0"/>
                <w:color w:val="000000"/>
              </w:rPr>
              <w:t>3</w:t>
            </w:r>
          </w:p>
        </w:tc>
        <w:tc>
          <w:tcPr>
            <w:tcW w:w="879" w:type="dxa"/>
            <w:shd w:val="clear" w:color="auto" w:fill="auto"/>
          </w:tcPr>
          <w:p w14:paraId="0291B0BE" w14:textId="1D8AF7EF" w:rsidR="009A7EC3" w:rsidRPr="00DE25AD" w:rsidRDefault="009A7EC3" w:rsidP="009A7EC3">
            <w:pPr>
              <w:pStyle w:val="ASSADACCESStablecentre"/>
            </w:pPr>
            <w:r w:rsidRPr="002E5727">
              <w:rPr>
                <w:bCs w:val="0"/>
                <w:color w:val="000000"/>
              </w:rPr>
              <w:t>3</w:t>
            </w:r>
          </w:p>
        </w:tc>
        <w:tc>
          <w:tcPr>
            <w:tcW w:w="879" w:type="dxa"/>
            <w:shd w:val="clear" w:color="auto" w:fill="auto"/>
          </w:tcPr>
          <w:p w14:paraId="2A36135C" w14:textId="775652C7" w:rsidR="009A7EC3" w:rsidRPr="00DE25AD" w:rsidRDefault="009A7EC3" w:rsidP="009A7EC3">
            <w:pPr>
              <w:pStyle w:val="ASSADACCESStablecentre"/>
            </w:pPr>
            <w:r w:rsidRPr="002E5727">
              <w:rPr>
                <w:bCs w:val="0"/>
                <w:color w:val="000000"/>
              </w:rPr>
              <w:t>3</w:t>
            </w:r>
          </w:p>
        </w:tc>
        <w:tc>
          <w:tcPr>
            <w:tcW w:w="879" w:type="dxa"/>
            <w:shd w:val="clear" w:color="auto" w:fill="auto"/>
          </w:tcPr>
          <w:p w14:paraId="77917BF3" w14:textId="45B29D05" w:rsidR="009A7EC3" w:rsidRPr="00DE25AD" w:rsidRDefault="009A7EC3" w:rsidP="009A7EC3">
            <w:pPr>
              <w:pStyle w:val="ASSADACCESStablecentre"/>
            </w:pPr>
            <w:r w:rsidRPr="002E5727">
              <w:rPr>
                <w:bCs w:val="0"/>
                <w:color w:val="000000"/>
              </w:rPr>
              <w:t>2^</w:t>
            </w:r>
          </w:p>
        </w:tc>
        <w:tc>
          <w:tcPr>
            <w:tcW w:w="879" w:type="dxa"/>
            <w:shd w:val="clear" w:color="auto" w:fill="auto"/>
          </w:tcPr>
          <w:p w14:paraId="234D0DB8" w14:textId="703EA50D" w:rsidR="009A7EC3" w:rsidRPr="00DE25AD" w:rsidRDefault="009A7EC3" w:rsidP="009A7EC3">
            <w:pPr>
              <w:pStyle w:val="ASSADACCESStablecentre"/>
            </w:pPr>
            <w:r w:rsidRPr="002E5727">
              <w:rPr>
                <w:bCs w:val="0"/>
                <w:color w:val="000000"/>
              </w:rPr>
              <w:t>1^</w:t>
            </w:r>
          </w:p>
        </w:tc>
        <w:tc>
          <w:tcPr>
            <w:tcW w:w="879" w:type="dxa"/>
            <w:shd w:val="clear" w:color="auto" w:fill="auto"/>
          </w:tcPr>
          <w:p w14:paraId="5E1409CF" w14:textId="2E4ED491" w:rsidR="009A7EC3" w:rsidRPr="00DE25AD" w:rsidRDefault="009A7EC3" w:rsidP="009A7EC3">
            <w:pPr>
              <w:pStyle w:val="ASSADACCESStablecentre"/>
            </w:pPr>
            <w:r w:rsidRPr="002E5727">
              <w:rPr>
                <w:bCs w:val="0"/>
                <w:color w:val="000000"/>
              </w:rPr>
              <w:t>2^</w:t>
            </w:r>
          </w:p>
        </w:tc>
        <w:tc>
          <w:tcPr>
            <w:tcW w:w="879" w:type="dxa"/>
            <w:shd w:val="clear" w:color="auto" w:fill="auto"/>
          </w:tcPr>
          <w:p w14:paraId="41C92C5B" w14:textId="213D876F" w:rsidR="009A7EC3" w:rsidRPr="00DE25AD" w:rsidRDefault="009A7EC3" w:rsidP="009A7EC3">
            <w:pPr>
              <w:pStyle w:val="ASSADACCESStablecentre"/>
            </w:pPr>
            <w:r w:rsidRPr="002E5727">
              <w:rPr>
                <w:bCs w:val="0"/>
                <w:color w:val="000000"/>
              </w:rPr>
              <w:t>2</w:t>
            </w:r>
            <w:r>
              <w:rPr>
                <w:bCs w:val="0"/>
                <w:color w:val="000000"/>
              </w:rPr>
              <w:t>^</w:t>
            </w:r>
          </w:p>
        </w:tc>
      </w:tr>
      <w:tr w:rsidR="009A7EC3" w:rsidRPr="00DE25AD" w14:paraId="7D6DDCBF" w14:textId="77777777" w:rsidTr="005F678B">
        <w:tc>
          <w:tcPr>
            <w:tcW w:w="1517" w:type="dxa"/>
            <w:tcMar>
              <w:left w:w="57" w:type="dxa"/>
            </w:tcMar>
          </w:tcPr>
          <w:p w14:paraId="625B2496" w14:textId="77777777" w:rsidR="009A7EC3" w:rsidRPr="00DE25AD" w:rsidRDefault="009A7EC3" w:rsidP="009A7EC3">
            <w:pPr>
              <w:pStyle w:val="ACCESSTableHeaderRow"/>
            </w:pPr>
          </w:p>
        </w:tc>
        <w:tc>
          <w:tcPr>
            <w:tcW w:w="1068" w:type="dxa"/>
            <w:shd w:val="clear" w:color="auto" w:fill="auto"/>
            <w:tcMar>
              <w:left w:w="57" w:type="dxa"/>
            </w:tcMar>
            <w:vAlign w:val="bottom"/>
          </w:tcPr>
          <w:p w14:paraId="5D97864D" w14:textId="77777777" w:rsidR="009A7EC3" w:rsidRPr="00DE25AD" w:rsidRDefault="009A7EC3" w:rsidP="009A7EC3">
            <w:pPr>
              <w:pStyle w:val="ASSAD2017ACCESSBody1"/>
            </w:pPr>
            <w:r w:rsidRPr="00DE25AD">
              <w:t>Female</w:t>
            </w:r>
          </w:p>
        </w:tc>
        <w:tc>
          <w:tcPr>
            <w:tcW w:w="878" w:type="dxa"/>
            <w:shd w:val="clear" w:color="auto" w:fill="auto"/>
          </w:tcPr>
          <w:p w14:paraId="190822D3" w14:textId="50816F1C"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682CACE0" w14:textId="10907172" w:rsidR="009A7EC3" w:rsidRPr="00DE25AD" w:rsidRDefault="009A7EC3" w:rsidP="009A7EC3">
            <w:pPr>
              <w:pStyle w:val="ASSADACCESStablecentre"/>
            </w:pPr>
            <w:r w:rsidRPr="002E5727">
              <w:rPr>
                <w:bCs w:val="0"/>
                <w:color w:val="000000"/>
              </w:rPr>
              <w:t>2*</w:t>
            </w:r>
          </w:p>
        </w:tc>
        <w:tc>
          <w:tcPr>
            <w:tcW w:w="879" w:type="dxa"/>
            <w:shd w:val="clear" w:color="auto" w:fill="auto"/>
          </w:tcPr>
          <w:p w14:paraId="14F0FE5F" w14:textId="105CE7F3" w:rsidR="009A7EC3" w:rsidRPr="00DE25AD" w:rsidRDefault="009A7EC3" w:rsidP="009A7EC3">
            <w:pPr>
              <w:pStyle w:val="ASSADACCESStablecentre"/>
            </w:pPr>
            <w:r w:rsidRPr="002E5727">
              <w:rPr>
                <w:bCs w:val="0"/>
                <w:color w:val="000000"/>
              </w:rPr>
              <w:t>2</w:t>
            </w:r>
          </w:p>
        </w:tc>
        <w:tc>
          <w:tcPr>
            <w:tcW w:w="879" w:type="dxa"/>
            <w:shd w:val="clear" w:color="auto" w:fill="auto"/>
          </w:tcPr>
          <w:p w14:paraId="7C5B32B0" w14:textId="573B1E55" w:rsidR="009A7EC3" w:rsidRPr="00DE25AD" w:rsidRDefault="009A7EC3" w:rsidP="009A7EC3">
            <w:pPr>
              <w:pStyle w:val="ASSADACCESStablecentre"/>
            </w:pPr>
            <w:r w:rsidRPr="002E5727">
              <w:rPr>
                <w:bCs w:val="0"/>
                <w:color w:val="000000"/>
              </w:rPr>
              <w:t>2</w:t>
            </w:r>
          </w:p>
        </w:tc>
        <w:tc>
          <w:tcPr>
            <w:tcW w:w="879" w:type="dxa"/>
            <w:shd w:val="clear" w:color="auto" w:fill="auto"/>
          </w:tcPr>
          <w:p w14:paraId="51B48246" w14:textId="1207808B" w:rsidR="009A7EC3" w:rsidRPr="00DE25AD" w:rsidRDefault="009A7EC3" w:rsidP="009A7EC3">
            <w:pPr>
              <w:pStyle w:val="ASSADACCESStablecentre"/>
            </w:pPr>
            <w:r w:rsidRPr="002E5727">
              <w:rPr>
                <w:bCs w:val="0"/>
                <w:color w:val="000000"/>
              </w:rPr>
              <w:t>2</w:t>
            </w:r>
          </w:p>
        </w:tc>
        <w:tc>
          <w:tcPr>
            <w:tcW w:w="879" w:type="dxa"/>
            <w:shd w:val="clear" w:color="auto" w:fill="auto"/>
          </w:tcPr>
          <w:p w14:paraId="14F6867B" w14:textId="44DB09EC" w:rsidR="009A7EC3" w:rsidRPr="00DE25AD" w:rsidRDefault="009A7EC3" w:rsidP="009A7EC3">
            <w:pPr>
              <w:pStyle w:val="ASSADACCESStablecentre"/>
            </w:pPr>
            <w:r w:rsidRPr="002E5727">
              <w:rPr>
                <w:bCs w:val="0"/>
                <w:color w:val="000000"/>
              </w:rPr>
              <w:t>1^</w:t>
            </w:r>
          </w:p>
        </w:tc>
        <w:tc>
          <w:tcPr>
            <w:tcW w:w="879" w:type="dxa"/>
            <w:shd w:val="clear" w:color="auto" w:fill="auto"/>
          </w:tcPr>
          <w:p w14:paraId="5091E85C" w14:textId="221869C5" w:rsidR="009A7EC3" w:rsidRPr="00DE25AD" w:rsidRDefault="009A7EC3" w:rsidP="009A7EC3">
            <w:pPr>
              <w:pStyle w:val="ASSADACCESStablecentre"/>
            </w:pPr>
            <w:r w:rsidRPr="002E5727">
              <w:rPr>
                <w:bCs w:val="0"/>
                <w:color w:val="000000"/>
              </w:rPr>
              <w:t>1^</w:t>
            </w:r>
          </w:p>
        </w:tc>
        <w:tc>
          <w:tcPr>
            <w:tcW w:w="879" w:type="dxa"/>
            <w:shd w:val="clear" w:color="auto" w:fill="auto"/>
          </w:tcPr>
          <w:p w14:paraId="088BFCCC" w14:textId="1D9E658A" w:rsidR="009A7EC3" w:rsidRPr="00DE25AD" w:rsidRDefault="009A7EC3" w:rsidP="009A7EC3">
            <w:pPr>
              <w:pStyle w:val="ASSADACCESStablecentre"/>
            </w:pPr>
            <w:r w:rsidRPr="002E5727">
              <w:rPr>
                <w:bCs w:val="0"/>
                <w:color w:val="000000"/>
              </w:rPr>
              <w:t>1</w:t>
            </w:r>
            <w:r>
              <w:rPr>
                <w:bCs w:val="0"/>
                <w:color w:val="000000"/>
              </w:rPr>
              <w:t>^</w:t>
            </w:r>
          </w:p>
        </w:tc>
      </w:tr>
      <w:tr w:rsidR="009A7EC3" w:rsidRPr="00DE25AD" w14:paraId="314C0673" w14:textId="77777777" w:rsidTr="005F678B">
        <w:tc>
          <w:tcPr>
            <w:tcW w:w="1517" w:type="dxa"/>
            <w:tcMar>
              <w:left w:w="57" w:type="dxa"/>
            </w:tcMar>
          </w:tcPr>
          <w:p w14:paraId="7ABA85E4" w14:textId="77777777" w:rsidR="009A7EC3" w:rsidRPr="00DE25AD" w:rsidRDefault="009A7EC3" w:rsidP="009A7EC3">
            <w:pPr>
              <w:pStyle w:val="ACCESSTableHeaderRow"/>
            </w:pPr>
          </w:p>
        </w:tc>
        <w:tc>
          <w:tcPr>
            <w:tcW w:w="1068" w:type="dxa"/>
            <w:shd w:val="clear" w:color="auto" w:fill="auto"/>
            <w:tcMar>
              <w:left w:w="57" w:type="dxa"/>
            </w:tcMar>
            <w:vAlign w:val="bottom"/>
          </w:tcPr>
          <w:p w14:paraId="60AF7B6E" w14:textId="77777777" w:rsidR="009A7EC3" w:rsidRPr="00DE25AD" w:rsidRDefault="009A7EC3" w:rsidP="009A7EC3">
            <w:pPr>
              <w:pStyle w:val="ASSAD2017ACCESSBody1"/>
            </w:pPr>
            <w:r w:rsidRPr="00DE25AD">
              <w:t>Total</w:t>
            </w:r>
          </w:p>
        </w:tc>
        <w:tc>
          <w:tcPr>
            <w:tcW w:w="878" w:type="dxa"/>
            <w:shd w:val="clear" w:color="auto" w:fill="auto"/>
          </w:tcPr>
          <w:p w14:paraId="471F11B0" w14:textId="60AA10BC" w:rsidR="009A7EC3" w:rsidRPr="00DE25AD" w:rsidRDefault="009A7EC3" w:rsidP="009A7EC3">
            <w:pPr>
              <w:pStyle w:val="ASSADACCESStablecentre"/>
            </w:pPr>
            <w:r w:rsidRPr="002E5727">
              <w:rPr>
                <w:bCs w:val="0"/>
                <w:color w:val="000000"/>
              </w:rPr>
              <w:t>2*</w:t>
            </w:r>
          </w:p>
        </w:tc>
        <w:tc>
          <w:tcPr>
            <w:tcW w:w="879" w:type="dxa"/>
            <w:shd w:val="clear" w:color="auto" w:fill="auto"/>
          </w:tcPr>
          <w:p w14:paraId="0DF667E7" w14:textId="7750DF93" w:rsidR="009A7EC3" w:rsidRPr="00DE25AD" w:rsidRDefault="009A7EC3" w:rsidP="009A7EC3">
            <w:pPr>
              <w:pStyle w:val="ASSADACCESStablecentre"/>
            </w:pPr>
            <w:r w:rsidRPr="002E5727">
              <w:rPr>
                <w:bCs w:val="0"/>
                <w:color w:val="000000"/>
              </w:rPr>
              <w:t>3*</w:t>
            </w:r>
          </w:p>
        </w:tc>
        <w:tc>
          <w:tcPr>
            <w:tcW w:w="879" w:type="dxa"/>
            <w:shd w:val="clear" w:color="auto" w:fill="auto"/>
          </w:tcPr>
          <w:p w14:paraId="40FCD006" w14:textId="749DFE17"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3DC55E7B" w14:textId="6C29A393" w:rsidR="009A7EC3" w:rsidRPr="00DE25AD" w:rsidRDefault="009A7EC3" w:rsidP="009A7EC3">
            <w:pPr>
              <w:pStyle w:val="ASSADACCESStablecentre"/>
            </w:pPr>
            <w:r w:rsidRPr="002E5727">
              <w:rPr>
                <w:bCs w:val="0"/>
                <w:color w:val="000000"/>
              </w:rPr>
              <w:t>2</w:t>
            </w:r>
            <w:r>
              <w:rPr>
                <w:bCs w:val="0"/>
                <w:color w:val="000000"/>
              </w:rPr>
              <w:t>*</w:t>
            </w:r>
          </w:p>
        </w:tc>
        <w:tc>
          <w:tcPr>
            <w:tcW w:w="879" w:type="dxa"/>
            <w:shd w:val="clear" w:color="auto" w:fill="auto"/>
          </w:tcPr>
          <w:p w14:paraId="57C66887" w14:textId="14753BE9" w:rsidR="009A7EC3" w:rsidRPr="00DE25AD" w:rsidRDefault="009A7EC3" w:rsidP="009A7EC3">
            <w:pPr>
              <w:pStyle w:val="ASSADACCESStablecentre"/>
            </w:pPr>
            <w:r w:rsidRPr="002E5727">
              <w:rPr>
                <w:bCs w:val="0"/>
                <w:color w:val="000000"/>
              </w:rPr>
              <w:t>2^</w:t>
            </w:r>
          </w:p>
        </w:tc>
        <w:tc>
          <w:tcPr>
            <w:tcW w:w="879" w:type="dxa"/>
            <w:shd w:val="clear" w:color="auto" w:fill="auto"/>
          </w:tcPr>
          <w:p w14:paraId="71A4E6B2" w14:textId="708816B5" w:rsidR="009A7EC3" w:rsidRPr="00DE25AD" w:rsidRDefault="009A7EC3" w:rsidP="009A7EC3">
            <w:pPr>
              <w:pStyle w:val="ASSADACCESStablecentre"/>
            </w:pPr>
            <w:r w:rsidRPr="002E5727">
              <w:rPr>
                <w:bCs w:val="0"/>
                <w:color w:val="000000"/>
              </w:rPr>
              <w:t>1^</w:t>
            </w:r>
          </w:p>
        </w:tc>
        <w:tc>
          <w:tcPr>
            <w:tcW w:w="879" w:type="dxa"/>
            <w:shd w:val="clear" w:color="auto" w:fill="auto"/>
          </w:tcPr>
          <w:p w14:paraId="5E332AD5" w14:textId="2FDC1F62" w:rsidR="009A7EC3" w:rsidRPr="00DE25AD" w:rsidRDefault="009A7EC3" w:rsidP="009A7EC3">
            <w:pPr>
              <w:pStyle w:val="ASSADACCESStablecentre"/>
            </w:pPr>
            <w:r w:rsidRPr="002E5727">
              <w:rPr>
                <w:bCs w:val="0"/>
                <w:color w:val="000000"/>
              </w:rPr>
              <w:t>1^</w:t>
            </w:r>
          </w:p>
        </w:tc>
        <w:tc>
          <w:tcPr>
            <w:tcW w:w="879" w:type="dxa"/>
            <w:shd w:val="clear" w:color="auto" w:fill="auto"/>
          </w:tcPr>
          <w:p w14:paraId="6BFF0412" w14:textId="2AACAF5F" w:rsidR="009A7EC3" w:rsidRPr="00DE25AD" w:rsidRDefault="009A7EC3" w:rsidP="009A7EC3">
            <w:pPr>
              <w:pStyle w:val="ASSADACCESStablecentre"/>
            </w:pPr>
            <w:r w:rsidRPr="002E5727">
              <w:rPr>
                <w:bCs w:val="0"/>
                <w:color w:val="000000"/>
              </w:rPr>
              <w:t>2^</w:t>
            </w:r>
          </w:p>
        </w:tc>
      </w:tr>
      <w:tr w:rsidR="009A7EC3" w:rsidRPr="00DE25AD" w14:paraId="50D2DB71" w14:textId="77777777" w:rsidTr="005F678B">
        <w:trPr>
          <w:trHeight w:val="247"/>
        </w:trPr>
        <w:tc>
          <w:tcPr>
            <w:tcW w:w="1517" w:type="dxa"/>
            <w:tcMar>
              <w:left w:w="57" w:type="dxa"/>
            </w:tcMar>
          </w:tcPr>
          <w:p w14:paraId="509BC8C4" w14:textId="77777777" w:rsidR="009A7EC3" w:rsidRPr="00DE25AD" w:rsidRDefault="009A7EC3" w:rsidP="009A7EC3">
            <w:pPr>
              <w:pStyle w:val="ACCESSTableHeaderRow"/>
            </w:pPr>
            <w:r w:rsidRPr="00DE25AD">
              <w:t xml:space="preserve">Past </w:t>
            </w:r>
            <w:r>
              <w:t>month</w:t>
            </w:r>
          </w:p>
        </w:tc>
        <w:tc>
          <w:tcPr>
            <w:tcW w:w="1068" w:type="dxa"/>
            <w:shd w:val="clear" w:color="auto" w:fill="auto"/>
            <w:tcMar>
              <w:left w:w="57" w:type="dxa"/>
            </w:tcMar>
            <w:vAlign w:val="bottom"/>
          </w:tcPr>
          <w:p w14:paraId="0371F221" w14:textId="77777777" w:rsidR="009A7EC3" w:rsidRPr="00DE25AD" w:rsidRDefault="009A7EC3" w:rsidP="009A7EC3">
            <w:pPr>
              <w:pStyle w:val="ASSAD2017ACCESSBody1"/>
            </w:pPr>
            <w:r w:rsidRPr="00DE25AD">
              <w:t>Male</w:t>
            </w:r>
          </w:p>
        </w:tc>
        <w:tc>
          <w:tcPr>
            <w:tcW w:w="878" w:type="dxa"/>
            <w:shd w:val="clear" w:color="auto" w:fill="auto"/>
          </w:tcPr>
          <w:p w14:paraId="4562972E" w14:textId="3DD08EE7" w:rsidR="009A7EC3" w:rsidRPr="00DE25AD" w:rsidRDefault="009A7EC3" w:rsidP="009A7EC3">
            <w:pPr>
              <w:pStyle w:val="ASSADACCESStablecentre"/>
            </w:pPr>
            <w:r w:rsidRPr="002E5727">
              <w:rPr>
                <w:bCs w:val="0"/>
                <w:color w:val="000000"/>
              </w:rPr>
              <w:t>2</w:t>
            </w:r>
          </w:p>
        </w:tc>
        <w:tc>
          <w:tcPr>
            <w:tcW w:w="879" w:type="dxa"/>
            <w:shd w:val="clear" w:color="auto" w:fill="auto"/>
          </w:tcPr>
          <w:p w14:paraId="724EAC94" w14:textId="05070106" w:rsidR="009A7EC3" w:rsidRPr="00DE25AD" w:rsidRDefault="009A7EC3" w:rsidP="009A7EC3">
            <w:pPr>
              <w:pStyle w:val="ASSADACCESStablecentre"/>
            </w:pPr>
            <w:r w:rsidRPr="002E5727">
              <w:rPr>
                <w:bCs w:val="0"/>
                <w:color w:val="000000"/>
              </w:rPr>
              <w:t>2</w:t>
            </w:r>
          </w:p>
        </w:tc>
        <w:tc>
          <w:tcPr>
            <w:tcW w:w="879" w:type="dxa"/>
            <w:shd w:val="clear" w:color="auto" w:fill="auto"/>
          </w:tcPr>
          <w:p w14:paraId="4F3FA70C" w14:textId="78BEF321" w:rsidR="009A7EC3" w:rsidRPr="00DE25AD" w:rsidRDefault="009A7EC3" w:rsidP="009A7EC3">
            <w:pPr>
              <w:pStyle w:val="ASSADACCESStablecentre"/>
            </w:pPr>
            <w:r w:rsidRPr="002E5727">
              <w:rPr>
                <w:bCs w:val="0"/>
                <w:color w:val="000000"/>
              </w:rPr>
              <w:t>2</w:t>
            </w:r>
          </w:p>
        </w:tc>
        <w:tc>
          <w:tcPr>
            <w:tcW w:w="879" w:type="dxa"/>
            <w:shd w:val="clear" w:color="auto" w:fill="auto"/>
          </w:tcPr>
          <w:p w14:paraId="57F845CF" w14:textId="508242C8" w:rsidR="009A7EC3" w:rsidRPr="00DE25AD" w:rsidRDefault="009A7EC3" w:rsidP="009A7EC3">
            <w:pPr>
              <w:pStyle w:val="ASSADACCESStablecentre"/>
            </w:pPr>
            <w:r w:rsidRPr="002E5727">
              <w:rPr>
                <w:bCs w:val="0"/>
                <w:color w:val="000000"/>
              </w:rPr>
              <w:t>2</w:t>
            </w:r>
          </w:p>
        </w:tc>
        <w:tc>
          <w:tcPr>
            <w:tcW w:w="879" w:type="dxa"/>
            <w:shd w:val="clear" w:color="auto" w:fill="auto"/>
          </w:tcPr>
          <w:p w14:paraId="6A9AF6DB" w14:textId="3048CDFF" w:rsidR="009A7EC3" w:rsidRPr="00DE25AD" w:rsidRDefault="009A7EC3" w:rsidP="009A7EC3">
            <w:pPr>
              <w:pStyle w:val="ASSADACCESStablecentre"/>
            </w:pPr>
            <w:r w:rsidRPr="002E5727">
              <w:rPr>
                <w:bCs w:val="0"/>
                <w:color w:val="000000"/>
              </w:rPr>
              <w:t>1</w:t>
            </w:r>
          </w:p>
        </w:tc>
        <w:tc>
          <w:tcPr>
            <w:tcW w:w="879" w:type="dxa"/>
            <w:shd w:val="clear" w:color="auto" w:fill="auto"/>
          </w:tcPr>
          <w:p w14:paraId="55FD1589" w14:textId="74137338" w:rsidR="009A7EC3" w:rsidRPr="00DE25AD" w:rsidRDefault="009A7EC3" w:rsidP="009A7EC3">
            <w:pPr>
              <w:pStyle w:val="ASSADACCESStablecentre"/>
            </w:pPr>
            <w:r w:rsidRPr="002E5727">
              <w:rPr>
                <w:bCs w:val="0"/>
                <w:color w:val="000000"/>
              </w:rPr>
              <w:t>1^</w:t>
            </w:r>
          </w:p>
        </w:tc>
        <w:tc>
          <w:tcPr>
            <w:tcW w:w="879" w:type="dxa"/>
            <w:shd w:val="clear" w:color="auto" w:fill="auto"/>
          </w:tcPr>
          <w:p w14:paraId="69300AC6" w14:textId="29382567" w:rsidR="009A7EC3" w:rsidRPr="00DE25AD" w:rsidRDefault="009A7EC3" w:rsidP="009A7EC3">
            <w:pPr>
              <w:pStyle w:val="ASSADACCESStablecentre"/>
            </w:pPr>
            <w:r w:rsidRPr="002E5727">
              <w:rPr>
                <w:bCs w:val="0"/>
                <w:color w:val="000000"/>
              </w:rPr>
              <w:t>1^</w:t>
            </w:r>
          </w:p>
        </w:tc>
        <w:tc>
          <w:tcPr>
            <w:tcW w:w="879" w:type="dxa"/>
            <w:shd w:val="clear" w:color="auto" w:fill="auto"/>
          </w:tcPr>
          <w:p w14:paraId="731A3E3F" w14:textId="69FFB635" w:rsidR="009A7EC3" w:rsidRPr="00DE25AD" w:rsidRDefault="009A7EC3" w:rsidP="009A7EC3">
            <w:pPr>
              <w:pStyle w:val="ASSADACCESStablecentre"/>
            </w:pPr>
            <w:r>
              <w:rPr>
                <w:bCs w:val="0"/>
                <w:color w:val="000000"/>
              </w:rPr>
              <w:t>1</w:t>
            </w:r>
          </w:p>
        </w:tc>
      </w:tr>
      <w:tr w:rsidR="009A7EC3" w:rsidRPr="00DE25AD" w14:paraId="11E6EA90" w14:textId="77777777" w:rsidTr="005F678B">
        <w:trPr>
          <w:trHeight w:val="247"/>
        </w:trPr>
        <w:tc>
          <w:tcPr>
            <w:tcW w:w="1517" w:type="dxa"/>
            <w:tcMar>
              <w:left w:w="57" w:type="dxa"/>
            </w:tcMar>
          </w:tcPr>
          <w:p w14:paraId="44394EE6" w14:textId="77777777" w:rsidR="009A7EC3" w:rsidRPr="00DE25AD" w:rsidRDefault="009A7EC3" w:rsidP="009A7EC3">
            <w:pPr>
              <w:pStyle w:val="ACCESSTableHeaderRow"/>
            </w:pPr>
          </w:p>
        </w:tc>
        <w:tc>
          <w:tcPr>
            <w:tcW w:w="1068" w:type="dxa"/>
            <w:shd w:val="clear" w:color="auto" w:fill="auto"/>
            <w:tcMar>
              <w:left w:w="57" w:type="dxa"/>
            </w:tcMar>
            <w:vAlign w:val="bottom"/>
          </w:tcPr>
          <w:p w14:paraId="6594A704" w14:textId="77777777" w:rsidR="009A7EC3" w:rsidRPr="00DE25AD" w:rsidRDefault="009A7EC3" w:rsidP="009A7EC3">
            <w:pPr>
              <w:pStyle w:val="ASSAD2017ACCESSBody1"/>
            </w:pPr>
            <w:r w:rsidRPr="00DE25AD">
              <w:t>Female</w:t>
            </w:r>
          </w:p>
        </w:tc>
        <w:tc>
          <w:tcPr>
            <w:tcW w:w="878" w:type="dxa"/>
            <w:shd w:val="clear" w:color="auto" w:fill="auto"/>
          </w:tcPr>
          <w:p w14:paraId="12D84003" w14:textId="11FE0EA3" w:rsidR="009A7EC3" w:rsidRPr="00DE25AD" w:rsidRDefault="009A7EC3" w:rsidP="009A7EC3">
            <w:pPr>
              <w:pStyle w:val="ASSADACCESStablecentre"/>
            </w:pPr>
            <w:r w:rsidRPr="002E5727">
              <w:rPr>
                <w:bCs w:val="0"/>
                <w:color w:val="000000"/>
              </w:rPr>
              <w:t>1</w:t>
            </w:r>
          </w:p>
        </w:tc>
        <w:tc>
          <w:tcPr>
            <w:tcW w:w="879" w:type="dxa"/>
            <w:shd w:val="clear" w:color="auto" w:fill="auto"/>
          </w:tcPr>
          <w:p w14:paraId="0D1C7ABA" w14:textId="5A842E99" w:rsidR="009A7EC3" w:rsidRPr="00DE25AD" w:rsidRDefault="009A7EC3" w:rsidP="009A7EC3">
            <w:pPr>
              <w:pStyle w:val="ASSADACCESStablecentre"/>
            </w:pPr>
            <w:r w:rsidRPr="002E5727">
              <w:rPr>
                <w:bCs w:val="0"/>
                <w:color w:val="000000"/>
              </w:rPr>
              <w:t>1*</w:t>
            </w:r>
          </w:p>
        </w:tc>
        <w:tc>
          <w:tcPr>
            <w:tcW w:w="879" w:type="dxa"/>
            <w:shd w:val="clear" w:color="auto" w:fill="auto"/>
          </w:tcPr>
          <w:p w14:paraId="189CD790" w14:textId="1BFC83F1" w:rsidR="009A7EC3" w:rsidRPr="00DE25AD" w:rsidRDefault="009A7EC3" w:rsidP="009A7EC3">
            <w:pPr>
              <w:pStyle w:val="ASSADACCESStablecentre"/>
            </w:pPr>
            <w:r w:rsidRPr="002E5727">
              <w:rPr>
                <w:bCs w:val="0"/>
                <w:color w:val="000000"/>
              </w:rPr>
              <w:t>1*</w:t>
            </w:r>
          </w:p>
        </w:tc>
        <w:tc>
          <w:tcPr>
            <w:tcW w:w="879" w:type="dxa"/>
            <w:shd w:val="clear" w:color="auto" w:fill="auto"/>
          </w:tcPr>
          <w:p w14:paraId="5406664F" w14:textId="415E7EA8" w:rsidR="009A7EC3" w:rsidRPr="00DE25AD" w:rsidRDefault="009A7EC3" w:rsidP="009A7EC3">
            <w:pPr>
              <w:pStyle w:val="ASSADACCESStablecentre"/>
            </w:pPr>
            <w:r w:rsidRPr="002E5727">
              <w:rPr>
                <w:bCs w:val="0"/>
                <w:color w:val="000000"/>
              </w:rPr>
              <w:t>1</w:t>
            </w:r>
            <w:r>
              <w:rPr>
                <w:bCs w:val="0"/>
                <w:color w:val="000000"/>
              </w:rPr>
              <w:t>*</w:t>
            </w:r>
          </w:p>
        </w:tc>
        <w:tc>
          <w:tcPr>
            <w:tcW w:w="879" w:type="dxa"/>
            <w:shd w:val="clear" w:color="auto" w:fill="auto"/>
          </w:tcPr>
          <w:p w14:paraId="148FCAFB" w14:textId="612DBF28" w:rsidR="009A7EC3" w:rsidRPr="00DE25AD" w:rsidRDefault="009A7EC3" w:rsidP="009A7EC3">
            <w:pPr>
              <w:pStyle w:val="ASSADACCESStablecentre"/>
            </w:pPr>
            <w:r w:rsidRPr="002E5727">
              <w:rPr>
                <w:bCs w:val="0"/>
                <w:color w:val="000000"/>
              </w:rPr>
              <w:t>1*</w:t>
            </w:r>
          </w:p>
        </w:tc>
        <w:tc>
          <w:tcPr>
            <w:tcW w:w="879" w:type="dxa"/>
            <w:shd w:val="clear" w:color="auto" w:fill="auto"/>
          </w:tcPr>
          <w:p w14:paraId="6B6AB056" w14:textId="330B505A" w:rsidR="009A7EC3" w:rsidRPr="00DE25AD" w:rsidRDefault="009A7EC3" w:rsidP="009A7EC3">
            <w:pPr>
              <w:pStyle w:val="ASSADACCESStablecentre"/>
            </w:pPr>
            <w:r w:rsidRPr="002E5727">
              <w:rPr>
                <w:bCs w:val="0"/>
                <w:color w:val="000000"/>
              </w:rPr>
              <w:t>&lt;1^</w:t>
            </w:r>
          </w:p>
        </w:tc>
        <w:tc>
          <w:tcPr>
            <w:tcW w:w="879" w:type="dxa"/>
            <w:shd w:val="clear" w:color="auto" w:fill="auto"/>
          </w:tcPr>
          <w:p w14:paraId="76FBB313" w14:textId="541658F9" w:rsidR="009A7EC3" w:rsidRPr="00DE25AD" w:rsidRDefault="009A7EC3" w:rsidP="009A7EC3">
            <w:pPr>
              <w:pStyle w:val="ASSADACCESStablecentre"/>
            </w:pPr>
            <w:r w:rsidRPr="002E5727">
              <w:rPr>
                <w:bCs w:val="0"/>
                <w:color w:val="000000"/>
              </w:rPr>
              <w:t>1</w:t>
            </w:r>
          </w:p>
        </w:tc>
        <w:tc>
          <w:tcPr>
            <w:tcW w:w="879" w:type="dxa"/>
            <w:shd w:val="clear" w:color="auto" w:fill="auto"/>
          </w:tcPr>
          <w:p w14:paraId="3111C608" w14:textId="78601ED9" w:rsidR="009A7EC3" w:rsidRPr="00DE25AD" w:rsidRDefault="009A7EC3" w:rsidP="009A7EC3">
            <w:pPr>
              <w:pStyle w:val="ASSADACCESStablecentre"/>
            </w:pPr>
            <w:r w:rsidRPr="002E5727">
              <w:rPr>
                <w:bCs w:val="0"/>
                <w:color w:val="000000"/>
              </w:rPr>
              <w:t>&lt;1</w:t>
            </w:r>
          </w:p>
        </w:tc>
      </w:tr>
      <w:tr w:rsidR="009A7EC3" w:rsidRPr="00DE25AD" w14:paraId="5DBD7194" w14:textId="77777777" w:rsidTr="005F678B">
        <w:trPr>
          <w:trHeight w:val="247"/>
        </w:trPr>
        <w:tc>
          <w:tcPr>
            <w:tcW w:w="1517" w:type="dxa"/>
            <w:tcMar>
              <w:left w:w="57" w:type="dxa"/>
            </w:tcMar>
          </w:tcPr>
          <w:p w14:paraId="62C15EFE" w14:textId="77777777" w:rsidR="009A7EC3" w:rsidRPr="00DE25AD" w:rsidRDefault="009A7EC3" w:rsidP="009A7EC3">
            <w:pPr>
              <w:pStyle w:val="ACCESSTableHeaderRow"/>
            </w:pPr>
          </w:p>
        </w:tc>
        <w:tc>
          <w:tcPr>
            <w:tcW w:w="1068" w:type="dxa"/>
            <w:shd w:val="clear" w:color="auto" w:fill="auto"/>
            <w:tcMar>
              <w:left w:w="57" w:type="dxa"/>
            </w:tcMar>
            <w:vAlign w:val="bottom"/>
          </w:tcPr>
          <w:p w14:paraId="2F661775" w14:textId="77777777" w:rsidR="009A7EC3" w:rsidRPr="00DE25AD" w:rsidRDefault="009A7EC3" w:rsidP="009A7EC3">
            <w:pPr>
              <w:pStyle w:val="ASSAD2017ACCESSBody1"/>
            </w:pPr>
            <w:r w:rsidRPr="00DE25AD">
              <w:t>Total</w:t>
            </w:r>
          </w:p>
        </w:tc>
        <w:tc>
          <w:tcPr>
            <w:tcW w:w="878" w:type="dxa"/>
            <w:shd w:val="clear" w:color="auto" w:fill="auto"/>
          </w:tcPr>
          <w:p w14:paraId="7A9EAD88" w14:textId="1A8C553C" w:rsidR="009A7EC3" w:rsidRPr="00DE25AD" w:rsidRDefault="009A7EC3" w:rsidP="009A7EC3">
            <w:pPr>
              <w:pStyle w:val="ASSADACCESStablecentre"/>
            </w:pPr>
            <w:r w:rsidRPr="002E5727">
              <w:rPr>
                <w:bCs w:val="0"/>
                <w:color w:val="000000"/>
              </w:rPr>
              <w:t>1</w:t>
            </w:r>
            <w:r>
              <w:rPr>
                <w:bCs w:val="0"/>
                <w:color w:val="000000"/>
              </w:rPr>
              <w:t>*</w:t>
            </w:r>
          </w:p>
        </w:tc>
        <w:tc>
          <w:tcPr>
            <w:tcW w:w="879" w:type="dxa"/>
            <w:shd w:val="clear" w:color="auto" w:fill="auto"/>
          </w:tcPr>
          <w:p w14:paraId="347425EE" w14:textId="14AE8F94" w:rsidR="009A7EC3" w:rsidRPr="00DE25AD" w:rsidRDefault="009A7EC3" w:rsidP="009A7EC3">
            <w:pPr>
              <w:pStyle w:val="ASSADACCESStablecentre"/>
            </w:pPr>
            <w:r w:rsidRPr="002E5727">
              <w:rPr>
                <w:bCs w:val="0"/>
                <w:color w:val="000000"/>
              </w:rPr>
              <w:t>1</w:t>
            </w:r>
            <w:r>
              <w:rPr>
                <w:bCs w:val="0"/>
                <w:color w:val="000000"/>
              </w:rPr>
              <w:t>*</w:t>
            </w:r>
          </w:p>
        </w:tc>
        <w:tc>
          <w:tcPr>
            <w:tcW w:w="879" w:type="dxa"/>
            <w:shd w:val="clear" w:color="auto" w:fill="auto"/>
          </w:tcPr>
          <w:p w14:paraId="66DFE81C" w14:textId="07C6DDC3" w:rsidR="009A7EC3" w:rsidRPr="00DE25AD" w:rsidRDefault="009A7EC3" w:rsidP="009A7EC3">
            <w:pPr>
              <w:pStyle w:val="ASSADACCESStablecentre"/>
            </w:pPr>
            <w:r w:rsidRPr="002E5727">
              <w:rPr>
                <w:bCs w:val="0"/>
                <w:color w:val="000000"/>
              </w:rPr>
              <w:t>1</w:t>
            </w:r>
            <w:r>
              <w:rPr>
                <w:bCs w:val="0"/>
                <w:color w:val="000000"/>
              </w:rPr>
              <w:t>*</w:t>
            </w:r>
          </w:p>
        </w:tc>
        <w:tc>
          <w:tcPr>
            <w:tcW w:w="879" w:type="dxa"/>
            <w:shd w:val="clear" w:color="auto" w:fill="auto"/>
          </w:tcPr>
          <w:p w14:paraId="36D87368" w14:textId="73362FC5" w:rsidR="009A7EC3" w:rsidRPr="00DE25AD" w:rsidRDefault="009A7EC3" w:rsidP="009A7EC3">
            <w:pPr>
              <w:pStyle w:val="ASSADACCESStablecentre"/>
            </w:pPr>
            <w:r w:rsidRPr="002E5727">
              <w:rPr>
                <w:bCs w:val="0"/>
                <w:color w:val="000000"/>
              </w:rPr>
              <w:t>1</w:t>
            </w:r>
            <w:r>
              <w:rPr>
                <w:bCs w:val="0"/>
                <w:color w:val="000000"/>
              </w:rPr>
              <w:t>*</w:t>
            </w:r>
          </w:p>
        </w:tc>
        <w:tc>
          <w:tcPr>
            <w:tcW w:w="879" w:type="dxa"/>
            <w:shd w:val="clear" w:color="auto" w:fill="auto"/>
          </w:tcPr>
          <w:p w14:paraId="28D03293" w14:textId="00D37FAC" w:rsidR="009A7EC3" w:rsidRPr="00DE25AD" w:rsidRDefault="009A7EC3" w:rsidP="009A7EC3">
            <w:pPr>
              <w:pStyle w:val="ASSADACCESStablecentre"/>
            </w:pPr>
            <w:r w:rsidRPr="002E5727">
              <w:rPr>
                <w:bCs w:val="0"/>
                <w:color w:val="000000"/>
              </w:rPr>
              <w:t>1</w:t>
            </w:r>
          </w:p>
        </w:tc>
        <w:tc>
          <w:tcPr>
            <w:tcW w:w="879" w:type="dxa"/>
            <w:shd w:val="clear" w:color="auto" w:fill="auto"/>
          </w:tcPr>
          <w:p w14:paraId="56310A6B" w14:textId="77F35CEF" w:rsidR="009A7EC3" w:rsidRPr="00DE25AD" w:rsidRDefault="009A7EC3" w:rsidP="009A7EC3">
            <w:pPr>
              <w:pStyle w:val="ASSADACCESStablecentre"/>
            </w:pPr>
            <w:r w:rsidRPr="002E5727">
              <w:rPr>
                <w:bCs w:val="0"/>
                <w:color w:val="000000"/>
              </w:rPr>
              <w:t>1^</w:t>
            </w:r>
          </w:p>
        </w:tc>
        <w:tc>
          <w:tcPr>
            <w:tcW w:w="879" w:type="dxa"/>
            <w:shd w:val="clear" w:color="auto" w:fill="auto"/>
          </w:tcPr>
          <w:p w14:paraId="32697C9E" w14:textId="39975F2E" w:rsidR="009A7EC3" w:rsidRPr="00DE25AD" w:rsidRDefault="009A7EC3" w:rsidP="009A7EC3">
            <w:pPr>
              <w:pStyle w:val="ASSADACCESStablecentre"/>
            </w:pPr>
            <w:r w:rsidRPr="002E5727">
              <w:rPr>
                <w:bCs w:val="0"/>
                <w:color w:val="000000"/>
              </w:rPr>
              <w:t>1^</w:t>
            </w:r>
          </w:p>
        </w:tc>
        <w:tc>
          <w:tcPr>
            <w:tcW w:w="879" w:type="dxa"/>
            <w:shd w:val="clear" w:color="auto" w:fill="auto"/>
          </w:tcPr>
          <w:p w14:paraId="13DE99C2" w14:textId="7F2B36FB" w:rsidR="009A7EC3" w:rsidRPr="00DE25AD" w:rsidRDefault="009A7EC3" w:rsidP="009A7EC3">
            <w:pPr>
              <w:pStyle w:val="ASSADACCESStablecentre"/>
            </w:pPr>
            <w:r w:rsidRPr="002E5727">
              <w:rPr>
                <w:bCs w:val="0"/>
                <w:color w:val="000000"/>
              </w:rPr>
              <w:t>1</w:t>
            </w:r>
            <w:r>
              <w:rPr>
                <w:bCs w:val="0"/>
                <w:color w:val="000000"/>
              </w:rPr>
              <w:t>^</w:t>
            </w:r>
          </w:p>
        </w:tc>
      </w:tr>
    </w:tbl>
    <w:p w14:paraId="1C746263" w14:textId="18D1A854" w:rsidR="00AC50E8" w:rsidRDefault="00AC50E8" w:rsidP="00D7479A">
      <w:pPr>
        <w:pStyle w:val="ASSAD2017CWTablenote1"/>
      </w:pPr>
      <w:r w:rsidRPr="002E5727">
        <w:t>* Significantly different than 2017, p&lt;.01; ^ Significantly different than 1996, p&lt;.01</w:t>
      </w:r>
      <w:r>
        <w:t>.</w:t>
      </w:r>
    </w:p>
    <w:p w14:paraId="3E334FE5" w14:textId="518CD291" w:rsidR="00461EEA" w:rsidRDefault="00461EEA">
      <w:pPr>
        <w:suppressAutoHyphens w:val="0"/>
        <w:rPr>
          <w:rFonts w:ascii="Arial" w:eastAsia="Arial" w:hAnsi="Arial" w:cs="Arial"/>
          <w:sz w:val="18"/>
          <w:szCs w:val="18"/>
          <w:lang w:val="en-AU"/>
        </w:rPr>
      </w:pPr>
      <w:r>
        <w:br w:type="page"/>
      </w:r>
    </w:p>
    <w:p w14:paraId="453D7FE2" w14:textId="580F0D18" w:rsidR="00461EEA" w:rsidRPr="0046446A" w:rsidRDefault="00461EEA" w:rsidP="00461EEA">
      <w:pPr>
        <w:pStyle w:val="ASSAD2017TableHeading"/>
      </w:pPr>
      <w:bookmarkStart w:id="86" w:name="_Toc44060502"/>
      <w:r w:rsidRPr="0046446A">
        <w:lastRenderedPageBreak/>
        <w:t xml:space="preserve">Table </w:t>
      </w:r>
      <w:r>
        <w:t>15</w:t>
      </w:r>
      <w:r w:rsidRPr="0046446A">
        <w:t xml:space="preserve"> </w:t>
      </w:r>
      <w:r>
        <w:t>Prevalence</w:t>
      </w:r>
      <w:r w:rsidRPr="0046446A">
        <w:t xml:space="preserve"> of </w:t>
      </w:r>
      <w:r>
        <w:t>inhalant use</w:t>
      </w:r>
      <w:r w:rsidRPr="0046446A">
        <w:t xml:space="preserve"> among secondary students aged 12-1</w:t>
      </w:r>
      <w:r>
        <w:t>5, 16-17, &amp; 12-17</w:t>
      </w:r>
      <w:r w:rsidRPr="0046446A">
        <w:t xml:space="preserve"> in Australia, ASSAD 1996-2017</w:t>
      </w:r>
      <w:bookmarkEnd w:id="86"/>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461EEA" w:rsidRPr="00DE25AD" w14:paraId="104931D3" w14:textId="77777777" w:rsidTr="005F678B">
        <w:trPr>
          <w:tblHeader/>
        </w:trPr>
        <w:tc>
          <w:tcPr>
            <w:tcW w:w="1517" w:type="dxa"/>
            <w:tcMar>
              <w:left w:w="57" w:type="dxa"/>
            </w:tcMar>
          </w:tcPr>
          <w:p w14:paraId="635FE2BB" w14:textId="77777777" w:rsidR="00461EEA" w:rsidRPr="00DE25AD" w:rsidRDefault="00461EEA"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708A13C5" w14:textId="77777777" w:rsidR="00461EEA" w:rsidRPr="00DE25AD" w:rsidRDefault="00461EEA" w:rsidP="005F678B">
            <w:pPr>
              <w:pStyle w:val="ACCESSTableHeaderRow"/>
            </w:pPr>
          </w:p>
        </w:tc>
        <w:tc>
          <w:tcPr>
            <w:tcW w:w="878" w:type="dxa"/>
            <w:shd w:val="clear" w:color="auto" w:fill="auto"/>
            <w:vAlign w:val="bottom"/>
          </w:tcPr>
          <w:p w14:paraId="7C2565B9" w14:textId="77777777" w:rsidR="00461EEA" w:rsidRPr="00DE25AD" w:rsidRDefault="00461EEA" w:rsidP="005F678B">
            <w:pPr>
              <w:pStyle w:val="ACCESSTableHeaderRow"/>
              <w:jc w:val="center"/>
            </w:pPr>
            <w:r>
              <w:t>1996</w:t>
            </w:r>
          </w:p>
          <w:p w14:paraId="41BC5F78"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72A762C5" w14:textId="77777777" w:rsidR="00461EEA" w:rsidRPr="00DE25AD" w:rsidRDefault="00461EEA" w:rsidP="005F678B">
            <w:pPr>
              <w:pStyle w:val="ACCESSTableHeaderRow"/>
              <w:jc w:val="center"/>
            </w:pPr>
            <w:r w:rsidRPr="00DE25AD">
              <w:t>1</w:t>
            </w:r>
            <w:r>
              <w:t>999</w:t>
            </w:r>
          </w:p>
          <w:p w14:paraId="1A851A27"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7F4903EF" w14:textId="77777777" w:rsidR="00461EEA" w:rsidRPr="00DE25AD" w:rsidRDefault="00461EEA" w:rsidP="005F678B">
            <w:pPr>
              <w:pStyle w:val="ACCESSTableHeaderRow"/>
              <w:jc w:val="center"/>
            </w:pPr>
            <w:r>
              <w:t>2002</w:t>
            </w:r>
          </w:p>
          <w:p w14:paraId="2F28E9C0"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4F9C4364" w14:textId="77777777" w:rsidR="00461EEA" w:rsidRPr="00DE25AD" w:rsidRDefault="00461EEA" w:rsidP="005F678B">
            <w:pPr>
              <w:pStyle w:val="ACCESSTableHeaderRow"/>
              <w:jc w:val="center"/>
            </w:pPr>
            <w:r>
              <w:t>200</w:t>
            </w:r>
            <w:r w:rsidRPr="00DE25AD">
              <w:t>5</w:t>
            </w:r>
          </w:p>
          <w:p w14:paraId="38D22899"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716C442E" w14:textId="77777777" w:rsidR="00461EEA" w:rsidRPr="00DE25AD" w:rsidRDefault="00461EEA" w:rsidP="005F678B">
            <w:pPr>
              <w:pStyle w:val="ACCESSTableHeaderRow"/>
              <w:jc w:val="center"/>
            </w:pPr>
            <w:r>
              <w:t>2008</w:t>
            </w:r>
          </w:p>
          <w:p w14:paraId="6180874E"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1AD39913" w14:textId="77777777" w:rsidR="00461EEA" w:rsidRPr="00DE25AD" w:rsidRDefault="00461EEA" w:rsidP="005F678B">
            <w:pPr>
              <w:pStyle w:val="ACCESSTableHeaderRow"/>
              <w:jc w:val="center"/>
            </w:pPr>
            <w:r>
              <w:t>2011</w:t>
            </w:r>
          </w:p>
          <w:p w14:paraId="42A42A4B"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2EF76886" w14:textId="77777777" w:rsidR="00461EEA" w:rsidRDefault="00461EEA" w:rsidP="005F678B">
            <w:pPr>
              <w:pStyle w:val="ACCESSTableHeaderRow"/>
              <w:jc w:val="center"/>
            </w:pPr>
            <w:r>
              <w:t>2014</w:t>
            </w:r>
          </w:p>
          <w:p w14:paraId="64719805" w14:textId="77777777" w:rsidR="00461EEA" w:rsidRPr="00DE25AD" w:rsidRDefault="00461EEA" w:rsidP="005F678B">
            <w:pPr>
              <w:pStyle w:val="ACCESSTableHeaderRow"/>
              <w:jc w:val="center"/>
            </w:pPr>
            <w:r>
              <w:t>(%)</w:t>
            </w:r>
          </w:p>
        </w:tc>
        <w:tc>
          <w:tcPr>
            <w:tcW w:w="879" w:type="dxa"/>
            <w:shd w:val="clear" w:color="auto" w:fill="auto"/>
            <w:vAlign w:val="bottom"/>
          </w:tcPr>
          <w:p w14:paraId="74E1F29F" w14:textId="77777777" w:rsidR="00461EEA" w:rsidRDefault="00461EEA" w:rsidP="005F678B">
            <w:pPr>
              <w:pStyle w:val="ACCESSTableHeaderRow"/>
              <w:jc w:val="center"/>
            </w:pPr>
            <w:r>
              <w:t>2017</w:t>
            </w:r>
          </w:p>
          <w:p w14:paraId="1B25B2CD" w14:textId="77777777" w:rsidR="00461EEA" w:rsidRPr="00DE25AD" w:rsidRDefault="00461EEA" w:rsidP="005F678B">
            <w:pPr>
              <w:pStyle w:val="ACCESSTableHeaderRow"/>
              <w:jc w:val="center"/>
            </w:pPr>
            <w:r w:rsidRPr="00DE25AD">
              <w:t>(%)</w:t>
            </w:r>
          </w:p>
        </w:tc>
      </w:tr>
      <w:tr w:rsidR="00461EEA" w:rsidRPr="00DE25AD" w14:paraId="53A75FAD" w14:textId="77777777" w:rsidTr="005F678B">
        <w:trPr>
          <w:tblHeader/>
        </w:trPr>
        <w:tc>
          <w:tcPr>
            <w:tcW w:w="1517" w:type="dxa"/>
            <w:tcMar>
              <w:left w:w="57" w:type="dxa"/>
            </w:tcMar>
          </w:tcPr>
          <w:p w14:paraId="63092CD7" w14:textId="77777777" w:rsidR="00461EEA" w:rsidRPr="00DE25AD" w:rsidRDefault="00461EEA" w:rsidP="005F678B">
            <w:pPr>
              <w:pStyle w:val="ACCESSTableHeaderRow"/>
            </w:pPr>
            <w:r>
              <w:t>Aged 12-15</w:t>
            </w:r>
          </w:p>
        </w:tc>
        <w:tc>
          <w:tcPr>
            <w:tcW w:w="1068" w:type="dxa"/>
            <w:shd w:val="clear" w:color="auto" w:fill="auto"/>
            <w:tcMar>
              <w:left w:w="57" w:type="dxa"/>
            </w:tcMar>
            <w:vAlign w:val="center"/>
          </w:tcPr>
          <w:p w14:paraId="720A0EFE" w14:textId="77777777" w:rsidR="00461EEA" w:rsidRPr="00DE25AD" w:rsidRDefault="00461EEA" w:rsidP="005F678B">
            <w:pPr>
              <w:pStyle w:val="ACCESSTableHeaderRow"/>
            </w:pPr>
          </w:p>
        </w:tc>
        <w:tc>
          <w:tcPr>
            <w:tcW w:w="878" w:type="dxa"/>
            <w:shd w:val="clear" w:color="auto" w:fill="auto"/>
            <w:vAlign w:val="bottom"/>
          </w:tcPr>
          <w:p w14:paraId="06EE0CC7" w14:textId="77777777" w:rsidR="00461EEA" w:rsidRPr="00DE25AD" w:rsidRDefault="00461EEA" w:rsidP="005F678B">
            <w:pPr>
              <w:pStyle w:val="ACCESSTableHeaderRow"/>
            </w:pPr>
          </w:p>
        </w:tc>
        <w:tc>
          <w:tcPr>
            <w:tcW w:w="879" w:type="dxa"/>
            <w:shd w:val="clear" w:color="auto" w:fill="auto"/>
            <w:vAlign w:val="bottom"/>
          </w:tcPr>
          <w:p w14:paraId="756CF459" w14:textId="77777777" w:rsidR="00461EEA" w:rsidRPr="00DE25AD" w:rsidRDefault="00461EEA" w:rsidP="005F678B">
            <w:pPr>
              <w:pStyle w:val="ACCESSTableHeaderRow"/>
            </w:pPr>
          </w:p>
        </w:tc>
        <w:tc>
          <w:tcPr>
            <w:tcW w:w="879" w:type="dxa"/>
            <w:shd w:val="clear" w:color="auto" w:fill="auto"/>
            <w:vAlign w:val="bottom"/>
          </w:tcPr>
          <w:p w14:paraId="6FE6F42A" w14:textId="77777777" w:rsidR="00461EEA" w:rsidRPr="00DE25AD" w:rsidRDefault="00461EEA" w:rsidP="005F678B">
            <w:pPr>
              <w:pStyle w:val="ACCESSTableHeaderRow"/>
            </w:pPr>
          </w:p>
        </w:tc>
        <w:tc>
          <w:tcPr>
            <w:tcW w:w="879" w:type="dxa"/>
            <w:shd w:val="clear" w:color="auto" w:fill="auto"/>
            <w:vAlign w:val="bottom"/>
          </w:tcPr>
          <w:p w14:paraId="0A31D696" w14:textId="77777777" w:rsidR="00461EEA" w:rsidRPr="00DE25AD" w:rsidRDefault="00461EEA" w:rsidP="005F678B">
            <w:pPr>
              <w:pStyle w:val="ACCESSTableHeaderRow"/>
            </w:pPr>
          </w:p>
        </w:tc>
        <w:tc>
          <w:tcPr>
            <w:tcW w:w="879" w:type="dxa"/>
            <w:shd w:val="clear" w:color="auto" w:fill="auto"/>
            <w:vAlign w:val="bottom"/>
          </w:tcPr>
          <w:p w14:paraId="3501FE8D" w14:textId="77777777" w:rsidR="00461EEA" w:rsidRPr="00DE25AD" w:rsidRDefault="00461EEA" w:rsidP="005F678B">
            <w:pPr>
              <w:pStyle w:val="ACCESSTableHeaderRow"/>
            </w:pPr>
          </w:p>
        </w:tc>
        <w:tc>
          <w:tcPr>
            <w:tcW w:w="879" w:type="dxa"/>
            <w:shd w:val="clear" w:color="auto" w:fill="auto"/>
            <w:vAlign w:val="bottom"/>
          </w:tcPr>
          <w:p w14:paraId="288F3AB2" w14:textId="77777777" w:rsidR="00461EEA" w:rsidRPr="00DE25AD" w:rsidRDefault="00461EEA" w:rsidP="005F678B">
            <w:pPr>
              <w:pStyle w:val="ACCESSTableHeaderRow"/>
            </w:pPr>
          </w:p>
        </w:tc>
        <w:tc>
          <w:tcPr>
            <w:tcW w:w="879" w:type="dxa"/>
            <w:shd w:val="clear" w:color="auto" w:fill="auto"/>
            <w:vAlign w:val="bottom"/>
          </w:tcPr>
          <w:p w14:paraId="19CB7F7B" w14:textId="77777777" w:rsidR="00461EEA" w:rsidRPr="00DE25AD" w:rsidRDefault="00461EEA" w:rsidP="005F678B">
            <w:pPr>
              <w:pStyle w:val="ACCESSTableHeaderRow"/>
            </w:pPr>
          </w:p>
        </w:tc>
        <w:tc>
          <w:tcPr>
            <w:tcW w:w="879" w:type="dxa"/>
            <w:shd w:val="clear" w:color="auto" w:fill="auto"/>
            <w:vAlign w:val="bottom"/>
          </w:tcPr>
          <w:p w14:paraId="2EE649BB" w14:textId="77777777" w:rsidR="00461EEA" w:rsidRPr="00DE25AD" w:rsidRDefault="00461EEA" w:rsidP="005F678B">
            <w:pPr>
              <w:pStyle w:val="ACCESSTableHeaderRow"/>
            </w:pPr>
          </w:p>
        </w:tc>
      </w:tr>
      <w:tr w:rsidR="00461EEA" w:rsidRPr="00DE25AD" w14:paraId="57AC1C64" w14:textId="77777777" w:rsidTr="005F678B">
        <w:tc>
          <w:tcPr>
            <w:tcW w:w="1517" w:type="dxa"/>
            <w:tcMar>
              <w:left w:w="57" w:type="dxa"/>
            </w:tcMar>
          </w:tcPr>
          <w:p w14:paraId="570E5A65" w14:textId="77777777" w:rsidR="00461EEA" w:rsidRDefault="00461EEA" w:rsidP="005F678B">
            <w:pPr>
              <w:pStyle w:val="ACCESSTableHeaderRow"/>
            </w:pPr>
            <w:r w:rsidRPr="00DE25AD">
              <w:t>Recency</w:t>
            </w:r>
          </w:p>
        </w:tc>
        <w:tc>
          <w:tcPr>
            <w:tcW w:w="1068" w:type="dxa"/>
            <w:shd w:val="clear" w:color="auto" w:fill="auto"/>
            <w:tcMar>
              <w:left w:w="57" w:type="dxa"/>
            </w:tcMar>
            <w:vAlign w:val="center"/>
          </w:tcPr>
          <w:p w14:paraId="5CAEB9C5" w14:textId="77777777" w:rsidR="00461EEA" w:rsidRPr="00DE25AD" w:rsidRDefault="00461EEA" w:rsidP="005F678B">
            <w:pPr>
              <w:pStyle w:val="ASSAD2017ACCESSBody1"/>
            </w:pPr>
            <w:r w:rsidRPr="005C5B03">
              <w:rPr>
                <w:b/>
                <w:bCs w:val="0"/>
              </w:rPr>
              <w:t>Sex</w:t>
            </w:r>
          </w:p>
        </w:tc>
        <w:tc>
          <w:tcPr>
            <w:tcW w:w="878" w:type="dxa"/>
            <w:shd w:val="clear" w:color="auto" w:fill="auto"/>
          </w:tcPr>
          <w:p w14:paraId="361995AE" w14:textId="77777777" w:rsidR="00461EEA" w:rsidRPr="00DE25AD" w:rsidRDefault="00461EEA" w:rsidP="005F678B">
            <w:pPr>
              <w:pStyle w:val="ASSADACCESStablecentre"/>
            </w:pPr>
          </w:p>
        </w:tc>
        <w:tc>
          <w:tcPr>
            <w:tcW w:w="879" w:type="dxa"/>
            <w:shd w:val="clear" w:color="auto" w:fill="auto"/>
          </w:tcPr>
          <w:p w14:paraId="0E900942" w14:textId="77777777" w:rsidR="00461EEA" w:rsidRPr="00DE25AD" w:rsidRDefault="00461EEA" w:rsidP="005F678B">
            <w:pPr>
              <w:pStyle w:val="ASSADACCESStablecentre"/>
            </w:pPr>
          </w:p>
        </w:tc>
        <w:tc>
          <w:tcPr>
            <w:tcW w:w="879" w:type="dxa"/>
            <w:shd w:val="clear" w:color="auto" w:fill="auto"/>
          </w:tcPr>
          <w:p w14:paraId="46BFE2AC" w14:textId="77777777" w:rsidR="00461EEA" w:rsidRPr="00DE25AD" w:rsidRDefault="00461EEA" w:rsidP="005F678B">
            <w:pPr>
              <w:pStyle w:val="ASSADACCESStablecentre"/>
            </w:pPr>
          </w:p>
        </w:tc>
        <w:tc>
          <w:tcPr>
            <w:tcW w:w="879" w:type="dxa"/>
            <w:shd w:val="clear" w:color="auto" w:fill="auto"/>
          </w:tcPr>
          <w:p w14:paraId="4A67B514" w14:textId="77777777" w:rsidR="00461EEA" w:rsidRPr="00DE25AD" w:rsidRDefault="00461EEA" w:rsidP="005F678B">
            <w:pPr>
              <w:pStyle w:val="ASSADACCESStablecentre"/>
            </w:pPr>
          </w:p>
        </w:tc>
        <w:tc>
          <w:tcPr>
            <w:tcW w:w="879" w:type="dxa"/>
            <w:shd w:val="clear" w:color="auto" w:fill="auto"/>
          </w:tcPr>
          <w:p w14:paraId="079A9CE1" w14:textId="77777777" w:rsidR="00461EEA" w:rsidRPr="00DE25AD" w:rsidRDefault="00461EEA" w:rsidP="005F678B">
            <w:pPr>
              <w:pStyle w:val="ASSADACCESStablecentre"/>
            </w:pPr>
          </w:p>
        </w:tc>
        <w:tc>
          <w:tcPr>
            <w:tcW w:w="879" w:type="dxa"/>
            <w:shd w:val="clear" w:color="auto" w:fill="auto"/>
          </w:tcPr>
          <w:p w14:paraId="51812AB2" w14:textId="77777777" w:rsidR="00461EEA" w:rsidRPr="00DE25AD" w:rsidRDefault="00461EEA" w:rsidP="005F678B">
            <w:pPr>
              <w:pStyle w:val="ASSADACCESStablecentre"/>
            </w:pPr>
          </w:p>
        </w:tc>
        <w:tc>
          <w:tcPr>
            <w:tcW w:w="879" w:type="dxa"/>
            <w:shd w:val="clear" w:color="auto" w:fill="auto"/>
          </w:tcPr>
          <w:p w14:paraId="634FC907" w14:textId="77777777" w:rsidR="00461EEA" w:rsidRPr="00DE25AD" w:rsidRDefault="00461EEA" w:rsidP="005F678B">
            <w:pPr>
              <w:pStyle w:val="ASSADACCESStablecentre"/>
            </w:pPr>
          </w:p>
        </w:tc>
        <w:tc>
          <w:tcPr>
            <w:tcW w:w="879" w:type="dxa"/>
            <w:shd w:val="clear" w:color="auto" w:fill="auto"/>
          </w:tcPr>
          <w:p w14:paraId="06DFEDA2" w14:textId="77777777" w:rsidR="00461EEA" w:rsidRPr="00DE25AD" w:rsidRDefault="00461EEA" w:rsidP="005F678B">
            <w:pPr>
              <w:pStyle w:val="ASSADACCESStablecentre"/>
            </w:pPr>
          </w:p>
        </w:tc>
      </w:tr>
      <w:tr w:rsidR="006C51D3" w:rsidRPr="00DE25AD" w14:paraId="5913A31D" w14:textId="77777777" w:rsidTr="005F678B">
        <w:tc>
          <w:tcPr>
            <w:tcW w:w="1517" w:type="dxa"/>
            <w:tcMar>
              <w:left w:w="57" w:type="dxa"/>
            </w:tcMar>
          </w:tcPr>
          <w:p w14:paraId="00CA1F8B" w14:textId="77777777" w:rsidR="006C51D3" w:rsidRPr="00DE25AD" w:rsidRDefault="006C51D3" w:rsidP="006C51D3">
            <w:pPr>
              <w:pStyle w:val="ACCESSTableHeaderRow"/>
            </w:pPr>
            <w:r>
              <w:t>Lifetime</w:t>
            </w:r>
          </w:p>
        </w:tc>
        <w:tc>
          <w:tcPr>
            <w:tcW w:w="1068" w:type="dxa"/>
            <w:shd w:val="clear" w:color="auto" w:fill="auto"/>
            <w:tcMar>
              <w:left w:w="57" w:type="dxa"/>
            </w:tcMar>
            <w:vAlign w:val="bottom"/>
          </w:tcPr>
          <w:p w14:paraId="6528CA98" w14:textId="77777777" w:rsidR="006C51D3" w:rsidRPr="00DE25AD" w:rsidRDefault="006C51D3" w:rsidP="006C51D3">
            <w:pPr>
              <w:pStyle w:val="ASSAD2017ACCESSBody1"/>
            </w:pPr>
            <w:r w:rsidRPr="00DE25AD">
              <w:t>Male</w:t>
            </w:r>
          </w:p>
        </w:tc>
        <w:tc>
          <w:tcPr>
            <w:tcW w:w="878" w:type="dxa"/>
            <w:shd w:val="clear" w:color="auto" w:fill="auto"/>
          </w:tcPr>
          <w:p w14:paraId="68F124C6" w14:textId="76CCEC1C" w:rsidR="006C51D3" w:rsidRPr="00DE25AD" w:rsidRDefault="006C51D3" w:rsidP="006C51D3">
            <w:pPr>
              <w:pStyle w:val="ASSADACCESStablecentre"/>
            </w:pPr>
            <w:r w:rsidRPr="002E5727">
              <w:rPr>
                <w:bCs w:val="0"/>
                <w:color w:val="000000"/>
              </w:rPr>
              <w:t>29*</w:t>
            </w:r>
          </w:p>
        </w:tc>
        <w:tc>
          <w:tcPr>
            <w:tcW w:w="879" w:type="dxa"/>
            <w:shd w:val="clear" w:color="auto" w:fill="auto"/>
          </w:tcPr>
          <w:p w14:paraId="061CB964" w14:textId="2E8AD6FF" w:rsidR="006C51D3" w:rsidRPr="00DE25AD" w:rsidRDefault="006C51D3" w:rsidP="006C51D3">
            <w:pPr>
              <w:pStyle w:val="ASSADACCESStablecentre"/>
            </w:pPr>
            <w:r w:rsidRPr="002E5727">
              <w:rPr>
                <w:bCs w:val="0"/>
                <w:color w:val="000000"/>
              </w:rPr>
              <w:t>28*</w:t>
            </w:r>
          </w:p>
        </w:tc>
        <w:tc>
          <w:tcPr>
            <w:tcW w:w="879" w:type="dxa"/>
            <w:shd w:val="clear" w:color="auto" w:fill="auto"/>
          </w:tcPr>
          <w:p w14:paraId="1700F5AA" w14:textId="1F66D2F9" w:rsidR="006C51D3" w:rsidRPr="00DE25AD" w:rsidRDefault="006C51D3" w:rsidP="006C51D3">
            <w:pPr>
              <w:pStyle w:val="ASSADACCESStablecentre"/>
            </w:pPr>
            <w:r w:rsidRPr="002E5727">
              <w:rPr>
                <w:bCs w:val="0"/>
                <w:color w:val="000000"/>
              </w:rPr>
              <w:t>23*^</w:t>
            </w:r>
          </w:p>
        </w:tc>
        <w:tc>
          <w:tcPr>
            <w:tcW w:w="879" w:type="dxa"/>
            <w:shd w:val="clear" w:color="auto" w:fill="auto"/>
          </w:tcPr>
          <w:p w14:paraId="1ADD4769" w14:textId="46B8683C" w:rsidR="006C51D3" w:rsidRPr="00DE25AD" w:rsidRDefault="006C51D3" w:rsidP="006C51D3">
            <w:pPr>
              <w:pStyle w:val="ASSADACCESStablecentre"/>
            </w:pPr>
            <w:r w:rsidRPr="002E5727">
              <w:rPr>
                <w:bCs w:val="0"/>
                <w:color w:val="000000"/>
              </w:rPr>
              <w:t>19^</w:t>
            </w:r>
          </w:p>
        </w:tc>
        <w:tc>
          <w:tcPr>
            <w:tcW w:w="879" w:type="dxa"/>
            <w:shd w:val="clear" w:color="auto" w:fill="auto"/>
          </w:tcPr>
          <w:p w14:paraId="36095A04" w14:textId="2B838E1B" w:rsidR="006C51D3" w:rsidRPr="00DE25AD" w:rsidRDefault="006C51D3" w:rsidP="006C51D3">
            <w:pPr>
              <w:pStyle w:val="ASSADACCESStablecentre"/>
            </w:pPr>
            <w:r w:rsidRPr="002E5727">
              <w:rPr>
                <w:bCs w:val="0"/>
                <w:color w:val="000000"/>
              </w:rPr>
              <w:t>19^</w:t>
            </w:r>
          </w:p>
        </w:tc>
        <w:tc>
          <w:tcPr>
            <w:tcW w:w="879" w:type="dxa"/>
            <w:shd w:val="clear" w:color="auto" w:fill="auto"/>
          </w:tcPr>
          <w:p w14:paraId="1FCF2140" w14:textId="70EF6025" w:rsidR="006C51D3" w:rsidRPr="00DE25AD" w:rsidRDefault="006C51D3" w:rsidP="006C51D3">
            <w:pPr>
              <w:pStyle w:val="ASSADACCESStablecentre"/>
            </w:pPr>
            <w:r w:rsidRPr="002E5727">
              <w:rPr>
                <w:bCs w:val="0"/>
                <w:color w:val="000000"/>
              </w:rPr>
              <w:t>17^</w:t>
            </w:r>
          </w:p>
        </w:tc>
        <w:tc>
          <w:tcPr>
            <w:tcW w:w="879" w:type="dxa"/>
            <w:shd w:val="clear" w:color="auto" w:fill="auto"/>
          </w:tcPr>
          <w:p w14:paraId="683B46E6" w14:textId="2A487071" w:rsidR="006C51D3" w:rsidRPr="00DE25AD" w:rsidRDefault="006C51D3" w:rsidP="006C51D3">
            <w:pPr>
              <w:pStyle w:val="ASSADACCESStablecentre"/>
            </w:pPr>
            <w:r w:rsidRPr="002E5727">
              <w:rPr>
                <w:bCs w:val="0"/>
                <w:color w:val="000000"/>
              </w:rPr>
              <w:t>16^</w:t>
            </w:r>
          </w:p>
        </w:tc>
        <w:tc>
          <w:tcPr>
            <w:tcW w:w="879" w:type="dxa"/>
            <w:shd w:val="clear" w:color="auto" w:fill="auto"/>
          </w:tcPr>
          <w:p w14:paraId="451BDDAA" w14:textId="380E626A" w:rsidR="006C51D3" w:rsidRPr="00DE25AD" w:rsidRDefault="006C51D3" w:rsidP="006C51D3">
            <w:pPr>
              <w:pStyle w:val="ASSADACCESStablecentre"/>
            </w:pPr>
            <w:r w:rsidRPr="002E5727">
              <w:rPr>
                <w:bCs w:val="0"/>
                <w:color w:val="000000"/>
              </w:rPr>
              <w:t>18^</w:t>
            </w:r>
          </w:p>
        </w:tc>
      </w:tr>
      <w:tr w:rsidR="006C51D3" w:rsidRPr="00DE25AD" w14:paraId="01D4A312" w14:textId="77777777" w:rsidTr="005F678B">
        <w:tc>
          <w:tcPr>
            <w:tcW w:w="1517" w:type="dxa"/>
            <w:tcMar>
              <w:left w:w="57" w:type="dxa"/>
            </w:tcMar>
          </w:tcPr>
          <w:p w14:paraId="61658000" w14:textId="77777777" w:rsidR="006C51D3" w:rsidRPr="00DE25AD" w:rsidRDefault="006C51D3" w:rsidP="006C51D3">
            <w:pPr>
              <w:pStyle w:val="ACCESSTableHeaderRow"/>
            </w:pPr>
          </w:p>
        </w:tc>
        <w:tc>
          <w:tcPr>
            <w:tcW w:w="1068" w:type="dxa"/>
            <w:shd w:val="clear" w:color="auto" w:fill="auto"/>
            <w:tcMar>
              <w:left w:w="57" w:type="dxa"/>
            </w:tcMar>
            <w:vAlign w:val="bottom"/>
          </w:tcPr>
          <w:p w14:paraId="0DEC727E" w14:textId="77777777" w:rsidR="006C51D3" w:rsidRPr="00DE25AD" w:rsidRDefault="006C51D3" w:rsidP="006C51D3">
            <w:pPr>
              <w:pStyle w:val="ASSAD2017ACCESSBody1"/>
            </w:pPr>
            <w:r w:rsidRPr="00DE25AD">
              <w:t>Female</w:t>
            </w:r>
          </w:p>
        </w:tc>
        <w:tc>
          <w:tcPr>
            <w:tcW w:w="878" w:type="dxa"/>
            <w:shd w:val="clear" w:color="auto" w:fill="auto"/>
          </w:tcPr>
          <w:p w14:paraId="42F1143B" w14:textId="1AE23B4D" w:rsidR="006C51D3" w:rsidRPr="00DE25AD" w:rsidRDefault="006C51D3" w:rsidP="006C51D3">
            <w:pPr>
              <w:pStyle w:val="ASSADACCESStablecentre"/>
            </w:pPr>
            <w:r w:rsidRPr="002E5727">
              <w:rPr>
                <w:bCs w:val="0"/>
                <w:color w:val="000000"/>
              </w:rPr>
              <w:t>30*</w:t>
            </w:r>
          </w:p>
        </w:tc>
        <w:tc>
          <w:tcPr>
            <w:tcW w:w="879" w:type="dxa"/>
            <w:shd w:val="clear" w:color="auto" w:fill="auto"/>
          </w:tcPr>
          <w:p w14:paraId="35A1E7B6" w14:textId="7409B4B0" w:rsidR="006C51D3" w:rsidRPr="00DE25AD" w:rsidRDefault="006C51D3" w:rsidP="006C51D3">
            <w:pPr>
              <w:pStyle w:val="ASSADACCESStablecentre"/>
            </w:pPr>
            <w:r w:rsidRPr="002E5727">
              <w:rPr>
                <w:bCs w:val="0"/>
                <w:color w:val="000000"/>
              </w:rPr>
              <w:t>30*</w:t>
            </w:r>
          </w:p>
        </w:tc>
        <w:tc>
          <w:tcPr>
            <w:tcW w:w="879" w:type="dxa"/>
            <w:shd w:val="clear" w:color="auto" w:fill="auto"/>
          </w:tcPr>
          <w:p w14:paraId="1F430783" w14:textId="3365BB39" w:rsidR="006C51D3" w:rsidRPr="00DE25AD" w:rsidRDefault="006C51D3" w:rsidP="006C51D3">
            <w:pPr>
              <w:pStyle w:val="ASSADACCESStablecentre"/>
            </w:pPr>
            <w:r w:rsidRPr="002E5727">
              <w:rPr>
                <w:bCs w:val="0"/>
                <w:color w:val="000000"/>
              </w:rPr>
              <w:t>24*^</w:t>
            </w:r>
          </w:p>
        </w:tc>
        <w:tc>
          <w:tcPr>
            <w:tcW w:w="879" w:type="dxa"/>
            <w:shd w:val="clear" w:color="auto" w:fill="auto"/>
          </w:tcPr>
          <w:p w14:paraId="6983F09F" w14:textId="60CC5A23" w:rsidR="006C51D3" w:rsidRPr="00DE25AD" w:rsidRDefault="006C51D3" w:rsidP="006C51D3">
            <w:pPr>
              <w:pStyle w:val="ASSADACCESStablecentre"/>
            </w:pPr>
            <w:r w:rsidRPr="002E5727">
              <w:rPr>
                <w:bCs w:val="0"/>
                <w:color w:val="000000"/>
              </w:rPr>
              <w:t>19^</w:t>
            </w:r>
          </w:p>
        </w:tc>
        <w:tc>
          <w:tcPr>
            <w:tcW w:w="879" w:type="dxa"/>
            <w:shd w:val="clear" w:color="auto" w:fill="auto"/>
          </w:tcPr>
          <w:p w14:paraId="05B30145" w14:textId="1AAAE827" w:rsidR="006C51D3" w:rsidRPr="00DE25AD" w:rsidRDefault="006C51D3" w:rsidP="006C51D3">
            <w:pPr>
              <w:pStyle w:val="ASSADACCESStablecentre"/>
            </w:pPr>
            <w:r w:rsidRPr="002E5727">
              <w:rPr>
                <w:bCs w:val="0"/>
                <w:color w:val="000000"/>
              </w:rPr>
              <w:t>21^</w:t>
            </w:r>
          </w:p>
        </w:tc>
        <w:tc>
          <w:tcPr>
            <w:tcW w:w="879" w:type="dxa"/>
            <w:shd w:val="clear" w:color="auto" w:fill="auto"/>
          </w:tcPr>
          <w:p w14:paraId="3F44710F" w14:textId="2998E82D" w:rsidR="006C51D3" w:rsidRPr="00DE25AD" w:rsidRDefault="006C51D3" w:rsidP="006C51D3">
            <w:pPr>
              <w:pStyle w:val="ASSADACCESStablecentre"/>
            </w:pPr>
            <w:r w:rsidRPr="002E5727">
              <w:rPr>
                <w:bCs w:val="0"/>
                <w:color w:val="000000"/>
              </w:rPr>
              <w:t>21^</w:t>
            </w:r>
          </w:p>
        </w:tc>
        <w:tc>
          <w:tcPr>
            <w:tcW w:w="879" w:type="dxa"/>
            <w:shd w:val="clear" w:color="auto" w:fill="auto"/>
          </w:tcPr>
          <w:p w14:paraId="3FB220BE" w14:textId="6A0FCF2D" w:rsidR="006C51D3" w:rsidRPr="00DE25AD" w:rsidRDefault="006C51D3" w:rsidP="006C51D3">
            <w:pPr>
              <w:pStyle w:val="ASSADACCESStablecentre"/>
            </w:pPr>
            <w:r w:rsidRPr="002E5727">
              <w:rPr>
                <w:bCs w:val="0"/>
                <w:color w:val="000000"/>
              </w:rPr>
              <w:t>19^</w:t>
            </w:r>
          </w:p>
        </w:tc>
        <w:tc>
          <w:tcPr>
            <w:tcW w:w="879" w:type="dxa"/>
            <w:shd w:val="clear" w:color="auto" w:fill="auto"/>
          </w:tcPr>
          <w:p w14:paraId="2F9F0020" w14:textId="7B8BE077" w:rsidR="006C51D3" w:rsidRPr="00DE25AD" w:rsidRDefault="006C51D3" w:rsidP="006C51D3">
            <w:pPr>
              <w:pStyle w:val="ASSADACCESStablecentre"/>
            </w:pPr>
            <w:r w:rsidRPr="002E5727">
              <w:rPr>
                <w:bCs w:val="0"/>
                <w:color w:val="000000"/>
              </w:rPr>
              <w:t>20^</w:t>
            </w:r>
          </w:p>
        </w:tc>
      </w:tr>
      <w:tr w:rsidR="006C51D3" w:rsidRPr="00DE25AD" w14:paraId="0A473922" w14:textId="77777777" w:rsidTr="005F678B">
        <w:tc>
          <w:tcPr>
            <w:tcW w:w="1517" w:type="dxa"/>
            <w:tcMar>
              <w:left w:w="57" w:type="dxa"/>
            </w:tcMar>
          </w:tcPr>
          <w:p w14:paraId="55809C0A" w14:textId="77777777" w:rsidR="006C51D3" w:rsidRPr="00DE25AD" w:rsidRDefault="006C51D3" w:rsidP="006C51D3">
            <w:pPr>
              <w:pStyle w:val="ACCESSTableHeaderRow"/>
            </w:pPr>
          </w:p>
        </w:tc>
        <w:tc>
          <w:tcPr>
            <w:tcW w:w="1068" w:type="dxa"/>
            <w:shd w:val="clear" w:color="auto" w:fill="auto"/>
            <w:tcMar>
              <w:left w:w="57" w:type="dxa"/>
            </w:tcMar>
            <w:vAlign w:val="bottom"/>
          </w:tcPr>
          <w:p w14:paraId="41EF15CF" w14:textId="77777777" w:rsidR="006C51D3" w:rsidRPr="00DE25AD" w:rsidRDefault="006C51D3" w:rsidP="006C51D3">
            <w:pPr>
              <w:pStyle w:val="ASSAD2017ACCESSBody1"/>
            </w:pPr>
            <w:r w:rsidRPr="00DE25AD">
              <w:t>Total</w:t>
            </w:r>
          </w:p>
        </w:tc>
        <w:tc>
          <w:tcPr>
            <w:tcW w:w="878" w:type="dxa"/>
            <w:shd w:val="clear" w:color="auto" w:fill="auto"/>
          </w:tcPr>
          <w:p w14:paraId="0C247F71" w14:textId="402F1D62" w:rsidR="006C51D3" w:rsidRPr="00DE25AD" w:rsidRDefault="006C51D3" w:rsidP="006C51D3">
            <w:pPr>
              <w:pStyle w:val="ASSADACCESStablecentre"/>
            </w:pPr>
            <w:r w:rsidRPr="002E5727">
              <w:rPr>
                <w:bCs w:val="0"/>
                <w:color w:val="000000"/>
              </w:rPr>
              <w:t>29*</w:t>
            </w:r>
          </w:p>
        </w:tc>
        <w:tc>
          <w:tcPr>
            <w:tcW w:w="879" w:type="dxa"/>
            <w:shd w:val="clear" w:color="auto" w:fill="auto"/>
          </w:tcPr>
          <w:p w14:paraId="6F39D256" w14:textId="6A86FEA8" w:rsidR="006C51D3" w:rsidRPr="00DE25AD" w:rsidRDefault="006C51D3" w:rsidP="006C51D3">
            <w:pPr>
              <w:pStyle w:val="ASSADACCESStablecentre"/>
            </w:pPr>
            <w:r w:rsidRPr="002E5727">
              <w:rPr>
                <w:bCs w:val="0"/>
                <w:color w:val="000000"/>
              </w:rPr>
              <w:t>29*</w:t>
            </w:r>
          </w:p>
        </w:tc>
        <w:tc>
          <w:tcPr>
            <w:tcW w:w="879" w:type="dxa"/>
            <w:shd w:val="clear" w:color="auto" w:fill="auto"/>
          </w:tcPr>
          <w:p w14:paraId="1847279A" w14:textId="57E46CDD" w:rsidR="006C51D3" w:rsidRPr="00DE25AD" w:rsidRDefault="006C51D3" w:rsidP="006C51D3">
            <w:pPr>
              <w:pStyle w:val="ASSADACCESStablecentre"/>
            </w:pPr>
            <w:r w:rsidRPr="002E5727">
              <w:rPr>
                <w:bCs w:val="0"/>
                <w:color w:val="000000"/>
              </w:rPr>
              <w:t>23*^</w:t>
            </w:r>
          </w:p>
        </w:tc>
        <w:tc>
          <w:tcPr>
            <w:tcW w:w="879" w:type="dxa"/>
            <w:shd w:val="clear" w:color="auto" w:fill="auto"/>
          </w:tcPr>
          <w:p w14:paraId="7CC70A3F" w14:textId="71314175" w:rsidR="006C51D3" w:rsidRPr="00DE25AD" w:rsidRDefault="006C51D3" w:rsidP="006C51D3">
            <w:pPr>
              <w:pStyle w:val="ASSADACCESStablecentre"/>
            </w:pPr>
            <w:r w:rsidRPr="002E5727">
              <w:rPr>
                <w:bCs w:val="0"/>
                <w:color w:val="000000"/>
              </w:rPr>
              <w:t>19^</w:t>
            </w:r>
          </w:p>
        </w:tc>
        <w:tc>
          <w:tcPr>
            <w:tcW w:w="879" w:type="dxa"/>
            <w:shd w:val="clear" w:color="auto" w:fill="auto"/>
          </w:tcPr>
          <w:p w14:paraId="7AE101C7" w14:textId="09A92A48" w:rsidR="006C51D3" w:rsidRPr="00DE25AD" w:rsidRDefault="006C51D3" w:rsidP="006C51D3">
            <w:pPr>
              <w:pStyle w:val="ASSADACCESStablecentre"/>
            </w:pPr>
            <w:r w:rsidRPr="002E5727">
              <w:rPr>
                <w:bCs w:val="0"/>
                <w:color w:val="000000"/>
              </w:rPr>
              <w:t>20^</w:t>
            </w:r>
          </w:p>
        </w:tc>
        <w:tc>
          <w:tcPr>
            <w:tcW w:w="879" w:type="dxa"/>
            <w:shd w:val="clear" w:color="auto" w:fill="auto"/>
          </w:tcPr>
          <w:p w14:paraId="250E28E7" w14:textId="39C7BA8A" w:rsidR="006C51D3" w:rsidRPr="00DE25AD" w:rsidRDefault="006C51D3" w:rsidP="006C51D3">
            <w:pPr>
              <w:pStyle w:val="ASSADACCESStablecentre"/>
            </w:pPr>
            <w:r w:rsidRPr="002E5727">
              <w:rPr>
                <w:bCs w:val="0"/>
                <w:color w:val="000000"/>
              </w:rPr>
              <w:t>19^</w:t>
            </w:r>
          </w:p>
        </w:tc>
        <w:tc>
          <w:tcPr>
            <w:tcW w:w="879" w:type="dxa"/>
            <w:shd w:val="clear" w:color="auto" w:fill="auto"/>
          </w:tcPr>
          <w:p w14:paraId="2B43F844" w14:textId="3E4C0451" w:rsidR="006C51D3" w:rsidRPr="00DE25AD" w:rsidRDefault="006C51D3" w:rsidP="006C51D3">
            <w:pPr>
              <w:pStyle w:val="ASSADACCESStablecentre"/>
            </w:pPr>
            <w:r w:rsidRPr="002E5727">
              <w:rPr>
                <w:bCs w:val="0"/>
                <w:color w:val="000000"/>
              </w:rPr>
              <w:t>18^</w:t>
            </w:r>
          </w:p>
        </w:tc>
        <w:tc>
          <w:tcPr>
            <w:tcW w:w="879" w:type="dxa"/>
            <w:shd w:val="clear" w:color="auto" w:fill="auto"/>
          </w:tcPr>
          <w:p w14:paraId="69981414" w14:textId="054E7C82" w:rsidR="006C51D3" w:rsidRPr="00DE25AD" w:rsidRDefault="006C51D3" w:rsidP="006C51D3">
            <w:pPr>
              <w:pStyle w:val="ASSADACCESStablecentre"/>
            </w:pPr>
            <w:r w:rsidRPr="002E5727">
              <w:rPr>
                <w:bCs w:val="0"/>
                <w:color w:val="000000"/>
              </w:rPr>
              <w:t>19^</w:t>
            </w:r>
          </w:p>
        </w:tc>
      </w:tr>
      <w:tr w:rsidR="006C51D3" w:rsidRPr="00DE25AD" w14:paraId="7015D428" w14:textId="77777777" w:rsidTr="005F678B">
        <w:tc>
          <w:tcPr>
            <w:tcW w:w="1517" w:type="dxa"/>
            <w:tcMar>
              <w:left w:w="57" w:type="dxa"/>
            </w:tcMar>
          </w:tcPr>
          <w:p w14:paraId="6967761C" w14:textId="77777777" w:rsidR="006C51D3" w:rsidRPr="00DE25AD" w:rsidRDefault="006C51D3" w:rsidP="006C51D3">
            <w:pPr>
              <w:pStyle w:val="ACCESSTableHeaderRow"/>
            </w:pPr>
            <w:r w:rsidRPr="00DE25AD">
              <w:t xml:space="preserve">Past </w:t>
            </w:r>
            <w:r>
              <w:t>year</w:t>
            </w:r>
          </w:p>
        </w:tc>
        <w:tc>
          <w:tcPr>
            <w:tcW w:w="1068" w:type="dxa"/>
            <w:shd w:val="clear" w:color="auto" w:fill="auto"/>
            <w:tcMar>
              <w:left w:w="57" w:type="dxa"/>
            </w:tcMar>
            <w:vAlign w:val="bottom"/>
          </w:tcPr>
          <w:p w14:paraId="412B092E" w14:textId="77777777" w:rsidR="006C51D3" w:rsidRPr="00DE25AD" w:rsidRDefault="006C51D3" w:rsidP="006C51D3">
            <w:pPr>
              <w:pStyle w:val="ASSAD2017ACCESSBody1"/>
            </w:pPr>
            <w:r w:rsidRPr="00DE25AD">
              <w:t>Male</w:t>
            </w:r>
          </w:p>
        </w:tc>
        <w:tc>
          <w:tcPr>
            <w:tcW w:w="878" w:type="dxa"/>
            <w:shd w:val="clear" w:color="auto" w:fill="auto"/>
          </w:tcPr>
          <w:p w14:paraId="2B0C10F7" w14:textId="2F0B3BFA" w:rsidR="006C51D3" w:rsidRPr="00DE25AD" w:rsidRDefault="006C51D3" w:rsidP="006C51D3">
            <w:pPr>
              <w:pStyle w:val="ASSADACCESStablecentre"/>
            </w:pPr>
            <w:r w:rsidRPr="002E5727">
              <w:rPr>
                <w:bCs w:val="0"/>
                <w:color w:val="000000"/>
              </w:rPr>
              <w:t>22*</w:t>
            </w:r>
          </w:p>
        </w:tc>
        <w:tc>
          <w:tcPr>
            <w:tcW w:w="879" w:type="dxa"/>
            <w:shd w:val="clear" w:color="auto" w:fill="auto"/>
          </w:tcPr>
          <w:p w14:paraId="08F392C0" w14:textId="5D08BADD" w:rsidR="006C51D3" w:rsidRPr="00DE25AD" w:rsidRDefault="006C51D3" w:rsidP="006C51D3">
            <w:pPr>
              <w:pStyle w:val="ASSADACCESStablecentre"/>
            </w:pPr>
            <w:r w:rsidRPr="002E5727">
              <w:rPr>
                <w:bCs w:val="0"/>
                <w:color w:val="000000"/>
              </w:rPr>
              <w:t>21*</w:t>
            </w:r>
          </w:p>
        </w:tc>
        <w:tc>
          <w:tcPr>
            <w:tcW w:w="879" w:type="dxa"/>
            <w:shd w:val="clear" w:color="auto" w:fill="auto"/>
          </w:tcPr>
          <w:p w14:paraId="03517A03" w14:textId="32F59058" w:rsidR="006C51D3" w:rsidRPr="00DE25AD" w:rsidRDefault="006C51D3" w:rsidP="006C51D3">
            <w:pPr>
              <w:pStyle w:val="ASSADACCESStablecentre"/>
            </w:pPr>
            <w:r w:rsidRPr="002E5727">
              <w:rPr>
                <w:bCs w:val="0"/>
                <w:color w:val="000000"/>
              </w:rPr>
              <w:t>1</w:t>
            </w:r>
            <w:r>
              <w:rPr>
                <w:bCs w:val="0"/>
                <w:color w:val="000000"/>
              </w:rPr>
              <w:t>7</w:t>
            </w:r>
            <w:r w:rsidRPr="002E5727">
              <w:rPr>
                <w:bCs w:val="0"/>
                <w:color w:val="000000"/>
              </w:rPr>
              <w:t>*^</w:t>
            </w:r>
          </w:p>
        </w:tc>
        <w:tc>
          <w:tcPr>
            <w:tcW w:w="879" w:type="dxa"/>
            <w:shd w:val="clear" w:color="auto" w:fill="auto"/>
          </w:tcPr>
          <w:p w14:paraId="67C289A6" w14:textId="11AF5491" w:rsidR="006C51D3" w:rsidRPr="00DE25AD" w:rsidRDefault="006C51D3" w:rsidP="006C51D3">
            <w:pPr>
              <w:pStyle w:val="ASSADACCESStablecentre"/>
            </w:pPr>
            <w:r w:rsidRPr="002E5727">
              <w:rPr>
                <w:bCs w:val="0"/>
                <w:color w:val="000000"/>
              </w:rPr>
              <w:t>15^</w:t>
            </w:r>
          </w:p>
        </w:tc>
        <w:tc>
          <w:tcPr>
            <w:tcW w:w="879" w:type="dxa"/>
            <w:shd w:val="clear" w:color="auto" w:fill="auto"/>
          </w:tcPr>
          <w:p w14:paraId="2D2786DD" w14:textId="0E4BF4ED" w:rsidR="006C51D3" w:rsidRPr="00DE25AD" w:rsidRDefault="006C51D3" w:rsidP="006C51D3">
            <w:pPr>
              <w:pStyle w:val="ASSADACCESStablecentre"/>
            </w:pPr>
            <w:r w:rsidRPr="002E5727">
              <w:rPr>
                <w:bCs w:val="0"/>
                <w:color w:val="000000"/>
              </w:rPr>
              <w:t>14^</w:t>
            </w:r>
          </w:p>
        </w:tc>
        <w:tc>
          <w:tcPr>
            <w:tcW w:w="879" w:type="dxa"/>
            <w:shd w:val="clear" w:color="auto" w:fill="auto"/>
          </w:tcPr>
          <w:p w14:paraId="606DA9CB" w14:textId="12FFEF0F" w:rsidR="006C51D3" w:rsidRPr="00DE25AD" w:rsidRDefault="006C51D3" w:rsidP="006C51D3">
            <w:pPr>
              <w:pStyle w:val="ASSADACCESStablecentre"/>
            </w:pPr>
            <w:r w:rsidRPr="002E5727">
              <w:rPr>
                <w:bCs w:val="0"/>
                <w:color w:val="000000"/>
              </w:rPr>
              <w:t>13^</w:t>
            </w:r>
          </w:p>
        </w:tc>
        <w:tc>
          <w:tcPr>
            <w:tcW w:w="879" w:type="dxa"/>
            <w:shd w:val="clear" w:color="auto" w:fill="auto"/>
          </w:tcPr>
          <w:p w14:paraId="6A17C4F5" w14:textId="7F82C672" w:rsidR="006C51D3" w:rsidRPr="00DE25AD" w:rsidRDefault="006C51D3" w:rsidP="006C51D3">
            <w:pPr>
              <w:pStyle w:val="ASSADACCESStablecentre"/>
            </w:pPr>
            <w:r w:rsidRPr="002E5727">
              <w:rPr>
                <w:bCs w:val="0"/>
                <w:color w:val="000000"/>
              </w:rPr>
              <w:t>11^</w:t>
            </w:r>
          </w:p>
        </w:tc>
        <w:tc>
          <w:tcPr>
            <w:tcW w:w="879" w:type="dxa"/>
            <w:shd w:val="clear" w:color="auto" w:fill="auto"/>
          </w:tcPr>
          <w:p w14:paraId="2CEBE0A5" w14:textId="570405DD" w:rsidR="006C51D3" w:rsidRPr="00DE25AD" w:rsidRDefault="006C51D3" w:rsidP="006C51D3">
            <w:pPr>
              <w:pStyle w:val="ASSADACCESStablecentre"/>
            </w:pPr>
            <w:r w:rsidRPr="002E5727">
              <w:rPr>
                <w:bCs w:val="0"/>
                <w:color w:val="000000"/>
              </w:rPr>
              <w:t>13^</w:t>
            </w:r>
          </w:p>
        </w:tc>
      </w:tr>
      <w:tr w:rsidR="006C51D3" w:rsidRPr="00DE25AD" w14:paraId="13C753AB" w14:textId="77777777" w:rsidTr="005F678B">
        <w:tc>
          <w:tcPr>
            <w:tcW w:w="1517" w:type="dxa"/>
            <w:tcMar>
              <w:left w:w="57" w:type="dxa"/>
            </w:tcMar>
          </w:tcPr>
          <w:p w14:paraId="107907E8" w14:textId="77777777" w:rsidR="006C51D3" w:rsidRPr="00DE25AD" w:rsidRDefault="006C51D3" w:rsidP="006C51D3">
            <w:pPr>
              <w:pStyle w:val="ACCESSTableHeaderRow"/>
            </w:pPr>
          </w:p>
        </w:tc>
        <w:tc>
          <w:tcPr>
            <w:tcW w:w="1068" w:type="dxa"/>
            <w:shd w:val="clear" w:color="auto" w:fill="auto"/>
            <w:tcMar>
              <w:left w:w="57" w:type="dxa"/>
            </w:tcMar>
            <w:vAlign w:val="bottom"/>
          </w:tcPr>
          <w:p w14:paraId="0E310F0C" w14:textId="77777777" w:rsidR="006C51D3" w:rsidRPr="00DE25AD" w:rsidRDefault="006C51D3" w:rsidP="006C51D3">
            <w:pPr>
              <w:pStyle w:val="ASSAD2017ACCESSBody1"/>
            </w:pPr>
            <w:r w:rsidRPr="00DE25AD">
              <w:t>Female</w:t>
            </w:r>
          </w:p>
        </w:tc>
        <w:tc>
          <w:tcPr>
            <w:tcW w:w="878" w:type="dxa"/>
            <w:shd w:val="clear" w:color="auto" w:fill="auto"/>
          </w:tcPr>
          <w:p w14:paraId="0B1B08F1" w14:textId="5061D244" w:rsidR="006C51D3" w:rsidRPr="00DE25AD" w:rsidRDefault="006C51D3" w:rsidP="006C51D3">
            <w:pPr>
              <w:pStyle w:val="ASSADACCESStablecentre"/>
            </w:pPr>
            <w:r w:rsidRPr="002E5727">
              <w:rPr>
                <w:bCs w:val="0"/>
                <w:color w:val="000000"/>
              </w:rPr>
              <w:t>23*</w:t>
            </w:r>
          </w:p>
        </w:tc>
        <w:tc>
          <w:tcPr>
            <w:tcW w:w="879" w:type="dxa"/>
            <w:shd w:val="clear" w:color="auto" w:fill="auto"/>
          </w:tcPr>
          <w:p w14:paraId="2732C744" w14:textId="53CC5285" w:rsidR="006C51D3" w:rsidRPr="00DE25AD" w:rsidRDefault="006C51D3" w:rsidP="006C51D3">
            <w:pPr>
              <w:pStyle w:val="ASSADACCESStablecentre"/>
            </w:pPr>
            <w:r w:rsidRPr="002E5727">
              <w:rPr>
                <w:bCs w:val="0"/>
                <w:color w:val="000000"/>
              </w:rPr>
              <w:t>24*</w:t>
            </w:r>
          </w:p>
        </w:tc>
        <w:tc>
          <w:tcPr>
            <w:tcW w:w="879" w:type="dxa"/>
            <w:shd w:val="clear" w:color="auto" w:fill="auto"/>
          </w:tcPr>
          <w:p w14:paraId="62133AA4" w14:textId="60868DA8" w:rsidR="006C51D3" w:rsidRPr="00DE25AD" w:rsidRDefault="006C51D3" w:rsidP="006C51D3">
            <w:pPr>
              <w:pStyle w:val="ASSADACCESStablecentre"/>
            </w:pPr>
            <w:r w:rsidRPr="002E5727">
              <w:rPr>
                <w:bCs w:val="0"/>
                <w:color w:val="000000"/>
              </w:rPr>
              <w:t>18</w:t>
            </w:r>
            <w:r>
              <w:rPr>
                <w:bCs w:val="0"/>
                <w:color w:val="000000"/>
              </w:rPr>
              <w:t>*</w:t>
            </w:r>
            <w:r w:rsidRPr="002E5727">
              <w:rPr>
                <w:bCs w:val="0"/>
                <w:color w:val="000000"/>
              </w:rPr>
              <w:t>^</w:t>
            </w:r>
          </w:p>
        </w:tc>
        <w:tc>
          <w:tcPr>
            <w:tcW w:w="879" w:type="dxa"/>
            <w:shd w:val="clear" w:color="auto" w:fill="auto"/>
          </w:tcPr>
          <w:p w14:paraId="16BD9599" w14:textId="24F561F7" w:rsidR="006C51D3" w:rsidRPr="00DE25AD" w:rsidRDefault="006C51D3" w:rsidP="006C51D3">
            <w:pPr>
              <w:pStyle w:val="ASSADACCESStablecentre"/>
            </w:pPr>
            <w:r w:rsidRPr="002E5727">
              <w:rPr>
                <w:bCs w:val="0"/>
                <w:color w:val="000000"/>
              </w:rPr>
              <w:t>15^</w:t>
            </w:r>
          </w:p>
        </w:tc>
        <w:tc>
          <w:tcPr>
            <w:tcW w:w="879" w:type="dxa"/>
            <w:shd w:val="clear" w:color="auto" w:fill="auto"/>
          </w:tcPr>
          <w:p w14:paraId="0220D744" w14:textId="74BC04D6" w:rsidR="006C51D3" w:rsidRPr="00DE25AD" w:rsidRDefault="006C51D3" w:rsidP="006C51D3">
            <w:pPr>
              <w:pStyle w:val="ASSADACCESStablecentre"/>
            </w:pPr>
            <w:r w:rsidRPr="002E5727">
              <w:rPr>
                <w:bCs w:val="0"/>
                <w:color w:val="000000"/>
              </w:rPr>
              <w:t>16^</w:t>
            </w:r>
          </w:p>
        </w:tc>
        <w:tc>
          <w:tcPr>
            <w:tcW w:w="879" w:type="dxa"/>
            <w:shd w:val="clear" w:color="auto" w:fill="auto"/>
          </w:tcPr>
          <w:p w14:paraId="40EF0686" w14:textId="6C128A37" w:rsidR="006C51D3" w:rsidRPr="00DE25AD" w:rsidRDefault="006C51D3" w:rsidP="006C51D3">
            <w:pPr>
              <w:pStyle w:val="ASSADACCESStablecentre"/>
            </w:pPr>
            <w:r w:rsidRPr="002E5727">
              <w:rPr>
                <w:bCs w:val="0"/>
                <w:color w:val="000000"/>
              </w:rPr>
              <w:t>16^</w:t>
            </w:r>
          </w:p>
        </w:tc>
        <w:tc>
          <w:tcPr>
            <w:tcW w:w="879" w:type="dxa"/>
            <w:shd w:val="clear" w:color="auto" w:fill="auto"/>
          </w:tcPr>
          <w:p w14:paraId="2CDA0CB6" w14:textId="1E4D3F37" w:rsidR="006C51D3" w:rsidRPr="00DE25AD" w:rsidRDefault="006C51D3" w:rsidP="006C51D3">
            <w:pPr>
              <w:pStyle w:val="ASSADACCESStablecentre"/>
            </w:pPr>
            <w:r w:rsidRPr="002E5727">
              <w:rPr>
                <w:bCs w:val="0"/>
                <w:color w:val="000000"/>
              </w:rPr>
              <w:t>15^</w:t>
            </w:r>
          </w:p>
        </w:tc>
        <w:tc>
          <w:tcPr>
            <w:tcW w:w="879" w:type="dxa"/>
            <w:shd w:val="clear" w:color="auto" w:fill="auto"/>
          </w:tcPr>
          <w:p w14:paraId="44267E47" w14:textId="147EF5BA" w:rsidR="006C51D3" w:rsidRPr="00DE25AD" w:rsidRDefault="006C51D3" w:rsidP="006C51D3">
            <w:pPr>
              <w:pStyle w:val="ASSADACCESStablecentre"/>
            </w:pPr>
            <w:r w:rsidRPr="002E5727">
              <w:rPr>
                <w:bCs w:val="0"/>
                <w:color w:val="000000"/>
              </w:rPr>
              <w:t>15^</w:t>
            </w:r>
          </w:p>
        </w:tc>
      </w:tr>
      <w:tr w:rsidR="006C51D3" w:rsidRPr="00DE25AD" w14:paraId="286EBC77" w14:textId="77777777" w:rsidTr="005F678B">
        <w:tc>
          <w:tcPr>
            <w:tcW w:w="1517" w:type="dxa"/>
            <w:tcMar>
              <w:left w:w="57" w:type="dxa"/>
            </w:tcMar>
          </w:tcPr>
          <w:p w14:paraId="60E193D9" w14:textId="77777777" w:rsidR="006C51D3" w:rsidRPr="00DE25AD" w:rsidRDefault="006C51D3" w:rsidP="006C51D3">
            <w:pPr>
              <w:pStyle w:val="ACCESSTableHeaderRow"/>
            </w:pPr>
          </w:p>
        </w:tc>
        <w:tc>
          <w:tcPr>
            <w:tcW w:w="1068" w:type="dxa"/>
            <w:shd w:val="clear" w:color="auto" w:fill="auto"/>
            <w:tcMar>
              <w:left w:w="57" w:type="dxa"/>
            </w:tcMar>
            <w:vAlign w:val="bottom"/>
          </w:tcPr>
          <w:p w14:paraId="48F1C5AC" w14:textId="77777777" w:rsidR="006C51D3" w:rsidRPr="00DE25AD" w:rsidRDefault="006C51D3" w:rsidP="006C51D3">
            <w:pPr>
              <w:pStyle w:val="ASSAD2017ACCESSBody1"/>
            </w:pPr>
            <w:r w:rsidRPr="00DE25AD">
              <w:t>Total</w:t>
            </w:r>
          </w:p>
        </w:tc>
        <w:tc>
          <w:tcPr>
            <w:tcW w:w="878" w:type="dxa"/>
            <w:shd w:val="clear" w:color="auto" w:fill="auto"/>
          </w:tcPr>
          <w:p w14:paraId="7E392927" w14:textId="65A5A4C1" w:rsidR="006C51D3" w:rsidRPr="00DE25AD" w:rsidRDefault="006C51D3" w:rsidP="006C51D3">
            <w:pPr>
              <w:pStyle w:val="ASSADACCESStablecentre"/>
            </w:pPr>
            <w:r w:rsidRPr="002E5727">
              <w:rPr>
                <w:bCs w:val="0"/>
                <w:color w:val="000000"/>
              </w:rPr>
              <w:t>23*</w:t>
            </w:r>
          </w:p>
        </w:tc>
        <w:tc>
          <w:tcPr>
            <w:tcW w:w="879" w:type="dxa"/>
            <w:shd w:val="clear" w:color="auto" w:fill="auto"/>
          </w:tcPr>
          <w:p w14:paraId="71ECBCEB" w14:textId="1EAE6532" w:rsidR="006C51D3" w:rsidRPr="00DE25AD" w:rsidRDefault="006C51D3" w:rsidP="006C51D3">
            <w:pPr>
              <w:pStyle w:val="ASSADACCESStablecentre"/>
            </w:pPr>
            <w:r w:rsidRPr="002E5727">
              <w:rPr>
                <w:bCs w:val="0"/>
                <w:color w:val="000000"/>
              </w:rPr>
              <w:t>22*</w:t>
            </w:r>
          </w:p>
        </w:tc>
        <w:tc>
          <w:tcPr>
            <w:tcW w:w="879" w:type="dxa"/>
            <w:shd w:val="clear" w:color="auto" w:fill="auto"/>
          </w:tcPr>
          <w:p w14:paraId="22187809" w14:textId="236CE3EA" w:rsidR="006C51D3" w:rsidRPr="00DE25AD" w:rsidRDefault="006C51D3" w:rsidP="006C51D3">
            <w:pPr>
              <w:pStyle w:val="ASSADACCESStablecentre"/>
            </w:pPr>
            <w:r w:rsidRPr="002E5727">
              <w:rPr>
                <w:bCs w:val="0"/>
                <w:color w:val="000000"/>
              </w:rPr>
              <w:t>17*^</w:t>
            </w:r>
          </w:p>
        </w:tc>
        <w:tc>
          <w:tcPr>
            <w:tcW w:w="879" w:type="dxa"/>
            <w:shd w:val="clear" w:color="auto" w:fill="auto"/>
          </w:tcPr>
          <w:p w14:paraId="1FC1C411" w14:textId="23705D0E" w:rsidR="006C51D3" w:rsidRPr="00DE25AD" w:rsidRDefault="006C51D3" w:rsidP="006C51D3">
            <w:pPr>
              <w:pStyle w:val="ASSADACCESStablecentre"/>
            </w:pPr>
            <w:r w:rsidRPr="002E5727">
              <w:rPr>
                <w:bCs w:val="0"/>
                <w:color w:val="000000"/>
              </w:rPr>
              <w:t>15^</w:t>
            </w:r>
          </w:p>
        </w:tc>
        <w:tc>
          <w:tcPr>
            <w:tcW w:w="879" w:type="dxa"/>
            <w:shd w:val="clear" w:color="auto" w:fill="auto"/>
          </w:tcPr>
          <w:p w14:paraId="678B8F00" w14:textId="28AE9BC8" w:rsidR="006C51D3" w:rsidRPr="00DE25AD" w:rsidRDefault="006C51D3" w:rsidP="006C51D3">
            <w:pPr>
              <w:pStyle w:val="ASSADACCESStablecentre"/>
            </w:pPr>
            <w:r w:rsidRPr="002E5727">
              <w:rPr>
                <w:bCs w:val="0"/>
                <w:color w:val="000000"/>
              </w:rPr>
              <w:t>15^</w:t>
            </w:r>
          </w:p>
        </w:tc>
        <w:tc>
          <w:tcPr>
            <w:tcW w:w="879" w:type="dxa"/>
            <w:shd w:val="clear" w:color="auto" w:fill="auto"/>
          </w:tcPr>
          <w:p w14:paraId="6FF9D022" w14:textId="4D9B1C40" w:rsidR="006C51D3" w:rsidRPr="00DE25AD" w:rsidRDefault="006C51D3" w:rsidP="006C51D3">
            <w:pPr>
              <w:pStyle w:val="ASSADACCESStablecentre"/>
            </w:pPr>
            <w:r w:rsidRPr="002E5727">
              <w:rPr>
                <w:bCs w:val="0"/>
                <w:color w:val="000000"/>
              </w:rPr>
              <w:t>14^</w:t>
            </w:r>
          </w:p>
        </w:tc>
        <w:tc>
          <w:tcPr>
            <w:tcW w:w="879" w:type="dxa"/>
            <w:shd w:val="clear" w:color="auto" w:fill="auto"/>
          </w:tcPr>
          <w:p w14:paraId="5DB2A016" w14:textId="52979FDC" w:rsidR="006C51D3" w:rsidRPr="00DE25AD" w:rsidRDefault="006C51D3" w:rsidP="006C51D3">
            <w:pPr>
              <w:pStyle w:val="ASSADACCESStablecentre"/>
            </w:pPr>
            <w:r w:rsidRPr="002E5727">
              <w:rPr>
                <w:bCs w:val="0"/>
                <w:color w:val="000000"/>
              </w:rPr>
              <w:t>13^</w:t>
            </w:r>
          </w:p>
        </w:tc>
        <w:tc>
          <w:tcPr>
            <w:tcW w:w="879" w:type="dxa"/>
            <w:shd w:val="clear" w:color="auto" w:fill="auto"/>
          </w:tcPr>
          <w:p w14:paraId="28B45006" w14:textId="1DDCA83F" w:rsidR="006C51D3" w:rsidRPr="00DE25AD" w:rsidRDefault="006C51D3" w:rsidP="006C51D3">
            <w:pPr>
              <w:pStyle w:val="ASSADACCESStablecentre"/>
            </w:pPr>
            <w:r w:rsidRPr="002E5727">
              <w:rPr>
                <w:bCs w:val="0"/>
                <w:color w:val="000000"/>
              </w:rPr>
              <w:t>14^</w:t>
            </w:r>
          </w:p>
        </w:tc>
      </w:tr>
      <w:tr w:rsidR="006C51D3" w:rsidRPr="00DE25AD" w14:paraId="5FEA0E2C" w14:textId="77777777" w:rsidTr="005F678B">
        <w:tc>
          <w:tcPr>
            <w:tcW w:w="1517" w:type="dxa"/>
            <w:tcMar>
              <w:left w:w="57" w:type="dxa"/>
            </w:tcMar>
          </w:tcPr>
          <w:p w14:paraId="3B40E33E" w14:textId="77777777" w:rsidR="006C51D3" w:rsidRPr="00DE25AD" w:rsidRDefault="006C51D3" w:rsidP="006C51D3">
            <w:pPr>
              <w:pStyle w:val="ACCESSTableHeaderRow"/>
            </w:pPr>
            <w:r w:rsidRPr="00DE25AD">
              <w:t xml:space="preserve">Past </w:t>
            </w:r>
            <w:r>
              <w:t>month</w:t>
            </w:r>
          </w:p>
        </w:tc>
        <w:tc>
          <w:tcPr>
            <w:tcW w:w="1068" w:type="dxa"/>
            <w:shd w:val="clear" w:color="auto" w:fill="auto"/>
            <w:tcMar>
              <w:left w:w="57" w:type="dxa"/>
            </w:tcMar>
            <w:vAlign w:val="bottom"/>
          </w:tcPr>
          <w:p w14:paraId="435A9C56" w14:textId="77777777" w:rsidR="006C51D3" w:rsidRPr="00DE25AD" w:rsidRDefault="006C51D3" w:rsidP="006C51D3">
            <w:pPr>
              <w:pStyle w:val="ASSAD2017ACCESSBody1"/>
            </w:pPr>
            <w:r w:rsidRPr="00DE25AD">
              <w:t>Male</w:t>
            </w:r>
          </w:p>
        </w:tc>
        <w:tc>
          <w:tcPr>
            <w:tcW w:w="878" w:type="dxa"/>
            <w:shd w:val="clear" w:color="auto" w:fill="auto"/>
          </w:tcPr>
          <w:p w14:paraId="062C6EC8" w14:textId="352F2CE3" w:rsidR="006C51D3" w:rsidRPr="00DE25AD" w:rsidRDefault="006C51D3" w:rsidP="006C51D3">
            <w:pPr>
              <w:pStyle w:val="ASSADACCESStablecentre"/>
            </w:pPr>
            <w:r w:rsidRPr="002E5727">
              <w:rPr>
                <w:bCs w:val="0"/>
                <w:color w:val="000000"/>
              </w:rPr>
              <w:t>13*</w:t>
            </w:r>
          </w:p>
        </w:tc>
        <w:tc>
          <w:tcPr>
            <w:tcW w:w="879" w:type="dxa"/>
            <w:shd w:val="clear" w:color="auto" w:fill="auto"/>
          </w:tcPr>
          <w:p w14:paraId="71A29278" w14:textId="6DD9DC8D" w:rsidR="006C51D3" w:rsidRPr="00DE25AD" w:rsidRDefault="006C51D3" w:rsidP="006C51D3">
            <w:pPr>
              <w:pStyle w:val="ASSADACCESStablecentre"/>
            </w:pPr>
            <w:r w:rsidRPr="002E5727">
              <w:rPr>
                <w:bCs w:val="0"/>
                <w:color w:val="000000"/>
              </w:rPr>
              <w:t>13*</w:t>
            </w:r>
          </w:p>
        </w:tc>
        <w:tc>
          <w:tcPr>
            <w:tcW w:w="879" w:type="dxa"/>
            <w:shd w:val="clear" w:color="auto" w:fill="auto"/>
          </w:tcPr>
          <w:p w14:paraId="04D9FF0E" w14:textId="59EEF020" w:rsidR="006C51D3" w:rsidRPr="00DE25AD" w:rsidRDefault="006C51D3" w:rsidP="006C51D3">
            <w:pPr>
              <w:pStyle w:val="ASSADACCESStablecentre"/>
            </w:pPr>
            <w:r w:rsidRPr="002E5727">
              <w:rPr>
                <w:bCs w:val="0"/>
                <w:color w:val="000000"/>
              </w:rPr>
              <w:t>11*^</w:t>
            </w:r>
          </w:p>
        </w:tc>
        <w:tc>
          <w:tcPr>
            <w:tcW w:w="879" w:type="dxa"/>
            <w:shd w:val="clear" w:color="auto" w:fill="auto"/>
          </w:tcPr>
          <w:p w14:paraId="3A1A807F" w14:textId="3E7EF2D6" w:rsidR="006C51D3" w:rsidRPr="00DE25AD" w:rsidRDefault="006C51D3" w:rsidP="006C51D3">
            <w:pPr>
              <w:pStyle w:val="ASSADACCESStablecentre"/>
            </w:pPr>
            <w:r w:rsidRPr="002E5727">
              <w:rPr>
                <w:bCs w:val="0"/>
                <w:color w:val="000000"/>
              </w:rPr>
              <w:t>9^</w:t>
            </w:r>
          </w:p>
        </w:tc>
        <w:tc>
          <w:tcPr>
            <w:tcW w:w="879" w:type="dxa"/>
            <w:shd w:val="clear" w:color="auto" w:fill="auto"/>
          </w:tcPr>
          <w:p w14:paraId="25C05BC2" w14:textId="2736D535" w:rsidR="006C51D3" w:rsidRPr="00DE25AD" w:rsidRDefault="006C51D3" w:rsidP="006C51D3">
            <w:pPr>
              <w:pStyle w:val="ASSADACCESStablecentre"/>
            </w:pPr>
            <w:r w:rsidRPr="002E5727">
              <w:rPr>
                <w:bCs w:val="0"/>
                <w:color w:val="000000"/>
              </w:rPr>
              <w:t>9^</w:t>
            </w:r>
          </w:p>
        </w:tc>
        <w:tc>
          <w:tcPr>
            <w:tcW w:w="879" w:type="dxa"/>
            <w:shd w:val="clear" w:color="auto" w:fill="auto"/>
          </w:tcPr>
          <w:p w14:paraId="5F8CF039" w14:textId="7D9E2772" w:rsidR="006C51D3" w:rsidRPr="00DE25AD" w:rsidRDefault="006C51D3" w:rsidP="006C51D3">
            <w:pPr>
              <w:pStyle w:val="ASSADACCESStablecentre"/>
            </w:pPr>
            <w:r w:rsidRPr="002E5727">
              <w:rPr>
                <w:bCs w:val="0"/>
                <w:color w:val="000000"/>
              </w:rPr>
              <w:t>7^</w:t>
            </w:r>
          </w:p>
        </w:tc>
        <w:tc>
          <w:tcPr>
            <w:tcW w:w="879" w:type="dxa"/>
            <w:shd w:val="clear" w:color="auto" w:fill="auto"/>
          </w:tcPr>
          <w:p w14:paraId="3CE8B73D" w14:textId="375C2E69" w:rsidR="006C51D3" w:rsidRPr="00DE25AD" w:rsidRDefault="006C51D3" w:rsidP="006C51D3">
            <w:pPr>
              <w:pStyle w:val="ASSADACCESStablecentre"/>
            </w:pPr>
            <w:r w:rsidRPr="002E5727">
              <w:rPr>
                <w:bCs w:val="0"/>
                <w:color w:val="000000"/>
              </w:rPr>
              <w:t>6^</w:t>
            </w:r>
          </w:p>
        </w:tc>
        <w:tc>
          <w:tcPr>
            <w:tcW w:w="879" w:type="dxa"/>
            <w:shd w:val="clear" w:color="auto" w:fill="auto"/>
          </w:tcPr>
          <w:p w14:paraId="46CA74A7" w14:textId="666D3E7F" w:rsidR="006C51D3" w:rsidRPr="00DE25AD" w:rsidRDefault="006C51D3" w:rsidP="006C51D3">
            <w:pPr>
              <w:pStyle w:val="ASSADACCESStablecentre"/>
            </w:pPr>
            <w:r>
              <w:rPr>
                <w:bCs w:val="0"/>
                <w:color w:val="000000"/>
              </w:rPr>
              <w:t>7</w:t>
            </w:r>
            <w:r w:rsidRPr="002E5727">
              <w:rPr>
                <w:bCs w:val="0"/>
                <w:color w:val="000000"/>
              </w:rPr>
              <w:t>^</w:t>
            </w:r>
          </w:p>
        </w:tc>
      </w:tr>
      <w:tr w:rsidR="006C51D3" w:rsidRPr="00DE25AD" w14:paraId="27077659" w14:textId="77777777" w:rsidTr="005F678B">
        <w:tc>
          <w:tcPr>
            <w:tcW w:w="1517" w:type="dxa"/>
            <w:tcMar>
              <w:left w:w="57" w:type="dxa"/>
            </w:tcMar>
          </w:tcPr>
          <w:p w14:paraId="312E9037" w14:textId="77777777" w:rsidR="006C51D3" w:rsidRPr="00DE25AD" w:rsidRDefault="006C51D3" w:rsidP="006C51D3">
            <w:pPr>
              <w:pStyle w:val="ACCESSTableHeaderRow"/>
            </w:pPr>
          </w:p>
        </w:tc>
        <w:tc>
          <w:tcPr>
            <w:tcW w:w="1068" w:type="dxa"/>
            <w:shd w:val="clear" w:color="auto" w:fill="auto"/>
            <w:tcMar>
              <w:left w:w="57" w:type="dxa"/>
            </w:tcMar>
            <w:vAlign w:val="bottom"/>
          </w:tcPr>
          <w:p w14:paraId="625F6CD7" w14:textId="77777777" w:rsidR="006C51D3" w:rsidRPr="00DE25AD" w:rsidRDefault="006C51D3" w:rsidP="006C51D3">
            <w:pPr>
              <w:pStyle w:val="ASSAD2017ACCESSBody1"/>
            </w:pPr>
            <w:r w:rsidRPr="00DE25AD">
              <w:t>Female</w:t>
            </w:r>
          </w:p>
        </w:tc>
        <w:tc>
          <w:tcPr>
            <w:tcW w:w="878" w:type="dxa"/>
            <w:shd w:val="clear" w:color="auto" w:fill="auto"/>
          </w:tcPr>
          <w:p w14:paraId="01DF4C4D" w14:textId="08036B80" w:rsidR="006C51D3" w:rsidRPr="00DE25AD" w:rsidRDefault="006C51D3" w:rsidP="006C51D3">
            <w:pPr>
              <w:pStyle w:val="ASSADACCESStablecentre"/>
            </w:pPr>
            <w:r w:rsidRPr="002E5727">
              <w:rPr>
                <w:bCs w:val="0"/>
                <w:color w:val="000000"/>
              </w:rPr>
              <w:t>13*</w:t>
            </w:r>
          </w:p>
        </w:tc>
        <w:tc>
          <w:tcPr>
            <w:tcW w:w="879" w:type="dxa"/>
            <w:shd w:val="clear" w:color="auto" w:fill="auto"/>
          </w:tcPr>
          <w:p w14:paraId="6E7ED16E" w14:textId="063FCD6B" w:rsidR="006C51D3" w:rsidRPr="00DE25AD" w:rsidRDefault="006C51D3" w:rsidP="006C51D3">
            <w:pPr>
              <w:pStyle w:val="ASSADACCESStablecentre"/>
            </w:pPr>
            <w:r w:rsidRPr="002E5727">
              <w:rPr>
                <w:bCs w:val="0"/>
                <w:color w:val="000000"/>
              </w:rPr>
              <w:t>14*</w:t>
            </w:r>
          </w:p>
        </w:tc>
        <w:tc>
          <w:tcPr>
            <w:tcW w:w="879" w:type="dxa"/>
            <w:shd w:val="clear" w:color="auto" w:fill="auto"/>
          </w:tcPr>
          <w:p w14:paraId="1235504B" w14:textId="58B83306" w:rsidR="006C51D3" w:rsidRPr="00DE25AD" w:rsidRDefault="006C51D3" w:rsidP="006C51D3">
            <w:pPr>
              <w:pStyle w:val="ASSADACCESStablecentre"/>
            </w:pPr>
            <w:r w:rsidRPr="002E5727">
              <w:rPr>
                <w:bCs w:val="0"/>
                <w:color w:val="000000"/>
              </w:rPr>
              <w:t>11*</w:t>
            </w:r>
          </w:p>
        </w:tc>
        <w:tc>
          <w:tcPr>
            <w:tcW w:w="879" w:type="dxa"/>
            <w:shd w:val="clear" w:color="auto" w:fill="auto"/>
          </w:tcPr>
          <w:p w14:paraId="225603DF" w14:textId="2D8A4D04" w:rsidR="006C51D3" w:rsidRPr="00DE25AD" w:rsidRDefault="006C51D3" w:rsidP="006C51D3">
            <w:pPr>
              <w:pStyle w:val="ASSADACCESStablecentre"/>
            </w:pPr>
            <w:r w:rsidRPr="002E5727">
              <w:rPr>
                <w:bCs w:val="0"/>
                <w:color w:val="000000"/>
              </w:rPr>
              <w:t>9^</w:t>
            </w:r>
          </w:p>
        </w:tc>
        <w:tc>
          <w:tcPr>
            <w:tcW w:w="879" w:type="dxa"/>
            <w:shd w:val="clear" w:color="auto" w:fill="auto"/>
          </w:tcPr>
          <w:p w14:paraId="58DF4572" w14:textId="2DB95225" w:rsidR="006C51D3" w:rsidRPr="00DE25AD" w:rsidRDefault="006C51D3" w:rsidP="006C51D3">
            <w:pPr>
              <w:pStyle w:val="ASSADACCESStablecentre"/>
            </w:pPr>
            <w:r w:rsidRPr="002E5727">
              <w:rPr>
                <w:bCs w:val="0"/>
                <w:color w:val="000000"/>
              </w:rPr>
              <w:t>10^</w:t>
            </w:r>
          </w:p>
        </w:tc>
        <w:tc>
          <w:tcPr>
            <w:tcW w:w="879" w:type="dxa"/>
            <w:shd w:val="clear" w:color="auto" w:fill="auto"/>
          </w:tcPr>
          <w:p w14:paraId="0878128A" w14:textId="3991180E" w:rsidR="006C51D3" w:rsidRPr="00DE25AD" w:rsidRDefault="006C51D3" w:rsidP="006C51D3">
            <w:pPr>
              <w:pStyle w:val="ASSADACCESStablecentre"/>
            </w:pPr>
            <w:r w:rsidRPr="002E5727">
              <w:rPr>
                <w:bCs w:val="0"/>
                <w:color w:val="000000"/>
              </w:rPr>
              <w:t>10^</w:t>
            </w:r>
          </w:p>
        </w:tc>
        <w:tc>
          <w:tcPr>
            <w:tcW w:w="879" w:type="dxa"/>
            <w:shd w:val="clear" w:color="auto" w:fill="auto"/>
          </w:tcPr>
          <w:p w14:paraId="016BEFBC" w14:textId="0E5496EC" w:rsidR="006C51D3" w:rsidRPr="00DE25AD" w:rsidRDefault="006C51D3" w:rsidP="006C51D3">
            <w:pPr>
              <w:pStyle w:val="ASSADACCESStablecentre"/>
            </w:pPr>
            <w:r w:rsidRPr="002E5727">
              <w:rPr>
                <w:bCs w:val="0"/>
                <w:color w:val="000000"/>
              </w:rPr>
              <w:t>8^</w:t>
            </w:r>
          </w:p>
        </w:tc>
        <w:tc>
          <w:tcPr>
            <w:tcW w:w="879" w:type="dxa"/>
            <w:shd w:val="clear" w:color="auto" w:fill="auto"/>
          </w:tcPr>
          <w:p w14:paraId="24D8AA3C" w14:textId="5E2E9A4C" w:rsidR="006C51D3" w:rsidRPr="00DE25AD" w:rsidRDefault="006C51D3" w:rsidP="006C51D3">
            <w:pPr>
              <w:pStyle w:val="ASSADACCESStablecentre"/>
            </w:pPr>
            <w:r w:rsidRPr="002E5727">
              <w:rPr>
                <w:bCs w:val="0"/>
                <w:color w:val="000000"/>
              </w:rPr>
              <w:t>9^</w:t>
            </w:r>
          </w:p>
        </w:tc>
      </w:tr>
      <w:tr w:rsidR="006C51D3" w:rsidRPr="00DE25AD" w14:paraId="233F4FB0" w14:textId="77777777" w:rsidTr="005F678B">
        <w:tc>
          <w:tcPr>
            <w:tcW w:w="1517" w:type="dxa"/>
            <w:tcMar>
              <w:left w:w="57" w:type="dxa"/>
            </w:tcMar>
          </w:tcPr>
          <w:p w14:paraId="6453FC4C" w14:textId="77777777" w:rsidR="006C51D3" w:rsidRPr="00DE25AD" w:rsidRDefault="006C51D3" w:rsidP="006C51D3">
            <w:pPr>
              <w:pStyle w:val="ACCESSTableHeaderRow"/>
            </w:pPr>
          </w:p>
        </w:tc>
        <w:tc>
          <w:tcPr>
            <w:tcW w:w="1068" w:type="dxa"/>
            <w:shd w:val="clear" w:color="auto" w:fill="auto"/>
            <w:tcMar>
              <w:left w:w="57" w:type="dxa"/>
            </w:tcMar>
            <w:vAlign w:val="bottom"/>
          </w:tcPr>
          <w:p w14:paraId="0502EE81" w14:textId="77777777" w:rsidR="006C51D3" w:rsidRPr="00DE25AD" w:rsidRDefault="006C51D3" w:rsidP="006C51D3">
            <w:pPr>
              <w:pStyle w:val="ASSAD2017ACCESSBody1"/>
            </w:pPr>
            <w:r w:rsidRPr="00DE25AD">
              <w:t>Total</w:t>
            </w:r>
          </w:p>
        </w:tc>
        <w:tc>
          <w:tcPr>
            <w:tcW w:w="878" w:type="dxa"/>
            <w:shd w:val="clear" w:color="auto" w:fill="auto"/>
          </w:tcPr>
          <w:p w14:paraId="5C848275" w14:textId="3CE24926" w:rsidR="006C51D3" w:rsidRPr="00DE25AD" w:rsidRDefault="006C51D3" w:rsidP="006C51D3">
            <w:pPr>
              <w:pStyle w:val="ASSADACCESStablecentre"/>
            </w:pPr>
            <w:r w:rsidRPr="002E5727">
              <w:rPr>
                <w:bCs w:val="0"/>
                <w:color w:val="000000"/>
              </w:rPr>
              <w:t>13*</w:t>
            </w:r>
          </w:p>
        </w:tc>
        <w:tc>
          <w:tcPr>
            <w:tcW w:w="879" w:type="dxa"/>
            <w:shd w:val="clear" w:color="auto" w:fill="auto"/>
          </w:tcPr>
          <w:p w14:paraId="628DBA2A" w14:textId="501D1417" w:rsidR="006C51D3" w:rsidRPr="00DE25AD" w:rsidRDefault="006C51D3" w:rsidP="006C51D3">
            <w:pPr>
              <w:pStyle w:val="ASSADACCESStablecentre"/>
            </w:pPr>
            <w:r w:rsidRPr="002E5727">
              <w:rPr>
                <w:bCs w:val="0"/>
                <w:color w:val="000000"/>
              </w:rPr>
              <w:t>13*</w:t>
            </w:r>
          </w:p>
        </w:tc>
        <w:tc>
          <w:tcPr>
            <w:tcW w:w="879" w:type="dxa"/>
            <w:shd w:val="clear" w:color="auto" w:fill="auto"/>
          </w:tcPr>
          <w:p w14:paraId="722BBA2B" w14:textId="069895AB" w:rsidR="006C51D3" w:rsidRPr="00DE25AD" w:rsidRDefault="006C51D3" w:rsidP="006C51D3">
            <w:pPr>
              <w:pStyle w:val="ASSADACCESStablecentre"/>
            </w:pPr>
            <w:r w:rsidRPr="002E5727">
              <w:rPr>
                <w:bCs w:val="0"/>
                <w:color w:val="000000"/>
              </w:rPr>
              <w:t>11*^</w:t>
            </w:r>
          </w:p>
        </w:tc>
        <w:tc>
          <w:tcPr>
            <w:tcW w:w="879" w:type="dxa"/>
            <w:shd w:val="clear" w:color="auto" w:fill="auto"/>
          </w:tcPr>
          <w:p w14:paraId="1291E674" w14:textId="26B27666" w:rsidR="006C51D3" w:rsidRPr="00DE25AD" w:rsidRDefault="006C51D3" w:rsidP="006C51D3">
            <w:pPr>
              <w:pStyle w:val="ASSADACCESStablecentre"/>
            </w:pPr>
            <w:r w:rsidRPr="002E5727">
              <w:rPr>
                <w:bCs w:val="0"/>
                <w:color w:val="000000"/>
              </w:rPr>
              <w:t>9^</w:t>
            </w:r>
          </w:p>
        </w:tc>
        <w:tc>
          <w:tcPr>
            <w:tcW w:w="879" w:type="dxa"/>
            <w:shd w:val="clear" w:color="auto" w:fill="auto"/>
          </w:tcPr>
          <w:p w14:paraId="0242BA19" w14:textId="2774E027" w:rsidR="006C51D3" w:rsidRPr="00DE25AD" w:rsidRDefault="006C51D3" w:rsidP="006C51D3">
            <w:pPr>
              <w:pStyle w:val="ASSADACCESStablecentre"/>
            </w:pPr>
            <w:r w:rsidRPr="002E5727">
              <w:rPr>
                <w:bCs w:val="0"/>
                <w:color w:val="000000"/>
              </w:rPr>
              <w:t>9^</w:t>
            </w:r>
          </w:p>
        </w:tc>
        <w:tc>
          <w:tcPr>
            <w:tcW w:w="879" w:type="dxa"/>
            <w:shd w:val="clear" w:color="auto" w:fill="auto"/>
          </w:tcPr>
          <w:p w14:paraId="54EA0F46" w14:textId="49C7FB61" w:rsidR="006C51D3" w:rsidRPr="00DE25AD" w:rsidRDefault="006C51D3" w:rsidP="006C51D3">
            <w:pPr>
              <w:pStyle w:val="ASSADACCESStablecentre"/>
            </w:pPr>
            <w:r w:rsidRPr="002E5727">
              <w:rPr>
                <w:bCs w:val="0"/>
                <w:color w:val="000000"/>
              </w:rPr>
              <w:t>8^</w:t>
            </w:r>
          </w:p>
        </w:tc>
        <w:tc>
          <w:tcPr>
            <w:tcW w:w="879" w:type="dxa"/>
            <w:shd w:val="clear" w:color="auto" w:fill="auto"/>
          </w:tcPr>
          <w:p w14:paraId="3258C122" w14:textId="18038F75" w:rsidR="006C51D3" w:rsidRPr="00DE25AD" w:rsidRDefault="006C51D3" w:rsidP="006C51D3">
            <w:pPr>
              <w:pStyle w:val="ASSADACCESStablecentre"/>
            </w:pPr>
            <w:r w:rsidRPr="002E5727">
              <w:rPr>
                <w:bCs w:val="0"/>
                <w:color w:val="000000"/>
              </w:rPr>
              <w:t>7^</w:t>
            </w:r>
          </w:p>
        </w:tc>
        <w:tc>
          <w:tcPr>
            <w:tcW w:w="879" w:type="dxa"/>
            <w:shd w:val="clear" w:color="auto" w:fill="auto"/>
          </w:tcPr>
          <w:p w14:paraId="11F5F186" w14:textId="5BA33F76" w:rsidR="006C51D3" w:rsidRPr="00DE25AD" w:rsidRDefault="006C51D3" w:rsidP="006C51D3">
            <w:pPr>
              <w:pStyle w:val="ASSADACCESStablecentre"/>
            </w:pPr>
            <w:r w:rsidRPr="002E5727">
              <w:rPr>
                <w:bCs w:val="0"/>
                <w:color w:val="000000"/>
              </w:rPr>
              <w:t>8^</w:t>
            </w:r>
          </w:p>
        </w:tc>
      </w:tr>
      <w:tr w:rsidR="006C51D3" w:rsidRPr="00DE25AD" w14:paraId="48AF2C9E" w14:textId="77777777" w:rsidTr="005F678B">
        <w:tc>
          <w:tcPr>
            <w:tcW w:w="1517" w:type="dxa"/>
            <w:tcMar>
              <w:left w:w="57" w:type="dxa"/>
            </w:tcMar>
          </w:tcPr>
          <w:p w14:paraId="4EE0DAA5" w14:textId="77777777" w:rsidR="006C51D3" w:rsidRDefault="006C51D3" w:rsidP="006C51D3">
            <w:pPr>
              <w:pStyle w:val="ACCESSTableHeaderRow"/>
            </w:pPr>
            <w:r>
              <w:t>Aged 16-17</w:t>
            </w:r>
          </w:p>
        </w:tc>
        <w:tc>
          <w:tcPr>
            <w:tcW w:w="1068" w:type="dxa"/>
            <w:shd w:val="clear" w:color="auto" w:fill="auto"/>
            <w:tcMar>
              <w:left w:w="57" w:type="dxa"/>
            </w:tcMar>
            <w:vAlign w:val="center"/>
          </w:tcPr>
          <w:p w14:paraId="2330BF44" w14:textId="77777777" w:rsidR="006C51D3" w:rsidRPr="00DE25AD" w:rsidRDefault="006C51D3" w:rsidP="006C51D3">
            <w:pPr>
              <w:pStyle w:val="ASSAD2017ACCESSBody1"/>
            </w:pPr>
          </w:p>
        </w:tc>
        <w:tc>
          <w:tcPr>
            <w:tcW w:w="878" w:type="dxa"/>
            <w:shd w:val="clear" w:color="auto" w:fill="auto"/>
            <w:vAlign w:val="bottom"/>
          </w:tcPr>
          <w:p w14:paraId="20264695" w14:textId="77777777" w:rsidR="006C51D3" w:rsidRPr="00DE25AD" w:rsidRDefault="006C51D3" w:rsidP="006C51D3">
            <w:pPr>
              <w:pStyle w:val="ASSADACCESStablecentre"/>
            </w:pPr>
          </w:p>
        </w:tc>
        <w:tc>
          <w:tcPr>
            <w:tcW w:w="879" w:type="dxa"/>
            <w:shd w:val="clear" w:color="auto" w:fill="auto"/>
            <w:vAlign w:val="bottom"/>
          </w:tcPr>
          <w:p w14:paraId="776E826A" w14:textId="77777777" w:rsidR="006C51D3" w:rsidRPr="00DE25AD" w:rsidRDefault="006C51D3" w:rsidP="006C51D3">
            <w:pPr>
              <w:pStyle w:val="ASSADACCESStablecentre"/>
            </w:pPr>
          </w:p>
        </w:tc>
        <w:tc>
          <w:tcPr>
            <w:tcW w:w="879" w:type="dxa"/>
            <w:shd w:val="clear" w:color="auto" w:fill="auto"/>
            <w:vAlign w:val="bottom"/>
          </w:tcPr>
          <w:p w14:paraId="658E16DD" w14:textId="77777777" w:rsidR="006C51D3" w:rsidRPr="00DE25AD" w:rsidRDefault="006C51D3" w:rsidP="006C51D3">
            <w:pPr>
              <w:pStyle w:val="ASSADACCESStablecentre"/>
            </w:pPr>
          </w:p>
        </w:tc>
        <w:tc>
          <w:tcPr>
            <w:tcW w:w="879" w:type="dxa"/>
            <w:shd w:val="clear" w:color="auto" w:fill="auto"/>
            <w:vAlign w:val="bottom"/>
          </w:tcPr>
          <w:p w14:paraId="17100DF4" w14:textId="77777777" w:rsidR="006C51D3" w:rsidRPr="00DE25AD" w:rsidRDefault="006C51D3" w:rsidP="006C51D3">
            <w:pPr>
              <w:pStyle w:val="ASSADACCESStablecentre"/>
            </w:pPr>
          </w:p>
        </w:tc>
        <w:tc>
          <w:tcPr>
            <w:tcW w:w="879" w:type="dxa"/>
            <w:shd w:val="clear" w:color="auto" w:fill="auto"/>
            <w:vAlign w:val="bottom"/>
          </w:tcPr>
          <w:p w14:paraId="5DF4122B" w14:textId="77777777" w:rsidR="006C51D3" w:rsidRPr="00DE25AD" w:rsidRDefault="006C51D3" w:rsidP="006C51D3">
            <w:pPr>
              <w:pStyle w:val="ASSADACCESStablecentre"/>
            </w:pPr>
          </w:p>
        </w:tc>
        <w:tc>
          <w:tcPr>
            <w:tcW w:w="879" w:type="dxa"/>
            <w:shd w:val="clear" w:color="auto" w:fill="auto"/>
            <w:vAlign w:val="bottom"/>
          </w:tcPr>
          <w:p w14:paraId="7769F53A" w14:textId="77777777" w:rsidR="006C51D3" w:rsidRPr="00DE25AD" w:rsidRDefault="006C51D3" w:rsidP="006C51D3">
            <w:pPr>
              <w:pStyle w:val="ASSADACCESStablecentre"/>
            </w:pPr>
          </w:p>
        </w:tc>
        <w:tc>
          <w:tcPr>
            <w:tcW w:w="879" w:type="dxa"/>
            <w:shd w:val="clear" w:color="auto" w:fill="auto"/>
            <w:vAlign w:val="bottom"/>
          </w:tcPr>
          <w:p w14:paraId="36F1AAB5" w14:textId="77777777" w:rsidR="006C51D3" w:rsidRPr="00DE25AD" w:rsidRDefault="006C51D3" w:rsidP="006C51D3">
            <w:pPr>
              <w:pStyle w:val="ASSADACCESStablecentre"/>
            </w:pPr>
          </w:p>
        </w:tc>
        <w:tc>
          <w:tcPr>
            <w:tcW w:w="879" w:type="dxa"/>
            <w:shd w:val="clear" w:color="auto" w:fill="auto"/>
            <w:vAlign w:val="bottom"/>
          </w:tcPr>
          <w:p w14:paraId="702EA650" w14:textId="77777777" w:rsidR="006C51D3" w:rsidRPr="00DE25AD" w:rsidRDefault="006C51D3" w:rsidP="006C51D3">
            <w:pPr>
              <w:pStyle w:val="ASSADACCESStablecentre"/>
            </w:pPr>
          </w:p>
        </w:tc>
      </w:tr>
      <w:tr w:rsidR="006C51D3" w:rsidRPr="00DE25AD" w14:paraId="5E76D0B6" w14:textId="77777777" w:rsidTr="005F678B">
        <w:tc>
          <w:tcPr>
            <w:tcW w:w="1517" w:type="dxa"/>
            <w:tcMar>
              <w:left w:w="57" w:type="dxa"/>
            </w:tcMar>
          </w:tcPr>
          <w:p w14:paraId="034F966C" w14:textId="77777777" w:rsidR="006C51D3" w:rsidRDefault="006C51D3" w:rsidP="006C51D3">
            <w:pPr>
              <w:pStyle w:val="ACCESSTableHeaderRow"/>
            </w:pPr>
            <w:r w:rsidRPr="00DE25AD">
              <w:t>Recency</w:t>
            </w:r>
          </w:p>
        </w:tc>
        <w:tc>
          <w:tcPr>
            <w:tcW w:w="1068" w:type="dxa"/>
            <w:shd w:val="clear" w:color="auto" w:fill="auto"/>
            <w:tcMar>
              <w:left w:w="57" w:type="dxa"/>
            </w:tcMar>
            <w:vAlign w:val="center"/>
          </w:tcPr>
          <w:p w14:paraId="1F4A6BBA" w14:textId="77777777" w:rsidR="006C51D3" w:rsidRPr="00DE25AD" w:rsidRDefault="006C51D3" w:rsidP="006C51D3">
            <w:pPr>
              <w:pStyle w:val="ASSAD2017ACCESSBody1"/>
            </w:pPr>
            <w:r w:rsidRPr="005C5B03">
              <w:rPr>
                <w:b/>
                <w:bCs w:val="0"/>
              </w:rPr>
              <w:t>Sex</w:t>
            </w:r>
          </w:p>
        </w:tc>
        <w:tc>
          <w:tcPr>
            <w:tcW w:w="878" w:type="dxa"/>
            <w:shd w:val="clear" w:color="auto" w:fill="auto"/>
            <w:vAlign w:val="bottom"/>
          </w:tcPr>
          <w:p w14:paraId="051384C9" w14:textId="77777777" w:rsidR="006C51D3" w:rsidRPr="00DE25AD" w:rsidRDefault="006C51D3" w:rsidP="006C51D3">
            <w:pPr>
              <w:pStyle w:val="ASSADACCESStablecentre"/>
            </w:pPr>
          </w:p>
        </w:tc>
        <w:tc>
          <w:tcPr>
            <w:tcW w:w="879" w:type="dxa"/>
            <w:shd w:val="clear" w:color="auto" w:fill="auto"/>
            <w:vAlign w:val="bottom"/>
          </w:tcPr>
          <w:p w14:paraId="58D9BEB4" w14:textId="77777777" w:rsidR="006C51D3" w:rsidRPr="00DE25AD" w:rsidRDefault="006C51D3" w:rsidP="006C51D3">
            <w:pPr>
              <w:pStyle w:val="ASSADACCESStablecentre"/>
            </w:pPr>
          </w:p>
        </w:tc>
        <w:tc>
          <w:tcPr>
            <w:tcW w:w="879" w:type="dxa"/>
            <w:shd w:val="clear" w:color="auto" w:fill="auto"/>
            <w:vAlign w:val="bottom"/>
          </w:tcPr>
          <w:p w14:paraId="3475D542" w14:textId="77777777" w:rsidR="006C51D3" w:rsidRPr="00DE25AD" w:rsidRDefault="006C51D3" w:rsidP="006C51D3">
            <w:pPr>
              <w:pStyle w:val="ASSADACCESStablecentre"/>
            </w:pPr>
          </w:p>
        </w:tc>
        <w:tc>
          <w:tcPr>
            <w:tcW w:w="879" w:type="dxa"/>
            <w:shd w:val="clear" w:color="auto" w:fill="auto"/>
            <w:vAlign w:val="bottom"/>
          </w:tcPr>
          <w:p w14:paraId="278324F6" w14:textId="77777777" w:rsidR="006C51D3" w:rsidRPr="00DE25AD" w:rsidRDefault="006C51D3" w:rsidP="006C51D3">
            <w:pPr>
              <w:pStyle w:val="ASSADACCESStablecentre"/>
            </w:pPr>
          </w:p>
        </w:tc>
        <w:tc>
          <w:tcPr>
            <w:tcW w:w="879" w:type="dxa"/>
            <w:shd w:val="clear" w:color="auto" w:fill="auto"/>
            <w:vAlign w:val="bottom"/>
          </w:tcPr>
          <w:p w14:paraId="6D2DBEFE" w14:textId="77777777" w:rsidR="006C51D3" w:rsidRPr="00DE25AD" w:rsidRDefault="006C51D3" w:rsidP="006C51D3">
            <w:pPr>
              <w:pStyle w:val="ASSADACCESStablecentre"/>
            </w:pPr>
          </w:p>
        </w:tc>
        <w:tc>
          <w:tcPr>
            <w:tcW w:w="879" w:type="dxa"/>
            <w:shd w:val="clear" w:color="auto" w:fill="auto"/>
            <w:vAlign w:val="bottom"/>
          </w:tcPr>
          <w:p w14:paraId="0F04F702" w14:textId="77777777" w:rsidR="006C51D3" w:rsidRPr="00DE25AD" w:rsidRDefault="006C51D3" w:rsidP="006C51D3">
            <w:pPr>
              <w:pStyle w:val="ASSADACCESStablecentre"/>
            </w:pPr>
          </w:p>
        </w:tc>
        <w:tc>
          <w:tcPr>
            <w:tcW w:w="879" w:type="dxa"/>
            <w:shd w:val="clear" w:color="auto" w:fill="auto"/>
            <w:vAlign w:val="bottom"/>
          </w:tcPr>
          <w:p w14:paraId="4C84CE62" w14:textId="77777777" w:rsidR="006C51D3" w:rsidRPr="00DE25AD" w:rsidRDefault="006C51D3" w:rsidP="006C51D3">
            <w:pPr>
              <w:pStyle w:val="ASSADACCESStablecentre"/>
            </w:pPr>
          </w:p>
        </w:tc>
        <w:tc>
          <w:tcPr>
            <w:tcW w:w="879" w:type="dxa"/>
            <w:shd w:val="clear" w:color="auto" w:fill="auto"/>
            <w:vAlign w:val="bottom"/>
          </w:tcPr>
          <w:p w14:paraId="1DEE6A75" w14:textId="77777777" w:rsidR="006C51D3" w:rsidRPr="00DE25AD" w:rsidRDefault="006C51D3" w:rsidP="006C51D3">
            <w:pPr>
              <w:pStyle w:val="ASSADACCESStablecentre"/>
            </w:pPr>
          </w:p>
        </w:tc>
      </w:tr>
      <w:tr w:rsidR="006C51D3" w:rsidRPr="00DE25AD" w14:paraId="21A4038E" w14:textId="77777777" w:rsidTr="00545FF4">
        <w:tc>
          <w:tcPr>
            <w:tcW w:w="1517" w:type="dxa"/>
            <w:tcMar>
              <w:left w:w="57" w:type="dxa"/>
            </w:tcMar>
          </w:tcPr>
          <w:p w14:paraId="0F31B787" w14:textId="77777777" w:rsidR="006C51D3" w:rsidRPr="00DE25AD" w:rsidRDefault="006C51D3" w:rsidP="006C51D3">
            <w:pPr>
              <w:pStyle w:val="ACCESSTableHeaderRow"/>
            </w:pPr>
            <w:r>
              <w:t>Lifetime</w:t>
            </w:r>
          </w:p>
        </w:tc>
        <w:tc>
          <w:tcPr>
            <w:tcW w:w="1068" w:type="dxa"/>
            <w:shd w:val="clear" w:color="auto" w:fill="auto"/>
            <w:tcMar>
              <w:left w:w="57" w:type="dxa"/>
            </w:tcMar>
            <w:vAlign w:val="bottom"/>
          </w:tcPr>
          <w:p w14:paraId="015A6E9E" w14:textId="77777777" w:rsidR="006C51D3" w:rsidRPr="00DE25AD" w:rsidRDefault="006C51D3" w:rsidP="006C51D3">
            <w:pPr>
              <w:pStyle w:val="ASSAD2017ACCESSBody1"/>
            </w:pPr>
            <w:r w:rsidRPr="00DE25AD">
              <w:t>Male</w:t>
            </w:r>
          </w:p>
        </w:tc>
        <w:tc>
          <w:tcPr>
            <w:tcW w:w="878" w:type="dxa"/>
            <w:shd w:val="clear" w:color="auto" w:fill="auto"/>
          </w:tcPr>
          <w:p w14:paraId="05525C33" w14:textId="4067AEF0" w:rsidR="006C51D3" w:rsidRPr="00DE25AD" w:rsidRDefault="006C51D3" w:rsidP="006C51D3">
            <w:pPr>
              <w:pStyle w:val="ASSADACCESStablecentre"/>
            </w:pPr>
            <w:r w:rsidRPr="002E5727">
              <w:rPr>
                <w:bCs w:val="0"/>
                <w:color w:val="000000"/>
              </w:rPr>
              <w:t>18</w:t>
            </w:r>
          </w:p>
        </w:tc>
        <w:tc>
          <w:tcPr>
            <w:tcW w:w="879" w:type="dxa"/>
            <w:shd w:val="clear" w:color="auto" w:fill="auto"/>
          </w:tcPr>
          <w:p w14:paraId="43A7B7DE" w14:textId="64AF127D" w:rsidR="006C51D3" w:rsidRPr="00DE25AD" w:rsidRDefault="006C51D3" w:rsidP="006C51D3">
            <w:pPr>
              <w:pStyle w:val="ASSADACCESStablecentre"/>
            </w:pPr>
            <w:r w:rsidRPr="002E5727">
              <w:rPr>
                <w:bCs w:val="0"/>
                <w:color w:val="000000"/>
              </w:rPr>
              <w:t>18</w:t>
            </w:r>
          </w:p>
        </w:tc>
        <w:tc>
          <w:tcPr>
            <w:tcW w:w="879" w:type="dxa"/>
            <w:shd w:val="clear" w:color="auto" w:fill="auto"/>
          </w:tcPr>
          <w:p w14:paraId="14458C7C" w14:textId="2B65356E" w:rsidR="006C51D3" w:rsidRPr="00DE25AD" w:rsidRDefault="006C51D3" w:rsidP="006C51D3">
            <w:pPr>
              <w:pStyle w:val="ASSADACCESStablecentre"/>
            </w:pPr>
            <w:r w:rsidRPr="002E5727">
              <w:rPr>
                <w:bCs w:val="0"/>
                <w:color w:val="000000"/>
              </w:rPr>
              <w:t>13^</w:t>
            </w:r>
          </w:p>
        </w:tc>
        <w:tc>
          <w:tcPr>
            <w:tcW w:w="879" w:type="dxa"/>
            <w:shd w:val="clear" w:color="auto" w:fill="auto"/>
          </w:tcPr>
          <w:p w14:paraId="4B2B3A8D" w14:textId="64BF85A4" w:rsidR="006C51D3" w:rsidRPr="00DE25AD" w:rsidRDefault="006C51D3" w:rsidP="006C51D3">
            <w:pPr>
              <w:pStyle w:val="ASSADACCESStablecentre"/>
            </w:pPr>
            <w:r w:rsidRPr="002E5727">
              <w:rPr>
                <w:bCs w:val="0"/>
                <w:color w:val="000000"/>
              </w:rPr>
              <w:t>1</w:t>
            </w:r>
            <w:r>
              <w:rPr>
                <w:bCs w:val="0"/>
                <w:color w:val="000000"/>
              </w:rPr>
              <w:t>1</w:t>
            </w:r>
            <w:r w:rsidRPr="002E5727">
              <w:rPr>
                <w:bCs w:val="0"/>
                <w:color w:val="000000"/>
              </w:rPr>
              <w:t>*^</w:t>
            </w:r>
          </w:p>
        </w:tc>
        <w:tc>
          <w:tcPr>
            <w:tcW w:w="879" w:type="dxa"/>
            <w:shd w:val="clear" w:color="auto" w:fill="auto"/>
          </w:tcPr>
          <w:p w14:paraId="54721454" w14:textId="2276C5C3" w:rsidR="006C51D3" w:rsidRPr="00DE25AD" w:rsidRDefault="006C51D3" w:rsidP="006C51D3">
            <w:pPr>
              <w:pStyle w:val="ASSADACCESStablecentre"/>
            </w:pPr>
            <w:r w:rsidRPr="002E5727">
              <w:rPr>
                <w:bCs w:val="0"/>
                <w:color w:val="000000"/>
              </w:rPr>
              <w:t>15^</w:t>
            </w:r>
          </w:p>
        </w:tc>
        <w:tc>
          <w:tcPr>
            <w:tcW w:w="879" w:type="dxa"/>
            <w:shd w:val="clear" w:color="auto" w:fill="auto"/>
          </w:tcPr>
          <w:p w14:paraId="3782C3F1" w14:textId="418D93DF" w:rsidR="006C51D3" w:rsidRPr="00DE25AD" w:rsidRDefault="006C51D3" w:rsidP="006C51D3">
            <w:pPr>
              <w:pStyle w:val="ASSADACCESStablecentre"/>
            </w:pPr>
            <w:r w:rsidRPr="002E5727">
              <w:rPr>
                <w:bCs w:val="0"/>
                <w:color w:val="000000"/>
              </w:rPr>
              <w:t>14^</w:t>
            </w:r>
          </w:p>
        </w:tc>
        <w:tc>
          <w:tcPr>
            <w:tcW w:w="879" w:type="dxa"/>
            <w:shd w:val="clear" w:color="auto" w:fill="auto"/>
          </w:tcPr>
          <w:p w14:paraId="2EA3BDD5" w14:textId="6F6E972B" w:rsidR="006C51D3" w:rsidRPr="00DE25AD" w:rsidRDefault="006C51D3" w:rsidP="006C51D3">
            <w:pPr>
              <w:pStyle w:val="ASSADACCESStablecentre"/>
            </w:pPr>
            <w:r w:rsidRPr="002E5727">
              <w:rPr>
                <w:bCs w:val="0"/>
                <w:color w:val="000000"/>
              </w:rPr>
              <w:t>12</w:t>
            </w:r>
            <w:r>
              <w:rPr>
                <w:bCs w:val="0"/>
                <w:color w:val="000000"/>
              </w:rPr>
              <w:t>*</w:t>
            </w:r>
            <w:r w:rsidRPr="002E5727">
              <w:rPr>
                <w:bCs w:val="0"/>
                <w:color w:val="000000"/>
              </w:rPr>
              <w:t>^</w:t>
            </w:r>
          </w:p>
        </w:tc>
        <w:tc>
          <w:tcPr>
            <w:tcW w:w="879" w:type="dxa"/>
            <w:shd w:val="clear" w:color="auto" w:fill="auto"/>
          </w:tcPr>
          <w:p w14:paraId="5AB66094" w14:textId="00AA3F91" w:rsidR="006C51D3" w:rsidRPr="00DE25AD" w:rsidRDefault="006C51D3" w:rsidP="006C51D3">
            <w:pPr>
              <w:pStyle w:val="ASSADACCESStablecentre"/>
            </w:pPr>
            <w:r w:rsidRPr="002E5727">
              <w:rPr>
                <w:bCs w:val="0"/>
                <w:color w:val="000000"/>
              </w:rPr>
              <w:t>1</w:t>
            </w:r>
            <w:r>
              <w:rPr>
                <w:bCs w:val="0"/>
                <w:color w:val="000000"/>
              </w:rPr>
              <w:t>6</w:t>
            </w:r>
          </w:p>
        </w:tc>
      </w:tr>
      <w:tr w:rsidR="006C51D3" w:rsidRPr="00DE25AD" w14:paraId="351F155F" w14:textId="77777777" w:rsidTr="005F678B">
        <w:tc>
          <w:tcPr>
            <w:tcW w:w="1517" w:type="dxa"/>
            <w:tcMar>
              <w:left w:w="57" w:type="dxa"/>
            </w:tcMar>
          </w:tcPr>
          <w:p w14:paraId="2C2926BE" w14:textId="77777777" w:rsidR="006C51D3" w:rsidRPr="00DE25AD" w:rsidRDefault="006C51D3" w:rsidP="006C51D3">
            <w:pPr>
              <w:pStyle w:val="ACCESSTableHeaderRow"/>
            </w:pPr>
          </w:p>
        </w:tc>
        <w:tc>
          <w:tcPr>
            <w:tcW w:w="1068" w:type="dxa"/>
            <w:shd w:val="clear" w:color="auto" w:fill="auto"/>
            <w:tcMar>
              <w:left w:w="57" w:type="dxa"/>
            </w:tcMar>
            <w:vAlign w:val="bottom"/>
          </w:tcPr>
          <w:p w14:paraId="41C01DCA" w14:textId="77777777" w:rsidR="006C51D3" w:rsidRPr="00DE25AD" w:rsidRDefault="006C51D3" w:rsidP="006C51D3">
            <w:pPr>
              <w:pStyle w:val="ASSAD2017ACCESSBody1"/>
            </w:pPr>
            <w:r w:rsidRPr="00DE25AD">
              <w:t>Female</w:t>
            </w:r>
          </w:p>
        </w:tc>
        <w:tc>
          <w:tcPr>
            <w:tcW w:w="878" w:type="dxa"/>
            <w:shd w:val="clear" w:color="auto" w:fill="auto"/>
          </w:tcPr>
          <w:p w14:paraId="0243B543" w14:textId="1E55435E" w:rsidR="006C51D3" w:rsidRPr="00DE25AD" w:rsidRDefault="006C51D3" w:rsidP="006C51D3">
            <w:pPr>
              <w:pStyle w:val="ASSADACCESStablecentre"/>
            </w:pPr>
            <w:r w:rsidRPr="002E5727">
              <w:rPr>
                <w:bCs w:val="0"/>
                <w:color w:val="000000"/>
              </w:rPr>
              <w:t>16</w:t>
            </w:r>
          </w:p>
        </w:tc>
        <w:tc>
          <w:tcPr>
            <w:tcW w:w="879" w:type="dxa"/>
            <w:shd w:val="clear" w:color="auto" w:fill="auto"/>
          </w:tcPr>
          <w:p w14:paraId="7A8D8DDF" w14:textId="48062EA3" w:rsidR="006C51D3" w:rsidRPr="00DE25AD" w:rsidRDefault="006C51D3" w:rsidP="006C51D3">
            <w:pPr>
              <w:pStyle w:val="ASSADACCESStablecentre"/>
            </w:pPr>
            <w:r w:rsidRPr="002E5727">
              <w:rPr>
                <w:bCs w:val="0"/>
                <w:color w:val="000000"/>
              </w:rPr>
              <w:t>16</w:t>
            </w:r>
          </w:p>
        </w:tc>
        <w:tc>
          <w:tcPr>
            <w:tcW w:w="879" w:type="dxa"/>
            <w:shd w:val="clear" w:color="auto" w:fill="auto"/>
          </w:tcPr>
          <w:p w14:paraId="2388AF9C" w14:textId="3037FF1E" w:rsidR="006C51D3" w:rsidRPr="00DE25AD" w:rsidRDefault="006C51D3" w:rsidP="006C51D3">
            <w:pPr>
              <w:pStyle w:val="ASSADACCESStablecentre"/>
            </w:pPr>
            <w:r w:rsidRPr="002E5727">
              <w:rPr>
                <w:bCs w:val="0"/>
                <w:color w:val="000000"/>
              </w:rPr>
              <w:t>15</w:t>
            </w:r>
          </w:p>
        </w:tc>
        <w:tc>
          <w:tcPr>
            <w:tcW w:w="879" w:type="dxa"/>
            <w:shd w:val="clear" w:color="auto" w:fill="auto"/>
          </w:tcPr>
          <w:p w14:paraId="4DC5A6FF" w14:textId="6F42E03C" w:rsidR="006C51D3" w:rsidRPr="00DE25AD" w:rsidRDefault="006C51D3" w:rsidP="006C51D3">
            <w:pPr>
              <w:pStyle w:val="ASSADACCESStablecentre"/>
            </w:pPr>
            <w:r w:rsidRPr="002E5727">
              <w:rPr>
                <w:bCs w:val="0"/>
                <w:color w:val="000000"/>
              </w:rPr>
              <w:t>11*^</w:t>
            </w:r>
          </w:p>
        </w:tc>
        <w:tc>
          <w:tcPr>
            <w:tcW w:w="879" w:type="dxa"/>
            <w:shd w:val="clear" w:color="auto" w:fill="auto"/>
          </w:tcPr>
          <w:p w14:paraId="32A46EBC" w14:textId="73A162CB" w:rsidR="006C51D3" w:rsidRPr="00DE25AD" w:rsidRDefault="006C51D3" w:rsidP="006C51D3">
            <w:pPr>
              <w:pStyle w:val="ASSADACCESStablecentre"/>
            </w:pPr>
            <w:r w:rsidRPr="002E5727">
              <w:rPr>
                <w:bCs w:val="0"/>
                <w:color w:val="000000"/>
              </w:rPr>
              <w:t>14</w:t>
            </w:r>
          </w:p>
        </w:tc>
        <w:tc>
          <w:tcPr>
            <w:tcW w:w="879" w:type="dxa"/>
            <w:shd w:val="clear" w:color="auto" w:fill="auto"/>
          </w:tcPr>
          <w:p w14:paraId="693903ED" w14:textId="1157EF79" w:rsidR="006C51D3" w:rsidRPr="00DE25AD" w:rsidRDefault="006C51D3" w:rsidP="006C51D3">
            <w:pPr>
              <w:pStyle w:val="ASSADACCESStablecentre"/>
            </w:pPr>
            <w:r w:rsidRPr="002E5727">
              <w:rPr>
                <w:bCs w:val="0"/>
                <w:color w:val="000000"/>
              </w:rPr>
              <w:t>12</w:t>
            </w:r>
            <w:r>
              <w:rPr>
                <w:bCs w:val="0"/>
                <w:color w:val="000000"/>
              </w:rPr>
              <w:t>*</w:t>
            </w:r>
            <w:r w:rsidRPr="002E5727">
              <w:rPr>
                <w:bCs w:val="0"/>
                <w:color w:val="000000"/>
              </w:rPr>
              <w:t>^</w:t>
            </w:r>
          </w:p>
        </w:tc>
        <w:tc>
          <w:tcPr>
            <w:tcW w:w="879" w:type="dxa"/>
            <w:shd w:val="clear" w:color="auto" w:fill="auto"/>
          </w:tcPr>
          <w:p w14:paraId="4B588EF0" w14:textId="758AB3D2" w:rsidR="006C51D3" w:rsidRPr="00DE25AD" w:rsidRDefault="006C51D3" w:rsidP="006C51D3">
            <w:pPr>
              <w:pStyle w:val="ASSADACCESStablecentre"/>
            </w:pPr>
            <w:r w:rsidRPr="002E5727">
              <w:rPr>
                <w:bCs w:val="0"/>
                <w:color w:val="000000"/>
              </w:rPr>
              <w:t>11</w:t>
            </w:r>
            <w:r>
              <w:rPr>
                <w:bCs w:val="0"/>
                <w:color w:val="000000"/>
              </w:rPr>
              <w:t>*</w:t>
            </w:r>
            <w:r w:rsidRPr="002E5727">
              <w:rPr>
                <w:bCs w:val="0"/>
                <w:color w:val="000000"/>
              </w:rPr>
              <w:t>^</w:t>
            </w:r>
          </w:p>
        </w:tc>
        <w:tc>
          <w:tcPr>
            <w:tcW w:w="879" w:type="dxa"/>
            <w:shd w:val="clear" w:color="auto" w:fill="auto"/>
          </w:tcPr>
          <w:p w14:paraId="1F705FFC" w14:textId="65216856" w:rsidR="006C51D3" w:rsidRPr="00DE25AD" w:rsidRDefault="006C51D3" w:rsidP="006C51D3">
            <w:pPr>
              <w:pStyle w:val="ASSADACCESStablecentre"/>
            </w:pPr>
            <w:r w:rsidRPr="002E5727">
              <w:rPr>
                <w:bCs w:val="0"/>
                <w:color w:val="000000"/>
              </w:rPr>
              <w:t>15</w:t>
            </w:r>
          </w:p>
        </w:tc>
      </w:tr>
      <w:tr w:rsidR="006C51D3" w:rsidRPr="00DE25AD" w14:paraId="3B38E7C2" w14:textId="77777777" w:rsidTr="005F678B">
        <w:trPr>
          <w:trHeight w:val="247"/>
        </w:trPr>
        <w:tc>
          <w:tcPr>
            <w:tcW w:w="1517" w:type="dxa"/>
            <w:tcMar>
              <w:left w:w="57" w:type="dxa"/>
            </w:tcMar>
          </w:tcPr>
          <w:p w14:paraId="0483BAA7" w14:textId="77777777" w:rsidR="006C51D3" w:rsidRPr="00DE25AD" w:rsidRDefault="006C51D3" w:rsidP="006C51D3">
            <w:pPr>
              <w:pStyle w:val="ACCESSTableHeaderRow"/>
            </w:pPr>
          </w:p>
        </w:tc>
        <w:tc>
          <w:tcPr>
            <w:tcW w:w="1068" w:type="dxa"/>
            <w:shd w:val="clear" w:color="auto" w:fill="auto"/>
            <w:tcMar>
              <w:left w:w="57" w:type="dxa"/>
            </w:tcMar>
            <w:vAlign w:val="bottom"/>
          </w:tcPr>
          <w:p w14:paraId="4C9C43AD" w14:textId="77777777" w:rsidR="006C51D3" w:rsidRPr="00DE25AD" w:rsidRDefault="006C51D3" w:rsidP="006C51D3">
            <w:pPr>
              <w:pStyle w:val="ASSAD2017ACCESSBody1"/>
            </w:pPr>
            <w:r w:rsidRPr="00DE25AD">
              <w:t>Total</w:t>
            </w:r>
          </w:p>
        </w:tc>
        <w:tc>
          <w:tcPr>
            <w:tcW w:w="878" w:type="dxa"/>
            <w:shd w:val="clear" w:color="auto" w:fill="auto"/>
          </w:tcPr>
          <w:p w14:paraId="21DD27BB" w14:textId="4DAC9E8E" w:rsidR="006C51D3" w:rsidRPr="00DE25AD" w:rsidRDefault="006C51D3" w:rsidP="006C51D3">
            <w:pPr>
              <w:pStyle w:val="ASSADACCESStablecentre"/>
            </w:pPr>
            <w:r w:rsidRPr="002E5727">
              <w:rPr>
                <w:bCs w:val="0"/>
                <w:color w:val="000000"/>
              </w:rPr>
              <w:t>17</w:t>
            </w:r>
          </w:p>
        </w:tc>
        <w:tc>
          <w:tcPr>
            <w:tcW w:w="879" w:type="dxa"/>
            <w:shd w:val="clear" w:color="auto" w:fill="auto"/>
          </w:tcPr>
          <w:p w14:paraId="3C49E948" w14:textId="724B9C54" w:rsidR="006C51D3" w:rsidRPr="00DE25AD" w:rsidRDefault="006C51D3" w:rsidP="006C51D3">
            <w:pPr>
              <w:pStyle w:val="ASSADACCESStablecentre"/>
            </w:pPr>
            <w:r w:rsidRPr="002E5727">
              <w:rPr>
                <w:bCs w:val="0"/>
                <w:color w:val="000000"/>
              </w:rPr>
              <w:t>17</w:t>
            </w:r>
          </w:p>
        </w:tc>
        <w:tc>
          <w:tcPr>
            <w:tcW w:w="879" w:type="dxa"/>
            <w:shd w:val="clear" w:color="auto" w:fill="auto"/>
          </w:tcPr>
          <w:p w14:paraId="7A873968" w14:textId="59B92E30" w:rsidR="006C51D3" w:rsidRPr="00DE25AD" w:rsidRDefault="006C51D3" w:rsidP="006C51D3">
            <w:pPr>
              <w:pStyle w:val="ASSADACCESStablecentre"/>
            </w:pPr>
            <w:r w:rsidRPr="002E5727">
              <w:rPr>
                <w:bCs w:val="0"/>
                <w:color w:val="000000"/>
              </w:rPr>
              <w:t>14^</w:t>
            </w:r>
          </w:p>
        </w:tc>
        <w:tc>
          <w:tcPr>
            <w:tcW w:w="879" w:type="dxa"/>
            <w:shd w:val="clear" w:color="auto" w:fill="auto"/>
          </w:tcPr>
          <w:p w14:paraId="30B24B36" w14:textId="302DC207" w:rsidR="006C51D3" w:rsidRPr="00DE25AD" w:rsidRDefault="006C51D3" w:rsidP="006C51D3">
            <w:pPr>
              <w:pStyle w:val="ASSADACCESStablecentre"/>
            </w:pPr>
            <w:r w:rsidRPr="002E5727">
              <w:rPr>
                <w:bCs w:val="0"/>
                <w:color w:val="000000"/>
              </w:rPr>
              <w:t>11*^</w:t>
            </w:r>
          </w:p>
        </w:tc>
        <w:tc>
          <w:tcPr>
            <w:tcW w:w="879" w:type="dxa"/>
            <w:shd w:val="clear" w:color="auto" w:fill="auto"/>
          </w:tcPr>
          <w:p w14:paraId="42FC16FB" w14:textId="6679512B" w:rsidR="006C51D3" w:rsidRPr="00DE25AD" w:rsidRDefault="006C51D3" w:rsidP="006C51D3">
            <w:pPr>
              <w:pStyle w:val="ASSADACCESStablecentre"/>
            </w:pPr>
            <w:r w:rsidRPr="002E5727">
              <w:rPr>
                <w:bCs w:val="0"/>
                <w:color w:val="000000"/>
              </w:rPr>
              <w:t>14^</w:t>
            </w:r>
          </w:p>
        </w:tc>
        <w:tc>
          <w:tcPr>
            <w:tcW w:w="879" w:type="dxa"/>
            <w:shd w:val="clear" w:color="auto" w:fill="auto"/>
          </w:tcPr>
          <w:p w14:paraId="5C0A7625" w14:textId="572BDB87" w:rsidR="006C51D3" w:rsidRPr="00DE25AD" w:rsidRDefault="006C51D3" w:rsidP="006C51D3">
            <w:pPr>
              <w:pStyle w:val="ASSADACCESStablecentre"/>
            </w:pPr>
            <w:r w:rsidRPr="002E5727">
              <w:rPr>
                <w:bCs w:val="0"/>
                <w:color w:val="000000"/>
              </w:rPr>
              <w:t>13*^</w:t>
            </w:r>
          </w:p>
        </w:tc>
        <w:tc>
          <w:tcPr>
            <w:tcW w:w="879" w:type="dxa"/>
            <w:shd w:val="clear" w:color="auto" w:fill="auto"/>
          </w:tcPr>
          <w:p w14:paraId="186356EA" w14:textId="48919C04" w:rsidR="006C51D3" w:rsidRPr="00DE25AD" w:rsidRDefault="006C51D3" w:rsidP="006C51D3">
            <w:pPr>
              <w:pStyle w:val="ASSADACCESStablecentre"/>
            </w:pPr>
            <w:r w:rsidRPr="002E5727">
              <w:rPr>
                <w:bCs w:val="0"/>
                <w:color w:val="000000"/>
              </w:rPr>
              <w:t>12*^</w:t>
            </w:r>
          </w:p>
        </w:tc>
        <w:tc>
          <w:tcPr>
            <w:tcW w:w="879" w:type="dxa"/>
            <w:shd w:val="clear" w:color="auto" w:fill="auto"/>
          </w:tcPr>
          <w:p w14:paraId="360A10F2" w14:textId="151B145B" w:rsidR="006C51D3" w:rsidRPr="00DE25AD" w:rsidRDefault="006C51D3" w:rsidP="006C51D3">
            <w:pPr>
              <w:pStyle w:val="ASSADACCESStablecentre"/>
            </w:pPr>
            <w:r w:rsidRPr="002E5727">
              <w:rPr>
                <w:bCs w:val="0"/>
                <w:color w:val="000000"/>
              </w:rPr>
              <w:t>1</w:t>
            </w:r>
            <w:r>
              <w:rPr>
                <w:bCs w:val="0"/>
                <w:color w:val="000000"/>
              </w:rPr>
              <w:t>5</w:t>
            </w:r>
          </w:p>
        </w:tc>
      </w:tr>
      <w:tr w:rsidR="006C51D3" w:rsidRPr="00DE25AD" w14:paraId="348EE44B" w14:textId="77777777" w:rsidTr="005F678B">
        <w:tc>
          <w:tcPr>
            <w:tcW w:w="1517" w:type="dxa"/>
            <w:tcMar>
              <w:left w:w="57" w:type="dxa"/>
            </w:tcMar>
          </w:tcPr>
          <w:p w14:paraId="111FE122" w14:textId="77777777" w:rsidR="006C51D3" w:rsidRPr="00DE25AD" w:rsidRDefault="006C51D3" w:rsidP="006C51D3">
            <w:pPr>
              <w:pStyle w:val="ACCESSTableHeaderRow"/>
            </w:pPr>
            <w:r w:rsidRPr="00DE25AD">
              <w:t xml:space="preserve">Past </w:t>
            </w:r>
            <w:r>
              <w:t>year</w:t>
            </w:r>
          </w:p>
        </w:tc>
        <w:tc>
          <w:tcPr>
            <w:tcW w:w="1068" w:type="dxa"/>
            <w:shd w:val="clear" w:color="auto" w:fill="auto"/>
            <w:tcMar>
              <w:left w:w="57" w:type="dxa"/>
            </w:tcMar>
            <w:vAlign w:val="bottom"/>
          </w:tcPr>
          <w:p w14:paraId="0F0C9F29" w14:textId="77777777" w:rsidR="006C51D3" w:rsidRPr="00DE25AD" w:rsidRDefault="006C51D3" w:rsidP="006C51D3">
            <w:pPr>
              <w:pStyle w:val="ASSAD2017ACCESSBody1"/>
            </w:pPr>
            <w:r w:rsidRPr="00DE25AD">
              <w:t>Male</w:t>
            </w:r>
          </w:p>
        </w:tc>
        <w:tc>
          <w:tcPr>
            <w:tcW w:w="878" w:type="dxa"/>
            <w:shd w:val="clear" w:color="auto" w:fill="auto"/>
          </w:tcPr>
          <w:p w14:paraId="72429825" w14:textId="4AE8A4CD" w:rsidR="006C51D3" w:rsidRPr="00DE25AD" w:rsidRDefault="006C51D3" w:rsidP="006C51D3">
            <w:pPr>
              <w:pStyle w:val="ASSADACCESStablecentre"/>
            </w:pPr>
            <w:r w:rsidRPr="002E5727">
              <w:rPr>
                <w:bCs w:val="0"/>
                <w:color w:val="000000"/>
              </w:rPr>
              <w:t>11</w:t>
            </w:r>
          </w:p>
        </w:tc>
        <w:tc>
          <w:tcPr>
            <w:tcW w:w="879" w:type="dxa"/>
            <w:shd w:val="clear" w:color="auto" w:fill="auto"/>
          </w:tcPr>
          <w:p w14:paraId="7FD3C2BE" w14:textId="5A0719B9" w:rsidR="006C51D3" w:rsidRPr="00DE25AD" w:rsidRDefault="006C51D3" w:rsidP="006C51D3">
            <w:pPr>
              <w:pStyle w:val="ASSADACCESStablecentre"/>
            </w:pPr>
            <w:r w:rsidRPr="002E5727">
              <w:rPr>
                <w:bCs w:val="0"/>
                <w:color w:val="000000"/>
              </w:rPr>
              <w:t>11</w:t>
            </w:r>
          </w:p>
        </w:tc>
        <w:tc>
          <w:tcPr>
            <w:tcW w:w="879" w:type="dxa"/>
            <w:shd w:val="clear" w:color="auto" w:fill="auto"/>
          </w:tcPr>
          <w:p w14:paraId="79E2E43D" w14:textId="5D72B276" w:rsidR="006C51D3" w:rsidRPr="00DE25AD" w:rsidRDefault="006C51D3" w:rsidP="006C51D3">
            <w:pPr>
              <w:pStyle w:val="ASSADACCESStablecentre"/>
            </w:pPr>
            <w:r w:rsidRPr="002E5727">
              <w:rPr>
                <w:bCs w:val="0"/>
                <w:color w:val="000000"/>
              </w:rPr>
              <w:t>8*^</w:t>
            </w:r>
          </w:p>
        </w:tc>
        <w:tc>
          <w:tcPr>
            <w:tcW w:w="879" w:type="dxa"/>
            <w:shd w:val="clear" w:color="auto" w:fill="auto"/>
          </w:tcPr>
          <w:p w14:paraId="105AE3AF" w14:textId="1435340F" w:rsidR="006C51D3" w:rsidRPr="00DE25AD" w:rsidRDefault="006C51D3" w:rsidP="006C51D3">
            <w:pPr>
              <w:pStyle w:val="ASSADACCESStablecentre"/>
            </w:pPr>
            <w:r w:rsidRPr="002E5727">
              <w:rPr>
                <w:bCs w:val="0"/>
                <w:color w:val="000000"/>
              </w:rPr>
              <w:t>7*^</w:t>
            </w:r>
          </w:p>
        </w:tc>
        <w:tc>
          <w:tcPr>
            <w:tcW w:w="879" w:type="dxa"/>
            <w:shd w:val="clear" w:color="auto" w:fill="auto"/>
          </w:tcPr>
          <w:p w14:paraId="09DD7D3B" w14:textId="581AD919" w:rsidR="006C51D3" w:rsidRPr="00DE25AD" w:rsidRDefault="006C51D3" w:rsidP="006C51D3">
            <w:pPr>
              <w:pStyle w:val="ASSADACCESStablecentre"/>
            </w:pPr>
            <w:r w:rsidRPr="002E5727">
              <w:rPr>
                <w:bCs w:val="0"/>
                <w:color w:val="000000"/>
              </w:rPr>
              <w:t>10</w:t>
            </w:r>
          </w:p>
        </w:tc>
        <w:tc>
          <w:tcPr>
            <w:tcW w:w="879" w:type="dxa"/>
            <w:shd w:val="clear" w:color="auto" w:fill="auto"/>
          </w:tcPr>
          <w:p w14:paraId="1119ECF2" w14:textId="19077006" w:rsidR="006C51D3" w:rsidRPr="00DE25AD" w:rsidRDefault="006C51D3" w:rsidP="006C51D3">
            <w:pPr>
              <w:pStyle w:val="ASSADACCESStablecentre"/>
            </w:pPr>
            <w:r w:rsidRPr="002E5727">
              <w:rPr>
                <w:bCs w:val="0"/>
                <w:color w:val="000000"/>
              </w:rPr>
              <w:t>9</w:t>
            </w:r>
          </w:p>
        </w:tc>
        <w:tc>
          <w:tcPr>
            <w:tcW w:w="879" w:type="dxa"/>
            <w:shd w:val="clear" w:color="auto" w:fill="auto"/>
          </w:tcPr>
          <w:p w14:paraId="2AA3AF58" w14:textId="4D6144C9" w:rsidR="006C51D3" w:rsidRPr="00DE25AD" w:rsidRDefault="006C51D3" w:rsidP="006C51D3">
            <w:pPr>
              <w:pStyle w:val="ASSADACCESStablecentre"/>
            </w:pPr>
            <w:r w:rsidRPr="002E5727">
              <w:rPr>
                <w:bCs w:val="0"/>
                <w:color w:val="000000"/>
              </w:rPr>
              <w:t>8*^</w:t>
            </w:r>
          </w:p>
        </w:tc>
        <w:tc>
          <w:tcPr>
            <w:tcW w:w="879" w:type="dxa"/>
            <w:shd w:val="clear" w:color="auto" w:fill="auto"/>
          </w:tcPr>
          <w:p w14:paraId="648A9BFB" w14:textId="2798AC1C" w:rsidR="006C51D3" w:rsidRPr="00DE25AD" w:rsidRDefault="006C51D3" w:rsidP="006C51D3">
            <w:pPr>
              <w:pStyle w:val="ASSADACCESStablecentre"/>
            </w:pPr>
            <w:r w:rsidRPr="002E5727">
              <w:rPr>
                <w:bCs w:val="0"/>
                <w:color w:val="000000"/>
              </w:rPr>
              <w:t>12</w:t>
            </w:r>
          </w:p>
        </w:tc>
      </w:tr>
      <w:tr w:rsidR="006C51D3" w:rsidRPr="00DE25AD" w14:paraId="664A9822" w14:textId="77777777" w:rsidTr="005F678B">
        <w:tc>
          <w:tcPr>
            <w:tcW w:w="1517" w:type="dxa"/>
            <w:tcMar>
              <w:left w:w="57" w:type="dxa"/>
            </w:tcMar>
          </w:tcPr>
          <w:p w14:paraId="68D8F19A" w14:textId="77777777" w:rsidR="006C51D3" w:rsidRPr="00DE25AD" w:rsidRDefault="006C51D3" w:rsidP="006C51D3">
            <w:pPr>
              <w:pStyle w:val="ACCESSTableHeaderRow"/>
            </w:pPr>
          </w:p>
        </w:tc>
        <w:tc>
          <w:tcPr>
            <w:tcW w:w="1068" w:type="dxa"/>
            <w:shd w:val="clear" w:color="auto" w:fill="auto"/>
            <w:tcMar>
              <w:left w:w="57" w:type="dxa"/>
            </w:tcMar>
            <w:vAlign w:val="bottom"/>
          </w:tcPr>
          <w:p w14:paraId="65B99169" w14:textId="77777777" w:rsidR="006C51D3" w:rsidRPr="00DE25AD" w:rsidRDefault="006C51D3" w:rsidP="006C51D3">
            <w:pPr>
              <w:pStyle w:val="ASSAD2017ACCESSBody1"/>
            </w:pPr>
            <w:r w:rsidRPr="00DE25AD">
              <w:t>Female</w:t>
            </w:r>
          </w:p>
        </w:tc>
        <w:tc>
          <w:tcPr>
            <w:tcW w:w="878" w:type="dxa"/>
            <w:shd w:val="clear" w:color="auto" w:fill="auto"/>
          </w:tcPr>
          <w:p w14:paraId="1B0C5BA3" w14:textId="270F86E4" w:rsidR="006C51D3" w:rsidRPr="00DE25AD" w:rsidRDefault="006C51D3" w:rsidP="006C51D3">
            <w:pPr>
              <w:pStyle w:val="ASSADACCESStablecentre"/>
            </w:pPr>
            <w:r w:rsidRPr="002E5727">
              <w:rPr>
                <w:bCs w:val="0"/>
                <w:color w:val="000000"/>
              </w:rPr>
              <w:t>9</w:t>
            </w:r>
          </w:p>
        </w:tc>
        <w:tc>
          <w:tcPr>
            <w:tcW w:w="879" w:type="dxa"/>
            <w:shd w:val="clear" w:color="auto" w:fill="auto"/>
          </w:tcPr>
          <w:p w14:paraId="442444AC" w14:textId="19B68EB4" w:rsidR="006C51D3" w:rsidRPr="00DE25AD" w:rsidRDefault="006C51D3" w:rsidP="006C51D3">
            <w:pPr>
              <w:pStyle w:val="ASSADACCESStablecentre"/>
            </w:pPr>
            <w:r w:rsidRPr="002E5727">
              <w:rPr>
                <w:bCs w:val="0"/>
                <w:color w:val="000000"/>
              </w:rPr>
              <w:t>10</w:t>
            </w:r>
          </w:p>
        </w:tc>
        <w:tc>
          <w:tcPr>
            <w:tcW w:w="879" w:type="dxa"/>
            <w:shd w:val="clear" w:color="auto" w:fill="auto"/>
          </w:tcPr>
          <w:p w14:paraId="3E6B46C3" w14:textId="0B8D59DF" w:rsidR="006C51D3" w:rsidRPr="00DE25AD" w:rsidRDefault="006C51D3" w:rsidP="006C51D3">
            <w:pPr>
              <w:pStyle w:val="ASSADACCESStablecentre"/>
            </w:pPr>
            <w:r w:rsidRPr="002E5727">
              <w:rPr>
                <w:bCs w:val="0"/>
                <w:color w:val="000000"/>
              </w:rPr>
              <w:t>9</w:t>
            </w:r>
          </w:p>
        </w:tc>
        <w:tc>
          <w:tcPr>
            <w:tcW w:w="879" w:type="dxa"/>
            <w:shd w:val="clear" w:color="auto" w:fill="auto"/>
          </w:tcPr>
          <w:p w14:paraId="34867D3C" w14:textId="48BD889E" w:rsidR="006C51D3" w:rsidRPr="00DE25AD" w:rsidRDefault="006C51D3" w:rsidP="006C51D3">
            <w:pPr>
              <w:pStyle w:val="ASSADACCESStablecentre"/>
            </w:pPr>
            <w:r w:rsidRPr="002E5727">
              <w:rPr>
                <w:bCs w:val="0"/>
                <w:color w:val="000000"/>
              </w:rPr>
              <w:t>8*</w:t>
            </w:r>
          </w:p>
        </w:tc>
        <w:tc>
          <w:tcPr>
            <w:tcW w:w="879" w:type="dxa"/>
            <w:shd w:val="clear" w:color="auto" w:fill="auto"/>
          </w:tcPr>
          <w:p w14:paraId="267F2AD5" w14:textId="2A2EEF9D" w:rsidR="006C51D3" w:rsidRPr="00DE25AD" w:rsidRDefault="006C51D3" w:rsidP="006C51D3">
            <w:pPr>
              <w:pStyle w:val="ASSADACCESStablecentre"/>
            </w:pPr>
            <w:r w:rsidRPr="002E5727">
              <w:rPr>
                <w:bCs w:val="0"/>
                <w:color w:val="000000"/>
              </w:rPr>
              <w:t>9</w:t>
            </w:r>
          </w:p>
        </w:tc>
        <w:tc>
          <w:tcPr>
            <w:tcW w:w="879" w:type="dxa"/>
            <w:shd w:val="clear" w:color="auto" w:fill="auto"/>
          </w:tcPr>
          <w:p w14:paraId="779B0484" w14:textId="65AB282F" w:rsidR="006C51D3" w:rsidRPr="00DE25AD" w:rsidRDefault="006C51D3" w:rsidP="006C51D3">
            <w:pPr>
              <w:pStyle w:val="ASSADACCESStablecentre"/>
            </w:pPr>
            <w:r w:rsidRPr="002E5727">
              <w:rPr>
                <w:bCs w:val="0"/>
                <w:color w:val="000000"/>
              </w:rPr>
              <w:t>8*</w:t>
            </w:r>
          </w:p>
        </w:tc>
        <w:tc>
          <w:tcPr>
            <w:tcW w:w="879" w:type="dxa"/>
            <w:shd w:val="clear" w:color="auto" w:fill="auto"/>
          </w:tcPr>
          <w:p w14:paraId="110945AD" w14:textId="72317E38" w:rsidR="006C51D3" w:rsidRPr="00DE25AD" w:rsidRDefault="006C51D3" w:rsidP="006C51D3">
            <w:pPr>
              <w:pStyle w:val="ASSADACCESStablecentre"/>
            </w:pPr>
            <w:r w:rsidRPr="002E5727">
              <w:rPr>
                <w:bCs w:val="0"/>
                <w:color w:val="000000"/>
              </w:rPr>
              <w:t>7</w:t>
            </w:r>
          </w:p>
        </w:tc>
        <w:tc>
          <w:tcPr>
            <w:tcW w:w="879" w:type="dxa"/>
            <w:shd w:val="clear" w:color="auto" w:fill="auto"/>
          </w:tcPr>
          <w:p w14:paraId="2BC2ABEE" w14:textId="6FC420CE" w:rsidR="006C51D3" w:rsidRPr="00DE25AD" w:rsidRDefault="006C51D3" w:rsidP="006C51D3">
            <w:pPr>
              <w:pStyle w:val="ASSADACCESStablecentre"/>
            </w:pPr>
            <w:r w:rsidRPr="002E5727">
              <w:rPr>
                <w:bCs w:val="0"/>
                <w:color w:val="000000"/>
              </w:rPr>
              <w:t>10</w:t>
            </w:r>
          </w:p>
        </w:tc>
      </w:tr>
      <w:tr w:rsidR="006C51D3" w:rsidRPr="00DE25AD" w14:paraId="4AEC4084" w14:textId="77777777" w:rsidTr="005F678B">
        <w:tc>
          <w:tcPr>
            <w:tcW w:w="1517" w:type="dxa"/>
            <w:tcMar>
              <w:left w:w="57" w:type="dxa"/>
            </w:tcMar>
          </w:tcPr>
          <w:p w14:paraId="56BB45EA" w14:textId="77777777" w:rsidR="006C51D3" w:rsidRPr="00DE25AD" w:rsidRDefault="006C51D3" w:rsidP="006C51D3">
            <w:pPr>
              <w:pStyle w:val="ACCESSTableHeaderRow"/>
            </w:pPr>
          </w:p>
        </w:tc>
        <w:tc>
          <w:tcPr>
            <w:tcW w:w="1068" w:type="dxa"/>
            <w:shd w:val="clear" w:color="auto" w:fill="auto"/>
            <w:tcMar>
              <w:left w:w="57" w:type="dxa"/>
            </w:tcMar>
            <w:vAlign w:val="bottom"/>
          </w:tcPr>
          <w:p w14:paraId="6975FB9F" w14:textId="77777777" w:rsidR="006C51D3" w:rsidRPr="00DE25AD" w:rsidRDefault="006C51D3" w:rsidP="006C51D3">
            <w:pPr>
              <w:pStyle w:val="ASSAD2017ACCESSBody1"/>
            </w:pPr>
            <w:r w:rsidRPr="00DE25AD">
              <w:t>Total</w:t>
            </w:r>
          </w:p>
        </w:tc>
        <w:tc>
          <w:tcPr>
            <w:tcW w:w="878" w:type="dxa"/>
            <w:shd w:val="clear" w:color="auto" w:fill="auto"/>
          </w:tcPr>
          <w:p w14:paraId="6E42E5E4" w14:textId="522B5F6B" w:rsidR="006C51D3" w:rsidRPr="00DE25AD" w:rsidRDefault="006C51D3" w:rsidP="006C51D3">
            <w:pPr>
              <w:pStyle w:val="ASSADACCESStablecentre"/>
            </w:pPr>
            <w:r w:rsidRPr="002E5727">
              <w:rPr>
                <w:bCs w:val="0"/>
                <w:color w:val="000000"/>
              </w:rPr>
              <w:t>10</w:t>
            </w:r>
          </w:p>
        </w:tc>
        <w:tc>
          <w:tcPr>
            <w:tcW w:w="879" w:type="dxa"/>
            <w:shd w:val="clear" w:color="auto" w:fill="auto"/>
          </w:tcPr>
          <w:p w14:paraId="177A4195" w14:textId="64F86AF4" w:rsidR="006C51D3" w:rsidRPr="00DE25AD" w:rsidRDefault="006C51D3" w:rsidP="006C51D3">
            <w:pPr>
              <w:pStyle w:val="ASSADACCESStablecentre"/>
            </w:pPr>
            <w:r w:rsidRPr="002E5727">
              <w:rPr>
                <w:bCs w:val="0"/>
                <w:color w:val="000000"/>
              </w:rPr>
              <w:t>10</w:t>
            </w:r>
          </w:p>
        </w:tc>
        <w:tc>
          <w:tcPr>
            <w:tcW w:w="879" w:type="dxa"/>
            <w:shd w:val="clear" w:color="auto" w:fill="auto"/>
          </w:tcPr>
          <w:p w14:paraId="4832BE61" w14:textId="292BFFBD" w:rsidR="006C51D3" w:rsidRPr="00DE25AD" w:rsidRDefault="006C51D3" w:rsidP="006C51D3">
            <w:pPr>
              <w:pStyle w:val="ASSADACCESStablecentre"/>
            </w:pPr>
            <w:r w:rsidRPr="002E5727">
              <w:rPr>
                <w:bCs w:val="0"/>
                <w:color w:val="000000"/>
              </w:rPr>
              <w:t>8*</w:t>
            </w:r>
          </w:p>
        </w:tc>
        <w:tc>
          <w:tcPr>
            <w:tcW w:w="879" w:type="dxa"/>
            <w:shd w:val="clear" w:color="auto" w:fill="auto"/>
          </w:tcPr>
          <w:p w14:paraId="5DBE737E" w14:textId="17FEBB1F" w:rsidR="006C51D3" w:rsidRPr="00DE25AD" w:rsidRDefault="006C51D3" w:rsidP="006C51D3">
            <w:pPr>
              <w:pStyle w:val="ASSADACCESStablecentre"/>
            </w:pPr>
            <w:r>
              <w:rPr>
                <w:bCs w:val="0"/>
                <w:color w:val="000000"/>
              </w:rPr>
              <w:t>7</w:t>
            </w:r>
            <w:r w:rsidRPr="002E5727">
              <w:rPr>
                <w:bCs w:val="0"/>
                <w:color w:val="000000"/>
              </w:rPr>
              <w:t>*^</w:t>
            </w:r>
          </w:p>
        </w:tc>
        <w:tc>
          <w:tcPr>
            <w:tcW w:w="879" w:type="dxa"/>
            <w:shd w:val="clear" w:color="auto" w:fill="auto"/>
          </w:tcPr>
          <w:p w14:paraId="6E6183F5" w14:textId="225D565A" w:rsidR="006C51D3" w:rsidRPr="00DE25AD" w:rsidRDefault="006C51D3" w:rsidP="006C51D3">
            <w:pPr>
              <w:pStyle w:val="ASSADACCESStablecentre"/>
            </w:pPr>
            <w:r w:rsidRPr="002E5727">
              <w:rPr>
                <w:bCs w:val="0"/>
                <w:color w:val="000000"/>
              </w:rPr>
              <w:t>10</w:t>
            </w:r>
          </w:p>
        </w:tc>
        <w:tc>
          <w:tcPr>
            <w:tcW w:w="879" w:type="dxa"/>
            <w:shd w:val="clear" w:color="auto" w:fill="auto"/>
          </w:tcPr>
          <w:p w14:paraId="2E105061" w14:textId="71C6761C" w:rsidR="006C51D3" w:rsidRPr="00DE25AD" w:rsidRDefault="006C51D3" w:rsidP="006C51D3">
            <w:pPr>
              <w:pStyle w:val="ASSADACCESStablecentre"/>
            </w:pPr>
            <w:r w:rsidRPr="002E5727">
              <w:rPr>
                <w:bCs w:val="0"/>
                <w:color w:val="000000"/>
              </w:rPr>
              <w:t>8*</w:t>
            </w:r>
          </w:p>
        </w:tc>
        <w:tc>
          <w:tcPr>
            <w:tcW w:w="879" w:type="dxa"/>
            <w:shd w:val="clear" w:color="auto" w:fill="auto"/>
          </w:tcPr>
          <w:p w14:paraId="42E8752D" w14:textId="65AE11F2" w:rsidR="006C51D3" w:rsidRPr="00DE25AD" w:rsidRDefault="006C51D3" w:rsidP="006C51D3">
            <w:pPr>
              <w:pStyle w:val="ASSADACCESStablecentre"/>
            </w:pPr>
            <w:r w:rsidRPr="002E5727">
              <w:rPr>
                <w:bCs w:val="0"/>
                <w:color w:val="000000"/>
              </w:rPr>
              <w:t>8*^</w:t>
            </w:r>
          </w:p>
        </w:tc>
        <w:tc>
          <w:tcPr>
            <w:tcW w:w="879" w:type="dxa"/>
            <w:shd w:val="clear" w:color="auto" w:fill="auto"/>
          </w:tcPr>
          <w:p w14:paraId="6AE41450" w14:textId="61F361D4" w:rsidR="006C51D3" w:rsidRPr="00DE25AD" w:rsidRDefault="006C51D3" w:rsidP="006C51D3">
            <w:pPr>
              <w:pStyle w:val="ASSADACCESStablecentre"/>
            </w:pPr>
            <w:r w:rsidRPr="002E5727">
              <w:rPr>
                <w:bCs w:val="0"/>
                <w:color w:val="000000"/>
              </w:rPr>
              <w:t>11</w:t>
            </w:r>
          </w:p>
        </w:tc>
      </w:tr>
      <w:tr w:rsidR="006C51D3" w:rsidRPr="00DE25AD" w14:paraId="74C48DCA" w14:textId="77777777" w:rsidTr="005F678B">
        <w:trPr>
          <w:trHeight w:val="247"/>
        </w:trPr>
        <w:tc>
          <w:tcPr>
            <w:tcW w:w="1517" w:type="dxa"/>
            <w:tcMar>
              <w:left w:w="57" w:type="dxa"/>
            </w:tcMar>
          </w:tcPr>
          <w:p w14:paraId="6473E0BE" w14:textId="77777777" w:rsidR="006C51D3" w:rsidRPr="00DE25AD" w:rsidRDefault="006C51D3" w:rsidP="006C51D3">
            <w:pPr>
              <w:pStyle w:val="ACCESSTableHeaderRow"/>
            </w:pPr>
            <w:r w:rsidRPr="00DE25AD">
              <w:t xml:space="preserve">Past </w:t>
            </w:r>
            <w:r>
              <w:t>month</w:t>
            </w:r>
          </w:p>
        </w:tc>
        <w:tc>
          <w:tcPr>
            <w:tcW w:w="1068" w:type="dxa"/>
            <w:shd w:val="clear" w:color="auto" w:fill="auto"/>
            <w:tcMar>
              <w:left w:w="57" w:type="dxa"/>
            </w:tcMar>
            <w:vAlign w:val="bottom"/>
          </w:tcPr>
          <w:p w14:paraId="4C81BC3A" w14:textId="77777777" w:rsidR="006C51D3" w:rsidRPr="00DE25AD" w:rsidRDefault="006C51D3" w:rsidP="006C51D3">
            <w:pPr>
              <w:pStyle w:val="ASSAD2017ACCESSBody1"/>
            </w:pPr>
            <w:r w:rsidRPr="00DE25AD">
              <w:t>Male</w:t>
            </w:r>
          </w:p>
        </w:tc>
        <w:tc>
          <w:tcPr>
            <w:tcW w:w="878" w:type="dxa"/>
            <w:shd w:val="clear" w:color="auto" w:fill="auto"/>
          </w:tcPr>
          <w:p w14:paraId="281EE9CB" w14:textId="50FCF7F4" w:rsidR="006C51D3" w:rsidRPr="00DE25AD" w:rsidRDefault="006C51D3" w:rsidP="006C51D3">
            <w:pPr>
              <w:pStyle w:val="ASSADACCESStablecentre"/>
            </w:pPr>
            <w:r w:rsidRPr="002E5727">
              <w:rPr>
                <w:bCs w:val="0"/>
                <w:color w:val="000000"/>
              </w:rPr>
              <w:t>5</w:t>
            </w:r>
          </w:p>
        </w:tc>
        <w:tc>
          <w:tcPr>
            <w:tcW w:w="879" w:type="dxa"/>
            <w:shd w:val="clear" w:color="auto" w:fill="auto"/>
          </w:tcPr>
          <w:p w14:paraId="44FBD9BA" w14:textId="13C121BC" w:rsidR="006C51D3" w:rsidRPr="00DE25AD" w:rsidRDefault="006C51D3" w:rsidP="006C51D3">
            <w:pPr>
              <w:pStyle w:val="ASSADACCESStablecentre"/>
            </w:pPr>
            <w:r w:rsidRPr="002E5727">
              <w:rPr>
                <w:bCs w:val="0"/>
                <w:color w:val="000000"/>
              </w:rPr>
              <w:t>5</w:t>
            </w:r>
          </w:p>
        </w:tc>
        <w:tc>
          <w:tcPr>
            <w:tcW w:w="879" w:type="dxa"/>
            <w:shd w:val="clear" w:color="auto" w:fill="auto"/>
          </w:tcPr>
          <w:p w14:paraId="0CDC8B44" w14:textId="7337F7D2" w:rsidR="006C51D3" w:rsidRPr="00DE25AD" w:rsidRDefault="006C51D3" w:rsidP="006C51D3">
            <w:pPr>
              <w:pStyle w:val="ASSADACCESStablecentre"/>
            </w:pPr>
            <w:r w:rsidRPr="002E5727">
              <w:rPr>
                <w:bCs w:val="0"/>
                <w:color w:val="000000"/>
              </w:rPr>
              <w:t>4</w:t>
            </w:r>
          </w:p>
        </w:tc>
        <w:tc>
          <w:tcPr>
            <w:tcW w:w="879" w:type="dxa"/>
            <w:shd w:val="clear" w:color="auto" w:fill="auto"/>
          </w:tcPr>
          <w:p w14:paraId="03D76941" w14:textId="452B1AEA" w:rsidR="006C51D3" w:rsidRPr="00DE25AD" w:rsidRDefault="006C51D3" w:rsidP="006C51D3">
            <w:pPr>
              <w:pStyle w:val="ASSADACCESStablecentre"/>
            </w:pPr>
            <w:r w:rsidRPr="002E5727">
              <w:rPr>
                <w:bCs w:val="0"/>
                <w:color w:val="000000"/>
              </w:rPr>
              <w:t>4*</w:t>
            </w:r>
          </w:p>
        </w:tc>
        <w:tc>
          <w:tcPr>
            <w:tcW w:w="879" w:type="dxa"/>
            <w:shd w:val="clear" w:color="auto" w:fill="auto"/>
          </w:tcPr>
          <w:p w14:paraId="79ED82E7" w14:textId="21B464F1" w:rsidR="006C51D3" w:rsidRPr="00DE25AD" w:rsidRDefault="006C51D3" w:rsidP="006C51D3">
            <w:pPr>
              <w:pStyle w:val="ASSADACCESStablecentre"/>
            </w:pPr>
            <w:r w:rsidRPr="002E5727">
              <w:rPr>
                <w:bCs w:val="0"/>
                <w:color w:val="000000"/>
              </w:rPr>
              <w:t>5</w:t>
            </w:r>
          </w:p>
        </w:tc>
        <w:tc>
          <w:tcPr>
            <w:tcW w:w="879" w:type="dxa"/>
            <w:shd w:val="clear" w:color="auto" w:fill="auto"/>
          </w:tcPr>
          <w:p w14:paraId="27C3E323" w14:textId="2091348A" w:rsidR="006C51D3" w:rsidRPr="00DE25AD" w:rsidRDefault="006C51D3" w:rsidP="006C51D3">
            <w:pPr>
              <w:pStyle w:val="ASSADACCESStablecentre"/>
            </w:pPr>
            <w:r w:rsidRPr="002E5727">
              <w:rPr>
                <w:bCs w:val="0"/>
                <w:color w:val="000000"/>
              </w:rPr>
              <w:t>4</w:t>
            </w:r>
          </w:p>
        </w:tc>
        <w:tc>
          <w:tcPr>
            <w:tcW w:w="879" w:type="dxa"/>
            <w:shd w:val="clear" w:color="auto" w:fill="auto"/>
          </w:tcPr>
          <w:p w14:paraId="20ED7C13" w14:textId="7D995471" w:rsidR="006C51D3" w:rsidRPr="00DE25AD" w:rsidRDefault="006C51D3" w:rsidP="006C51D3">
            <w:pPr>
              <w:pStyle w:val="ASSADACCESStablecentre"/>
            </w:pPr>
            <w:r w:rsidRPr="002E5727">
              <w:rPr>
                <w:bCs w:val="0"/>
                <w:color w:val="000000"/>
              </w:rPr>
              <w:t>4</w:t>
            </w:r>
          </w:p>
        </w:tc>
        <w:tc>
          <w:tcPr>
            <w:tcW w:w="879" w:type="dxa"/>
            <w:shd w:val="clear" w:color="auto" w:fill="auto"/>
          </w:tcPr>
          <w:p w14:paraId="51BDADE2" w14:textId="7E4969BC" w:rsidR="006C51D3" w:rsidRPr="00DE25AD" w:rsidRDefault="006C51D3" w:rsidP="006C51D3">
            <w:pPr>
              <w:pStyle w:val="ASSADACCESStablecentre"/>
            </w:pPr>
            <w:r w:rsidRPr="002E5727">
              <w:rPr>
                <w:bCs w:val="0"/>
                <w:color w:val="000000"/>
              </w:rPr>
              <w:t>6</w:t>
            </w:r>
          </w:p>
        </w:tc>
      </w:tr>
      <w:tr w:rsidR="006C51D3" w:rsidRPr="00DE25AD" w14:paraId="45676243" w14:textId="77777777" w:rsidTr="005F678B">
        <w:trPr>
          <w:trHeight w:val="247"/>
        </w:trPr>
        <w:tc>
          <w:tcPr>
            <w:tcW w:w="1517" w:type="dxa"/>
            <w:tcMar>
              <w:left w:w="57" w:type="dxa"/>
            </w:tcMar>
          </w:tcPr>
          <w:p w14:paraId="338084A8" w14:textId="77777777" w:rsidR="006C51D3" w:rsidRPr="00DE25AD" w:rsidRDefault="006C51D3" w:rsidP="006C51D3">
            <w:pPr>
              <w:pStyle w:val="ACCESSTableHeaderRow"/>
            </w:pPr>
          </w:p>
        </w:tc>
        <w:tc>
          <w:tcPr>
            <w:tcW w:w="1068" w:type="dxa"/>
            <w:shd w:val="clear" w:color="auto" w:fill="auto"/>
            <w:tcMar>
              <w:left w:w="57" w:type="dxa"/>
            </w:tcMar>
            <w:vAlign w:val="bottom"/>
          </w:tcPr>
          <w:p w14:paraId="646DE7B0" w14:textId="77777777" w:rsidR="006C51D3" w:rsidRPr="00DE25AD" w:rsidRDefault="006C51D3" w:rsidP="006C51D3">
            <w:pPr>
              <w:pStyle w:val="ASSAD2017ACCESSBody1"/>
            </w:pPr>
            <w:r w:rsidRPr="00DE25AD">
              <w:t>Female</w:t>
            </w:r>
          </w:p>
        </w:tc>
        <w:tc>
          <w:tcPr>
            <w:tcW w:w="878" w:type="dxa"/>
            <w:shd w:val="clear" w:color="auto" w:fill="auto"/>
          </w:tcPr>
          <w:p w14:paraId="675E2FCA" w14:textId="616A46B5" w:rsidR="006C51D3" w:rsidRPr="00DE25AD" w:rsidRDefault="006C51D3" w:rsidP="006C51D3">
            <w:pPr>
              <w:pStyle w:val="ASSADACCESStablecentre"/>
            </w:pPr>
            <w:r w:rsidRPr="002E5727">
              <w:rPr>
                <w:bCs w:val="0"/>
                <w:color w:val="000000"/>
              </w:rPr>
              <w:t>3*</w:t>
            </w:r>
          </w:p>
        </w:tc>
        <w:tc>
          <w:tcPr>
            <w:tcW w:w="879" w:type="dxa"/>
            <w:shd w:val="clear" w:color="auto" w:fill="auto"/>
          </w:tcPr>
          <w:p w14:paraId="235C44F5" w14:textId="45277FDF" w:rsidR="006C51D3" w:rsidRPr="00DE25AD" w:rsidRDefault="006C51D3" w:rsidP="006C51D3">
            <w:pPr>
              <w:pStyle w:val="ASSADACCESStablecentre"/>
            </w:pPr>
            <w:r w:rsidRPr="002E5727">
              <w:rPr>
                <w:bCs w:val="0"/>
                <w:color w:val="000000"/>
              </w:rPr>
              <w:t>4*</w:t>
            </w:r>
          </w:p>
        </w:tc>
        <w:tc>
          <w:tcPr>
            <w:tcW w:w="879" w:type="dxa"/>
            <w:shd w:val="clear" w:color="auto" w:fill="auto"/>
          </w:tcPr>
          <w:p w14:paraId="25CE260D" w14:textId="176159FE" w:rsidR="006C51D3" w:rsidRPr="00DE25AD" w:rsidRDefault="006C51D3" w:rsidP="006C51D3">
            <w:pPr>
              <w:pStyle w:val="ASSADACCESStablecentre"/>
            </w:pPr>
            <w:r w:rsidRPr="002E5727">
              <w:rPr>
                <w:bCs w:val="0"/>
                <w:color w:val="000000"/>
              </w:rPr>
              <w:t>5^</w:t>
            </w:r>
          </w:p>
        </w:tc>
        <w:tc>
          <w:tcPr>
            <w:tcW w:w="879" w:type="dxa"/>
            <w:shd w:val="clear" w:color="auto" w:fill="auto"/>
          </w:tcPr>
          <w:p w14:paraId="7096794A" w14:textId="0CC61FCC" w:rsidR="006C51D3" w:rsidRPr="00DE25AD" w:rsidRDefault="006C51D3" w:rsidP="006C51D3">
            <w:pPr>
              <w:pStyle w:val="ASSADACCESStablecentre"/>
            </w:pPr>
            <w:r w:rsidRPr="002E5727">
              <w:rPr>
                <w:bCs w:val="0"/>
                <w:color w:val="000000"/>
              </w:rPr>
              <w:t>3*</w:t>
            </w:r>
          </w:p>
        </w:tc>
        <w:tc>
          <w:tcPr>
            <w:tcW w:w="879" w:type="dxa"/>
            <w:shd w:val="clear" w:color="auto" w:fill="auto"/>
          </w:tcPr>
          <w:p w14:paraId="57B81167" w14:textId="27BE8344" w:rsidR="006C51D3" w:rsidRPr="00DE25AD" w:rsidRDefault="006C51D3" w:rsidP="006C51D3">
            <w:pPr>
              <w:pStyle w:val="ASSADACCESStablecentre"/>
            </w:pPr>
            <w:r w:rsidRPr="002E5727">
              <w:rPr>
                <w:bCs w:val="0"/>
                <w:color w:val="000000"/>
              </w:rPr>
              <w:t>4*</w:t>
            </w:r>
          </w:p>
        </w:tc>
        <w:tc>
          <w:tcPr>
            <w:tcW w:w="879" w:type="dxa"/>
            <w:shd w:val="clear" w:color="auto" w:fill="auto"/>
          </w:tcPr>
          <w:p w14:paraId="4B8090A2" w14:textId="52BE9D58" w:rsidR="006C51D3" w:rsidRPr="00DE25AD" w:rsidRDefault="006C51D3" w:rsidP="006C51D3">
            <w:pPr>
              <w:pStyle w:val="ASSADACCESStablecentre"/>
            </w:pPr>
            <w:r w:rsidRPr="002E5727">
              <w:rPr>
                <w:bCs w:val="0"/>
                <w:color w:val="000000"/>
              </w:rPr>
              <w:t>4*</w:t>
            </w:r>
          </w:p>
        </w:tc>
        <w:tc>
          <w:tcPr>
            <w:tcW w:w="879" w:type="dxa"/>
            <w:shd w:val="clear" w:color="auto" w:fill="auto"/>
          </w:tcPr>
          <w:p w14:paraId="1E396621" w14:textId="75A72A68" w:rsidR="006C51D3" w:rsidRPr="00DE25AD" w:rsidRDefault="006C51D3" w:rsidP="006C51D3">
            <w:pPr>
              <w:pStyle w:val="ASSADACCESStablecentre"/>
            </w:pPr>
            <w:r w:rsidRPr="002E5727">
              <w:rPr>
                <w:bCs w:val="0"/>
                <w:color w:val="000000"/>
              </w:rPr>
              <w:t>4</w:t>
            </w:r>
          </w:p>
        </w:tc>
        <w:tc>
          <w:tcPr>
            <w:tcW w:w="879" w:type="dxa"/>
            <w:shd w:val="clear" w:color="auto" w:fill="auto"/>
          </w:tcPr>
          <w:p w14:paraId="1B0FBA36" w14:textId="2912D823" w:rsidR="006C51D3" w:rsidRPr="00DE25AD" w:rsidRDefault="006C51D3" w:rsidP="006C51D3">
            <w:pPr>
              <w:pStyle w:val="ASSADACCESStablecentre"/>
            </w:pPr>
            <w:r w:rsidRPr="002E5727">
              <w:rPr>
                <w:bCs w:val="0"/>
                <w:color w:val="000000"/>
              </w:rPr>
              <w:t>6^</w:t>
            </w:r>
          </w:p>
        </w:tc>
      </w:tr>
      <w:tr w:rsidR="006C51D3" w:rsidRPr="00DE25AD" w14:paraId="0FEABAB7" w14:textId="77777777" w:rsidTr="005F678B">
        <w:trPr>
          <w:trHeight w:val="247"/>
        </w:trPr>
        <w:tc>
          <w:tcPr>
            <w:tcW w:w="1517" w:type="dxa"/>
            <w:tcMar>
              <w:left w:w="57" w:type="dxa"/>
            </w:tcMar>
          </w:tcPr>
          <w:p w14:paraId="2A318A78" w14:textId="77777777" w:rsidR="006C51D3" w:rsidRPr="00DE25AD" w:rsidRDefault="006C51D3" w:rsidP="006C51D3">
            <w:pPr>
              <w:pStyle w:val="ACCESSTableHeaderRow"/>
            </w:pPr>
          </w:p>
        </w:tc>
        <w:tc>
          <w:tcPr>
            <w:tcW w:w="1068" w:type="dxa"/>
            <w:shd w:val="clear" w:color="auto" w:fill="auto"/>
            <w:tcMar>
              <w:left w:w="57" w:type="dxa"/>
            </w:tcMar>
            <w:vAlign w:val="bottom"/>
          </w:tcPr>
          <w:p w14:paraId="4999E72C" w14:textId="77777777" w:rsidR="006C51D3" w:rsidRPr="00DE25AD" w:rsidRDefault="006C51D3" w:rsidP="006C51D3">
            <w:pPr>
              <w:pStyle w:val="ASSAD2017ACCESSBody1"/>
            </w:pPr>
            <w:r w:rsidRPr="00DE25AD">
              <w:t>Total</w:t>
            </w:r>
          </w:p>
        </w:tc>
        <w:tc>
          <w:tcPr>
            <w:tcW w:w="878" w:type="dxa"/>
            <w:shd w:val="clear" w:color="auto" w:fill="auto"/>
          </w:tcPr>
          <w:p w14:paraId="30466B10" w14:textId="52FA7009" w:rsidR="006C51D3" w:rsidRPr="00DE25AD" w:rsidRDefault="006C51D3" w:rsidP="006C51D3">
            <w:pPr>
              <w:pStyle w:val="ASSADACCESStablecentre"/>
            </w:pPr>
            <w:r w:rsidRPr="002E5727">
              <w:rPr>
                <w:bCs w:val="0"/>
                <w:color w:val="000000"/>
              </w:rPr>
              <w:t>4*</w:t>
            </w:r>
          </w:p>
        </w:tc>
        <w:tc>
          <w:tcPr>
            <w:tcW w:w="879" w:type="dxa"/>
            <w:shd w:val="clear" w:color="auto" w:fill="auto"/>
          </w:tcPr>
          <w:p w14:paraId="188603C1" w14:textId="6CA8E162" w:rsidR="006C51D3" w:rsidRPr="00DE25AD" w:rsidRDefault="006C51D3" w:rsidP="006C51D3">
            <w:pPr>
              <w:pStyle w:val="ASSADACCESStablecentre"/>
            </w:pPr>
            <w:r w:rsidRPr="002E5727">
              <w:rPr>
                <w:bCs w:val="0"/>
                <w:color w:val="000000"/>
              </w:rPr>
              <w:t>4</w:t>
            </w:r>
          </w:p>
        </w:tc>
        <w:tc>
          <w:tcPr>
            <w:tcW w:w="879" w:type="dxa"/>
            <w:shd w:val="clear" w:color="auto" w:fill="auto"/>
          </w:tcPr>
          <w:p w14:paraId="684ACCC4" w14:textId="25DB5DD2" w:rsidR="006C51D3" w:rsidRPr="00DE25AD" w:rsidRDefault="006C51D3" w:rsidP="006C51D3">
            <w:pPr>
              <w:pStyle w:val="ASSADACCESStablecentre"/>
            </w:pPr>
            <w:r w:rsidRPr="002E5727">
              <w:rPr>
                <w:bCs w:val="0"/>
                <w:color w:val="000000"/>
              </w:rPr>
              <w:t>4</w:t>
            </w:r>
          </w:p>
        </w:tc>
        <w:tc>
          <w:tcPr>
            <w:tcW w:w="879" w:type="dxa"/>
            <w:shd w:val="clear" w:color="auto" w:fill="auto"/>
          </w:tcPr>
          <w:p w14:paraId="189E6A40" w14:textId="6BAB0672" w:rsidR="006C51D3" w:rsidRPr="00DE25AD" w:rsidRDefault="006C51D3" w:rsidP="006C51D3">
            <w:pPr>
              <w:pStyle w:val="ASSADACCESStablecentre"/>
            </w:pPr>
            <w:r w:rsidRPr="002E5727">
              <w:rPr>
                <w:bCs w:val="0"/>
                <w:color w:val="000000"/>
              </w:rPr>
              <w:t>3*</w:t>
            </w:r>
          </w:p>
        </w:tc>
        <w:tc>
          <w:tcPr>
            <w:tcW w:w="879" w:type="dxa"/>
            <w:shd w:val="clear" w:color="auto" w:fill="auto"/>
          </w:tcPr>
          <w:p w14:paraId="105ED412" w14:textId="1B23365B" w:rsidR="006C51D3" w:rsidRPr="00DE25AD" w:rsidRDefault="006C51D3" w:rsidP="006C51D3">
            <w:pPr>
              <w:pStyle w:val="ASSADACCESStablecentre"/>
            </w:pPr>
            <w:r w:rsidRPr="002E5727">
              <w:rPr>
                <w:bCs w:val="0"/>
                <w:color w:val="000000"/>
              </w:rPr>
              <w:t>5</w:t>
            </w:r>
          </w:p>
        </w:tc>
        <w:tc>
          <w:tcPr>
            <w:tcW w:w="879" w:type="dxa"/>
            <w:shd w:val="clear" w:color="auto" w:fill="auto"/>
          </w:tcPr>
          <w:p w14:paraId="20FA8092" w14:textId="30E90D1D" w:rsidR="006C51D3" w:rsidRPr="00DE25AD" w:rsidRDefault="006C51D3" w:rsidP="006C51D3">
            <w:pPr>
              <w:pStyle w:val="ASSADACCESStablecentre"/>
            </w:pPr>
            <w:r w:rsidRPr="002E5727">
              <w:rPr>
                <w:bCs w:val="0"/>
                <w:color w:val="000000"/>
              </w:rPr>
              <w:t>4*</w:t>
            </w:r>
          </w:p>
        </w:tc>
        <w:tc>
          <w:tcPr>
            <w:tcW w:w="879" w:type="dxa"/>
            <w:shd w:val="clear" w:color="auto" w:fill="auto"/>
          </w:tcPr>
          <w:p w14:paraId="45232633" w14:textId="77A8D305" w:rsidR="006C51D3" w:rsidRPr="00DE25AD" w:rsidRDefault="006C51D3" w:rsidP="006C51D3">
            <w:pPr>
              <w:pStyle w:val="ASSADACCESStablecentre"/>
            </w:pPr>
            <w:r w:rsidRPr="002E5727">
              <w:rPr>
                <w:bCs w:val="0"/>
                <w:color w:val="000000"/>
              </w:rPr>
              <w:t>4*</w:t>
            </w:r>
          </w:p>
        </w:tc>
        <w:tc>
          <w:tcPr>
            <w:tcW w:w="879" w:type="dxa"/>
            <w:shd w:val="clear" w:color="auto" w:fill="auto"/>
          </w:tcPr>
          <w:p w14:paraId="707D3F1A" w14:textId="22B45D94" w:rsidR="006C51D3" w:rsidRPr="00DE25AD" w:rsidRDefault="006C51D3" w:rsidP="006C51D3">
            <w:pPr>
              <w:pStyle w:val="ASSADACCESStablecentre"/>
            </w:pPr>
            <w:r w:rsidRPr="002E5727">
              <w:rPr>
                <w:bCs w:val="0"/>
                <w:color w:val="000000"/>
              </w:rPr>
              <w:t>6^</w:t>
            </w:r>
          </w:p>
        </w:tc>
      </w:tr>
      <w:tr w:rsidR="006C51D3" w:rsidRPr="00DE25AD" w14:paraId="34180DA1" w14:textId="77777777" w:rsidTr="005F678B">
        <w:tc>
          <w:tcPr>
            <w:tcW w:w="1517" w:type="dxa"/>
            <w:tcMar>
              <w:left w:w="57" w:type="dxa"/>
            </w:tcMar>
          </w:tcPr>
          <w:p w14:paraId="3B09B21B" w14:textId="77777777" w:rsidR="006C51D3" w:rsidRDefault="006C51D3" w:rsidP="006C51D3">
            <w:pPr>
              <w:pStyle w:val="ACCESSTableHeaderRow"/>
            </w:pPr>
            <w:r>
              <w:t>Aged 12-17</w:t>
            </w:r>
          </w:p>
        </w:tc>
        <w:tc>
          <w:tcPr>
            <w:tcW w:w="1068" w:type="dxa"/>
            <w:shd w:val="clear" w:color="auto" w:fill="auto"/>
            <w:tcMar>
              <w:left w:w="57" w:type="dxa"/>
            </w:tcMar>
            <w:vAlign w:val="center"/>
          </w:tcPr>
          <w:p w14:paraId="7E02956A" w14:textId="77777777" w:rsidR="006C51D3" w:rsidRPr="00DE25AD" w:rsidRDefault="006C51D3" w:rsidP="006C51D3">
            <w:pPr>
              <w:pStyle w:val="ASSAD2017ACCESSBody1"/>
            </w:pPr>
          </w:p>
        </w:tc>
        <w:tc>
          <w:tcPr>
            <w:tcW w:w="878" w:type="dxa"/>
            <w:shd w:val="clear" w:color="auto" w:fill="auto"/>
            <w:vAlign w:val="bottom"/>
          </w:tcPr>
          <w:p w14:paraId="442AFB05" w14:textId="77777777" w:rsidR="006C51D3" w:rsidRPr="00DE25AD" w:rsidRDefault="006C51D3" w:rsidP="006C51D3">
            <w:pPr>
              <w:pStyle w:val="ASSADACCESStablecentre"/>
            </w:pPr>
          </w:p>
        </w:tc>
        <w:tc>
          <w:tcPr>
            <w:tcW w:w="879" w:type="dxa"/>
            <w:shd w:val="clear" w:color="auto" w:fill="auto"/>
            <w:vAlign w:val="bottom"/>
          </w:tcPr>
          <w:p w14:paraId="3FECBDDE" w14:textId="77777777" w:rsidR="006C51D3" w:rsidRPr="00DE25AD" w:rsidRDefault="006C51D3" w:rsidP="006C51D3">
            <w:pPr>
              <w:pStyle w:val="ASSADACCESStablecentre"/>
            </w:pPr>
          </w:p>
        </w:tc>
        <w:tc>
          <w:tcPr>
            <w:tcW w:w="879" w:type="dxa"/>
            <w:shd w:val="clear" w:color="auto" w:fill="auto"/>
            <w:vAlign w:val="bottom"/>
          </w:tcPr>
          <w:p w14:paraId="783CB953" w14:textId="77777777" w:rsidR="006C51D3" w:rsidRPr="00DE25AD" w:rsidRDefault="006C51D3" w:rsidP="006C51D3">
            <w:pPr>
              <w:pStyle w:val="ASSADACCESStablecentre"/>
            </w:pPr>
          </w:p>
        </w:tc>
        <w:tc>
          <w:tcPr>
            <w:tcW w:w="879" w:type="dxa"/>
            <w:shd w:val="clear" w:color="auto" w:fill="auto"/>
            <w:vAlign w:val="bottom"/>
          </w:tcPr>
          <w:p w14:paraId="4C9E9086" w14:textId="77777777" w:rsidR="006C51D3" w:rsidRPr="00DE25AD" w:rsidRDefault="006C51D3" w:rsidP="006C51D3">
            <w:pPr>
              <w:pStyle w:val="ASSADACCESStablecentre"/>
            </w:pPr>
          </w:p>
        </w:tc>
        <w:tc>
          <w:tcPr>
            <w:tcW w:w="879" w:type="dxa"/>
            <w:shd w:val="clear" w:color="auto" w:fill="auto"/>
            <w:vAlign w:val="bottom"/>
          </w:tcPr>
          <w:p w14:paraId="7A1B49C1" w14:textId="77777777" w:rsidR="006C51D3" w:rsidRPr="00DE25AD" w:rsidRDefault="006C51D3" w:rsidP="006C51D3">
            <w:pPr>
              <w:pStyle w:val="ASSADACCESStablecentre"/>
            </w:pPr>
          </w:p>
        </w:tc>
        <w:tc>
          <w:tcPr>
            <w:tcW w:w="879" w:type="dxa"/>
            <w:shd w:val="clear" w:color="auto" w:fill="auto"/>
            <w:vAlign w:val="bottom"/>
          </w:tcPr>
          <w:p w14:paraId="03E97298" w14:textId="77777777" w:rsidR="006C51D3" w:rsidRPr="00DE25AD" w:rsidRDefault="006C51D3" w:rsidP="006C51D3">
            <w:pPr>
              <w:pStyle w:val="ASSADACCESStablecentre"/>
            </w:pPr>
          </w:p>
        </w:tc>
        <w:tc>
          <w:tcPr>
            <w:tcW w:w="879" w:type="dxa"/>
            <w:shd w:val="clear" w:color="auto" w:fill="auto"/>
            <w:vAlign w:val="bottom"/>
          </w:tcPr>
          <w:p w14:paraId="2DDDDFE7" w14:textId="77777777" w:rsidR="006C51D3" w:rsidRPr="00DE25AD" w:rsidRDefault="006C51D3" w:rsidP="006C51D3">
            <w:pPr>
              <w:pStyle w:val="ASSADACCESStablecentre"/>
            </w:pPr>
          </w:p>
        </w:tc>
        <w:tc>
          <w:tcPr>
            <w:tcW w:w="879" w:type="dxa"/>
            <w:shd w:val="clear" w:color="auto" w:fill="auto"/>
            <w:vAlign w:val="bottom"/>
          </w:tcPr>
          <w:p w14:paraId="33E35A9D" w14:textId="77777777" w:rsidR="006C51D3" w:rsidRPr="00DE25AD" w:rsidRDefault="006C51D3" w:rsidP="006C51D3">
            <w:pPr>
              <w:pStyle w:val="ASSADACCESStablecentre"/>
            </w:pPr>
          </w:p>
        </w:tc>
      </w:tr>
      <w:tr w:rsidR="006C51D3" w:rsidRPr="00DE25AD" w14:paraId="50F111FF" w14:textId="77777777" w:rsidTr="005F678B">
        <w:tc>
          <w:tcPr>
            <w:tcW w:w="1517" w:type="dxa"/>
            <w:tcMar>
              <w:left w:w="57" w:type="dxa"/>
            </w:tcMar>
          </w:tcPr>
          <w:p w14:paraId="19CFB61A" w14:textId="77777777" w:rsidR="006C51D3" w:rsidRDefault="006C51D3" w:rsidP="006C51D3">
            <w:pPr>
              <w:pStyle w:val="ACCESSTableHeaderRow"/>
            </w:pPr>
            <w:r w:rsidRPr="00DE25AD">
              <w:t>Recency</w:t>
            </w:r>
          </w:p>
        </w:tc>
        <w:tc>
          <w:tcPr>
            <w:tcW w:w="1068" w:type="dxa"/>
            <w:shd w:val="clear" w:color="auto" w:fill="auto"/>
            <w:tcMar>
              <w:left w:w="57" w:type="dxa"/>
            </w:tcMar>
            <w:vAlign w:val="center"/>
          </w:tcPr>
          <w:p w14:paraId="5089CA67" w14:textId="77777777" w:rsidR="006C51D3" w:rsidRPr="00DE25AD" w:rsidRDefault="006C51D3" w:rsidP="006C51D3">
            <w:pPr>
              <w:pStyle w:val="ASSAD2017ACCESSBody1"/>
            </w:pPr>
            <w:r w:rsidRPr="005C5B03">
              <w:rPr>
                <w:b/>
                <w:bCs w:val="0"/>
              </w:rPr>
              <w:t>Sex</w:t>
            </w:r>
          </w:p>
        </w:tc>
        <w:tc>
          <w:tcPr>
            <w:tcW w:w="878" w:type="dxa"/>
            <w:shd w:val="clear" w:color="auto" w:fill="auto"/>
            <w:vAlign w:val="bottom"/>
          </w:tcPr>
          <w:p w14:paraId="5126ABC8" w14:textId="77777777" w:rsidR="006C51D3" w:rsidRPr="00DE25AD" w:rsidRDefault="006C51D3" w:rsidP="006C51D3">
            <w:pPr>
              <w:pStyle w:val="ASSADACCESStablecentre"/>
            </w:pPr>
          </w:p>
        </w:tc>
        <w:tc>
          <w:tcPr>
            <w:tcW w:w="879" w:type="dxa"/>
            <w:shd w:val="clear" w:color="auto" w:fill="auto"/>
            <w:vAlign w:val="bottom"/>
          </w:tcPr>
          <w:p w14:paraId="5398F3BE" w14:textId="77777777" w:rsidR="006C51D3" w:rsidRPr="00DE25AD" w:rsidRDefault="006C51D3" w:rsidP="006C51D3">
            <w:pPr>
              <w:pStyle w:val="ASSADACCESStablecentre"/>
            </w:pPr>
          </w:p>
        </w:tc>
        <w:tc>
          <w:tcPr>
            <w:tcW w:w="879" w:type="dxa"/>
            <w:shd w:val="clear" w:color="auto" w:fill="auto"/>
            <w:vAlign w:val="bottom"/>
          </w:tcPr>
          <w:p w14:paraId="2DCBA2EE" w14:textId="77777777" w:rsidR="006C51D3" w:rsidRPr="00DE25AD" w:rsidRDefault="006C51D3" w:rsidP="006C51D3">
            <w:pPr>
              <w:pStyle w:val="ASSADACCESStablecentre"/>
            </w:pPr>
          </w:p>
        </w:tc>
        <w:tc>
          <w:tcPr>
            <w:tcW w:w="879" w:type="dxa"/>
            <w:shd w:val="clear" w:color="auto" w:fill="auto"/>
            <w:vAlign w:val="bottom"/>
          </w:tcPr>
          <w:p w14:paraId="7836554E" w14:textId="77777777" w:rsidR="006C51D3" w:rsidRPr="00DE25AD" w:rsidRDefault="006C51D3" w:rsidP="006C51D3">
            <w:pPr>
              <w:pStyle w:val="ASSADACCESStablecentre"/>
            </w:pPr>
          </w:p>
        </w:tc>
        <w:tc>
          <w:tcPr>
            <w:tcW w:w="879" w:type="dxa"/>
            <w:shd w:val="clear" w:color="auto" w:fill="auto"/>
            <w:vAlign w:val="bottom"/>
          </w:tcPr>
          <w:p w14:paraId="5773912A" w14:textId="77777777" w:rsidR="006C51D3" w:rsidRPr="00DE25AD" w:rsidRDefault="006C51D3" w:rsidP="006C51D3">
            <w:pPr>
              <w:pStyle w:val="ASSADACCESStablecentre"/>
            </w:pPr>
          </w:p>
        </w:tc>
        <w:tc>
          <w:tcPr>
            <w:tcW w:w="879" w:type="dxa"/>
            <w:shd w:val="clear" w:color="auto" w:fill="auto"/>
            <w:vAlign w:val="bottom"/>
          </w:tcPr>
          <w:p w14:paraId="0794CD9B" w14:textId="77777777" w:rsidR="006C51D3" w:rsidRPr="00DE25AD" w:rsidRDefault="006C51D3" w:rsidP="006C51D3">
            <w:pPr>
              <w:pStyle w:val="ASSADACCESStablecentre"/>
            </w:pPr>
          </w:p>
        </w:tc>
        <w:tc>
          <w:tcPr>
            <w:tcW w:w="879" w:type="dxa"/>
            <w:shd w:val="clear" w:color="auto" w:fill="auto"/>
            <w:vAlign w:val="bottom"/>
          </w:tcPr>
          <w:p w14:paraId="72A06283" w14:textId="77777777" w:rsidR="006C51D3" w:rsidRPr="00DE25AD" w:rsidRDefault="006C51D3" w:rsidP="006C51D3">
            <w:pPr>
              <w:pStyle w:val="ASSADACCESStablecentre"/>
            </w:pPr>
          </w:p>
        </w:tc>
        <w:tc>
          <w:tcPr>
            <w:tcW w:w="879" w:type="dxa"/>
            <w:shd w:val="clear" w:color="auto" w:fill="auto"/>
            <w:vAlign w:val="bottom"/>
          </w:tcPr>
          <w:p w14:paraId="0DF02611" w14:textId="77777777" w:rsidR="006C51D3" w:rsidRPr="00DE25AD" w:rsidRDefault="006C51D3" w:rsidP="006C51D3">
            <w:pPr>
              <w:pStyle w:val="ASSADACCESStablecentre"/>
            </w:pPr>
          </w:p>
        </w:tc>
      </w:tr>
      <w:tr w:rsidR="006C51D3" w:rsidRPr="00DE25AD" w14:paraId="0CAAB857" w14:textId="77777777" w:rsidTr="00545FF4">
        <w:tc>
          <w:tcPr>
            <w:tcW w:w="1517" w:type="dxa"/>
            <w:tcMar>
              <w:left w:w="57" w:type="dxa"/>
            </w:tcMar>
          </w:tcPr>
          <w:p w14:paraId="4B4C49D7" w14:textId="77777777" w:rsidR="006C51D3" w:rsidRPr="00DE25AD" w:rsidRDefault="006C51D3" w:rsidP="006C51D3">
            <w:pPr>
              <w:pStyle w:val="ACCESSTableHeaderRow"/>
            </w:pPr>
            <w:r>
              <w:t>Lifetime</w:t>
            </w:r>
          </w:p>
        </w:tc>
        <w:tc>
          <w:tcPr>
            <w:tcW w:w="1068" w:type="dxa"/>
            <w:shd w:val="clear" w:color="auto" w:fill="auto"/>
            <w:tcMar>
              <w:left w:w="57" w:type="dxa"/>
            </w:tcMar>
            <w:vAlign w:val="bottom"/>
          </w:tcPr>
          <w:p w14:paraId="48B98DA7" w14:textId="77777777" w:rsidR="006C51D3" w:rsidRPr="00DE25AD" w:rsidRDefault="006C51D3" w:rsidP="006C51D3">
            <w:pPr>
              <w:pStyle w:val="ASSAD2017ACCESSBody1"/>
            </w:pPr>
            <w:r w:rsidRPr="00DE25AD">
              <w:t>Male</w:t>
            </w:r>
          </w:p>
        </w:tc>
        <w:tc>
          <w:tcPr>
            <w:tcW w:w="878" w:type="dxa"/>
            <w:shd w:val="clear" w:color="auto" w:fill="auto"/>
          </w:tcPr>
          <w:p w14:paraId="117C23A0" w14:textId="21B6C4BB" w:rsidR="006C51D3" w:rsidRPr="00DE25AD" w:rsidRDefault="006C51D3" w:rsidP="006C51D3">
            <w:pPr>
              <w:pStyle w:val="ASSADACCESStablecentre"/>
            </w:pPr>
            <w:r w:rsidRPr="002E5727">
              <w:rPr>
                <w:bCs w:val="0"/>
                <w:color w:val="000000"/>
              </w:rPr>
              <w:t>26*</w:t>
            </w:r>
          </w:p>
        </w:tc>
        <w:tc>
          <w:tcPr>
            <w:tcW w:w="879" w:type="dxa"/>
            <w:shd w:val="clear" w:color="auto" w:fill="auto"/>
          </w:tcPr>
          <w:p w14:paraId="626F7070" w14:textId="7BA61053" w:rsidR="006C51D3" w:rsidRPr="00DE25AD" w:rsidRDefault="006C51D3" w:rsidP="006C51D3">
            <w:pPr>
              <w:pStyle w:val="ASSADACCESStablecentre"/>
            </w:pPr>
            <w:r w:rsidRPr="002E5727">
              <w:rPr>
                <w:bCs w:val="0"/>
                <w:color w:val="000000"/>
              </w:rPr>
              <w:t>26*</w:t>
            </w:r>
          </w:p>
        </w:tc>
        <w:tc>
          <w:tcPr>
            <w:tcW w:w="879" w:type="dxa"/>
            <w:shd w:val="clear" w:color="auto" w:fill="auto"/>
          </w:tcPr>
          <w:p w14:paraId="6839652E" w14:textId="2CCD2A8D" w:rsidR="006C51D3" w:rsidRPr="00DE25AD" w:rsidRDefault="006C51D3" w:rsidP="006C51D3">
            <w:pPr>
              <w:pStyle w:val="ASSADACCESStablecentre"/>
            </w:pPr>
            <w:r w:rsidRPr="002E5727">
              <w:rPr>
                <w:bCs w:val="0"/>
                <w:color w:val="000000"/>
              </w:rPr>
              <w:t>20^</w:t>
            </w:r>
          </w:p>
        </w:tc>
        <w:tc>
          <w:tcPr>
            <w:tcW w:w="879" w:type="dxa"/>
            <w:shd w:val="clear" w:color="auto" w:fill="auto"/>
          </w:tcPr>
          <w:p w14:paraId="7CEB9682" w14:textId="55E63A5D" w:rsidR="006C51D3" w:rsidRPr="00DE25AD" w:rsidRDefault="006C51D3" w:rsidP="006C51D3">
            <w:pPr>
              <w:pStyle w:val="ASSADACCESStablecentre"/>
            </w:pPr>
            <w:r w:rsidRPr="002E5727">
              <w:rPr>
                <w:bCs w:val="0"/>
                <w:color w:val="000000"/>
              </w:rPr>
              <w:t>17^</w:t>
            </w:r>
          </w:p>
        </w:tc>
        <w:tc>
          <w:tcPr>
            <w:tcW w:w="879" w:type="dxa"/>
            <w:shd w:val="clear" w:color="auto" w:fill="auto"/>
          </w:tcPr>
          <w:p w14:paraId="74FA02A4" w14:textId="7C59E523" w:rsidR="006C51D3" w:rsidRPr="00DE25AD" w:rsidRDefault="006C51D3" w:rsidP="006C51D3">
            <w:pPr>
              <w:pStyle w:val="ASSADACCESStablecentre"/>
            </w:pPr>
            <w:r w:rsidRPr="002E5727">
              <w:rPr>
                <w:bCs w:val="0"/>
                <w:color w:val="000000"/>
              </w:rPr>
              <w:t>18^</w:t>
            </w:r>
          </w:p>
        </w:tc>
        <w:tc>
          <w:tcPr>
            <w:tcW w:w="879" w:type="dxa"/>
            <w:shd w:val="clear" w:color="auto" w:fill="auto"/>
          </w:tcPr>
          <w:p w14:paraId="364452E0" w14:textId="1FB86A60" w:rsidR="006C51D3" w:rsidRPr="00DE25AD" w:rsidRDefault="006C51D3" w:rsidP="006C51D3">
            <w:pPr>
              <w:pStyle w:val="ASSADACCESStablecentre"/>
            </w:pPr>
            <w:r w:rsidRPr="002E5727">
              <w:rPr>
                <w:bCs w:val="0"/>
                <w:color w:val="000000"/>
              </w:rPr>
              <w:t>16^</w:t>
            </w:r>
          </w:p>
        </w:tc>
        <w:tc>
          <w:tcPr>
            <w:tcW w:w="879" w:type="dxa"/>
            <w:shd w:val="clear" w:color="auto" w:fill="auto"/>
          </w:tcPr>
          <w:p w14:paraId="762C3A9B" w14:textId="00D5A5B1" w:rsidR="006C51D3" w:rsidRPr="00DE25AD" w:rsidRDefault="006C51D3" w:rsidP="006C51D3">
            <w:pPr>
              <w:pStyle w:val="ASSADACCESStablecentre"/>
            </w:pPr>
            <w:r w:rsidRPr="002E5727">
              <w:rPr>
                <w:bCs w:val="0"/>
                <w:color w:val="000000"/>
              </w:rPr>
              <w:t>15*^</w:t>
            </w:r>
          </w:p>
        </w:tc>
        <w:tc>
          <w:tcPr>
            <w:tcW w:w="879" w:type="dxa"/>
            <w:shd w:val="clear" w:color="auto" w:fill="auto"/>
          </w:tcPr>
          <w:p w14:paraId="19D14758" w14:textId="1F422F59" w:rsidR="006C51D3" w:rsidRPr="00DE25AD" w:rsidRDefault="006C51D3" w:rsidP="006C51D3">
            <w:pPr>
              <w:pStyle w:val="ASSADACCESStablecentre"/>
            </w:pPr>
            <w:r w:rsidRPr="002E5727">
              <w:rPr>
                <w:bCs w:val="0"/>
                <w:color w:val="000000"/>
              </w:rPr>
              <w:t>1</w:t>
            </w:r>
            <w:r>
              <w:rPr>
                <w:bCs w:val="0"/>
                <w:color w:val="000000"/>
              </w:rPr>
              <w:t>7</w:t>
            </w:r>
            <w:r w:rsidRPr="002E5727">
              <w:rPr>
                <w:bCs w:val="0"/>
                <w:color w:val="000000"/>
              </w:rPr>
              <w:t>^</w:t>
            </w:r>
          </w:p>
        </w:tc>
      </w:tr>
      <w:tr w:rsidR="006C51D3" w:rsidRPr="00DE25AD" w14:paraId="6DBA0D72" w14:textId="77777777" w:rsidTr="005F678B">
        <w:tc>
          <w:tcPr>
            <w:tcW w:w="1517" w:type="dxa"/>
            <w:tcMar>
              <w:left w:w="57" w:type="dxa"/>
            </w:tcMar>
          </w:tcPr>
          <w:p w14:paraId="0C6E8C05" w14:textId="77777777" w:rsidR="006C51D3" w:rsidRPr="00DE25AD" w:rsidRDefault="006C51D3" w:rsidP="006C51D3">
            <w:pPr>
              <w:pStyle w:val="ACCESSTableHeaderRow"/>
            </w:pPr>
          </w:p>
        </w:tc>
        <w:tc>
          <w:tcPr>
            <w:tcW w:w="1068" w:type="dxa"/>
            <w:shd w:val="clear" w:color="auto" w:fill="auto"/>
            <w:tcMar>
              <w:left w:w="57" w:type="dxa"/>
            </w:tcMar>
            <w:vAlign w:val="bottom"/>
          </w:tcPr>
          <w:p w14:paraId="07FE47F4" w14:textId="77777777" w:rsidR="006C51D3" w:rsidRPr="00DE25AD" w:rsidRDefault="006C51D3" w:rsidP="006C51D3">
            <w:pPr>
              <w:pStyle w:val="ASSAD2017ACCESSBody1"/>
            </w:pPr>
            <w:r w:rsidRPr="00DE25AD">
              <w:t>Female</w:t>
            </w:r>
          </w:p>
        </w:tc>
        <w:tc>
          <w:tcPr>
            <w:tcW w:w="878" w:type="dxa"/>
            <w:shd w:val="clear" w:color="auto" w:fill="auto"/>
          </w:tcPr>
          <w:p w14:paraId="411B0E98" w14:textId="491F3E14" w:rsidR="006C51D3" w:rsidRPr="00DE25AD" w:rsidRDefault="006C51D3" w:rsidP="006C51D3">
            <w:pPr>
              <w:pStyle w:val="ASSADACCESStablecentre"/>
            </w:pPr>
            <w:r w:rsidRPr="002E5727">
              <w:rPr>
                <w:bCs w:val="0"/>
                <w:color w:val="000000"/>
              </w:rPr>
              <w:t>26*</w:t>
            </w:r>
          </w:p>
        </w:tc>
        <w:tc>
          <w:tcPr>
            <w:tcW w:w="879" w:type="dxa"/>
            <w:shd w:val="clear" w:color="auto" w:fill="auto"/>
          </w:tcPr>
          <w:p w14:paraId="460BA47A" w14:textId="4E9D54F4" w:rsidR="006C51D3" w:rsidRPr="00DE25AD" w:rsidRDefault="006C51D3" w:rsidP="006C51D3">
            <w:pPr>
              <w:pStyle w:val="ASSADACCESStablecentre"/>
            </w:pPr>
            <w:r w:rsidRPr="002E5727">
              <w:rPr>
                <w:bCs w:val="0"/>
                <w:color w:val="000000"/>
              </w:rPr>
              <w:t>26*</w:t>
            </w:r>
          </w:p>
        </w:tc>
        <w:tc>
          <w:tcPr>
            <w:tcW w:w="879" w:type="dxa"/>
            <w:shd w:val="clear" w:color="auto" w:fill="auto"/>
          </w:tcPr>
          <w:p w14:paraId="47B1AC32" w14:textId="04D0E1F8" w:rsidR="006C51D3" w:rsidRPr="00DE25AD" w:rsidRDefault="006C51D3" w:rsidP="006C51D3">
            <w:pPr>
              <w:pStyle w:val="ASSADACCESStablecentre"/>
            </w:pPr>
            <w:r w:rsidRPr="002E5727">
              <w:rPr>
                <w:bCs w:val="0"/>
                <w:color w:val="000000"/>
              </w:rPr>
              <w:t>21*^</w:t>
            </w:r>
          </w:p>
        </w:tc>
        <w:tc>
          <w:tcPr>
            <w:tcW w:w="879" w:type="dxa"/>
            <w:shd w:val="clear" w:color="auto" w:fill="auto"/>
          </w:tcPr>
          <w:p w14:paraId="0627C5C5" w14:textId="5C79ABF4" w:rsidR="006C51D3" w:rsidRPr="00DE25AD" w:rsidRDefault="006C51D3" w:rsidP="006C51D3">
            <w:pPr>
              <w:pStyle w:val="ASSADACCESStablecentre"/>
            </w:pPr>
            <w:r w:rsidRPr="002E5727">
              <w:rPr>
                <w:bCs w:val="0"/>
                <w:color w:val="000000"/>
              </w:rPr>
              <w:t>17^</w:t>
            </w:r>
          </w:p>
        </w:tc>
        <w:tc>
          <w:tcPr>
            <w:tcW w:w="879" w:type="dxa"/>
            <w:shd w:val="clear" w:color="auto" w:fill="auto"/>
          </w:tcPr>
          <w:p w14:paraId="3EDAD49C" w14:textId="42C686B5" w:rsidR="006C51D3" w:rsidRPr="00DE25AD" w:rsidRDefault="006C51D3" w:rsidP="006C51D3">
            <w:pPr>
              <w:pStyle w:val="ASSADACCESStablecentre"/>
            </w:pPr>
            <w:r w:rsidRPr="002E5727">
              <w:rPr>
                <w:bCs w:val="0"/>
                <w:color w:val="000000"/>
              </w:rPr>
              <w:t>19^</w:t>
            </w:r>
          </w:p>
        </w:tc>
        <w:tc>
          <w:tcPr>
            <w:tcW w:w="879" w:type="dxa"/>
            <w:shd w:val="clear" w:color="auto" w:fill="auto"/>
          </w:tcPr>
          <w:p w14:paraId="6C1B276E" w14:textId="552AAA24" w:rsidR="006C51D3" w:rsidRPr="00DE25AD" w:rsidRDefault="006C51D3" w:rsidP="006C51D3">
            <w:pPr>
              <w:pStyle w:val="ASSADACCESStablecentre"/>
            </w:pPr>
            <w:r w:rsidRPr="002E5727">
              <w:rPr>
                <w:bCs w:val="0"/>
                <w:color w:val="000000"/>
              </w:rPr>
              <w:t>18^</w:t>
            </w:r>
          </w:p>
        </w:tc>
        <w:tc>
          <w:tcPr>
            <w:tcW w:w="879" w:type="dxa"/>
            <w:shd w:val="clear" w:color="auto" w:fill="auto"/>
          </w:tcPr>
          <w:p w14:paraId="68C4A118" w14:textId="60CDFF7E" w:rsidR="006C51D3" w:rsidRPr="00DE25AD" w:rsidRDefault="006C51D3" w:rsidP="006C51D3">
            <w:pPr>
              <w:pStyle w:val="ASSADACCESStablecentre"/>
            </w:pPr>
            <w:r w:rsidRPr="002E5727">
              <w:rPr>
                <w:bCs w:val="0"/>
                <w:color w:val="000000"/>
              </w:rPr>
              <w:t>17^</w:t>
            </w:r>
          </w:p>
        </w:tc>
        <w:tc>
          <w:tcPr>
            <w:tcW w:w="879" w:type="dxa"/>
            <w:shd w:val="clear" w:color="auto" w:fill="auto"/>
          </w:tcPr>
          <w:p w14:paraId="5A64F28E" w14:textId="59CF6B80" w:rsidR="006C51D3" w:rsidRPr="00DE25AD" w:rsidRDefault="006C51D3" w:rsidP="006C51D3">
            <w:pPr>
              <w:pStyle w:val="ASSADACCESStablecentre"/>
            </w:pPr>
            <w:r w:rsidRPr="002E5727">
              <w:rPr>
                <w:bCs w:val="0"/>
                <w:color w:val="000000"/>
              </w:rPr>
              <w:t>18^</w:t>
            </w:r>
          </w:p>
        </w:tc>
      </w:tr>
      <w:tr w:rsidR="006C51D3" w:rsidRPr="00DE25AD" w14:paraId="5884E125" w14:textId="77777777" w:rsidTr="005F678B">
        <w:trPr>
          <w:trHeight w:val="247"/>
        </w:trPr>
        <w:tc>
          <w:tcPr>
            <w:tcW w:w="1517" w:type="dxa"/>
            <w:tcMar>
              <w:left w:w="57" w:type="dxa"/>
            </w:tcMar>
          </w:tcPr>
          <w:p w14:paraId="15A2C2C8" w14:textId="77777777" w:rsidR="006C51D3" w:rsidRPr="00DE25AD" w:rsidRDefault="006C51D3" w:rsidP="006C51D3">
            <w:pPr>
              <w:pStyle w:val="ACCESSTableHeaderRow"/>
            </w:pPr>
          </w:p>
        </w:tc>
        <w:tc>
          <w:tcPr>
            <w:tcW w:w="1068" w:type="dxa"/>
            <w:shd w:val="clear" w:color="auto" w:fill="auto"/>
            <w:tcMar>
              <w:left w:w="57" w:type="dxa"/>
            </w:tcMar>
            <w:vAlign w:val="bottom"/>
          </w:tcPr>
          <w:p w14:paraId="20172995" w14:textId="77777777" w:rsidR="006C51D3" w:rsidRPr="00DE25AD" w:rsidRDefault="006C51D3" w:rsidP="006C51D3">
            <w:pPr>
              <w:pStyle w:val="ASSAD2017ACCESSBody1"/>
            </w:pPr>
            <w:r w:rsidRPr="00DE25AD">
              <w:t>Total</w:t>
            </w:r>
          </w:p>
        </w:tc>
        <w:tc>
          <w:tcPr>
            <w:tcW w:w="878" w:type="dxa"/>
            <w:shd w:val="clear" w:color="auto" w:fill="auto"/>
          </w:tcPr>
          <w:p w14:paraId="33A2F213" w14:textId="055BE878" w:rsidR="006C51D3" w:rsidRPr="00DE25AD" w:rsidRDefault="006C51D3" w:rsidP="006C51D3">
            <w:pPr>
              <w:pStyle w:val="ASSADACCESStablecentre"/>
            </w:pPr>
            <w:r w:rsidRPr="002E5727">
              <w:rPr>
                <w:bCs w:val="0"/>
                <w:color w:val="000000"/>
              </w:rPr>
              <w:t>26*</w:t>
            </w:r>
          </w:p>
        </w:tc>
        <w:tc>
          <w:tcPr>
            <w:tcW w:w="879" w:type="dxa"/>
            <w:shd w:val="clear" w:color="auto" w:fill="auto"/>
          </w:tcPr>
          <w:p w14:paraId="0D2D9E8B" w14:textId="31F1E457" w:rsidR="006C51D3" w:rsidRPr="00DE25AD" w:rsidRDefault="006C51D3" w:rsidP="006C51D3">
            <w:pPr>
              <w:pStyle w:val="ASSADACCESStablecentre"/>
            </w:pPr>
            <w:r w:rsidRPr="002E5727">
              <w:rPr>
                <w:bCs w:val="0"/>
                <w:color w:val="000000"/>
              </w:rPr>
              <w:t>26*</w:t>
            </w:r>
          </w:p>
        </w:tc>
        <w:tc>
          <w:tcPr>
            <w:tcW w:w="879" w:type="dxa"/>
            <w:shd w:val="clear" w:color="auto" w:fill="auto"/>
          </w:tcPr>
          <w:p w14:paraId="2A27F398" w14:textId="27D19F8B" w:rsidR="006C51D3" w:rsidRPr="00DE25AD" w:rsidRDefault="006C51D3" w:rsidP="006C51D3">
            <w:pPr>
              <w:pStyle w:val="ASSADACCESStablecentre"/>
            </w:pPr>
            <w:r w:rsidRPr="002E5727">
              <w:rPr>
                <w:bCs w:val="0"/>
                <w:color w:val="000000"/>
              </w:rPr>
              <w:t>21*^</w:t>
            </w:r>
          </w:p>
        </w:tc>
        <w:tc>
          <w:tcPr>
            <w:tcW w:w="879" w:type="dxa"/>
            <w:shd w:val="clear" w:color="auto" w:fill="auto"/>
          </w:tcPr>
          <w:p w14:paraId="59B8D16E" w14:textId="2FE26B58" w:rsidR="006C51D3" w:rsidRPr="00DE25AD" w:rsidRDefault="006C51D3" w:rsidP="006C51D3">
            <w:pPr>
              <w:pStyle w:val="ASSADACCESStablecentre"/>
            </w:pPr>
            <w:r w:rsidRPr="002E5727">
              <w:rPr>
                <w:bCs w:val="0"/>
                <w:color w:val="000000"/>
              </w:rPr>
              <w:t>17^</w:t>
            </w:r>
          </w:p>
        </w:tc>
        <w:tc>
          <w:tcPr>
            <w:tcW w:w="879" w:type="dxa"/>
            <w:shd w:val="clear" w:color="auto" w:fill="auto"/>
          </w:tcPr>
          <w:p w14:paraId="2247402E" w14:textId="1C3CCC43" w:rsidR="006C51D3" w:rsidRPr="00DE25AD" w:rsidRDefault="006C51D3" w:rsidP="006C51D3">
            <w:pPr>
              <w:pStyle w:val="ASSADACCESStablecentre"/>
            </w:pPr>
            <w:r w:rsidRPr="002E5727">
              <w:rPr>
                <w:bCs w:val="0"/>
                <w:color w:val="000000"/>
              </w:rPr>
              <w:t>19^</w:t>
            </w:r>
          </w:p>
        </w:tc>
        <w:tc>
          <w:tcPr>
            <w:tcW w:w="879" w:type="dxa"/>
            <w:shd w:val="clear" w:color="auto" w:fill="auto"/>
          </w:tcPr>
          <w:p w14:paraId="2275E8AC" w14:textId="6374F024" w:rsidR="006C51D3" w:rsidRPr="00DE25AD" w:rsidRDefault="006C51D3" w:rsidP="006C51D3">
            <w:pPr>
              <w:pStyle w:val="ASSADACCESStablecentre"/>
            </w:pPr>
            <w:r w:rsidRPr="002E5727">
              <w:rPr>
                <w:bCs w:val="0"/>
                <w:color w:val="000000"/>
              </w:rPr>
              <w:t>17^</w:t>
            </w:r>
          </w:p>
        </w:tc>
        <w:tc>
          <w:tcPr>
            <w:tcW w:w="879" w:type="dxa"/>
            <w:shd w:val="clear" w:color="auto" w:fill="auto"/>
          </w:tcPr>
          <w:p w14:paraId="206BDEA9" w14:textId="182D9210" w:rsidR="006C51D3" w:rsidRPr="00DE25AD" w:rsidRDefault="006C51D3" w:rsidP="006C51D3">
            <w:pPr>
              <w:pStyle w:val="ASSADACCESStablecentre"/>
            </w:pPr>
            <w:r w:rsidRPr="002E5727">
              <w:rPr>
                <w:bCs w:val="0"/>
                <w:color w:val="000000"/>
              </w:rPr>
              <w:t>16</w:t>
            </w:r>
            <w:r>
              <w:rPr>
                <w:bCs w:val="0"/>
                <w:color w:val="000000"/>
              </w:rPr>
              <w:t>*</w:t>
            </w:r>
            <w:r w:rsidRPr="002E5727">
              <w:rPr>
                <w:bCs w:val="0"/>
                <w:color w:val="000000"/>
              </w:rPr>
              <w:t>^</w:t>
            </w:r>
          </w:p>
        </w:tc>
        <w:tc>
          <w:tcPr>
            <w:tcW w:w="879" w:type="dxa"/>
            <w:shd w:val="clear" w:color="auto" w:fill="auto"/>
          </w:tcPr>
          <w:p w14:paraId="6549BA81" w14:textId="27492264" w:rsidR="006C51D3" w:rsidRPr="00DE25AD" w:rsidRDefault="006C51D3" w:rsidP="006C51D3">
            <w:pPr>
              <w:pStyle w:val="ASSADACCESStablecentre"/>
            </w:pPr>
            <w:r w:rsidRPr="002E5727">
              <w:rPr>
                <w:bCs w:val="0"/>
                <w:color w:val="000000"/>
              </w:rPr>
              <w:t>18^</w:t>
            </w:r>
          </w:p>
        </w:tc>
      </w:tr>
      <w:tr w:rsidR="006C51D3" w:rsidRPr="00DE25AD" w14:paraId="54DDAF8A" w14:textId="77777777" w:rsidTr="005F678B">
        <w:tc>
          <w:tcPr>
            <w:tcW w:w="1517" w:type="dxa"/>
            <w:tcMar>
              <w:left w:w="57" w:type="dxa"/>
            </w:tcMar>
          </w:tcPr>
          <w:p w14:paraId="7CBE3310" w14:textId="77777777" w:rsidR="006C51D3" w:rsidRPr="00DE25AD" w:rsidRDefault="006C51D3" w:rsidP="006C51D3">
            <w:pPr>
              <w:pStyle w:val="ACCESSTableHeaderRow"/>
            </w:pPr>
            <w:r w:rsidRPr="00DE25AD">
              <w:t xml:space="preserve">Past </w:t>
            </w:r>
            <w:r>
              <w:t>year</w:t>
            </w:r>
          </w:p>
        </w:tc>
        <w:tc>
          <w:tcPr>
            <w:tcW w:w="1068" w:type="dxa"/>
            <w:shd w:val="clear" w:color="auto" w:fill="auto"/>
            <w:tcMar>
              <w:left w:w="57" w:type="dxa"/>
            </w:tcMar>
            <w:vAlign w:val="bottom"/>
          </w:tcPr>
          <w:p w14:paraId="27B9D8DC" w14:textId="77777777" w:rsidR="006C51D3" w:rsidRPr="00DE25AD" w:rsidRDefault="006C51D3" w:rsidP="006C51D3">
            <w:pPr>
              <w:pStyle w:val="ASSAD2017ACCESSBody1"/>
            </w:pPr>
            <w:r w:rsidRPr="00DE25AD">
              <w:t>Male</w:t>
            </w:r>
          </w:p>
        </w:tc>
        <w:tc>
          <w:tcPr>
            <w:tcW w:w="878" w:type="dxa"/>
            <w:shd w:val="clear" w:color="auto" w:fill="auto"/>
          </w:tcPr>
          <w:p w14:paraId="1FC14711" w14:textId="3BB9211B" w:rsidR="006C51D3" w:rsidRPr="00DE25AD" w:rsidRDefault="006C51D3" w:rsidP="006C51D3">
            <w:pPr>
              <w:pStyle w:val="ASSADACCESStablecentre"/>
            </w:pPr>
            <w:r w:rsidRPr="002E5727">
              <w:rPr>
                <w:bCs w:val="0"/>
                <w:color w:val="000000"/>
              </w:rPr>
              <w:t>19*</w:t>
            </w:r>
          </w:p>
        </w:tc>
        <w:tc>
          <w:tcPr>
            <w:tcW w:w="879" w:type="dxa"/>
            <w:shd w:val="clear" w:color="auto" w:fill="auto"/>
          </w:tcPr>
          <w:p w14:paraId="54D0142B" w14:textId="4837ED4A" w:rsidR="006C51D3" w:rsidRPr="00DE25AD" w:rsidRDefault="006C51D3" w:rsidP="006C51D3">
            <w:pPr>
              <w:pStyle w:val="ASSADACCESStablecentre"/>
            </w:pPr>
            <w:r w:rsidRPr="002E5727">
              <w:rPr>
                <w:bCs w:val="0"/>
                <w:color w:val="000000"/>
              </w:rPr>
              <w:t>19*</w:t>
            </w:r>
          </w:p>
        </w:tc>
        <w:tc>
          <w:tcPr>
            <w:tcW w:w="879" w:type="dxa"/>
            <w:shd w:val="clear" w:color="auto" w:fill="auto"/>
          </w:tcPr>
          <w:p w14:paraId="4DA289EA" w14:textId="2496F99D" w:rsidR="006C51D3" w:rsidRPr="00DE25AD" w:rsidRDefault="006C51D3" w:rsidP="006C51D3">
            <w:pPr>
              <w:pStyle w:val="ASSADACCESStablecentre"/>
            </w:pPr>
            <w:r w:rsidRPr="002E5727">
              <w:rPr>
                <w:bCs w:val="0"/>
                <w:color w:val="000000"/>
              </w:rPr>
              <w:t>14^</w:t>
            </w:r>
          </w:p>
        </w:tc>
        <w:tc>
          <w:tcPr>
            <w:tcW w:w="879" w:type="dxa"/>
            <w:shd w:val="clear" w:color="auto" w:fill="auto"/>
          </w:tcPr>
          <w:p w14:paraId="6F91BD1B" w14:textId="4EF2CBAF" w:rsidR="006C51D3" w:rsidRPr="00DE25AD" w:rsidRDefault="006C51D3" w:rsidP="006C51D3">
            <w:pPr>
              <w:pStyle w:val="ASSADACCESStablecentre"/>
            </w:pPr>
            <w:r w:rsidRPr="002E5727">
              <w:rPr>
                <w:bCs w:val="0"/>
                <w:color w:val="000000"/>
              </w:rPr>
              <w:t>13^</w:t>
            </w:r>
          </w:p>
        </w:tc>
        <w:tc>
          <w:tcPr>
            <w:tcW w:w="879" w:type="dxa"/>
            <w:shd w:val="clear" w:color="auto" w:fill="auto"/>
          </w:tcPr>
          <w:p w14:paraId="4510B29D" w14:textId="537CD5A2" w:rsidR="006C51D3" w:rsidRPr="00DE25AD" w:rsidRDefault="006C51D3" w:rsidP="006C51D3">
            <w:pPr>
              <w:pStyle w:val="ASSADACCESStablecentre"/>
            </w:pPr>
            <w:r w:rsidRPr="002E5727">
              <w:rPr>
                <w:bCs w:val="0"/>
                <w:color w:val="000000"/>
              </w:rPr>
              <w:t>13^</w:t>
            </w:r>
          </w:p>
        </w:tc>
        <w:tc>
          <w:tcPr>
            <w:tcW w:w="879" w:type="dxa"/>
            <w:shd w:val="clear" w:color="auto" w:fill="auto"/>
          </w:tcPr>
          <w:p w14:paraId="2CA109FA" w14:textId="771C989E" w:rsidR="006C51D3" w:rsidRPr="00DE25AD" w:rsidRDefault="006C51D3" w:rsidP="006C51D3">
            <w:pPr>
              <w:pStyle w:val="ASSADACCESStablecentre"/>
            </w:pPr>
            <w:r w:rsidRPr="002E5727">
              <w:rPr>
                <w:bCs w:val="0"/>
                <w:color w:val="000000"/>
              </w:rPr>
              <w:t>11^</w:t>
            </w:r>
          </w:p>
        </w:tc>
        <w:tc>
          <w:tcPr>
            <w:tcW w:w="879" w:type="dxa"/>
            <w:shd w:val="clear" w:color="auto" w:fill="auto"/>
          </w:tcPr>
          <w:p w14:paraId="39088699" w14:textId="1F17CD67" w:rsidR="006C51D3" w:rsidRPr="00DE25AD" w:rsidRDefault="006C51D3" w:rsidP="006C51D3">
            <w:pPr>
              <w:pStyle w:val="ASSADACCESStablecentre"/>
            </w:pPr>
            <w:r w:rsidRPr="002E5727">
              <w:rPr>
                <w:bCs w:val="0"/>
                <w:color w:val="000000"/>
              </w:rPr>
              <w:t>10*^</w:t>
            </w:r>
          </w:p>
        </w:tc>
        <w:tc>
          <w:tcPr>
            <w:tcW w:w="879" w:type="dxa"/>
            <w:shd w:val="clear" w:color="auto" w:fill="auto"/>
          </w:tcPr>
          <w:p w14:paraId="17208010" w14:textId="6F2FA063" w:rsidR="006C51D3" w:rsidRPr="00DE25AD" w:rsidRDefault="006C51D3" w:rsidP="006C51D3">
            <w:pPr>
              <w:pStyle w:val="ASSADACCESStablecentre"/>
            </w:pPr>
            <w:r w:rsidRPr="002E5727">
              <w:rPr>
                <w:bCs w:val="0"/>
                <w:color w:val="000000"/>
              </w:rPr>
              <w:t>13^</w:t>
            </w:r>
          </w:p>
        </w:tc>
      </w:tr>
      <w:tr w:rsidR="006C51D3" w:rsidRPr="00DE25AD" w14:paraId="65E6BBAA" w14:textId="77777777" w:rsidTr="005F678B">
        <w:tc>
          <w:tcPr>
            <w:tcW w:w="1517" w:type="dxa"/>
            <w:tcMar>
              <w:left w:w="57" w:type="dxa"/>
            </w:tcMar>
          </w:tcPr>
          <w:p w14:paraId="57A43725" w14:textId="77777777" w:rsidR="006C51D3" w:rsidRPr="00DE25AD" w:rsidRDefault="006C51D3" w:rsidP="006C51D3">
            <w:pPr>
              <w:pStyle w:val="ACCESSTableHeaderRow"/>
            </w:pPr>
          </w:p>
        </w:tc>
        <w:tc>
          <w:tcPr>
            <w:tcW w:w="1068" w:type="dxa"/>
            <w:shd w:val="clear" w:color="auto" w:fill="auto"/>
            <w:tcMar>
              <w:left w:w="57" w:type="dxa"/>
            </w:tcMar>
            <w:vAlign w:val="bottom"/>
          </w:tcPr>
          <w:p w14:paraId="51E46380" w14:textId="77777777" w:rsidR="006C51D3" w:rsidRPr="00DE25AD" w:rsidRDefault="006C51D3" w:rsidP="006C51D3">
            <w:pPr>
              <w:pStyle w:val="ASSAD2017ACCESSBody1"/>
            </w:pPr>
            <w:r w:rsidRPr="00DE25AD">
              <w:t>Female</w:t>
            </w:r>
          </w:p>
        </w:tc>
        <w:tc>
          <w:tcPr>
            <w:tcW w:w="878" w:type="dxa"/>
            <w:shd w:val="clear" w:color="auto" w:fill="auto"/>
          </w:tcPr>
          <w:p w14:paraId="41CA1644" w14:textId="1128EA1B" w:rsidR="006C51D3" w:rsidRPr="00DE25AD" w:rsidRDefault="006C51D3" w:rsidP="006C51D3">
            <w:pPr>
              <w:pStyle w:val="ASSADACCESStablecentre"/>
            </w:pPr>
            <w:r w:rsidRPr="002E5727">
              <w:rPr>
                <w:bCs w:val="0"/>
                <w:color w:val="000000"/>
              </w:rPr>
              <w:t>19*</w:t>
            </w:r>
          </w:p>
        </w:tc>
        <w:tc>
          <w:tcPr>
            <w:tcW w:w="879" w:type="dxa"/>
            <w:shd w:val="clear" w:color="auto" w:fill="auto"/>
          </w:tcPr>
          <w:p w14:paraId="00C516B5" w14:textId="69A9D643" w:rsidR="006C51D3" w:rsidRPr="00DE25AD" w:rsidRDefault="006C51D3" w:rsidP="006C51D3">
            <w:pPr>
              <w:pStyle w:val="ASSADACCESStablecentre"/>
            </w:pPr>
            <w:r w:rsidRPr="002E5727">
              <w:rPr>
                <w:bCs w:val="0"/>
                <w:color w:val="000000"/>
              </w:rPr>
              <w:t>20*</w:t>
            </w:r>
          </w:p>
        </w:tc>
        <w:tc>
          <w:tcPr>
            <w:tcW w:w="879" w:type="dxa"/>
            <w:shd w:val="clear" w:color="auto" w:fill="auto"/>
          </w:tcPr>
          <w:p w14:paraId="2404D5BA" w14:textId="338DBAFB" w:rsidR="006C51D3" w:rsidRPr="00DE25AD" w:rsidRDefault="006C51D3" w:rsidP="006C51D3">
            <w:pPr>
              <w:pStyle w:val="ASSADACCESStablecentre"/>
            </w:pPr>
            <w:r w:rsidRPr="002E5727">
              <w:rPr>
                <w:bCs w:val="0"/>
                <w:color w:val="000000"/>
              </w:rPr>
              <w:t>16^</w:t>
            </w:r>
          </w:p>
        </w:tc>
        <w:tc>
          <w:tcPr>
            <w:tcW w:w="879" w:type="dxa"/>
            <w:shd w:val="clear" w:color="auto" w:fill="auto"/>
          </w:tcPr>
          <w:p w14:paraId="68880E58" w14:textId="5F4B0593" w:rsidR="006C51D3" w:rsidRPr="00DE25AD" w:rsidRDefault="006C51D3" w:rsidP="006C51D3">
            <w:pPr>
              <w:pStyle w:val="ASSADACCESStablecentre"/>
            </w:pPr>
            <w:r w:rsidRPr="002E5727">
              <w:rPr>
                <w:bCs w:val="0"/>
                <w:color w:val="000000"/>
              </w:rPr>
              <w:t>13^</w:t>
            </w:r>
          </w:p>
        </w:tc>
        <w:tc>
          <w:tcPr>
            <w:tcW w:w="879" w:type="dxa"/>
            <w:shd w:val="clear" w:color="auto" w:fill="auto"/>
          </w:tcPr>
          <w:p w14:paraId="469B4024" w14:textId="5C21C2CD" w:rsidR="006C51D3" w:rsidRPr="00DE25AD" w:rsidRDefault="006C51D3" w:rsidP="006C51D3">
            <w:pPr>
              <w:pStyle w:val="ASSADACCESStablecentre"/>
            </w:pPr>
            <w:r w:rsidRPr="002E5727">
              <w:rPr>
                <w:bCs w:val="0"/>
                <w:color w:val="000000"/>
              </w:rPr>
              <w:t>14^</w:t>
            </w:r>
          </w:p>
        </w:tc>
        <w:tc>
          <w:tcPr>
            <w:tcW w:w="879" w:type="dxa"/>
            <w:shd w:val="clear" w:color="auto" w:fill="auto"/>
          </w:tcPr>
          <w:p w14:paraId="4CF8721B" w14:textId="163B099E" w:rsidR="006C51D3" w:rsidRPr="00DE25AD" w:rsidRDefault="006C51D3" w:rsidP="006C51D3">
            <w:pPr>
              <w:pStyle w:val="ASSADACCESStablecentre"/>
            </w:pPr>
            <w:r w:rsidRPr="002E5727">
              <w:rPr>
                <w:bCs w:val="0"/>
                <w:color w:val="000000"/>
              </w:rPr>
              <w:t>14^</w:t>
            </w:r>
          </w:p>
        </w:tc>
        <w:tc>
          <w:tcPr>
            <w:tcW w:w="879" w:type="dxa"/>
            <w:shd w:val="clear" w:color="auto" w:fill="auto"/>
          </w:tcPr>
          <w:p w14:paraId="723E4528" w14:textId="71ECAF63" w:rsidR="006C51D3" w:rsidRPr="00DE25AD" w:rsidRDefault="006C51D3" w:rsidP="006C51D3">
            <w:pPr>
              <w:pStyle w:val="ASSADACCESStablecentre"/>
            </w:pPr>
            <w:r w:rsidRPr="002E5727">
              <w:rPr>
                <w:bCs w:val="0"/>
                <w:color w:val="000000"/>
              </w:rPr>
              <w:t>12^</w:t>
            </w:r>
          </w:p>
        </w:tc>
        <w:tc>
          <w:tcPr>
            <w:tcW w:w="879" w:type="dxa"/>
            <w:shd w:val="clear" w:color="auto" w:fill="auto"/>
          </w:tcPr>
          <w:p w14:paraId="59EFF715" w14:textId="201163A0" w:rsidR="006C51D3" w:rsidRPr="00DE25AD" w:rsidRDefault="006C51D3" w:rsidP="006C51D3">
            <w:pPr>
              <w:pStyle w:val="ASSADACCESStablecentre"/>
            </w:pPr>
            <w:r w:rsidRPr="002E5727">
              <w:rPr>
                <w:bCs w:val="0"/>
                <w:color w:val="000000"/>
              </w:rPr>
              <w:t>14^</w:t>
            </w:r>
          </w:p>
        </w:tc>
      </w:tr>
      <w:tr w:rsidR="006C51D3" w:rsidRPr="00DE25AD" w14:paraId="334C43C6" w14:textId="77777777" w:rsidTr="005F678B">
        <w:tc>
          <w:tcPr>
            <w:tcW w:w="1517" w:type="dxa"/>
            <w:tcMar>
              <w:left w:w="57" w:type="dxa"/>
            </w:tcMar>
          </w:tcPr>
          <w:p w14:paraId="5FBA5D32" w14:textId="77777777" w:rsidR="006C51D3" w:rsidRPr="00DE25AD" w:rsidRDefault="006C51D3" w:rsidP="006C51D3">
            <w:pPr>
              <w:pStyle w:val="ACCESSTableHeaderRow"/>
            </w:pPr>
          </w:p>
        </w:tc>
        <w:tc>
          <w:tcPr>
            <w:tcW w:w="1068" w:type="dxa"/>
            <w:shd w:val="clear" w:color="auto" w:fill="auto"/>
            <w:tcMar>
              <w:left w:w="57" w:type="dxa"/>
            </w:tcMar>
            <w:vAlign w:val="bottom"/>
          </w:tcPr>
          <w:p w14:paraId="0B962B59" w14:textId="77777777" w:rsidR="006C51D3" w:rsidRPr="00DE25AD" w:rsidRDefault="006C51D3" w:rsidP="006C51D3">
            <w:pPr>
              <w:pStyle w:val="ASSAD2017ACCESSBody1"/>
            </w:pPr>
            <w:r w:rsidRPr="00DE25AD">
              <w:t>Total</w:t>
            </w:r>
          </w:p>
        </w:tc>
        <w:tc>
          <w:tcPr>
            <w:tcW w:w="878" w:type="dxa"/>
            <w:shd w:val="clear" w:color="auto" w:fill="auto"/>
          </w:tcPr>
          <w:p w14:paraId="1B09A331" w14:textId="5627B1F0" w:rsidR="006C51D3" w:rsidRPr="00DE25AD" w:rsidRDefault="006C51D3" w:rsidP="006C51D3">
            <w:pPr>
              <w:pStyle w:val="ASSADACCESStablecentre"/>
            </w:pPr>
            <w:r w:rsidRPr="002E5727">
              <w:rPr>
                <w:bCs w:val="0"/>
                <w:color w:val="000000"/>
              </w:rPr>
              <w:t>19*</w:t>
            </w:r>
          </w:p>
        </w:tc>
        <w:tc>
          <w:tcPr>
            <w:tcW w:w="879" w:type="dxa"/>
            <w:shd w:val="clear" w:color="auto" w:fill="auto"/>
          </w:tcPr>
          <w:p w14:paraId="5BC64892" w14:textId="4BE22299" w:rsidR="006C51D3" w:rsidRPr="00DE25AD" w:rsidRDefault="006C51D3" w:rsidP="006C51D3">
            <w:pPr>
              <w:pStyle w:val="ASSADACCESStablecentre"/>
            </w:pPr>
            <w:r w:rsidRPr="002E5727">
              <w:rPr>
                <w:bCs w:val="0"/>
                <w:color w:val="000000"/>
              </w:rPr>
              <w:t>19*</w:t>
            </w:r>
          </w:p>
        </w:tc>
        <w:tc>
          <w:tcPr>
            <w:tcW w:w="879" w:type="dxa"/>
            <w:shd w:val="clear" w:color="auto" w:fill="auto"/>
          </w:tcPr>
          <w:p w14:paraId="60DAE49A" w14:textId="3D561C54" w:rsidR="006C51D3" w:rsidRPr="00DE25AD" w:rsidRDefault="006C51D3" w:rsidP="006C51D3">
            <w:pPr>
              <w:pStyle w:val="ASSADACCESStablecentre"/>
            </w:pPr>
            <w:r w:rsidRPr="002E5727">
              <w:rPr>
                <w:bCs w:val="0"/>
                <w:color w:val="000000"/>
              </w:rPr>
              <w:t>15^</w:t>
            </w:r>
          </w:p>
        </w:tc>
        <w:tc>
          <w:tcPr>
            <w:tcW w:w="879" w:type="dxa"/>
            <w:shd w:val="clear" w:color="auto" w:fill="auto"/>
          </w:tcPr>
          <w:p w14:paraId="4880C06F" w14:textId="2B8986B4" w:rsidR="006C51D3" w:rsidRPr="00DE25AD" w:rsidRDefault="006C51D3" w:rsidP="006C51D3">
            <w:pPr>
              <w:pStyle w:val="ASSADACCESStablecentre"/>
            </w:pPr>
            <w:r w:rsidRPr="002E5727">
              <w:rPr>
                <w:bCs w:val="0"/>
                <w:color w:val="000000"/>
              </w:rPr>
              <w:t>13^</w:t>
            </w:r>
          </w:p>
        </w:tc>
        <w:tc>
          <w:tcPr>
            <w:tcW w:w="879" w:type="dxa"/>
            <w:shd w:val="clear" w:color="auto" w:fill="auto"/>
          </w:tcPr>
          <w:p w14:paraId="0E635006" w14:textId="5601661B" w:rsidR="006C51D3" w:rsidRPr="00DE25AD" w:rsidRDefault="006C51D3" w:rsidP="006C51D3">
            <w:pPr>
              <w:pStyle w:val="ASSADACCESStablecentre"/>
            </w:pPr>
            <w:r w:rsidRPr="002E5727">
              <w:rPr>
                <w:bCs w:val="0"/>
                <w:color w:val="000000"/>
              </w:rPr>
              <w:t>13^</w:t>
            </w:r>
          </w:p>
        </w:tc>
        <w:tc>
          <w:tcPr>
            <w:tcW w:w="879" w:type="dxa"/>
            <w:shd w:val="clear" w:color="auto" w:fill="auto"/>
          </w:tcPr>
          <w:p w14:paraId="1301A6A9" w14:textId="0EB6F4ED" w:rsidR="006C51D3" w:rsidRPr="00DE25AD" w:rsidRDefault="006C51D3" w:rsidP="006C51D3">
            <w:pPr>
              <w:pStyle w:val="ASSADACCESStablecentre"/>
            </w:pPr>
            <w:r w:rsidRPr="002E5727">
              <w:rPr>
                <w:bCs w:val="0"/>
                <w:color w:val="000000"/>
              </w:rPr>
              <w:t>13^</w:t>
            </w:r>
          </w:p>
        </w:tc>
        <w:tc>
          <w:tcPr>
            <w:tcW w:w="879" w:type="dxa"/>
            <w:shd w:val="clear" w:color="auto" w:fill="auto"/>
          </w:tcPr>
          <w:p w14:paraId="416368E0" w14:textId="1BDED6C8" w:rsidR="006C51D3" w:rsidRPr="00DE25AD" w:rsidRDefault="006C51D3" w:rsidP="006C51D3">
            <w:pPr>
              <w:pStyle w:val="ASSADACCESStablecentre"/>
            </w:pPr>
            <w:r w:rsidRPr="002E5727">
              <w:rPr>
                <w:bCs w:val="0"/>
                <w:color w:val="000000"/>
              </w:rPr>
              <w:t>11*^</w:t>
            </w:r>
          </w:p>
        </w:tc>
        <w:tc>
          <w:tcPr>
            <w:tcW w:w="879" w:type="dxa"/>
            <w:shd w:val="clear" w:color="auto" w:fill="auto"/>
          </w:tcPr>
          <w:p w14:paraId="1DBB3E28" w14:textId="4EE2705A" w:rsidR="006C51D3" w:rsidRPr="00DE25AD" w:rsidRDefault="006C51D3" w:rsidP="006C51D3">
            <w:pPr>
              <w:pStyle w:val="ASSADACCESStablecentre"/>
            </w:pPr>
            <w:r w:rsidRPr="002E5727">
              <w:rPr>
                <w:bCs w:val="0"/>
                <w:color w:val="000000"/>
              </w:rPr>
              <w:t>13^</w:t>
            </w:r>
          </w:p>
        </w:tc>
      </w:tr>
      <w:tr w:rsidR="006C51D3" w:rsidRPr="00DE25AD" w14:paraId="3619BD40" w14:textId="77777777" w:rsidTr="005F678B">
        <w:trPr>
          <w:trHeight w:val="247"/>
        </w:trPr>
        <w:tc>
          <w:tcPr>
            <w:tcW w:w="1517" w:type="dxa"/>
            <w:tcMar>
              <w:left w:w="57" w:type="dxa"/>
            </w:tcMar>
          </w:tcPr>
          <w:p w14:paraId="0FD0C219" w14:textId="77777777" w:rsidR="006C51D3" w:rsidRPr="00DE25AD" w:rsidRDefault="006C51D3" w:rsidP="006C51D3">
            <w:pPr>
              <w:pStyle w:val="ACCESSTableHeaderRow"/>
            </w:pPr>
            <w:r w:rsidRPr="00DE25AD">
              <w:t xml:space="preserve">Past </w:t>
            </w:r>
            <w:r>
              <w:t>month</w:t>
            </w:r>
          </w:p>
        </w:tc>
        <w:tc>
          <w:tcPr>
            <w:tcW w:w="1068" w:type="dxa"/>
            <w:shd w:val="clear" w:color="auto" w:fill="auto"/>
            <w:tcMar>
              <w:left w:w="57" w:type="dxa"/>
            </w:tcMar>
            <w:vAlign w:val="bottom"/>
          </w:tcPr>
          <w:p w14:paraId="56B2F147" w14:textId="77777777" w:rsidR="006C51D3" w:rsidRPr="00DE25AD" w:rsidRDefault="006C51D3" w:rsidP="006C51D3">
            <w:pPr>
              <w:pStyle w:val="ASSAD2017ACCESSBody1"/>
            </w:pPr>
            <w:r w:rsidRPr="00DE25AD">
              <w:t>Male</w:t>
            </w:r>
          </w:p>
        </w:tc>
        <w:tc>
          <w:tcPr>
            <w:tcW w:w="878" w:type="dxa"/>
            <w:shd w:val="clear" w:color="auto" w:fill="auto"/>
          </w:tcPr>
          <w:p w14:paraId="29DF137A" w14:textId="5FFD014A" w:rsidR="006C51D3" w:rsidRPr="00DE25AD" w:rsidRDefault="006C51D3" w:rsidP="006C51D3">
            <w:pPr>
              <w:pStyle w:val="ASSADACCESStablecentre"/>
            </w:pPr>
            <w:r w:rsidRPr="002E5727">
              <w:rPr>
                <w:bCs w:val="0"/>
                <w:color w:val="000000"/>
              </w:rPr>
              <w:t>11*</w:t>
            </w:r>
          </w:p>
        </w:tc>
        <w:tc>
          <w:tcPr>
            <w:tcW w:w="879" w:type="dxa"/>
            <w:shd w:val="clear" w:color="auto" w:fill="auto"/>
          </w:tcPr>
          <w:p w14:paraId="6DFAEB43" w14:textId="0827507F" w:rsidR="006C51D3" w:rsidRPr="00DE25AD" w:rsidRDefault="006C51D3" w:rsidP="006C51D3">
            <w:pPr>
              <w:pStyle w:val="ASSADACCESStablecentre"/>
            </w:pPr>
            <w:r w:rsidRPr="002E5727">
              <w:rPr>
                <w:bCs w:val="0"/>
                <w:color w:val="000000"/>
              </w:rPr>
              <w:t>11*</w:t>
            </w:r>
          </w:p>
        </w:tc>
        <w:tc>
          <w:tcPr>
            <w:tcW w:w="879" w:type="dxa"/>
            <w:shd w:val="clear" w:color="auto" w:fill="auto"/>
          </w:tcPr>
          <w:p w14:paraId="4E204F2B" w14:textId="6747DF17" w:rsidR="006C51D3" w:rsidRPr="00DE25AD" w:rsidRDefault="006C51D3" w:rsidP="006C51D3">
            <w:pPr>
              <w:pStyle w:val="ASSADACCESStablecentre"/>
            </w:pPr>
            <w:r w:rsidRPr="002E5727">
              <w:rPr>
                <w:bCs w:val="0"/>
                <w:color w:val="000000"/>
              </w:rPr>
              <w:t>9*^</w:t>
            </w:r>
          </w:p>
        </w:tc>
        <w:tc>
          <w:tcPr>
            <w:tcW w:w="879" w:type="dxa"/>
            <w:shd w:val="clear" w:color="auto" w:fill="auto"/>
          </w:tcPr>
          <w:p w14:paraId="4889F8C4" w14:textId="4B467615" w:rsidR="006C51D3" w:rsidRPr="00DE25AD" w:rsidRDefault="006C51D3" w:rsidP="006C51D3">
            <w:pPr>
              <w:pStyle w:val="ASSADACCESStablecentre"/>
            </w:pPr>
            <w:r w:rsidRPr="002E5727">
              <w:rPr>
                <w:bCs w:val="0"/>
                <w:color w:val="000000"/>
              </w:rPr>
              <w:t>8^</w:t>
            </w:r>
          </w:p>
        </w:tc>
        <w:tc>
          <w:tcPr>
            <w:tcW w:w="879" w:type="dxa"/>
            <w:shd w:val="clear" w:color="auto" w:fill="auto"/>
          </w:tcPr>
          <w:p w14:paraId="7019505D" w14:textId="692CDFB7" w:rsidR="006C51D3" w:rsidRPr="00DE25AD" w:rsidRDefault="006C51D3" w:rsidP="006C51D3">
            <w:pPr>
              <w:pStyle w:val="ASSADACCESStablecentre"/>
            </w:pPr>
            <w:r w:rsidRPr="002E5727">
              <w:rPr>
                <w:bCs w:val="0"/>
                <w:color w:val="000000"/>
              </w:rPr>
              <w:t>8^</w:t>
            </w:r>
          </w:p>
        </w:tc>
        <w:tc>
          <w:tcPr>
            <w:tcW w:w="879" w:type="dxa"/>
            <w:shd w:val="clear" w:color="auto" w:fill="auto"/>
          </w:tcPr>
          <w:p w14:paraId="162D05D6" w14:textId="798F5262" w:rsidR="006C51D3" w:rsidRPr="00DE25AD" w:rsidRDefault="006C51D3" w:rsidP="006C51D3">
            <w:pPr>
              <w:pStyle w:val="ASSADACCESStablecentre"/>
            </w:pPr>
            <w:r w:rsidRPr="002E5727">
              <w:rPr>
                <w:bCs w:val="0"/>
                <w:color w:val="000000"/>
              </w:rPr>
              <w:t>6^</w:t>
            </w:r>
          </w:p>
        </w:tc>
        <w:tc>
          <w:tcPr>
            <w:tcW w:w="879" w:type="dxa"/>
            <w:shd w:val="clear" w:color="auto" w:fill="auto"/>
          </w:tcPr>
          <w:p w14:paraId="58459491" w14:textId="0A5870D1" w:rsidR="006C51D3" w:rsidRPr="00DE25AD" w:rsidRDefault="006C51D3" w:rsidP="006C51D3">
            <w:pPr>
              <w:pStyle w:val="ASSADACCESStablecentre"/>
            </w:pPr>
            <w:r w:rsidRPr="002E5727">
              <w:rPr>
                <w:bCs w:val="0"/>
                <w:color w:val="000000"/>
              </w:rPr>
              <w:t>5*^</w:t>
            </w:r>
          </w:p>
        </w:tc>
        <w:tc>
          <w:tcPr>
            <w:tcW w:w="879" w:type="dxa"/>
            <w:shd w:val="clear" w:color="auto" w:fill="auto"/>
          </w:tcPr>
          <w:p w14:paraId="006176DD" w14:textId="7DECB519" w:rsidR="006C51D3" w:rsidRPr="00DE25AD" w:rsidRDefault="006C51D3" w:rsidP="006C51D3">
            <w:pPr>
              <w:pStyle w:val="ASSADACCESStablecentre"/>
            </w:pPr>
            <w:r w:rsidRPr="002E5727">
              <w:rPr>
                <w:bCs w:val="0"/>
                <w:color w:val="000000"/>
              </w:rPr>
              <w:t>7^</w:t>
            </w:r>
          </w:p>
        </w:tc>
      </w:tr>
      <w:tr w:rsidR="006C51D3" w:rsidRPr="00DE25AD" w14:paraId="367A0BEC" w14:textId="77777777" w:rsidTr="005F678B">
        <w:trPr>
          <w:trHeight w:val="247"/>
        </w:trPr>
        <w:tc>
          <w:tcPr>
            <w:tcW w:w="1517" w:type="dxa"/>
            <w:tcMar>
              <w:left w:w="57" w:type="dxa"/>
            </w:tcMar>
          </w:tcPr>
          <w:p w14:paraId="147E063D" w14:textId="77777777" w:rsidR="006C51D3" w:rsidRPr="00DE25AD" w:rsidRDefault="006C51D3" w:rsidP="006C51D3">
            <w:pPr>
              <w:pStyle w:val="ACCESSTableHeaderRow"/>
            </w:pPr>
          </w:p>
        </w:tc>
        <w:tc>
          <w:tcPr>
            <w:tcW w:w="1068" w:type="dxa"/>
            <w:shd w:val="clear" w:color="auto" w:fill="auto"/>
            <w:tcMar>
              <w:left w:w="57" w:type="dxa"/>
            </w:tcMar>
            <w:vAlign w:val="bottom"/>
          </w:tcPr>
          <w:p w14:paraId="41C206AF" w14:textId="77777777" w:rsidR="006C51D3" w:rsidRPr="00DE25AD" w:rsidRDefault="006C51D3" w:rsidP="006C51D3">
            <w:pPr>
              <w:pStyle w:val="ASSAD2017ACCESSBody1"/>
            </w:pPr>
            <w:r w:rsidRPr="00DE25AD">
              <w:t>Female</w:t>
            </w:r>
          </w:p>
        </w:tc>
        <w:tc>
          <w:tcPr>
            <w:tcW w:w="878" w:type="dxa"/>
            <w:shd w:val="clear" w:color="auto" w:fill="auto"/>
          </w:tcPr>
          <w:p w14:paraId="4B874E13" w14:textId="7CEC829B" w:rsidR="006C51D3" w:rsidRPr="00DE25AD" w:rsidRDefault="006C51D3" w:rsidP="006C51D3">
            <w:pPr>
              <w:pStyle w:val="ASSADACCESStablecentre"/>
            </w:pPr>
            <w:r w:rsidRPr="002E5727">
              <w:rPr>
                <w:bCs w:val="0"/>
                <w:color w:val="000000"/>
              </w:rPr>
              <w:t>10*</w:t>
            </w:r>
          </w:p>
        </w:tc>
        <w:tc>
          <w:tcPr>
            <w:tcW w:w="879" w:type="dxa"/>
            <w:shd w:val="clear" w:color="auto" w:fill="auto"/>
          </w:tcPr>
          <w:p w14:paraId="20CB1B53" w14:textId="185B5E56" w:rsidR="006C51D3" w:rsidRPr="00DE25AD" w:rsidRDefault="006C51D3" w:rsidP="006C51D3">
            <w:pPr>
              <w:pStyle w:val="ASSADACCESStablecentre"/>
            </w:pPr>
            <w:r w:rsidRPr="002E5727">
              <w:rPr>
                <w:bCs w:val="0"/>
                <w:color w:val="000000"/>
              </w:rPr>
              <w:t>11*</w:t>
            </w:r>
          </w:p>
        </w:tc>
        <w:tc>
          <w:tcPr>
            <w:tcW w:w="879" w:type="dxa"/>
            <w:shd w:val="clear" w:color="auto" w:fill="auto"/>
          </w:tcPr>
          <w:p w14:paraId="2AE412A0" w14:textId="043EBD9F" w:rsidR="006C51D3" w:rsidRPr="00DE25AD" w:rsidRDefault="006C51D3" w:rsidP="006C51D3">
            <w:pPr>
              <w:pStyle w:val="ASSADACCESStablecentre"/>
            </w:pPr>
            <w:r w:rsidRPr="002E5727">
              <w:rPr>
                <w:bCs w:val="0"/>
                <w:color w:val="000000"/>
              </w:rPr>
              <w:t>10</w:t>
            </w:r>
          </w:p>
        </w:tc>
        <w:tc>
          <w:tcPr>
            <w:tcW w:w="879" w:type="dxa"/>
            <w:shd w:val="clear" w:color="auto" w:fill="auto"/>
          </w:tcPr>
          <w:p w14:paraId="0AAB44F1" w14:textId="75FD2EF6" w:rsidR="006C51D3" w:rsidRPr="00DE25AD" w:rsidRDefault="006C51D3" w:rsidP="006C51D3">
            <w:pPr>
              <w:pStyle w:val="ASSADACCESStablecentre"/>
            </w:pPr>
            <w:r w:rsidRPr="002E5727">
              <w:rPr>
                <w:bCs w:val="0"/>
                <w:color w:val="000000"/>
              </w:rPr>
              <w:t>7^</w:t>
            </w:r>
          </w:p>
        </w:tc>
        <w:tc>
          <w:tcPr>
            <w:tcW w:w="879" w:type="dxa"/>
            <w:shd w:val="clear" w:color="auto" w:fill="auto"/>
          </w:tcPr>
          <w:p w14:paraId="67808998" w14:textId="0CFF8809" w:rsidR="006C51D3" w:rsidRPr="00DE25AD" w:rsidRDefault="006C51D3" w:rsidP="006C51D3">
            <w:pPr>
              <w:pStyle w:val="ASSADACCESStablecentre"/>
            </w:pPr>
            <w:r w:rsidRPr="002E5727">
              <w:rPr>
                <w:bCs w:val="0"/>
                <w:color w:val="000000"/>
              </w:rPr>
              <w:t>8^</w:t>
            </w:r>
          </w:p>
        </w:tc>
        <w:tc>
          <w:tcPr>
            <w:tcW w:w="879" w:type="dxa"/>
            <w:shd w:val="clear" w:color="auto" w:fill="auto"/>
          </w:tcPr>
          <w:p w14:paraId="492B8753" w14:textId="42126DB4" w:rsidR="006C51D3" w:rsidRPr="00DE25AD" w:rsidRDefault="006C51D3" w:rsidP="006C51D3">
            <w:pPr>
              <w:pStyle w:val="ASSADACCESStablecentre"/>
            </w:pPr>
            <w:r w:rsidRPr="002E5727">
              <w:rPr>
                <w:bCs w:val="0"/>
                <w:color w:val="000000"/>
              </w:rPr>
              <w:t>8^</w:t>
            </w:r>
          </w:p>
        </w:tc>
        <w:tc>
          <w:tcPr>
            <w:tcW w:w="879" w:type="dxa"/>
            <w:shd w:val="clear" w:color="auto" w:fill="auto"/>
          </w:tcPr>
          <w:p w14:paraId="25F365B4" w14:textId="58076137" w:rsidR="006C51D3" w:rsidRPr="00DE25AD" w:rsidRDefault="006C51D3" w:rsidP="006C51D3">
            <w:pPr>
              <w:pStyle w:val="ASSADACCESStablecentre"/>
            </w:pPr>
            <w:r w:rsidRPr="002E5727">
              <w:rPr>
                <w:bCs w:val="0"/>
                <w:color w:val="000000"/>
              </w:rPr>
              <w:t>7^</w:t>
            </w:r>
          </w:p>
        </w:tc>
        <w:tc>
          <w:tcPr>
            <w:tcW w:w="879" w:type="dxa"/>
            <w:shd w:val="clear" w:color="auto" w:fill="auto"/>
          </w:tcPr>
          <w:p w14:paraId="0591691C" w14:textId="2E29581E" w:rsidR="006C51D3" w:rsidRPr="00DE25AD" w:rsidRDefault="006C51D3" w:rsidP="006C51D3">
            <w:pPr>
              <w:pStyle w:val="ASSADACCESStablecentre"/>
            </w:pPr>
            <w:r w:rsidRPr="002E5727">
              <w:rPr>
                <w:bCs w:val="0"/>
                <w:color w:val="000000"/>
              </w:rPr>
              <w:t>8^</w:t>
            </w:r>
          </w:p>
        </w:tc>
      </w:tr>
      <w:tr w:rsidR="006C51D3" w:rsidRPr="00DE25AD" w14:paraId="072D5522" w14:textId="77777777" w:rsidTr="005F678B">
        <w:trPr>
          <w:trHeight w:val="247"/>
        </w:trPr>
        <w:tc>
          <w:tcPr>
            <w:tcW w:w="1517" w:type="dxa"/>
            <w:tcMar>
              <w:left w:w="57" w:type="dxa"/>
            </w:tcMar>
          </w:tcPr>
          <w:p w14:paraId="032831C8" w14:textId="77777777" w:rsidR="006C51D3" w:rsidRPr="00DE25AD" w:rsidRDefault="006C51D3" w:rsidP="006C51D3">
            <w:pPr>
              <w:pStyle w:val="ACCESSTableHeaderRow"/>
            </w:pPr>
          </w:p>
        </w:tc>
        <w:tc>
          <w:tcPr>
            <w:tcW w:w="1068" w:type="dxa"/>
            <w:shd w:val="clear" w:color="auto" w:fill="auto"/>
            <w:tcMar>
              <w:left w:w="57" w:type="dxa"/>
            </w:tcMar>
            <w:vAlign w:val="bottom"/>
          </w:tcPr>
          <w:p w14:paraId="380A7F5A" w14:textId="77777777" w:rsidR="006C51D3" w:rsidRPr="00DE25AD" w:rsidRDefault="006C51D3" w:rsidP="006C51D3">
            <w:pPr>
              <w:pStyle w:val="ASSAD2017ACCESSBody1"/>
            </w:pPr>
            <w:r w:rsidRPr="00DE25AD">
              <w:t>Total</w:t>
            </w:r>
          </w:p>
        </w:tc>
        <w:tc>
          <w:tcPr>
            <w:tcW w:w="878" w:type="dxa"/>
            <w:shd w:val="clear" w:color="auto" w:fill="auto"/>
          </w:tcPr>
          <w:p w14:paraId="05C4744C" w14:textId="03264846" w:rsidR="006C51D3" w:rsidRPr="00DE25AD" w:rsidRDefault="006C51D3" w:rsidP="006C51D3">
            <w:pPr>
              <w:pStyle w:val="ASSADACCESStablecentre"/>
            </w:pPr>
            <w:r w:rsidRPr="002E5727">
              <w:rPr>
                <w:bCs w:val="0"/>
                <w:color w:val="000000"/>
              </w:rPr>
              <w:t>11*</w:t>
            </w:r>
          </w:p>
        </w:tc>
        <w:tc>
          <w:tcPr>
            <w:tcW w:w="879" w:type="dxa"/>
            <w:shd w:val="clear" w:color="auto" w:fill="auto"/>
          </w:tcPr>
          <w:p w14:paraId="5CAE2E7F" w14:textId="6EAF62F1" w:rsidR="006C51D3" w:rsidRPr="00DE25AD" w:rsidRDefault="006C51D3" w:rsidP="006C51D3">
            <w:pPr>
              <w:pStyle w:val="ASSADACCESStablecentre"/>
            </w:pPr>
            <w:r w:rsidRPr="002E5727">
              <w:rPr>
                <w:bCs w:val="0"/>
                <w:color w:val="000000"/>
              </w:rPr>
              <w:t>11*</w:t>
            </w:r>
          </w:p>
        </w:tc>
        <w:tc>
          <w:tcPr>
            <w:tcW w:w="879" w:type="dxa"/>
            <w:shd w:val="clear" w:color="auto" w:fill="auto"/>
          </w:tcPr>
          <w:p w14:paraId="213AA265" w14:textId="5973BCA0" w:rsidR="006C51D3" w:rsidRPr="00DE25AD" w:rsidRDefault="006C51D3" w:rsidP="006C51D3">
            <w:pPr>
              <w:pStyle w:val="ASSADACCESStablecentre"/>
            </w:pPr>
            <w:r w:rsidRPr="002E5727">
              <w:rPr>
                <w:bCs w:val="0"/>
                <w:color w:val="000000"/>
              </w:rPr>
              <w:t>9*</w:t>
            </w:r>
          </w:p>
        </w:tc>
        <w:tc>
          <w:tcPr>
            <w:tcW w:w="879" w:type="dxa"/>
            <w:shd w:val="clear" w:color="auto" w:fill="auto"/>
          </w:tcPr>
          <w:p w14:paraId="6174B184" w14:textId="48182775" w:rsidR="006C51D3" w:rsidRPr="00DE25AD" w:rsidRDefault="006C51D3" w:rsidP="006C51D3">
            <w:pPr>
              <w:pStyle w:val="ASSADACCESStablecentre"/>
            </w:pPr>
            <w:r w:rsidRPr="002E5727">
              <w:rPr>
                <w:bCs w:val="0"/>
                <w:color w:val="000000"/>
              </w:rPr>
              <w:t>7^</w:t>
            </w:r>
          </w:p>
        </w:tc>
        <w:tc>
          <w:tcPr>
            <w:tcW w:w="879" w:type="dxa"/>
            <w:shd w:val="clear" w:color="auto" w:fill="auto"/>
          </w:tcPr>
          <w:p w14:paraId="54CAF0F7" w14:textId="61AE8B78" w:rsidR="006C51D3" w:rsidRPr="00DE25AD" w:rsidRDefault="006C51D3" w:rsidP="006C51D3">
            <w:pPr>
              <w:pStyle w:val="ASSADACCESStablecentre"/>
            </w:pPr>
            <w:r w:rsidRPr="002E5727">
              <w:rPr>
                <w:bCs w:val="0"/>
                <w:color w:val="000000"/>
              </w:rPr>
              <w:t>8^</w:t>
            </w:r>
          </w:p>
        </w:tc>
        <w:tc>
          <w:tcPr>
            <w:tcW w:w="879" w:type="dxa"/>
            <w:shd w:val="clear" w:color="auto" w:fill="auto"/>
          </w:tcPr>
          <w:p w14:paraId="088B0FAC" w14:textId="00295DE1" w:rsidR="006C51D3" w:rsidRPr="00DE25AD" w:rsidRDefault="006C51D3" w:rsidP="006C51D3">
            <w:pPr>
              <w:pStyle w:val="ASSADACCESStablecentre"/>
            </w:pPr>
            <w:r w:rsidRPr="002E5727">
              <w:rPr>
                <w:bCs w:val="0"/>
                <w:color w:val="000000"/>
              </w:rPr>
              <w:t>7^</w:t>
            </w:r>
          </w:p>
        </w:tc>
        <w:tc>
          <w:tcPr>
            <w:tcW w:w="879" w:type="dxa"/>
            <w:shd w:val="clear" w:color="auto" w:fill="auto"/>
          </w:tcPr>
          <w:p w14:paraId="59E4E817" w14:textId="4E0327B3" w:rsidR="006C51D3" w:rsidRPr="00DE25AD" w:rsidRDefault="006C51D3" w:rsidP="006C51D3">
            <w:pPr>
              <w:pStyle w:val="ASSADACCESStablecentre"/>
            </w:pPr>
            <w:r w:rsidRPr="002E5727">
              <w:rPr>
                <w:bCs w:val="0"/>
                <w:color w:val="000000"/>
              </w:rPr>
              <w:t>6*^</w:t>
            </w:r>
          </w:p>
        </w:tc>
        <w:tc>
          <w:tcPr>
            <w:tcW w:w="879" w:type="dxa"/>
            <w:shd w:val="clear" w:color="auto" w:fill="auto"/>
          </w:tcPr>
          <w:p w14:paraId="3DA89372" w14:textId="6A16E940" w:rsidR="006C51D3" w:rsidRPr="00DE25AD" w:rsidRDefault="006C51D3" w:rsidP="006C51D3">
            <w:pPr>
              <w:pStyle w:val="ASSADACCESStablecentre"/>
            </w:pPr>
            <w:r>
              <w:rPr>
                <w:bCs w:val="0"/>
                <w:color w:val="000000"/>
              </w:rPr>
              <w:t>7</w:t>
            </w:r>
            <w:r w:rsidRPr="002E5727">
              <w:rPr>
                <w:bCs w:val="0"/>
                <w:color w:val="000000"/>
              </w:rPr>
              <w:t>^</w:t>
            </w:r>
          </w:p>
        </w:tc>
      </w:tr>
    </w:tbl>
    <w:p w14:paraId="7127AF39" w14:textId="547634FF" w:rsidR="00461EEA" w:rsidRDefault="00461EEA" w:rsidP="00461EEA">
      <w:pPr>
        <w:pStyle w:val="ASSAD2017CWTablenote1"/>
      </w:pPr>
      <w:r w:rsidRPr="002E5727">
        <w:t>* Significantly different than 2017, p&lt;.01; ^ Significantly different than 1996, p&lt;.01</w:t>
      </w:r>
      <w:r>
        <w:t>.</w:t>
      </w:r>
    </w:p>
    <w:p w14:paraId="55DC0E53" w14:textId="761E715F" w:rsidR="00461EEA" w:rsidRDefault="00461EEA">
      <w:pPr>
        <w:suppressAutoHyphens w:val="0"/>
        <w:rPr>
          <w:rFonts w:ascii="Arial" w:eastAsia="Arial" w:hAnsi="Arial" w:cs="Arial"/>
          <w:sz w:val="18"/>
          <w:szCs w:val="18"/>
          <w:lang w:val="en-AU"/>
        </w:rPr>
      </w:pPr>
      <w:r>
        <w:br w:type="page"/>
      </w:r>
    </w:p>
    <w:p w14:paraId="04DE6817" w14:textId="44039106" w:rsidR="00461EEA" w:rsidRPr="0046446A" w:rsidRDefault="00461EEA" w:rsidP="00461EEA">
      <w:pPr>
        <w:pStyle w:val="ASSAD2017TableHeading"/>
      </w:pPr>
      <w:bookmarkStart w:id="87" w:name="_Toc44060503"/>
      <w:r w:rsidRPr="0046446A">
        <w:lastRenderedPageBreak/>
        <w:t xml:space="preserve">Table </w:t>
      </w:r>
      <w:r>
        <w:t>16</w:t>
      </w:r>
      <w:r w:rsidRPr="0046446A">
        <w:t xml:space="preserve"> </w:t>
      </w:r>
      <w:r>
        <w:t>Prevalence</w:t>
      </w:r>
      <w:r w:rsidRPr="0046446A">
        <w:t xml:space="preserve"> of </w:t>
      </w:r>
      <w:r>
        <w:t>hallucinogen use</w:t>
      </w:r>
      <w:r w:rsidRPr="0046446A">
        <w:t xml:space="preserve"> among secondary students aged 12-1</w:t>
      </w:r>
      <w:r>
        <w:t>5, 16-17, &amp; 12-17</w:t>
      </w:r>
      <w:r w:rsidRPr="0046446A">
        <w:t xml:space="preserve"> in Australia, ASSAD 1996-2017</w:t>
      </w:r>
      <w:bookmarkEnd w:id="87"/>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461EEA" w:rsidRPr="00DE25AD" w14:paraId="71AF4405" w14:textId="77777777" w:rsidTr="005F678B">
        <w:trPr>
          <w:tblHeader/>
        </w:trPr>
        <w:tc>
          <w:tcPr>
            <w:tcW w:w="1517" w:type="dxa"/>
            <w:tcMar>
              <w:left w:w="57" w:type="dxa"/>
            </w:tcMar>
          </w:tcPr>
          <w:p w14:paraId="634BFA58" w14:textId="77777777" w:rsidR="00461EEA" w:rsidRPr="00DE25AD" w:rsidRDefault="00461EEA"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74CFE073" w14:textId="77777777" w:rsidR="00461EEA" w:rsidRPr="00DE25AD" w:rsidRDefault="00461EEA" w:rsidP="005F678B">
            <w:pPr>
              <w:pStyle w:val="ACCESSTableHeaderRow"/>
            </w:pPr>
          </w:p>
        </w:tc>
        <w:tc>
          <w:tcPr>
            <w:tcW w:w="878" w:type="dxa"/>
            <w:shd w:val="clear" w:color="auto" w:fill="auto"/>
            <w:vAlign w:val="bottom"/>
          </w:tcPr>
          <w:p w14:paraId="65E29DDA" w14:textId="77777777" w:rsidR="00461EEA" w:rsidRPr="00DE25AD" w:rsidRDefault="00461EEA" w:rsidP="005F678B">
            <w:pPr>
              <w:pStyle w:val="ACCESSTableHeaderRow"/>
              <w:jc w:val="center"/>
            </w:pPr>
            <w:r>
              <w:t>1996</w:t>
            </w:r>
          </w:p>
          <w:p w14:paraId="41CE9A9F"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2E0EAB37" w14:textId="77777777" w:rsidR="00461EEA" w:rsidRPr="00DE25AD" w:rsidRDefault="00461EEA" w:rsidP="005F678B">
            <w:pPr>
              <w:pStyle w:val="ACCESSTableHeaderRow"/>
              <w:jc w:val="center"/>
            </w:pPr>
            <w:r w:rsidRPr="00DE25AD">
              <w:t>1</w:t>
            </w:r>
            <w:r>
              <w:t>999</w:t>
            </w:r>
          </w:p>
          <w:p w14:paraId="03CB3493"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25ACABD8" w14:textId="77777777" w:rsidR="00461EEA" w:rsidRPr="00DE25AD" w:rsidRDefault="00461EEA" w:rsidP="005F678B">
            <w:pPr>
              <w:pStyle w:val="ACCESSTableHeaderRow"/>
              <w:jc w:val="center"/>
            </w:pPr>
            <w:r>
              <w:t>2002</w:t>
            </w:r>
          </w:p>
          <w:p w14:paraId="6C493909"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501DF79E" w14:textId="77777777" w:rsidR="00461EEA" w:rsidRPr="00DE25AD" w:rsidRDefault="00461EEA" w:rsidP="005F678B">
            <w:pPr>
              <w:pStyle w:val="ACCESSTableHeaderRow"/>
              <w:jc w:val="center"/>
            </w:pPr>
            <w:r>
              <w:t>200</w:t>
            </w:r>
            <w:r w:rsidRPr="00DE25AD">
              <w:t>5</w:t>
            </w:r>
          </w:p>
          <w:p w14:paraId="28B1513A"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3585D5F8" w14:textId="77777777" w:rsidR="00461EEA" w:rsidRPr="00DE25AD" w:rsidRDefault="00461EEA" w:rsidP="005F678B">
            <w:pPr>
              <w:pStyle w:val="ACCESSTableHeaderRow"/>
              <w:jc w:val="center"/>
            </w:pPr>
            <w:r>
              <w:t>2008</w:t>
            </w:r>
          </w:p>
          <w:p w14:paraId="6A6E51E6"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2548D759" w14:textId="77777777" w:rsidR="00461EEA" w:rsidRPr="00DE25AD" w:rsidRDefault="00461EEA" w:rsidP="005F678B">
            <w:pPr>
              <w:pStyle w:val="ACCESSTableHeaderRow"/>
              <w:jc w:val="center"/>
            </w:pPr>
            <w:r>
              <w:t>2011</w:t>
            </w:r>
          </w:p>
          <w:p w14:paraId="767A2F4B"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487558C4" w14:textId="77777777" w:rsidR="00461EEA" w:rsidRDefault="00461EEA" w:rsidP="005F678B">
            <w:pPr>
              <w:pStyle w:val="ACCESSTableHeaderRow"/>
              <w:jc w:val="center"/>
            </w:pPr>
            <w:r>
              <w:t>2014</w:t>
            </w:r>
          </w:p>
          <w:p w14:paraId="58DB2F3E" w14:textId="77777777" w:rsidR="00461EEA" w:rsidRPr="00DE25AD" w:rsidRDefault="00461EEA" w:rsidP="005F678B">
            <w:pPr>
              <w:pStyle w:val="ACCESSTableHeaderRow"/>
              <w:jc w:val="center"/>
            </w:pPr>
            <w:r>
              <w:t>(%)</w:t>
            </w:r>
          </w:p>
        </w:tc>
        <w:tc>
          <w:tcPr>
            <w:tcW w:w="879" w:type="dxa"/>
            <w:shd w:val="clear" w:color="auto" w:fill="auto"/>
            <w:vAlign w:val="bottom"/>
          </w:tcPr>
          <w:p w14:paraId="6BB047C5" w14:textId="77777777" w:rsidR="00461EEA" w:rsidRDefault="00461EEA" w:rsidP="005F678B">
            <w:pPr>
              <w:pStyle w:val="ACCESSTableHeaderRow"/>
              <w:jc w:val="center"/>
            </w:pPr>
            <w:r>
              <w:t>2017</w:t>
            </w:r>
          </w:p>
          <w:p w14:paraId="64BE4022" w14:textId="77777777" w:rsidR="00461EEA" w:rsidRPr="00DE25AD" w:rsidRDefault="00461EEA" w:rsidP="005F678B">
            <w:pPr>
              <w:pStyle w:val="ACCESSTableHeaderRow"/>
              <w:jc w:val="center"/>
            </w:pPr>
            <w:r w:rsidRPr="00DE25AD">
              <w:t>(%)</w:t>
            </w:r>
          </w:p>
        </w:tc>
      </w:tr>
      <w:tr w:rsidR="00461EEA" w:rsidRPr="00DE25AD" w14:paraId="325C7A86" w14:textId="77777777" w:rsidTr="005F678B">
        <w:trPr>
          <w:tblHeader/>
        </w:trPr>
        <w:tc>
          <w:tcPr>
            <w:tcW w:w="1517" w:type="dxa"/>
            <w:tcMar>
              <w:left w:w="57" w:type="dxa"/>
            </w:tcMar>
          </w:tcPr>
          <w:p w14:paraId="6BD174B1" w14:textId="77777777" w:rsidR="00461EEA" w:rsidRPr="00DE25AD" w:rsidRDefault="00461EEA" w:rsidP="005F678B">
            <w:pPr>
              <w:pStyle w:val="ACCESSTableHeaderRow"/>
            </w:pPr>
            <w:r>
              <w:t>Aged 12-15</w:t>
            </w:r>
          </w:p>
        </w:tc>
        <w:tc>
          <w:tcPr>
            <w:tcW w:w="1068" w:type="dxa"/>
            <w:shd w:val="clear" w:color="auto" w:fill="auto"/>
            <w:tcMar>
              <w:left w:w="57" w:type="dxa"/>
            </w:tcMar>
            <w:vAlign w:val="center"/>
          </w:tcPr>
          <w:p w14:paraId="5D769453" w14:textId="77777777" w:rsidR="00461EEA" w:rsidRPr="00DE25AD" w:rsidRDefault="00461EEA" w:rsidP="005F678B">
            <w:pPr>
              <w:pStyle w:val="ACCESSTableHeaderRow"/>
            </w:pPr>
          </w:p>
        </w:tc>
        <w:tc>
          <w:tcPr>
            <w:tcW w:w="878" w:type="dxa"/>
            <w:shd w:val="clear" w:color="auto" w:fill="auto"/>
            <w:vAlign w:val="bottom"/>
          </w:tcPr>
          <w:p w14:paraId="29250EE4" w14:textId="77777777" w:rsidR="00461EEA" w:rsidRPr="00DE25AD" w:rsidRDefault="00461EEA" w:rsidP="005F678B">
            <w:pPr>
              <w:pStyle w:val="ACCESSTableHeaderRow"/>
            </w:pPr>
          </w:p>
        </w:tc>
        <w:tc>
          <w:tcPr>
            <w:tcW w:w="879" w:type="dxa"/>
            <w:shd w:val="clear" w:color="auto" w:fill="auto"/>
            <w:vAlign w:val="bottom"/>
          </w:tcPr>
          <w:p w14:paraId="0DB91966" w14:textId="77777777" w:rsidR="00461EEA" w:rsidRPr="00DE25AD" w:rsidRDefault="00461EEA" w:rsidP="005F678B">
            <w:pPr>
              <w:pStyle w:val="ACCESSTableHeaderRow"/>
            </w:pPr>
          </w:p>
        </w:tc>
        <w:tc>
          <w:tcPr>
            <w:tcW w:w="879" w:type="dxa"/>
            <w:shd w:val="clear" w:color="auto" w:fill="auto"/>
            <w:vAlign w:val="bottom"/>
          </w:tcPr>
          <w:p w14:paraId="111005FF" w14:textId="77777777" w:rsidR="00461EEA" w:rsidRPr="00DE25AD" w:rsidRDefault="00461EEA" w:rsidP="005F678B">
            <w:pPr>
              <w:pStyle w:val="ACCESSTableHeaderRow"/>
            </w:pPr>
          </w:p>
        </w:tc>
        <w:tc>
          <w:tcPr>
            <w:tcW w:w="879" w:type="dxa"/>
            <w:shd w:val="clear" w:color="auto" w:fill="auto"/>
            <w:vAlign w:val="bottom"/>
          </w:tcPr>
          <w:p w14:paraId="2EC2B3FF" w14:textId="77777777" w:rsidR="00461EEA" w:rsidRPr="00DE25AD" w:rsidRDefault="00461EEA" w:rsidP="005F678B">
            <w:pPr>
              <w:pStyle w:val="ACCESSTableHeaderRow"/>
            </w:pPr>
          </w:p>
        </w:tc>
        <w:tc>
          <w:tcPr>
            <w:tcW w:w="879" w:type="dxa"/>
            <w:shd w:val="clear" w:color="auto" w:fill="auto"/>
            <w:vAlign w:val="bottom"/>
          </w:tcPr>
          <w:p w14:paraId="7E80057D" w14:textId="77777777" w:rsidR="00461EEA" w:rsidRPr="00DE25AD" w:rsidRDefault="00461EEA" w:rsidP="005F678B">
            <w:pPr>
              <w:pStyle w:val="ACCESSTableHeaderRow"/>
            </w:pPr>
          </w:p>
        </w:tc>
        <w:tc>
          <w:tcPr>
            <w:tcW w:w="879" w:type="dxa"/>
            <w:shd w:val="clear" w:color="auto" w:fill="auto"/>
            <w:vAlign w:val="bottom"/>
          </w:tcPr>
          <w:p w14:paraId="105F9409" w14:textId="77777777" w:rsidR="00461EEA" w:rsidRPr="00DE25AD" w:rsidRDefault="00461EEA" w:rsidP="005F678B">
            <w:pPr>
              <w:pStyle w:val="ACCESSTableHeaderRow"/>
            </w:pPr>
          </w:p>
        </w:tc>
        <w:tc>
          <w:tcPr>
            <w:tcW w:w="879" w:type="dxa"/>
            <w:shd w:val="clear" w:color="auto" w:fill="auto"/>
            <w:vAlign w:val="bottom"/>
          </w:tcPr>
          <w:p w14:paraId="3DBEC80E" w14:textId="77777777" w:rsidR="00461EEA" w:rsidRPr="00DE25AD" w:rsidRDefault="00461EEA" w:rsidP="005F678B">
            <w:pPr>
              <w:pStyle w:val="ACCESSTableHeaderRow"/>
            </w:pPr>
          </w:p>
        </w:tc>
        <w:tc>
          <w:tcPr>
            <w:tcW w:w="879" w:type="dxa"/>
            <w:shd w:val="clear" w:color="auto" w:fill="auto"/>
            <w:vAlign w:val="bottom"/>
          </w:tcPr>
          <w:p w14:paraId="5B0D900F" w14:textId="77777777" w:rsidR="00461EEA" w:rsidRPr="00DE25AD" w:rsidRDefault="00461EEA" w:rsidP="005F678B">
            <w:pPr>
              <w:pStyle w:val="ACCESSTableHeaderRow"/>
            </w:pPr>
          </w:p>
        </w:tc>
      </w:tr>
      <w:tr w:rsidR="00461EEA" w:rsidRPr="00DE25AD" w14:paraId="71758250" w14:textId="77777777" w:rsidTr="005F678B">
        <w:tc>
          <w:tcPr>
            <w:tcW w:w="1517" w:type="dxa"/>
            <w:tcMar>
              <w:left w:w="57" w:type="dxa"/>
            </w:tcMar>
          </w:tcPr>
          <w:p w14:paraId="20D52FD0" w14:textId="77777777" w:rsidR="00461EEA" w:rsidRDefault="00461EEA" w:rsidP="005F678B">
            <w:pPr>
              <w:pStyle w:val="ACCESSTableHeaderRow"/>
            </w:pPr>
            <w:r w:rsidRPr="00DE25AD">
              <w:t>Recency</w:t>
            </w:r>
          </w:p>
        </w:tc>
        <w:tc>
          <w:tcPr>
            <w:tcW w:w="1068" w:type="dxa"/>
            <w:shd w:val="clear" w:color="auto" w:fill="auto"/>
            <w:tcMar>
              <w:left w:w="57" w:type="dxa"/>
            </w:tcMar>
            <w:vAlign w:val="center"/>
          </w:tcPr>
          <w:p w14:paraId="2D97FCD4" w14:textId="77777777" w:rsidR="00461EEA" w:rsidRPr="00DE25AD" w:rsidRDefault="00461EEA" w:rsidP="005F678B">
            <w:pPr>
              <w:pStyle w:val="ASSAD2017ACCESSBody1"/>
            </w:pPr>
            <w:r w:rsidRPr="005C5B03">
              <w:rPr>
                <w:b/>
                <w:bCs w:val="0"/>
              </w:rPr>
              <w:t>Sex</w:t>
            </w:r>
          </w:p>
        </w:tc>
        <w:tc>
          <w:tcPr>
            <w:tcW w:w="878" w:type="dxa"/>
            <w:shd w:val="clear" w:color="auto" w:fill="auto"/>
          </w:tcPr>
          <w:p w14:paraId="3ACB28AF" w14:textId="77777777" w:rsidR="00461EEA" w:rsidRPr="00DE25AD" w:rsidRDefault="00461EEA" w:rsidP="005F678B">
            <w:pPr>
              <w:pStyle w:val="ASSADACCESStablecentre"/>
            </w:pPr>
          </w:p>
        </w:tc>
        <w:tc>
          <w:tcPr>
            <w:tcW w:w="879" w:type="dxa"/>
            <w:shd w:val="clear" w:color="auto" w:fill="auto"/>
          </w:tcPr>
          <w:p w14:paraId="1EE488FC" w14:textId="77777777" w:rsidR="00461EEA" w:rsidRPr="00DE25AD" w:rsidRDefault="00461EEA" w:rsidP="005F678B">
            <w:pPr>
              <w:pStyle w:val="ASSADACCESStablecentre"/>
            </w:pPr>
          </w:p>
        </w:tc>
        <w:tc>
          <w:tcPr>
            <w:tcW w:w="879" w:type="dxa"/>
            <w:shd w:val="clear" w:color="auto" w:fill="auto"/>
          </w:tcPr>
          <w:p w14:paraId="4067E2FE" w14:textId="77777777" w:rsidR="00461EEA" w:rsidRPr="00DE25AD" w:rsidRDefault="00461EEA" w:rsidP="005F678B">
            <w:pPr>
              <w:pStyle w:val="ASSADACCESStablecentre"/>
            </w:pPr>
          </w:p>
        </w:tc>
        <w:tc>
          <w:tcPr>
            <w:tcW w:w="879" w:type="dxa"/>
            <w:shd w:val="clear" w:color="auto" w:fill="auto"/>
          </w:tcPr>
          <w:p w14:paraId="6C7C13FF" w14:textId="77777777" w:rsidR="00461EEA" w:rsidRPr="00DE25AD" w:rsidRDefault="00461EEA" w:rsidP="005F678B">
            <w:pPr>
              <w:pStyle w:val="ASSADACCESStablecentre"/>
            </w:pPr>
          </w:p>
        </w:tc>
        <w:tc>
          <w:tcPr>
            <w:tcW w:w="879" w:type="dxa"/>
            <w:shd w:val="clear" w:color="auto" w:fill="auto"/>
          </w:tcPr>
          <w:p w14:paraId="6F1802CA" w14:textId="77777777" w:rsidR="00461EEA" w:rsidRPr="00DE25AD" w:rsidRDefault="00461EEA" w:rsidP="005F678B">
            <w:pPr>
              <w:pStyle w:val="ASSADACCESStablecentre"/>
            </w:pPr>
          </w:p>
        </w:tc>
        <w:tc>
          <w:tcPr>
            <w:tcW w:w="879" w:type="dxa"/>
            <w:shd w:val="clear" w:color="auto" w:fill="auto"/>
          </w:tcPr>
          <w:p w14:paraId="072FE19E" w14:textId="77777777" w:rsidR="00461EEA" w:rsidRPr="00DE25AD" w:rsidRDefault="00461EEA" w:rsidP="005F678B">
            <w:pPr>
              <w:pStyle w:val="ASSADACCESStablecentre"/>
            </w:pPr>
          </w:p>
        </w:tc>
        <w:tc>
          <w:tcPr>
            <w:tcW w:w="879" w:type="dxa"/>
            <w:shd w:val="clear" w:color="auto" w:fill="auto"/>
          </w:tcPr>
          <w:p w14:paraId="52EF22F8" w14:textId="77777777" w:rsidR="00461EEA" w:rsidRPr="00DE25AD" w:rsidRDefault="00461EEA" w:rsidP="005F678B">
            <w:pPr>
              <w:pStyle w:val="ASSADACCESStablecentre"/>
            </w:pPr>
          </w:p>
        </w:tc>
        <w:tc>
          <w:tcPr>
            <w:tcW w:w="879" w:type="dxa"/>
            <w:shd w:val="clear" w:color="auto" w:fill="auto"/>
          </w:tcPr>
          <w:p w14:paraId="3B1D6341" w14:textId="77777777" w:rsidR="00461EEA" w:rsidRPr="00DE25AD" w:rsidRDefault="00461EEA" w:rsidP="005F678B">
            <w:pPr>
              <w:pStyle w:val="ASSADACCESStablecentre"/>
            </w:pPr>
          </w:p>
        </w:tc>
      </w:tr>
      <w:tr w:rsidR="006C51D3" w:rsidRPr="00DE25AD" w14:paraId="5CB52A90" w14:textId="77777777" w:rsidTr="005F678B">
        <w:tc>
          <w:tcPr>
            <w:tcW w:w="1517" w:type="dxa"/>
            <w:tcMar>
              <w:left w:w="57" w:type="dxa"/>
            </w:tcMar>
          </w:tcPr>
          <w:p w14:paraId="44151EC3" w14:textId="77777777" w:rsidR="006C51D3" w:rsidRPr="00DE25AD" w:rsidRDefault="006C51D3" w:rsidP="006C51D3">
            <w:pPr>
              <w:pStyle w:val="ACCESSTableHeaderRow"/>
            </w:pPr>
            <w:r>
              <w:t>Lifetime</w:t>
            </w:r>
          </w:p>
        </w:tc>
        <w:tc>
          <w:tcPr>
            <w:tcW w:w="1068" w:type="dxa"/>
            <w:shd w:val="clear" w:color="auto" w:fill="auto"/>
            <w:tcMar>
              <w:left w:w="57" w:type="dxa"/>
            </w:tcMar>
            <w:vAlign w:val="bottom"/>
          </w:tcPr>
          <w:p w14:paraId="794A07A9" w14:textId="77777777" w:rsidR="006C51D3" w:rsidRPr="00DE25AD" w:rsidRDefault="006C51D3" w:rsidP="006C51D3">
            <w:pPr>
              <w:pStyle w:val="ASSAD2017ACCESSBody1"/>
            </w:pPr>
            <w:r w:rsidRPr="00DE25AD">
              <w:t>Male</w:t>
            </w:r>
          </w:p>
        </w:tc>
        <w:tc>
          <w:tcPr>
            <w:tcW w:w="878" w:type="dxa"/>
            <w:shd w:val="clear" w:color="auto" w:fill="auto"/>
          </w:tcPr>
          <w:p w14:paraId="2814E305" w14:textId="44B2D29F" w:rsidR="006C51D3" w:rsidRPr="00DE25AD" w:rsidRDefault="006C51D3" w:rsidP="006C51D3">
            <w:pPr>
              <w:pStyle w:val="ASSADACCESStablecentre"/>
            </w:pPr>
            <w:r w:rsidRPr="002E5727">
              <w:rPr>
                <w:bCs w:val="0"/>
                <w:color w:val="000000"/>
              </w:rPr>
              <w:t>7*</w:t>
            </w:r>
          </w:p>
        </w:tc>
        <w:tc>
          <w:tcPr>
            <w:tcW w:w="879" w:type="dxa"/>
            <w:shd w:val="clear" w:color="auto" w:fill="auto"/>
          </w:tcPr>
          <w:p w14:paraId="4455FDC6" w14:textId="1B470205" w:rsidR="006C51D3" w:rsidRPr="00DE25AD" w:rsidRDefault="006C51D3" w:rsidP="006C51D3">
            <w:pPr>
              <w:pStyle w:val="ASSADACCESStablecentre"/>
            </w:pPr>
            <w:r w:rsidRPr="002E5727">
              <w:rPr>
                <w:bCs w:val="0"/>
                <w:color w:val="000000"/>
              </w:rPr>
              <w:t>5*^</w:t>
            </w:r>
          </w:p>
        </w:tc>
        <w:tc>
          <w:tcPr>
            <w:tcW w:w="879" w:type="dxa"/>
            <w:shd w:val="clear" w:color="auto" w:fill="auto"/>
          </w:tcPr>
          <w:p w14:paraId="31F56F4B" w14:textId="0E252EA5" w:rsidR="006C51D3" w:rsidRPr="00DE25AD" w:rsidRDefault="006C51D3" w:rsidP="006C51D3">
            <w:pPr>
              <w:pStyle w:val="ASSADACCESStablecentre"/>
            </w:pPr>
            <w:r w:rsidRPr="002E5727">
              <w:rPr>
                <w:bCs w:val="0"/>
                <w:color w:val="000000"/>
              </w:rPr>
              <w:t>4*^</w:t>
            </w:r>
          </w:p>
        </w:tc>
        <w:tc>
          <w:tcPr>
            <w:tcW w:w="879" w:type="dxa"/>
            <w:shd w:val="clear" w:color="auto" w:fill="auto"/>
          </w:tcPr>
          <w:p w14:paraId="2FBB6C56" w14:textId="437B2597" w:rsidR="006C51D3" w:rsidRPr="00DE25AD" w:rsidRDefault="006C51D3" w:rsidP="006C51D3">
            <w:pPr>
              <w:pStyle w:val="ASSADACCESStablecentre"/>
            </w:pPr>
            <w:r w:rsidRPr="002E5727">
              <w:rPr>
                <w:bCs w:val="0"/>
                <w:color w:val="000000"/>
              </w:rPr>
              <w:t>4^</w:t>
            </w:r>
          </w:p>
        </w:tc>
        <w:tc>
          <w:tcPr>
            <w:tcW w:w="879" w:type="dxa"/>
            <w:shd w:val="clear" w:color="auto" w:fill="auto"/>
          </w:tcPr>
          <w:p w14:paraId="4437DBC9" w14:textId="665DEDCA" w:rsidR="006C51D3" w:rsidRPr="00DE25AD" w:rsidRDefault="006C51D3" w:rsidP="006C51D3">
            <w:pPr>
              <w:pStyle w:val="ASSADACCESStablecentre"/>
            </w:pPr>
            <w:r w:rsidRPr="002E5727">
              <w:rPr>
                <w:bCs w:val="0"/>
                <w:color w:val="000000"/>
              </w:rPr>
              <w:t>3^</w:t>
            </w:r>
          </w:p>
        </w:tc>
        <w:tc>
          <w:tcPr>
            <w:tcW w:w="879" w:type="dxa"/>
            <w:shd w:val="clear" w:color="auto" w:fill="auto"/>
          </w:tcPr>
          <w:p w14:paraId="2DF77EDE" w14:textId="3C7859B7" w:rsidR="006C51D3" w:rsidRPr="00DE25AD" w:rsidRDefault="006C51D3" w:rsidP="006C51D3">
            <w:pPr>
              <w:pStyle w:val="ASSADACCESStablecentre"/>
            </w:pPr>
            <w:r w:rsidRPr="002E5727">
              <w:rPr>
                <w:bCs w:val="0"/>
                <w:color w:val="000000"/>
              </w:rPr>
              <w:t>2^</w:t>
            </w:r>
          </w:p>
        </w:tc>
        <w:tc>
          <w:tcPr>
            <w:tcW w:w="879" w:type="dxa"/>
            <w:shd w:val="clear" w:color="auto" w:fill="auto"/>
          </w:tcPr>
          <w:p w14:paraId="0ACAE41E" w14:textId="70169A91" w:rsidR="006C51D3" w:rsidRPr="00DE25AD" w:rsidRDefault="006C51D3" w:rsidP="006C51D3">
            <w:pPr>
              <w:pStyle w:val="ASSADACCESStablecentre"/>
            </w:pPr>
            <w:r w:rsidRPr="002E5727">
              <w:rPr>
                <w:bCs w:val="0"/>
                <w:color w:val="000000"/>
              </w:rPr>
              <w:t>2^</w:t>
            </w:r>
          </w:p>
        </w:tc>
        <w:tc>
          <w:tcPr>
            <w:tcW w:w="879" w:type="dxa"/>
            <w:shd w:val="clear" w:color="auto" w:fill="auto"/>
          </w:tcPr>
          <w:p w14:paraId="249E01BB" w14:textId="2E34ABC1" w:rsidR="006C51D3" w:rsidRPr="00DE25AD" w:rsidRDefault="006C51D3" w:rsidP="006C51D3">
            <w:pPr>
              <w:pStyle w:val="ASSADACCESStablecentre"/>
            </w:pPr>
            <w:r w:rsidRPr="002E5727">
              <w:rPr>
                <w:bCs w:val="0"/>
                <w:color w:val="000000"/>
              </w:rPr>
              <w:t>3^</w:t>
            </w:r>
          </w:p>
        </w:tc>
      </w:tr>
      <w:tr w:rsidR="006C51D3" w:rsidRPr="00DE25AD" w14:paraId="1348ADDC" w14:textId="77777777" w:rsidTr="005F678B">
        <w:tc>
          <w:tcPr>
            <w:tcW w:w="1517" w:type="dxa"/>
            <w:tcMar>
              <w:left w:w="57" w:type="dxa"/>
            </w:tcMar>
          </w:tcPr>
          <w:p w14:paraId="2D2EC907" w14:textId="77777777" w:rsidR="006C51D3" w:rsidRPr="00DE25AD" w:rsidRDefault="006C51D3" w:rsidP="006C51D3">
            <w:pPr>
              <w:pStyle w:val="ACCESSTableHeaderRow"/>
            </w:pPr>
          </w:p>
        </w:tc>
        <w:tc>
          <w:tcPr>
            <w:tcW w:w="1068" w:type="dxa"/>
            <w:shd w:val="clear" w:color="auto" w:fill="auto"/>
            <w:tcMar>
              <w:left w:w="57" w:type="dxa"/>
            </w:tcMar>
            <w:vAlign w:val="bottom"/>
          </w:tcPr>
          <w:p w14:paraId="76E2EEE7" w14:textId="77777777" w:rsidR="006C51D3" w:rsidRPr="00DE25AD" w:rsidRDefault="006C51D3" w:rsidP="006C51D3">
            <w:pPr>
              <w:pStyle w:val="ASSAD2017ACCESSBody1"/>
            </w:pPr>
            <w:r w:rsidRPr="00DE25AD">
              <w:t>Female</w:t>
            </w:r>
          </w:p>
        </w:tc>
        <w:tc>
          <w:tcPr>
            <w:tcW w:w="878" w:type="dxa"/>
            <w:shd w:val="clear" w:color="auto" w:fill="auto"/>
          </w:tcPr>
          <w:p w14:paraId="7AF3FA31" w14:textId="35ADE75A" w:rsidR="006C51D3" w:rsidRPr="00DE25AD" w:rsidRDefault="006C51D3" w:rsidP="006C51D3">
            <w:pPr>
              <w:pStyle w:val="ASSADACCESStablecentre"/>
            </w:pPr>
            <w:r w:rsidRPr="002E5727">
              <w:rPr>
                <w:bCs w:val="0"/>
                <w:color w:val="000000"/>
              </w:rPr>
              <w:t>5*</w:t>
            </w:r>
          </w:p>
        </w:tc>
        <w:tc>
          <w:tcPr>
            <w:tcW w:w="879" w:type="dxa"/>
            <w:shd w:val="clear" w:color="auto" w:fill="auto"/>
          </w:tcPr>
          <w:p w14:paraId="7CD227C0" w14:textId="6B91322C" w:rsidR="006C51D3" w:rsidRPr="00DE25AD" w:rsidRDefault="006C51D3" w:rsidP="006C51D3">
            <w:pPr>
              <w:pStyle w:val="ASSADACCESStablecentre"/>
            </w:pPr>
            <w:r w:rsidRPr="002E5727">
              <w:rPr>
                <w:bCs w:val="0"/>
                <w:color w:val="000000"/>
              </w:rPr>
              <w:t>5*</w:t>
            </w:r>
          </w:p>
        </w:tc>
        <w:tc>
          <w:tcPr>
            <w:tcW w:w="879" w:type="dxa"/>
            <w:shd w:val="clear" w:color="auto" w:fill="auto"/>
          </w:tcPr>
          <w:p w14:paraId="254BFDFE" w14:textId="3C3EB0F4" w:rsidR="006C51D3" w:rsidRPr="00DE25AD" w:rsidRDefault="006C51D3" w:rsidP="006C51D3">
            <w:pPr>
              <w:pStyle w:val="ASSADACCESStablecentre"/>
            </w:pPr>
            <w:r w:rsidRPr="002E5727">
              <w:rPr>
                <w:bCs w:val="0"/>
                <w:color w:val="000000"/>
              </w:rPr>
              <w:t>3*^</w:t>
            </w:r>
          </w:p>
        </w:tc>
        <w:tc>
          <w:tcPr>
            <w:tcW w:w="879" w:type="dxa"/>
            <w:shd w:val="clear" w:color="auto" w:fill="auto"/>
          </w:tcPr>
          <w:p w14:paraId="6F5BBBE2" w14:textId="4C175AEE" w:rsidR="006C51D3" w:rsidRPr="00DE25AD" w:rsidRDefault="006C51D3" w:rsidP="006C51D3">
            <w:pPr>
              <w:pStyle w:val="ASSADACCESStablecentre"/>
            </w:pPr>
            <w:r w:rsidRPr="002E5727">
              <w:rPr>
                <w:bCs w:val="0"/>
                <w:color w:val="000000"/>
              </w:rPr>
              <w:t>2^</w:t>
            </w:r>
          </w:p>
        </w:tc>
        <w:tc>
          <w:tcPr>
            <w:tcW w:w="879" w:type="dxa"/>
            <w:shd w:val="clear" w:color="auto" w:fill="auto"/>
          </w:tcPr>
          <w:p w14:paraId="2D43B94D" w14:textId="37083195" w:rsidR="006C51D3" w:rsidRPr="00DE25AD" w:rsidRDefault="006C51D3" w:rsidP="006C51D3">
            <w:pPr>
              <w:pStyle w:val="ASSADACCESStablecentre"/>
            </w:pPr>
            <w:r w:rsidRPr="002E5727">
              <w:rPr>
                <w:bCs w:val="0"/>
                <w:color w:val="000000"/>
              </w:rPr>
              <w:t>2^</w:t>
            </w:r>
          </w:p>
        </w:tc>
        <w:tc>
          <w:tcPr>
            <w:tcW w:w="879" w:type="dxa"/>
            <w:shd w:val="clear" w:color="auto" w:fill="auto"/>
          </w:tcPr>
          <w:p w14:paraId="1A287D8A" w14:textId="5062E1CB" w:rsidR="006C51D3" w:rsidRPr="00DE25AD" w:rsidRDefault="006C51D3" w:rsidP="006C51D3">
            <w:pPr>
              <w:pStyle w:val="ASSADACCESStablecentre"/>
            </w:pPr>
            <w:r w:rsidRPr="002E5727">
              <w:rPr>
                <w:bCs w:val="0"/>
                <w:color w:val="000000"/>
              </w:rPr>
              <w:t>2^</w:t>
            </w:r>
          </w:p>
        </w:tc>
        <w:tc>
          <w:tcPr>
            <w:tcW w:w="879" w:type="dxa"/>
            <w:shd w:val="clear" w:color="auto" w:fill="auto"/>
          </w:tcPr>
          <w:p w14:paraId="1E64E450" w14:textId="7C7CF937" w:rsidR="006C51D3" w:rsidRPr="00DE25AD" w:rsidRDefault="006C51D3" w:rsidP="006C51D3">
            <w:pPr>
              <w:pStyle w:val="ASSADACCESStablecentre"/>
            </w:pPr>
            <w:r w:rsidRPr="002E5727">
              <w:rPr>
                <w:bCs w:val="0"/>
                <w:color w:val="000000"/>
              </w:rPr>
              <w:t>1^</w:t>
            </w:r>
          </w:p>
        </w:tc>
        <w:tc>
          <w:tcPr>
            <w:tcW w:w="879" w:type="dxa"/>
            <w:shd w:val="clear" w:color="auto" w:fill="auto"/>
          </w:tcPr>
          <w:p w14:paraId="1F9787FD" w14:textId="6171B654" w:rsidR="006C51D3" w:rsidRPr="00DE25AD" w:rsidRDefault="006C51D3" w:rsidP="006C51D3">
            <w:pPr>
              <w:pStyle w:val="ASSADACCESStablecentre"/>
            </w:pPr>
            <w:r w:rsidRPr="002E5727">
              <w:rPr>
                <w:bCs w:val="0"/>
                <w:color w:val="000000"/>
              </w:rPr>
              <w:t>2^</w:t>
            </w:r>
          </w:p>
        </w:tc>
      </w:tr>
      <w:tr w:rsidR="006C51D3" w:rsidRPr="00DE25AD" w14:paraId="24F8C2D2" w14:textId="77777777" w:rsidTr="005F678B">
        <w:tc>
          <w:tcPr>
            <w:tcW w:w="1517" w:type="dxa"/>
            <w:tcMar>
              <w:left w:w="57" w:type="dxa"/>
            </w:tcMar>
          </w:tcPr>
          <w:p w14:paraId="66428632" w14:textId="77777777" w:rsidR="006C51D3" w:rsidRPr="00DE25AD" w:rsidRDefault="006C51D3" w:rsidP="006C51D3">
            <w:pPr>
              <w:pStyle w:val="ACCESSTableHeaderRow"/>
            </w:pPr>
          </w:p>
        </w:tc>
        <w:tc>
          <w:tcPr>
            <w:tcW w:w="1068" w:type="dxa"/>
            <w:shd w:val="clear" w:color="auto" w:fill="auto"/>
            <w:tcMar>
              <w:left w:w="57" w:type="dxa"/>
            </w:tcMar>
            <w:vAlign w:val="bottom"/>
          </w:tcPr>
          <w:p w14:paraId="21230BA0" w14:textId="77777777" w:rsidR="006C51D3" w:rsidRPr="00DE25AD" w:rsidRDefault="006C51D3" w:rsidP="006C51D3">
            <w:pPr>
              <w:pStyle w:val="ASSAD2017ACCESSBody1"/>
            </w:pPr>
            <w:r w:rsidRPr="00DE25AD">
              <w:t>Total</w:t>
            </w:r>
          </w:p>
        </w:tc>
        <w:tc>
          <w:tcPr>
            <w:tcW w:w="878" w:type="dxa"/>
            <w:shd w:val="clear" w:color="auto" w:fill="auto"/>
          </w:tcPr>
          <w:p w14:paraId="5881BC56" w14:textId="626C9E63" w:rsidR="006C51D3" w:rsidRPr="00DE25AD" w:rsidRDefault="006C51D3" w:rsidP="006C51D3">
            <w:pPr>
              <w:pStyle w:val="ASSADACCESStablecentre"/>
            </w:pPr>
            <w:r w:rsidRPr="002E5727">
              <w:rPr>
                <w:bCs w:val="0"/>
                <w:color w:val="000000"/>
              </w:rPr>
              <w:t>6*</w:t>
            </w:r>
          </w:p>
        </w:tc>
        <w:tc>
          <w:tcPr>
            <w:tcW w:w="879" w:type="dxa"/>
            <w:shd w:val="clear" w:color="auto" w:fill="auto"/>
          </w:tcPr>
          <w:p w14:paraId="04230676" w14:textId="7C052F0D" w:rsidR="006C51D3" w:rsidRPr="00DE25AD" w:rsidRDefault="006C51D3" w:rsidP="006C51D3">
            <w:pPr>
              <w:pStyle w:val="ASSADACCESStablecentre"/>
            </w:pPr>
            <w:r w:rsidRPr="002E5727">
              <w:rPr>
                <w:bCs w:val="0"/>
                <w:color w:val="000000"/>
              </w:rPr>
              <w:t>5*^</w:t>
            </w:r>
          </w:p>
        </w:tc>
        <w:tc>
          <w:tcPr>
            <w:tcW w:w="879" w:type="dxa"/>
            <w:shd w:val="clear" w:color="auto" w:fill="auto"/>
          </w:tcPr>
          <w:p w14:paraId="4EBBA0D4" w14:textId="6DEB05EC" w:rsidR="006C51D3" w:rsidRPr="00DE25AD" w:rsidRDefault="006C51D3" w:rsidP="006C51D3">
            <w:pPr>
              <w:pStyle w:val="ASSADACCESStablecentre"/>
            </w:pPr>
            <w:r w:rsidRPr="002E5727">
              <w:rPr>
                <w:bCs w:val="0"/>
                <w:color w:val="000000"/>
              </w:rPr>
              <w:t>4*^</w:t>
            </w:r>
          </w:p>
        </w:tc>
        <w:tc>
          <w:tcPr>
            <w:tcW w:w="879" w:type="dxa"/>
            <w:shd w:val="clear" w:color="auto" w:fill="auto"/>
          </w:tcPr>
          <w:p w14:paraId="0F15B531" w14:textId="6C4F26D8" w:rsidR="006C51D3" w:rsidRPr="00DE25AD" w:rsidRDefault="006C51D3" w:rsidP="006C51D3">
            <w:pPr>
              <w:pStyle w:val="ASSADACCESStablecentre"/>
            </w:pPr>
            <w:r w:rsidRPr="002E5727">
              <w:rPr>
                <w:bCs w:val="0"/>
                <w:color w:val="000000"/>
              </w:rPr>
              <w:t>3^</w:t>
            </w:r>
          </w:p>
        </w:tc>
        <w:tc>
          <w:tcPr>
            <w:tcW w:w="879" w:type="dxa"/>
            <w:shd w:val="clear" w:color="auto" w:fill="auto"/>
          </w:tcPr>
          <w:p w14:paraId="4ED4D9EA" w14:textId="33920CE7" w:rsidR="006C51D3" w:rsidRPr="00DE25AD" w:rsidRDefault="006C51D3" w:rsidP="006C51D3">
            <w:pPr>
              <w:pStyle w:val="ASSADACCESStablecentre"/>
            </w:pPr>
            <w:r w:rsidRPr="002E5727">
              <w:rPr>
                <w:bCs w:val="0"/>
                <w:color w:val="000000"/>
              </w:rPr>
              <w:t>2^</w:t>
            </w:r>
          </w:p>
        </w:tc>
        <w:tc>
          <w:tcPr>
            <w:tcW w:w="879" w:type="dxa"/>
            <w:shd w:val="clear" w:color="auto" w:fill="auto"/>
          </w:tcPr>
          <w:p w14:paraId="56B8B9ED" w14:textId="0505CB12" w:rsidR="006C51D3" w:rsidRPr="00DE25AD" w:rsidRDefault="006C51D3" w:rsidP="006C51D3">
            <w:pPr>
              <w:pStyle w:val="ASSADACCESStablecentre"/>
            </w:pPr>
            <w:r w:rsidRPr="002E5727">
              <w:rPr>
                <w:bCs w:val="0"/>
                <w:color w:val="000000"/>
              </w:rPr>
              <w:t>2^</w:t>
            </w:r>
          </w:p>
        </w:tc>
        <w:tc>
          <w:tcPr>
            <w:tcW w:w="879" w:type="dxa"/>
            <w:shd w:val="clear" w:color="auto" w:fill="auto"/>
          </w:tcPr>
          <w:p w14:paraId="07C1A3B9" w14:textId="4A4C1A26" w:rsidR="006C51D3" w:rsidRPr="00DE25AD" w:rsidRDefault="006C51D3" w:rsidP="006C51D3">
            <w:pPr>
              <w:pStyle w:val="ASSADACCESStablecentre"/>
            </w:pPr>
            <w:r w:rsidRPr="002E5727">
              <w:rPr>
                <w:bCs w:val="0"/>
                <w:color w:val="000000"/>
              </w:rPr>
              <w:t>2^</w:t>
            </w:r>
          </w:p>
        </w:tc>
        <w:tc>
          <w:tcPr>
            <w:tcW w:w="879" w:type="dxa"/>
            <w:shd w:val="clear" w:color="auto" w:fill="auto"/>
          </w:tcPr>
          <w:p w14:paraId="2AB2B5E4" w14:textId="64940EE0" w:rsidR="006C51D3" w:rsidRPr="00DE25AD" w:rsidRDefault="006C51D3" w:rsidP="006C51D3">
            <w:pPr>
              <w:pStyle w:val="ASSADACCESStablecentre"/>
            </w:pPr>
            <w:r w:rsidRPr="002E5727">
              <w:rPr>
                <w:bCs w:val="0"/>
                <w:color w:val="000000"/>
              </w:rPr>
              <w:t>2^</w:t>
            </w:r>
          </w:p>
        </w:tc>
      </w:tr>
      <w:tr w:rsidR="006C51D3" w:rsidRPr="00DE25AD" w14:paraId="7FFBEC8A" w14:textId="77777777" w:rsidTr="005F678B">
        <w:tc>
          <w:tcPr>
            <w:tcW w:w="1517" w:type="dxa"/>
            <w:tcMar>
              <w:left w:w="57" w:type="dxa"/>
            </w:tcMar>
          </w:tcPr>
          <w:p w14:paraId="7656C7B4" w14:textId="77777777" w:rsidR="006C51D3" w:rsidRPr="00DE25AD" w:rsidRDefault="006C51D3" w:rsidP="006C51D3">
            <w:pPr>
              <w:pStyle w:val="ACCESSTableHeaderRow"/>
            </w:pPr>
            <w:r w:rsidRPr="00DE25AD">
              <w:t xml:space="preserve">Past </w:t>
            </w:r>
            <w:r>
              <w:t>year</w:t>
            </w:r>
          </w:p>
        </w:tc>
        <w:tc>
          <w:tcPr>
            <w:tcW w:w="1068" w:type="dxa"/>
            <w:shd w:val="clear" w:color="auto" w:fill="auto"/>
            <w:tcMar>
              <w:left w:w="57" w:type="dxa"/>
            </w:tcMar>
            <w:vAlign w:val="bottom"/>
          </w:tcPr>
          <w:p w14:paraId="7A38474A" w14:textId="77777777" w:rsidR="006C51D3" w:rsidRPr="00DE25AD" w:rsidRDefault="006C51D3" w:rsidP="006C51D3">
            <w:pPr>
              <w:pStyle w:val="ASSAD2017ACCESSBody1"/>
            </w:pPr>
            <w:r w:rsidRPr="00DE25AD">
              <w:t>Male</w:t>
            </w:r>
          </w:p>
        </w:tc>
        <w:tc>
          <w:tcPr>
            <w:tcW w:w="878" w:type="dxa"/>
            <w:shd w:val="clear" w:color="auto" w:fill="auto"/>
          </w:tcPr>
          <w:p w14:paraId="5C13C84F" w14:textId="1F0B96DF" w:rsidR="006C51D3" w:rsidRPr="00DE25AD" w:rsidRDefault="006C51D3" w:rsidP="006C51D3">
            <w:pPr>
              <w:pStyle w:val="ASSADACCESStablecentre"/>
            </w:pPr>
            <w:r w:rsidRPr="002E5727">
              <w:rPr>
                <w:bCs w:val="0"/>
                <w:color w:val="000000"/>
              </w:rPr>
              <w:t>6*</w:t>
            </w:r>
          </w:p>
        </w:tc>
        <w:tc>
          <w:tcPr>
            <w:tcW w:w="879" w:type="dxa"/>
            <w:shd w:val="clear" w:color="auto" w:fill="auto"/>
          </w:tcPr>
          <w:p w14:paraId="7DF86439" w14:textId="1AA7A748" w:rsidR="006C51D3" w:rsidRPr="00DE25AD" w:rsidRDefault="006C51D3" w:rsidP="006C51D3">
            <w:pPr>
              <w:pStyle w:val="ASSADACCESStablecentre"/>
            </w:pPr>
            <w:r w:rsidRPr="002E5727">
              <w:rPr>
                <w:bCs w:val="0"/>
                <w:color w:val="000000"/>
              </w:rPr>
              <w:t>4*^</w:t>
            </w:r>
          </w:p>
        </w:tc>
        <w:tc>
          <w:tcPr>
            <w:tcW w:w="879" w:type="dxa"/>
            <w:shd w:val="clear" w:color="auto" w:fill="auto"/>
          </w:tcPr>
          <w:p w14:paraId="3D29E3A1" w14:textId="2CC92676" w:rsidR="006C51D3" w:rsidRPr="00DE25AD" w:rsidRDefault="006C51D3" w:rsidP="006C51D3">
            <w:pPr>
              <w:pStyle w:val="ASSADACCESStablecentre"/>
            </w:pPr>
            <w:r w:rsidRPr="002E5727">
              <w:rPr>
                <w:bCs w:val="0"/>
                <w:color w:val="000000"/>
              </w:rPr>
              <w:t>3</w:t>
            </w:r>
            <w:r>
              <w:rPr>
                <w:bCs w:val="0"/>
                <w:color w:val="000000"/>
              </w:rPr>
              <w:t>*</w:t>
            </w:r>
            <w:r w:rsidRPr="002E5727">
              <w:rPr>
                <w:bCs w:val="0"/>
                <w:color w:val="000000"/>
              </w:rPr>
              <w:t>^</w:t>
            </w:r>
          </w:p>
        </w:tc>
        <w:tc>
          <w:tcPr>
            <w:tcW w:w="879" w:type="dxa"/>
            <w:shd w:val="clear" w:color="auto" w:fill="auto"/>
          </w:tcPr>
          <w:p w14:paraId="0B0E7A52" w14:textId="3BD54446" w:rsidR="006C51D3" w:rsidRPr="00DE25AD" w:rsidRDefault="006C51D3" w:rsidP="006C51D3">
            <w:pPr>
              <w:pStyle w:val="ASSADACCESStablecentre"/>
            </w:pPr>
            <w:r w:rsidRPr="002E5727">
              <w:rPr>
                <w:bCs w:val="0"/>
                <w:color w:val="000000"/>
              </w:rPr>
              <w:t>3^</w:t>
            </w:r>
          </w:p>
        </w:tc>
        <w:tc>
          <w:tcPr>
            <w:tcW w:w="879" w:type="dxa"/>
            <w:shd w:val="clear" w:color="auto" w:fill="auto"/>
          </w:tcPr>
          <w:p w14:paraId="457765AB" w14:textId="7FA90F3D" w:rsidR="006C51D3" w:rsidRPr="00DE25AD" w:rsidRDefault="006C51D3" w:rsidP="006C51D3">
            <w:pPr>
              <w:pStyle w:val="ASSADACCESStablecentre"/>
            </w:pPr>
            <w:r w:rsidRPr="002E5727">
              <w:rPr>
                <w:bCs w:val="0"/>
                <w:color w:val="000000"/>
              </w:rPr>
              <w:t>2^</w:t>
            </w:r>
          </w:p>
        </w:tc>
        <w:tc>
          <w:tcPr>
            <w:tcW w:w="879" w:type="dxa"/>
            <w:shd w:val="clear" w:color="auto" w:fill="auto"/>
          </w:tcPr>
          <w:p w14:paraId="10842EB6" w14:textId="13BA80E3" w:rsidR="006C51D3" w:rsidRPr="00DE25AD" w:rsidRDefault="006C51D3" w:rsidP="006C51D3">
            <w:pPr>
              <w:pStyle w:val="ASSADACCESStablecentre"/>
            </w:pPr>
            <w:r w:rsidRPr="002E5727">
              <w:rPr>
                <w:bCs w:val="0"/>
                <w:color w:val="000000"/>
              </w:rPr>
              <w:t>2^</w:t>
            </w:r>
          </w:p>
        </w:tc>
        <w:tc>
          <w:tcPr>
            <w:tcW w:w="879" w:type="dxa"/>
            <w:shd w:val="clear" w:color="auto" w:fill="auto"/>
          </w:tcPr>
          <w:p w14:paraId="3A00AA93" w14:textId="74EF4354" w:rsidR="006C51D3" w:rsidRPr="00DE25AD" w:rsidRDefault="006C51D3" w:rsidP="006C51D3">
            <w:pPr>
              <w:pStyle w:val="ASSADACCESStablecentre"/>
            </w:pPr>
            <w:r w:rsidRPr="002E5727">
              <w:rPr>
                <w:bCs w:val="0"/>
                <w:color w:val="000000"/>
              </w:rPr>
              <w:t>2^</w:t>
            </w:r>
          </w:p>
        </w:tc>
        <w:tc>
          <w:tcPr>
            <w:tcW w:w="879" w:type="dxa"/>
            <w:shd w:val="clear" w:color="auto" w:fill="auto"/>
          </w:tcPr>
          <w:p w14:paraId="469C948E" w14:textId="19F6D691" w:rsidR="006C51D3" w:rsidRPr="00DE25AD" w:rsidRDefault="006C51D3" w:rsidP="006C51D3">
            <w:pPr>
              <w:pStyle w:val="ASSADACCESStablecentre"/>
            </w:pPr>
            <w:r w:rsidRPr="002E5727">
              <w:rPr>
                <w:bCs w:val="0"/>
                <w:color w:val="000000"/>
              </w:rPr>
              <w:t>2^</w:t>
            </w:r>
          </w:p>
        </w:tc>
      </w:tr>
      <w:tr w:rsidR="006C51D3" w:rsidRPr="00DE25AD" w14:paraId="6135256C" w14:textId="77777777" w:rsidTr="005F678B">
        <w:tc>
          <w:tcPr>
            <w:tcW w:w="1517" w:type="dxa"/>
            <w:tcMar>
              <w:left w:w="57" w:type="dxa"/>
            </w:tcMar>
          </w:tcPr>
          <w:p w14:paraId="7EAE6BFB" w14:textId="77777777" w:rsidR="006C51D3" w:rsidRPr="00DE25AD" w:rsidRDefault="006C51D3" w:rsidP="006C51D3">
            <w:pPr>
              <w:pStyle w:val="ACCESSTableHeaderRow"/>
            </w:pPr>
          </w:p>
        </w:tc>
        <w:tc>
          <w:tcPr>
            <w:tcW w:w="1068" w:type="dxa"/>
            <w:shd w:val="clear" w:color="auto" w:fill="auto"/>
            <w:tcMar>
              <w:left w:w="57" w:type="dxa"/>
            </w:tcMar>
            <w:vAlign w:val="bottom"/>
          </w:tcPr>
          <w:p w14:paraId="04717426" w14:textId="77777777" w:rsidR="006C51D3" w:rsidRPr="00DE25AD" w:rsidRDefault="006C51D3" w:rsidP="006C51D3">
            <w:pPr>
              <w:pStyle w:val="ASSAD2017ACCESSBody1"/>
            </w:pPr>
            <w:r w:rsidRPr="00DE25AD">
              <w:t>Female</w:t>
            </w:r>
          </w:p>
        </w:tc>
        <w:tc>
          <w:tcPr>
            <w:tcW w:w="878" w:type="dxa"/>
            <w:shd w:val="clear" w:color="auto" w:fill="auto"/>
          </w:tcPr>
          <w:p w14:paraId="0F8181F1" w14:textId="2D9245A1" w:rsidR="006C51D3" w:rsidRPr="00DE25AD" w:rsidRDefault="006C51D3" w:rsidP="006C51D3">
            <w:pPr>
              <w:pStyle w:val="ASSADACCESStablecentre"/>
            </w:pPr>
            <w:r w:rsidRPr="002E5727">
              <w:rPr>
                <w:bCs w:val="0"/>
                <w:color w:val="000000"/>
              </w:rPr>
              <w:t>4*</w:t>
            </w:r>
          </w:p>
        </w:tc>
        <w:tc>
          <w:tcPr>
            <w:tcW w:w="879" w:type="dxa"/>
            <w:shd w:val="clear" w:color="auto" w:fill="auto"/>
          </w:tcPr>
          <w:p w14:paraId="7662AD80" w14:textId="5F85F9DE" w:rsidR="006C51D3" w:rsidRPr="00DE25AD" w:rsidRDefault="006C51D3" w:rsidP="006C51D3">
            <w:pPr>
              <w:pStyle w:val="ASSADACCESStablecentre"/>
            </w:pPr>
            <w:r w:rsidRPr="002E5727">
              <w:rPr>
                <w:bCs w:val="0"/>
                <w:color w:val="000000"/>
              </w:rPr>
              <w:t>3*</w:t>
            </w:r>
          </w:p>
        </w:tc>
        <w:tc>
          <w:tcPr>
            <w:tcW w:w="879" w:type="dxa"/>
            <w:shd w:val="clear" w:color="auto" w:fill="auto"/>
          </w:tcPr>
          <w:p w14:paraId="42A6F51F" w14:textId="31CFA552" w:rsidR="006C51D3" w:rsidRPr="00DE25AD" w:rsidRDefault="006C51D3" w:rsidP="006C51D3">
            <w:pPr>
              <w:pStyle w:val="ASSADACCESStablecentre"/>
            </w:pPr>
            <w:r w:rsidRPr="002E5727">
              <w:rPr>
                <w:bCs w:val="0"/>
                <w:color w:val="000000"/>
              </w:rPr>
              <w:t>2^</w:t>
            </w:r>
          </w:p>
        </w:tc>
        <w:tc>
          <w:tcPr>
            <w:tcW w:w="879" w:type="dxa"/>
            <w:shd w:val="clear" w:color="auto" w:fill="auto"/>
          </w:tcPr>
          <w:p w14:paraId="1A167636" w14:textId="0606154E" w:rsidR="006C51D3" w:rsidRPr="00DE25AD" w:rsidRDefault="006C51D3" w:rsidP="006C51D3">
            <w:pPr>
              <w:pStyle w:val="ASSADACCESStablecentre"/>
            </w:pPr>
            <w:r w:rsidRPr="002E5727">
              <w:rPr>
                <w:bCs w:val="0"/>
                <w:color w:val="000000"/>
              </w:rPr>
              <w:t>1^</w:t>
            </w:r>
          </w:p>
        </w:tc>
        <w:tc>
          <w:tcPr>
            <w:tcW w:w="879" w:type="dxa"/>
            <w:shd w:val="clear" w:color="auto" w:fill="auto"/>
          </w:tcPr>
          <w:p w14:paraId="6AC1C830" w14:textId="326C14FF" w:rsidR="006C51D3" w:rsidRPr="00DE25AD" w:rsidRDefault="006C51D3" w:rsidP="006C51D3">
            <w:pPr>
              <w:pStyle w:val="ASSADACCESStablecentre"/>
            </w:pPr>
            <w:r w:rsidRPr="002E5727">
              <w:rPr>
                <w:bCs w:val="0"/>
                <w:color w:val="000000"/>
              </w:rPr>
              <w:t>1^</w:t>
            </w:r>
          </w:p>
        </w:tc>
        <w:tc>
          <w:tcPr>
            <w:tcW w:w="879" w:type="dxa"/>
            <w:shd w:val="clear" w:color="auto" w:fill="auto"/>
          </w:tcPr>
          <w:p w14:paraId="2729B9B9" w14:textId="776E554C" w:rsidR="006C51D3" w:rsidRPr="00DE25AD" w:rsidRDefault="006C51D3" w:rsidP="006C51D3">
            <w:pPr>
              <w:pStyle w:val="ASSADACCESStablecentre"/>
            </w:pPr>
            <w:r w:rsidRPr="002E5727">
              <w:rPr>
                <w:bCs w:val="0"/>
                <w:color w:val="000000"/>
              </w:rPr>
              <w:t>1^</w:t>
            </w:r>
          </w:p>
        </w:tc>
        <w:tc>
          <w:tcPr>
            <w:tcW w:w="879" w:type="dxa"/>
            <w:shd w:val="clear" w:color="auto" w:fill="auto"/>
          </w:tcPr>
          <w:p w14:paraId="06C6B159" w14:textId="5ECB3C91" w:rsidR="006C51D3" w:rsidRPr="00DE25AD" w:rsidRDefault="006C51D3" w:rsidP="006C51D3">
            <w:pPr>
              <w:pStyle w:val="ASSADACCESStablecentre"/>
            </w:pPr>
            <w:r w:rsidRPr="002E5727">
              <w:rPr>
                <w:bCs w:val="0"/>
                <w:color w:val="000000"/>
              </w:rPr>
              <w:t>1^</w:t>
            </w:r>
          </w:p>
        </w:tc>
        <w:tc>
          <w:tcPr>
            <w:tcW w:w="879" w:type="dxa"/>
            <w:shd w:val="clear" w:color="auto" w:fill="auto"/>
          </w:tcPr>
          <w:p w14:paraId="0F8E4D38" w14:textId="35DF7F89" w:rsidR="006C51D3" w:rsidRPr="00DE25AD" w:rsidRDefault="006C51D3" w:rsidP="006C51D3">
            <w:pPr>
              <w:pStyle w:val="ASSADACCESStablecentre"/>
            </w:pPr>
            <w:r w:rsidRPr="002E5727">
              <w:rPr>
                <w:bCs w:val="0"/>
                <w:color w:val="000000"/>
              </w:rPr>
              <w:t>1^</w:t>
            </w:r>
          </w:p>
        </w:tc>
      </w:tr>
      <w:tr w:rsidR="006C51D3" w:rsidRPr="00DE25AD" w14:paraId="4FF53B76" w14:textId="77777777" w:rsidTr="005F678B">
        <w:tc>
          <w:tcPr>
            <w:tcW w:w="1517" w:type="dxa"/>
            <w:tcMar>
              <w:left w:w="57" w:type="dxa"/>
            </w:tcMar>
          </w:tcPr>
          <w:p w14:paraId="4EE99665" w14:textId="77777777" w:rsidR="006C51D3" w:rsidRPr="00DE25AD" w:rsidRDefault="006C51D3" w:rsidP="006C51D3">
            <w:pPr>
              <w:pStyle w:val="ACCESSTableHeaderRow"/>
            </w:pPr>
          </w:p>
        </w:tc>
        <w:tc>
          <w:tcPr>
            <w:tcW w:w="1068" w:type="dxa"/>
            <w:shd w:val="clear" w:color="auto" w:fill="auto"/>
            <w:tcMar>
              <w:left w:w="57" w:type="dxa"/>
            </w:tcMar>
            <w:vAlign w:val="bottom"/>
          </w:tcPr>
          <w:p w14:paraId="723B8BB0" w14:textId="77777777" w:rsidR="006C51D3" w:rsidRPr="00DE25AD" w:rsidRDefault="006C51D3" w:rsidP="006C51D3">
            <w:pPr>
              <w:pStyle w:val="ASSAD2017ACCESSBody1"/>
            </w:pPr>
            <w:r w:rsidRPr="00DE25AD">
              <w:t>Total</w:t>
            </w:r>
          </w:p>
        </w:tc>
        <w:tc>
          <w:tcPr>
            <w:tcW w:w="878" w:type="dxa"/>
            <w:shd w:val="clear" w:color="auto" w:fill="auto"/>
          </w:tcPr>
          <w:p w14:paraId="716AC776" w14:textId="5A2C8415" w:rsidR="006C51D3" w:rsidRPr="00DE25AD" w:rsidRDefault="006C51D3" w:rsidP="006C51D3">
            <w:pPr>
              <w:pStyle w:val="ASSADACCESStablecentre"/>
            </w:pPr>
            <w:r w:rsidRPr="002E5727">
              <w:rPr>
                <w:bCs w:val="0"/>
                <w:color w:val="000000"/>
              </w:rPr>
              <w:t>5*</w:t>
            </w:r>
          </w:p>
        </w:tc>
        <w:tc>
          <w:tcPr>
            <w:tcW w:w="879" w:type="dxa"/>
            <w:shd w:val="clear" w:color="auto" w:fill="auto"/>
          </w:tcPr>
          <w:p w14:paraId="2872E2B2" w14:textId="78D4073F" w:rsidR="006C51D3" w:rsidRPr="00DE25AD" w:rsidRDefault="006C51D3" w:rsidP="006C51D3">
            <w:pPr>
              <w:pStyle w:val="ASSADACCESStablecentre"/>
            </w:pPr>
            <w:r w:rsidRPr="002E5727">
              <w:rPr>
                <w:bCs w:val="0"/>
                <w:color w:val="000000"/>
              </w:rPr>
              <w:t>4*^</w:t>
            </w:r>
          </w:p>
        </w:tc>
        <w:tc>
          <w:tcPr>
            <w:tcW w:w="879" w:type="dxa"/>
            <w:shd w:val="clear" w:color="auto" w:fill="auto"/>
          </w:tcPr>
          <w:p w14:paraId="5A6F7EA2" w14:textId="7926F21F" w:rsidR="006C51D3" w:rsidRPr="00DE25AD" w:rsidRDefault="006C51D3" w:rsidP="006C51D3">
            <w:pPr>
              <w:pStyle w:val="ASSADACCESStablecentre"/>
            </w:pPr>
            <w:r w:rsidRPr="002E5727">
              <w:rPr>
                <w:bCs w:val="0"/>
                <w:color w:val="000000"/>
              </w:rPr>
              <w:t>3*^</w:t>
            </w:r>
          </w:p>
        </w:tc>
        <w:tc>
          <w:tcPr>
            <w:tcW w:w="879" w:type="dxa"/>
            <w:shd w:val="clear" w:color="auto" w:fill="auto"/>
          </w:tcPr>
          <w:p w14:paraId="025A00FF" w14:textId="66238160" w:rsidR="006C51D3" w:rsidRPr="00DE25AD" w:rsidRDefault="006C51D3" w:rsidP="006C51D3">
            <w:pPr>
              <w:pStyle w:val="ASSADACCESStablecentre"/>
            </w:pPr>
            <w:r w:rsidRPr="002E5727">
              <w:rPr>
                <w:bCs w:val="0"/>
                <w:color w:val="000000"/>
              </w:rPr>
              <w:t>2^</w:t>
            </w:r>
          </w:p>
        </w:tc>
        <w:tc>
          <w:tcPr>
            <w:tcW w:w="879" w:type="dxa"/>
            <w:shd w:val="clear" w:color="auto" w:fill="auto"/>
          </w:tcPr>
          <w:p w14:paraId="51E4D894" w14:textId="7B27324A" w:rsidR="006C51D3" w:rsidRPr="00DE25AD" w:rsidRDefault="006C51D3" w:rsidP="006C51D3">
            <w:pPr>
              <w:pStyle w:val="ASSADACCESStablecentre"/>
            </w:pPr>
            <w:r w:rsidRPr="002E5727">
              <w:rPr>
                <w:bCs w:val="0"/>
                <w:color w:val="000000"/>
              </w:rPr>
              <w:t>2^</w:t>
            </w:r>
          </w:p>
        </w:tc>
        <w:tc>
          <w:tcPr>
            <w:tcW w:w="879" w:type="dxa"/>
            <w:shd w:val="clear" w:color="auto" w:fill="auto"/>
          </w:tcPr>
          <w:p w14:paraId="53558A79" w14:textId="29C128BC" w:rsidR="006C51D3" w:rsidRPr="00DE25AD" w:rsidRDefault="006C51D3" w:rsidP="006C51D3">
            <w:pPr>
              <w:pStyle w:val="ASSADACCESStablecentre"/>
            </w:pPr>
            <w:r w:rsidRPr="002E5727">
              <w:rPr>
                <w:bCs w:val="0"/>
                <w:color w:val="000000"/>
              </w:rPr>
              <w:t>1^</w:t>
            </w:r>
          </w:p>
        </w:tc>
        <w:tc>
          <w:tcPr>
            <w:tcW w:w="879" w:type="dxa"/>
            <w:shd w:val="clear" w:color="auto" w:fill="auto"/>
          </w:tcPr>
          <w:p w14:paraId="13AE133C" w14:textId="724484D8" w:rsidR="006C51D3" w:rsidRPr="00DE25AD" w:rsidRDefault="006C51D3" w:rsidP="006C51D3">
            <w:pPr>
              <w:pStyle w:val="ASSADACCESStablecentre"/>
            </w:pPr>
            <w:r w:rsidRPr="002E5727">
              <w:rPr>
                <w:bCs w:val="0"/>
                <w:color w:val="000000"/>
              </w:rPr>
              <w:t>1^</w:t>
            </w:r>
          </w:p>
        </w:tc>
        <w:tc>
          <w:tcPr>
            <w:tcW w:w="879" w:type="dxa"/>
            <w:shd w:val="clear" w:color="auto" w:fill="auto"/>
          </w:tcPr>
          <w:p w14:paraId="18249F05" w14:textId="49A9366C" w:rsidR="006C51D3" w:rsidRPr="00DE25AD" w:rsidRDefault="006C51D3" w:rsidP="006C51D3">
            <w:pPr>
              <w:pStyle w:val="ASSADACCESStablecentre"/>
            </w:pPr>
            <w:r w:rsidRPr="002E5727">
              <w:rPr>
                <w:bCs w:val="0"/>
                <w:color w:val="000000"/>
              </w:rPr>
              <w:t>2^</w:t>
            </w:r>
          </w:p>
        </w:tc>
      </w:tr>
      <w:tr w:rsidR="006C51D3" w:rsidRPr="00DE25AD" w14:paraId="013B3A9B" w14:textId="77777777" w:rsidTr="005F678B">
        <w:tc>
          <w:tcPr>
            <w:tcW w:w="1517" w:type="dxa"/>
            <w:tcMar>
              <w:left w:w="57" w:type="dxa"/>
            </w:tcMar>
          </w:tcPr>
          <w:p w14:paraId="0DF703FF" w14:textId="77777777" w:rsidR="006C51D3" w:rsidRPr="00DE25AD" w:rsidRDefault="006C51D3" w:rsidP="006C51D3">
            <w:pPr>
              <w:pStyle w:val="ACCESSTableHeaderRow"/>
            </w:pPr>
            <w:r w:rsidRPr="00DE25AD">
              <w:t xml:space="preserve">Past </w:t>
            </w:r>
            <w:r>
              <w:t>month</w:t>
            </w:r>
          </w:p>
        </w:tc>
        <w:tc>
          <w:tcPr>
            <w:tcW w:w="1068" w:type="dxa"/>
            <w:shd w:val="clear" w:color="auto" w:fill="auto"/>
            <w:tcMar>
              <w:left w:w="57" w:type="dxa"/>
            </w:tcMar>
            <w:vAlign w:val="bottom"/>
          </w:tcPr>
          <w:p w14:paraId="58611737" w14:textId="77777777" w:rsidR="006C51D3" w:rsidRPr="00DE25AD" w:rsidRDefault="006C51D3" w:rsidP="006C51D3">
            <w:pPr>
              <w:pStyle w:val="ASSAD2017ACCESSBody1"/>
            </w:pPr>
            <w:r w:rsidRPr="00DE25AD">
              <w:t>Male</w:t>
            </w:r>
          </w:p>
        </w:tc>
        <w:tc>
          <w:tcPr>
            <w:tcW w:w="878" w:type="dxa"/>
            <w:shd w:val="clear" w:color="auto" w:fill="auto"/>
          </w:tcPr>
          <w:p w14:paraId="1FC4810F" w14:textId="7B99B30F" w:rsidR="006C51D3" w:rsidRPr="00DE25AD" w:rsidRDefault="006C51D3" w:rsidP="006C51D3">
            <w:pPr>
              <w:pStyle w:val="ASSADACCESStablecentre"/>
            </w:pPr>
            <w:r w:rsidRPr="002E5727">
              <w:rPr>
                <w:bCs w:val="0"/>
                <w:color w:val="000000"/>
              </w:rPr>
              <w:t>3*</w:t>
            </w:r>
          </w:p>
        </w:tc>
        <w:tc>
          <w:tcPr>
            <w:tcW w:w="879" w:type="dxa"/>
            <w:shd w:val="clear" w:color="auto" w:fill="auto"/>
          </w:tcPr>
          <w:p w14:paraId="5097DB63" w14:textId="527740E2" w:rsidR="006C51D3" w:rsidRPr="00DE25AD" w:rsidRDefault="006C51D3" w:rsidP="006C51D3">
            <w:pPr>
              <w:pStyle w:val="ASSADACCESStablecentre"/>
            </w:pPr>
            <w:r w:rsidRPr="002E5727">
              <w:rPr>
                <w:bCs w:val="0"/>
                <w:color w:val="000000"/>
              </w:rPr>
              <w:t>2^</w:t>
            </w:r>
          </w:p>
        </w:tc>
        <w:tc>
          <w:tcPr>
            <w:tcW w:w="879" w:type="dxa"/>
            <w:shd w:val="clear" w:color="auto" w:fill="auto"/>
          </w:tcPr>
          <w:p w14:paraId="6CC854FB" w14:textId="4400F073" w:rsidR="006C51D3" w:rsidRPr="00DE25AD" w:rsidRDefault="006C51D3" w:rsidP="006C51D3">
            <w:pPr>
              <w:pStyle w:val="ASSADACCESStablecentre"/>
            </w:pPr>
            <w:r w:rsidRPr="002E5727">
              <w:rPr>
                <w:bCs w:val="0"/>
                <w:color w:val="000000"/>
              </w:rPr>
              <w:t>2^</w:t>
            </w:r>
          </w:p>
        </w:tc>
        <w:tc>
          <w:tcPr>
            <w:tcW w:w="879" w:type="dxa"/>
            <w:shd w:val="clear" w:color="auto" w:fill="auto"/>
          </w:tcPr>
          <w:p w14:paraId="5C71103A" w14:textId="73153727" w:rsidR="006C51D3" w:rsidRPr="00DE25AD" w:rsidRDefault="006C51D3" w:rsidP="006C51D3">
            <w:pPr>
              <w:pStyle w:val="ASSADACCESStablecentre"/>
            </w:pPr>
            <w:r w:rsidRPr="002E5727">
              <w:rPr>
                <w:bCs w:val="0"/>
                <w:color w:val="000000"/>
              </w:rPr>
              <w:t>2^</w:t>
            </w:r>
          </w:p>
        </w:tc>
        <w:tc>
          <w:tcPr>
            <w:tcW w:w="879" w:type="dxa"/>
            <w:shd w:val="clear" w:color="auto" w:fill="auto"/>
          </w:tcPr>
          <w:p w14:paraId="78886266" w14:textId="0FF1C909" w:rsidR="006C51D3" w:rsidRPr="00DE25AD" w:rsidRDefault="006C51D3" w:rsidP="006C51D3">
            <w:pPr>
              <w:pStyle w:val="ASSADACCESStablecentre"/>
            </w:pPr>
            <w:r w:rsidRPr="002E5727">
              <w:rPr>
                <w:bCs w:val="0"/>
                <w:color w:val="000000"/>
              </w:rPr>
              <w:t>1^</w:t>
            </w:r>
          </w:p>
        </w:tc>
        <w:tc>
          <w:tcPr>
            <w:tcW w:w="879" w:type="dxa"/>
            <w:shd w:val="clear" w:color="auto" w:fill="auto"/>
          </w:tcPr>
          <w:p w14:paraId="2333E163" w14:textId="49BA071B" w:rsidR="006C51D3" w:rsidRPr="00DE25AD" w:rsidRDefault="006C51D3" w:rsidP="006C51D3">
            <w:pPr>
              <w:pStyle w:val="ASSADACCESStablecentre"/>
            </w:pPr>
            <w:r w:rsidRPr="002E5727">
              <w:rPr>
                <w:bCs w:val="0"/>
                <w:color w:val="000000"/>
              </w:rPr>
              <w:t>1^</w:t>
            </w:r>
          </w:p>
        </w:tc>
        <w:tc>
          <w:tcPr>
            <w:tcW w:w="879" w:type="dxa"/>
            <w:shd w:val="clear" w:color="auto" w:fill="auto"/>
          </w:tcPr>
          <w:p w14:paraId="185A5009" w14:textId="00AF706D" w:rsidR="006C51D3" w:rsidRPr="00DE25AD" w:rsidRDefault="006C51D3" w:rsidP="006C51D3">
            <w:pPr>
              <w:pStyle w:val="ASSADACCESStablecentre"/>
            </w:pPr>
            <w:r w:rsidRPr="002E5727">
              <w:rPr>
                <w:bCs w:val="0"/>
                <w:color w:val="000000"/>
              </w:rPr>
              <w:t>1^</w:t>
            </w:r>
          </w:p>
        </w:tc>
        <w:tc>
          <w:tcPr>
            <w:tcW w:w="879" w:type="dxa"/>
            <w:shd w:val="clear" w:color="auto" w:fill="auto"/>
          </w:tcPr>
          <w:p w14:paraId="5BBD1E2B" w14:textId="6578C25D" w:rsidR="006C51D3" w:rsidRPr="00DE25AD" w:rsidRDefault="006C51D3" w:rsidP="006C51D3">
            <w:pPr>
              <w:pStyle w:val="ASSADACCESStablecentre"/>
            </w:pPr>
            <w:r w:rsidRPr="002E5727">
              <w:rPr>
                <w:bCs w:val="0"/>
                <w:color w:val="000000"/>
              </w:rPr>
              <w:t>1^</w:t>
            </w:r>
          </w:p>
        </w:tc>
      </w:tr>
      <w:tr w:rsidR="006C51D3" w:rsidRPr="00DE25AD" w14:paraId="77BDF628" w14:textId="77777777" w:rsidTr="005F678B">
        <w:tc>
          <w:tcPr>
            <w:tcW w:w="1517" w:type="dxa"/>
            <w:tcMar>
              <w:left w:w="57" w:type="dxa"/>
            </w:tcMar>
          </w:tcPr>
          <w:p w14:paraId="5843FDC3" w14:textId="77777777" w:rsidR="006C51D3" w:rsidRPr="00DE25AD" w:rsidRDefault="006C51D3" w:rsidP="006C51D3">
            <w:pPr>
              <w:pStyle w:val="ACCESSTableHeaderRow"/>
            </w:pPr>
          </w:p>
        </w:tc>
        <w:tc>
          <w:tcPr>
            <w:tcW w:w="1068" w:type="dxa"/>
            <w:shd w:val="clear" w:color="auto" w:fill="auto"/>
            <w:tcMar>
              <w:left w:w="57" w:type="dxa"/>
            </w:tcMar>
            <w:vAlign w:val="bottom"/>
          </w:tcPr>
          <w:p w14:paraId="436AF72F" w14:textId="77777777" w:rsidR="006C51D3" w:rsidRPr="00DE25AD" w:rsidRDefault="006C51D3" w:rsidP="006C51D3">
            <w:pPr>
              <w:pStyle w:val="ASSAD2017ACCESSBody1"/>
            </w:pPr>
            <w:r w:rsidRPr="00DE25AD">
              <w:t>Female</w:t>
            </w:r>
          </w:p>
        </w:tc>
        <w:tc>
          <w:tcPr>
            <w:tcW w:w="878" w:type="dxa"/>
            <w:shd w:val="clear" w:color="auto" w:fill="auto"/>
          </w:tcPr>
          <w:p w14:paraId="7999A71A" w14:textId="64C54F89" w:rsidR="006C51D3" w:rsidRPr="00DE25AD" w:rsidRDefault="006C51D3" w:rsidP="006C51D3">
            <w:pPr>
              <w:pStyle w:val="ASSADACCESStablecentre"/>
            </w:pPr>
            <w:r w:rsidRPr="002E5727">
              <w:rPr>
                <w:bCs w:val="0"/>
                <w:color w:val="000000"/>
              </w:rPr>
              <w:t>2*</w:t>
            </w:r>
          </w:p>
        </w:tc>
        <w:tc>
          <w:tcPr>
            <w:tcW w:w="879" w:type="dxa"/>
            <w:shd w:val="clear" w:color="auto" w:fill="auto"/>
          </w:tcPr>
          <w:p w14:paraId="16AC9944" w14:textId="008939B4" w:rsidR="006C51D3" w:rsidRPr="00DE25AD" w:rsidRDefault="006C51D3" w:rsidP="006C51D3">
            <w:pPr>
              <w:pStyle w:val="ASSADACCESStablecentre"/>
            </w:pPr>
            <w:r w:rsidRPr="002E5727">
              <w:rPr>
                <w:bCs w:val="0"/>
                <w:color w:val="000000"/>
              </w:rPr>
              <w:t>1*</w:t>
            </w:r>
          </w:p>
        </w:tc>
        <w:tc>
          <w:tcPr>
            <w:tcW w:w="879" w:type="dxa"/>
            <w:shd w:val="clear" w:color="auto" w:fill="auto"/>
          </w:tcPr>
          <w:p w14:paraId="76809340" w14:textId="2B775654" w:rsidR="006C51D3" w:rsidRPr="00DE25AD" w:rsidRDefault="006C51D3" w:rsidP="006C51D3">
            <w:pPr>
              <w:pStyle w:val="ASSADACCESStablecentre"/>
            </w:pPr>
            <w:r w:rsidRPr="002E5727">
              <w:rPr>
                <w:bCs w:val="0"/>
                <w:color w:val="000000"/>
              </w:rPr>
              <w:t>1*^</w:t>
            </w:r>
          </w:p>
        </w:tc>
        <w:tc>
          <w:tcPr>
            <w:tcW w:w="879" w:type="dxa"/>
            <w:shd w:val="clear" w:color="auto" w:fill="auto"/>
          </w:tcPr>
          <w:p w14:paraId="3D9DFE61" w14:textId="1C37A73D" w:rsidR="006C51D3" w:rsidRPr="00DE25AD" w:rsidRDefault="006C51D3" w:rsidP="006C51D3">
            <w:pPr>
              <w:pStyle w:val="ASSADACCESStablecentre"/>
            </w:pPr>
            <w:r w:rsidRPr="002E5727">
              <w:rPr>
                <w:bCs w:val="0"/>
                <w:color w:val="000000"/>
              </w:rPr>
              <w:t>1^</w:t>
            </w:r>
          </w:p>
        </w:tc>
        <w:tc>
          <w:tcPr>
            <w:tcW w:w="879" w:type="dxa"/>
            <w:shd w:val="clear" w:color="auto" w:fill="auto"/>
          </w:tcPr>
          <w:p w14:paraId="71349A17" w14:textId="1E17A285" w:rsidR="006C51D3" w:rsidRPr="00DE25AD" w:rsidRDefault="006C51D3" w:rsidP="006C51D3">
            <w:pPr>
              <w:pStyle w:val="ASSADACCESStablecentre"/>
            </w:pPr>
            <w:r w:rsidRPr="002E5727">
              <w:rPr>
                <w:bCs w:val="0"/>
                <w:color w:val="000000"/>
              </w:rPr>
              <w:t>1^</w:t>
            </w:r>
          </w:p>
        </w:tc>
        <w:tc>
          <w:tcPr>
            <w:tcW w:w="879" w:type="dxa"/>
            <w:shd w:val="clear" w:color="auto" w:fill="auto"/>
          </w:tcPr>
          <w:p w14:paraId="0A084FCE" w14:textId="0BC291DD" w:rsidR="006C51D3" w:rsidRPr="00DE25AD" w:rsidRDefault="006C51D3" w:rsidP="006C51D3">
            <w:pPr>
              <w:pStyle w:val="ASSADACCESStablecentre"/>
            </w:pPr>
            <w:r w:rsidRPr="002E5727">
              <w:rPr>
                <w:bCs w:val="0"/>
                <w:color w:val="000000"/>
              </w:rPr>
              <w:t>&lt;1^</w:t>
            </w:r>
          </w:p>
        </w:tc>
        <w:tc>
          <w:tcPr>
            <w:tcW w:w="879" w:type="dxa"/>
            <w:shd w:val="clear" w:color="auto" w:fill="auto"/>
          </w:tcPr>
          <w:p w14:paraId="7BEA5797" w14:textId="42627655" w:rsidR="006C51D3" w:rsidRPr="00DE25AD" w:rsidRDefault="006C51D3" w:rsidP="006C51D3">
            <w:pPr>
              <w:pStyle w:val="ASSADACCESStablecentre"/>
            </w:pPr>
            <w:r w:rsidRPr="002E5727">
              <w:rPr>
                <w:bCs w:val="0"/>
                <w:color w:val="000000"/>
              </w:rPr>
              <w:t>1^</w:t>
            </w:r>
          </w:p>
        </w:tc>
        <w:tc>
          <w:tcPr>
            <w:tcW w:w="879" w:type="dxa"/>
            <w:shd w:val="clear" w:color="auto" w:fill="auto"/>
          </w:tcPr>
          <w:p w14:paraId="682F402D" w14:textId="56626F0F" w:rsidR="006C51D3" w:rsidRPr="00DE25AD" w:rsidRDefault="006C51D3" w:rsidP="006C51D3">
            <w:pPr>
              <w:pStyle w:val="ASSADACCESStablecentre"/>
            </w:pPr>
            <w:r w:rsidRPr="002E5727">
              <w:rPr>
                <w:bCs w:val="0"/>
                <w:color w:val="000000"/>
              </w:rPr>
              <w:t>&lt;1^</w:t>
            </w:r>
          </w:p>
        </w:tc>
      </w:tr>
      <w:tr w:rsidR="006C51D3" w:rsidRPr="00DE25AD" w14:paraId="5ABE4A25" w14:textId="77777777" w:rsidTr="005F678B">
        <w:tc>
          <w:tcPr>
            <w:tcW w:w="1517" w:type="dxa"/>
            <w:tcMar>
              <w:left w:w="57" w:type="dxa"/>
            </w:tcMar>
          </w:tcPr>
          <w:p w14:paraId="4D994761" w14:textId="77777777" w:rsidR="006C51D3" w:rsidRPr="00DE25AD" w:rsidRDefault="006C51D3" w:rsidP="006C51D3">
            <w:pPr>
              <w:pStyle w:val="ACCESSTableHeaderRow"/>
            </w:pPr>
          </w:p>
        </w:tc>
        <w:tc>
          <w:tcPr>
            <w:tcW w:w="1068" w:type="dxa"/>
            <w:shd w:val="clear" w:color="auto" w:fill="auto"/>
            <w:tcMar>
              <w:left w:w="57" w:type="dxa"/>
            </w:tcMar>
            <w:vAlign w:val="bottom"/>
          </w:tcPr>
          <w:p w14:paraId="0C542EFB" w14:textId="77777777" w:rsidR="006C51D3" w:rsidRPr="00DE25AD" w:rsidRDefault="006C51D3" w:rsidP="006C51D3">
            <w:pPr>
              <w:pStyle w:val="ASSAD2017ACCESSBody1"/>
            </w:pPr>
            <w:r w:rsidRPr="00DE25AD">
              <w:t>Total</w:t>
            </w:r>
          </w:p>
        </w:tc>
        <w:tc>
          <w:tcPr>
            <w:tcW w:w="878" w:type="dxa"/>
            <w:shd w:val="clear" w:color="auto" w:fill="auto"/>
          </w:tcPr>
          <w:p w14:paraId="149B0563" w14:textId="194B823F" w:rsidR="006C51D3" w:rsidRPr="00DE25AD" w:rsidRDefault="006C51D3" w:rsidP="006C51D3">
            <w:pPr>
              <w:pStyle w:val="ASSADACCESStablecentre"/>
            </w:pPr>
            <w:r w:rsidRPr="002E5727">
              <w:rPr>
                <w:bCs w:val="0"/>
                <w:color w:val="000000"/>
              </w:rPr>
              <w:t>2*</w:t>
            </w:r>
          </w:p>
        </w:tc>
        <w:tc>
          <w:tcPr>
            <w:tcW w:w="879" w:type="dxa"/>
            <w:shd w:val="clear" w:color="auto" w:fill="auto"/>
          </w:tcPr>
          <w:p w14:paraId="1A2A7544" w14:textId="00D05EAB" w:rsidR="006C51D3" w:rsidRPr="00DE25AD" w:rsidRDefault="006C51D3" w:rsidP="006C51D3">
            <w:pPr>
              <w:pStyle w:val="ASSADACCESStablecentre"/>
            </w:pPr>
            <w:r w:rsidRPr="002E5727">
              <w:rPr>
                <w:bCs w:val="0"/>
                <w:color w:val="000000"/>
              </w:rPr>
              <w:t>2*^</w:t>
            </w:r>
          </w:p>
        </w:tc>
        <w:tc>
          <w:tcPr>
            <w:tcW w:w="879" w:type="dxa"/>
            <w:shd w:val="clear" w:color="auto" w:fill="auto"/>
          </w:tcPr>
          <w:p w14:paraId="69E1846C" w14:textId="54CC66F0" w:rsidR="006C51D3" w:rsidRPr="00DE25AD" w:rsidRDefault="006C51D3" w:rsidP="006C51D3">
            <w:pPr>
              <w:pStyle w:val="ASSADACCESStablecentre"/>
            </w:pPr>
            <w:r w:rsidRPr="002E5727">
              <w:rPr>
                <w:bCs w:val="0"/>
                <w:color w:val="000000"/>
              </w:rPr>
              <w:t>2*^</w:t>
            </w:r>
          </w:p>
        </w:tc>
        <w:tc>
          <w:tcPr>
            <w:tcW w:w="879" w:type="dxa"/>
            <w:shd w:val="clear" w:color="auto" w:fill="auto"/>
          </w:tcPr>
          <w:p w14:paraId="0BA21175" w14:textId="4095F475" w:rsidR="006C51D3" w:rsidRPr="00DE25AD" w:rsidRDefault="006C51D3" w:rsidP="006C51D3">
            <w:pPr>
              <w:pStyle w:val="ASSADACCESStablecentre"/>
            </w:pPr>
            <w:r w:rsidRPr="002E5727">
              <w:rPr>
                <w:bCs w:val="0"/>
                <w:color w:val="000000"/>
              </w:rPr>
              <w:t>1^</w:t>
            </w:r>
          </w:p>
        </w:tc>
        <w:tc>
          <w:tcPr>
            <w:tcW w:w="879" w:type="dxa"/>
            <w:shd w:val="clear" w:color="auto" w:fill="auto"/>
          </w:tcPr>
          <w:p w14:paraId="63847065" w14:textId="53D007B1" w:rsidR="006C51D3" w:rsidRPr="00DE25AD" w:rsidRDefault="006C51D3" w:rsidP="006C51D3">
            <w:pPr>
              <w:pStyle w:val="ASSADACCESStablecentre"/>
            </w:pPr>
            <w:r w:rsidRPr="002E5727">
              <w:rPr>
                <w:bCs w:val="0"/>
                <w:color w:val="000000"/>
              </w:rPr>
              <w:t>1^</w:t>
            </w:r>
          </w:p>
        </w:tc>
        <w:tc>
          <w:tcPr>
            <w:tcW w:w="879" w:type="dxa"/>
            <w:shd w:val="clear" w:color="auto" w:fill="auto"/>
          </w:tcPr>
          <w:p w14:paraId="6AD8CA0D" w14:textId="6EC3ED4F" w:rsidR="006C51D3" w:rsidRPr="00DE25AD" w:rsidRDefault="006C51D3" w:rsidP="006C51D3">
            <w:pPr>
              <w:pStyle w:val="ASSADACCESStablecentre"/>
            </w:pPr>
            <w:r w:rsidRPr="002E5727">
              <w:rPr>
                <w:bCs w:val="0"/>
                <w:color w:val="000000"/>
              </w:rPr>
              <w:t>1^</w:t>
            </w:r>
          </w:p>
        </w:tc>
        <w:tc>
          <w:tcPr>
            <w:tcW w:w="879" w:type="dxa"/>
            <w:shd w:val="clear" w:color="auto" w:fill="auto"/>
          </w:tcPr>
          <w:p w14:paraId="19CC3C20" w14:textId="6D73F1FF" w:rsidR="006C51D3" w:rsidRPr="00DE25AD" w:rsidRDefault="006C51D3" w:rsidP="006C51D3">
            <w:pPr>
              <w:pStyle w:val="ASSADACCESStablecentre"/>
            </w:pPr>
            <w:r w:rsidRPr="002E5727">
              <w:rPr>
                <w:bCs w:val="0"/>
                <w:color w:val="000000"/>
              </w:rPr>
              <w:t>1^</w:t>
            </w:r>
          </w:p>
        </w:tc>
        <w:tc>
          <w:tcPr>
            <w:tcW w:w="879" w:type="dxa"/>
            <w:shd w:val="clear" w:color="auto" w:fill="auto"/>
          </w:tcPr>
          <w:p w14:paraId="4B2B6493" w14:textId="1417BF0C" w:rsidR="006C51D3" w:rsidRPr="00DE25AD" w:rsidRDefault="006C51D3" w:rsidP="006C51D3">
            <w:pPr>
              <w:pStyle w:val="ASSADACCESStablecentre"/>
            </w:pPr>
            <w:r w:rsidRPr="002E5727">
              <w:rPr>
                <w:bCs w:val="0"/>
                <w:color w:val="000000"/>
              </w:rPr>
              <w:t>1^</w:t>
            </w:r>
          </w:p>
        </w:tc>
      </w:tr>
      <w:tr w:rsidR="006C51D3" w:rsidRPr="00DE25AD" w14:paraId="462D9ED4" w14:textId="77777777" w:rsidTr="005F678B">
        <w:tc>
          <w:tcPr>
            <w:tcW w:w="1517" w:type="dxa"/>
            <w:tcMar>
              <w:left w:w="57" w:type="dxa"/>
            </w:tcMar>
          </w:tcPr>
          <w:p w14:paraId="512F591D" w14:textId="77777777" w:rsidR="006C51D3" w:rsidRDefault="006C51D3" w:rsidP="006C51D3">
            <w:pPr>
              <w:pStyle w:val="ACCESSTableHeaderRow"/>
            </w:pPr>
            <w:r>
              <w:t>Aged 16-17</w:t>
            </w:r>
          </w:p>
        </w:tc>
        <w:tc>
          <w:tcPr>
            <w:tcW w:w="1068" w:type="dxa"/>
            <w:shd w:val="clear" w:color="auto" w:fill="auto"/>
            <w:tcMar>
              <w:left w:w="57" w:type="dxa"/>
            </w:tcMar>
            <w:vAlign w:val="center"/>
          </w:tcPr>
          <w:p w14:paraId="207A880D" w14:textId="77777777" w:rsidR="006C51D3" w:rsidRPr="00DE25AD" w:rsidRDefault="006C51D3" w:rsidP="006C51D3">
            <w:pPr>
              <w:pStyle w:val="ASSAD2017ACCESSBody1"/>
            </w:pPr>
          </w:p>
        </w:tc>
        <w:tc>
          <w:tcPr>
            <w:tcW w:w="878" w:type="dxa"/>
            <w:shd w:val="clear" w:color="auto" w:fill="auto"/>
            <w:vAlign w:val="bottom"/>
          </w:tcPr>
          <w:p w14:paraId="17C21E63" w14:textId="77777777" w:rsidR="006C51D3" w:rsidRPr="00DE25AD" w:rsidRDefault="006C51D3" w:rsidP="006C51D3">
            <w:pPr>
              <w:pStyle w:val="ASSADACCESStablecentre"/>
            </w:pPr>
          </w:p>
        </w:tc>
        <w:tc>
          <w:tcPr>
            <w:tcW w:w="879" w:type="dxa"/>
            <w:shd w:val="clear" w:color="auto" w:fill="auto"/>
            <w:vAlign w:val="bottom"/>
          </w:tcPr>
          <w:p w14:paraId="0D147045" w14:textId="77777777" w:rsidR="006C51D3" w:rsidRPr="00DE25AD" w:rsidRDefault="006C51D3" w:rsidP="006C51D3">
            <w:pPr>
              <w:pStyle w:val="ASSADACCESStablecentre"/>
            </w:pPr>
          </w:p>
        </w:tc>
        <w:tc>
          <w:tcPr>
            <w:tcW w:w="879" w:type="dxa"/>
            <w:shd w:val="clear" w:color="auto" w:fill="auto"/>
            <w:vAlign w:val="bottom"/>
          </w:tcPr>
          <w:p w14:paraId="6423B24C" w14:textId="77777777" w:rsidR="006C51D3" w:rsidRPr="00DE25AD" w:rsidRDefault="006C51D3" w:rsidP="006C51D3">
            <w:pPr>
              <w:pStyle w:val="ASSADACCESStablecentre"/>
            </w:pPr>
          </w:p>
        </w:tc>
        <w:tc>
          <w:tcPr>
            <w:tcW w:w="879" w:type="dxa"/>
            <w:shd w:val="clear" w:color="auto" w:fill="auto"/>
            <w:vAlign w:val="bottom"/>
          </w:tcPr>
          <w:p w14:paraId="487C0665" w14:textId="77777777" w:rsidR="006C51D3" w:rsidRPr="00DE25AD" w:rsidRDefault="006C51D3" w:rsidP="006C51D3">
            <w:pPr>
              <w:pStyle w:val="ASSADACCESStablecentre"/>
            </w:pPr>
          </w:p>
        </w:tc>
        <w:tc>
          <w:tcPr>
            <w:tcW w:w="879" w:type="dxa"/>
            <w:shd w:val="clear" w:color="auto" w:fill="auto"/>
            <w:vAlign w:val="bottom"/>
          </w:tcPr>
          <w:p w14:paraId="590E2309" w14:textId="77777777" w:rsidR="006C51D3" w:rsidRPr="00DE25AD" w:rsidRDefault="006C51D3" w:rsidP="006C51D3">
            <w:pPr>
              <w:pStyle w:val="ASSADACCESStablecentre"/>
            </w:pPr>
          </w:p>
        </w:tc>
        <w:tc>
          <w:tcPr>
            <w:tcW w:w="879" w:type="dxa"/>
            <w:shd w:val="clear" w:color="auto" w:fill="auto"/>
            <w:vAlign w:val="bottom"/>
          </w:tcPr>
          <w:p w14:paraId="0E630204" w14:textId="77777777" w:rsidR="006C51D3" w:rsidRPr="00DE25AD" w:rsidRDefault="006C51D3" w:rsidP="006C51D3">
            <w:pPr>
              <w:pStyle w:val="ASSADACCESStablecentre"/>
            </w:pPr>
          </w:p>
        </w:tc>
        <w:tc>
          <w:tcPr>
            <w:tcW w:w="879" w:type="dxa"/>
            <w:shd w:val="clear" w:color="auto" w:fill="auto"/>
            <w:vAlign w:val="bottom"/>
          </w:tcPr>
          <w:p w14:paraId="0750FC98" w14:textId="77777777" w:rsidR="006C51D3" w:rsidRPr="00DE25AD" w:rsidRDefault="006C51D3" w:rsidP="006C51D3">
            <w:pPr>
              <w:pStyle w:val="ASSADACCESStablecentre"/>
            </w:pPr>
          </w:p>
        </w:tc>
        <w:tc>
          <w:tcPr>
            <w:tcW w:w="879" w:type="dxa"/>
            <w:shd w:val="clear" w:color="auto" w:fill="auto"/>
            <w:vAlign w:val="bottom"/>
          </w:tcPr>
          <w:p w14:paraId="48F6FBFB" w14:textId="77777777" w:rsidR="006C51D3" w:rsidRPr="00DE25AD" w:rsidRDefault="006C51D3" w:rsidP="006C51D3">
            <w:pPr>
              <w:pStyle w:val="ASSADACCESStablecentre"/>
            </w:pPr>
          </w:p>
        </w:tc>
      </w:tr>
      <w:tr w:rsidR="006C51D3" w:rsidRPr="00DE25AD" w14:paraId="2E1B65C3" w14:textId="77777777" w:rsidTr="005F678B">
        <w:tc>
          <w:tcPr>
            <w:tcW w:w="1517" w:type="dxa"/>
            <w:tcMar>
              <w:left w:w="57" w:type="dxa"/>
            </w:tcMar>
          </w:tcPr>
          <w:p w14:paraId="5F331244" w14:textId="77777777" w:rsidR="006C51D3" w:rsidRDefault="006C51D3" w:rsidP="006C51D3">
            <w:pPr>
              <w:pStyle w:val="ACCESSTableHeaderRow"/>
            </w:pPr>
            <w:r w:rsidRPr="00DE25AD">
              <w:t>Recency</w:t>
            </w:r>
          </w:p>
        </w:tc>
        <w:tc>
          <w:tcPr>
            <w:tcW w:w="1068" w:type="dxa"/>
            <w:shd w:val="clear" w:color="auto" w:fill="auto"/>
            <w:tcMar>
              <w:left w:w="57" w:type="dxa"/>
            </w:tcMar>
            <w:vAlign w:val="center"/>
          </w:tcPr>
          <w:p w14:paraId="4550A015" w14:textId="77777777" w:rsidR="006C51D3" w:rsidRPr="00DE25AD" w:rsidRDefault="006C51D3" w:rsidP="006C51D3">
            <w:pPr>
              <w:pStyle w:val="ASSAD2017ACCESSBody1"/>
            </w:pPr>
            <w:r w:rsidRPr="005C5B03">
              <w:rPr>
                <w:b/>
                <w:bCs w:val="0"/>
              </w:rPr>
              <w:t>Sex</w:t>
            </w:r>
          </w:p>
        </w:tc>
        <w:tc>
          <w:tcPr>
            <w:tcW w:w="878" w:type="dxa"/>
            <w:shd w:val="clear" w:color="auto" w:fill="auto"/>
            <w:vAlign w:val="bottom"/>
          </w:tcPr>
          <w:p w14:paraId="411A1641" w14:textId="77777777" w:rsidR="006C51D3" w:rsidRPr="00DE25AD" w:rsidRDefault="006C51D3" w:rsidP="006C51D3">
            <w:pPr>
              <w:pStyle w:val="ASSADACCESStablecentre"/>
            </w:pPr>
          </w:p>
        </w:tc>
        <w:tc>
          <w:tcPr>
            <w:tcW w:w="879" w:type="dxa"/>
            <w:shd w:val="clear" w:color="auto" w:fill="auto"/>
            <w:vAlign w:val="bottom"/>
          </w:tcPr>
          <w:p w14:paraId="20D4802D" w14:textId="77777777" w:rsidR="006C51D3" w:rsidRPr="00DE25AD" w:rsidRDefault="006C51D3" w:rsidP="006C51D3">
            <w:pPr>
              <w:pStyle w:val="ASSADACCESStablecentre"/>
            </w:pPr>
          </w:p>
        </w:tc>
        <w:tc>
          <w:tcPr>
            <w:tcW w:w="879" w:type="dxa"/>
            <w:shd w:val="clear" w:color="auto" w:fill="auto"/>
            <w:vAlign w:val="bottom"/>
          </w:tcPr>
          <w:p w14:paraId="1345F98B" w14:textId="77777777" w:rsidR="006C51D3" w:rsidRPr="00DE25AD" w:rsidRDefault="006C51D3" w:rsidP="006C51D3">
            <w:pPr>
              <w:pStyle w:val="ASSADACCESStablecentre"/>
            </w:pPr>
          </w:p>
        </w:tc>
        <w:tc>
          <w:tcPr>
            <w:tcW w:w="879" w:type="dxa"/>
            <w:shd w:val="clear" w:color="auto" w:fill="auto"/>
            <w:vAlign w:val="bottom"/>
          </w:tcPr>
          <w:p w14:paraId="7E831000" w14:textId="77777777" w:rsidR="006C51D3" w:rsidRPr="00DE25AD" w:rsidRDefault="006C51D3" w:rsidP="006C51D3">
            <w:pPr>
              <w:pStyle w:val="ASSADACCESStablecentre"/>
            </w:pPr>
          </w:p>
        </w:tc>
        <w:tc>
          <w:tcPr>
            <w:tcW w:w="879" w:type="dxa"/>
            <w:shd w:val="clear" w:color="auto" w:fill="auto"/>
            <w:vAlign w:val="bottom"/>
          </w:tcPr>
          <w:p w14:paraId="0509CD49" w14:textId="77777777" w:rsidR="006C51D3" w:rsidRPr="00DE25AD" w:rsidRDefault="006C51D3" w:rsidP="006C51D3">
            <w:pPr>
              <w:pStyle w:val="ASSADACCESStablecentre"/>
            </w:pPr>
          </w:p>
        </w:tc>
        <w:tc>
          <w:tcPr>
            <w:tcW w:w="879" w:type="dxa"/>
            <w:shd w:val="clear" w:color="auto" w:fill="auto"/>
            <w:vAlign w:val="bottom"/>
          </w:tcPr>
          <w:p w14:paraId="6415119B" w14:textId="77777777" w:rsidR="006C51D3" w:rsidRPr="00DE25AD" w:rsidRDefault="006C51D3" w:rsidP="006C51D3">
            <w:pPr>
              <w:pStyle w:val="ASSADACCESStablecentre"/>
            </w:pPr>
          </w:p>
        </w:tc>
        <w:tc>
          <w:tcPr>
            <w:tcW w:w="879" w:type="dxa"/>
            <w:shd w:val="clear" w:color="auto" w:fill="auto"/>
            <w:vAlign w:val="bottom"/>
          </w:tcPr>
          <w:p w14:paraId="175147F8" w14:textId="77777777" w:rsidR="006C51D3" w:rsidRPr="00DE25AD" w:rsidRDefault="006C51D3" w:rsidP="006C51D3">
            <w:pPr>
              <w:pStyle w:val="ASSADACCESStablecentre"/>
            </w:pPr>
          </w:p>
        </w:tc>
        <w:tc>
          <w:tcPr>
            <w:tcW w:w="879" w:type="dxa"/>
            <w:shd w:val="clear" w:color="auto" w:fill="auto"/>
            <w:vAlign w:val="bottom"/>
          </w:tcPr>
          <w:p w14:paraId="2442B4B6" w14:textId="77777777" w:rsidR="006C51D3" w:rsidRPr="00DE25AD" w:rsidRDefault="006C51D3" w:rsidP="006C51D3">
            <w:pPr>
              <w:pStyle w:val="ASSADACCESStablecentre"/>
            </w:pPr>
          </w:p>
        </w:tc>
      </w:tr>
      <w:tr w:rsidR="006C51D3" w:rsidRPr="00DE25AD" w14:paraId="255E3A2A" w14:textId="77777777" w:rsidTr="00545FF4">
        <w:tc>
          <w:tcPr>
            <w:tcW w:w="1517" w:type="dxa"/>
            <w:tcMar>
              <w:left w:w="57" w:type="dxa"/>
            </w:tcMar>
          </w:tcPr>
          <w:p w14:paraId="6C1BB3CB" w14:textId="77777777" w:rsidR="006C51D3" w:rsidRPr="00DE25AD" w:rsidRDefault="006C51D3" w:rsidP="006C51D3">
            <w:pPr>
              <w:pStyle w:val="ACCESSTableHeaderRow"/>
            </w:pPr>
            <w:r>
              <w:t>Lifetime</w:t>
            </w:r>
          </w:p>
        </w:tc>
        <w:tc>
          <w:tcPr>
            <w:tcW w:w="1068" w:type="dxa"/>
            <w:shd w:val="clear" w:color="auto" w:fill="auto"/>
            <w:tcMar>
              <w:left w:w="57" w:type="dxa"/>
            </w:tcMar>
            <w:vAlign w:val="bottom"/>
          </w:tcPr>
          <w:p w14:paraId="7DCD574C" w14:textId="77777777" w:rsidR="006C51D3" w:rsidRPr="00DE25AD" w:rsidRDefault="006C51D3" w:rsidP="006C51D3">
            <w:pPr>
              <w:pStyle w:val="ASSAD2017ACCESSBody1"/>
            </w:pPr>
            <w:r w:rsidRPr="00DE25AD">
              <w:t>Male</w:t>
            </w:r>
          </w:p>
        </w:tc>
        <w:tc>
          <w:tcPr>
            <w:tcW w:w="878" w:type="dxa"/>
            <w:shd w:val="clear" w:color="auto" w:fill="auto"/>
          </w:tcPr>
          <w:p w14:paraId="499AF5D2" w14:textId="5863F172" w:rsidR="006C51D3" w:rsidRPr="00DE25AD" w:rsidRDefault="006C51D3" w:rsidP="006C51D3">
            <w:pPr>
              <w:pStyle w:val="ASSADACCESStablecentre"/>
            </w:pPr>
            <w:r w:rsidRPr="002E5727">
              <w:rPr>
                <w:bCs w:val="0"/>
                <w:color w:val="000000"/>
              </w:rPr>
              <w:t>14*</w:t>
            </w:r>
          </w:p>
        </w:tc>
        <w:tc>
          <w:tcPr>
            <w:tcW w:w="879" w:type="dxa"/>
            <w:shd w:val="clear" w:color="auto" w:fill="auto"/>
          </w:tcPr>
          <w:p w14:paraId="58D552D4" w14:textId="0D327750" w:rsidR="006C51D3" w:rsidRPr="00DE25AD" w:rsidRDefault="006C51D3" w:rsidP="006C51D3">
            <w:pPr>
              <w:pStyle w:val="ASSADACCESStablecentre"/>
            </w:pPr>
            <w:r w:rsidRPr="002E5727">
              <w:rPr>
                <w:bCs w:val="0"/>
                <w:color w:val="000000"/>
              </w:rPr>
              <w:t>13*</w:t>
            </w:r>
          </w:p>
        </w:tc>
        <w:tc>
          <w:tcPr>
            <w:tcW w:w="879" w:type="dxa"/>
            <w:shd w:val="clear" w:color="auto" w:fill="auto"/>
          </w:tcPr>
          <w:p w14:paraId="0AD76B2E" w14:textId="6417E3D2" w:rsidR="006C51D3" w:rsidRPr="00DE25AD" w:rsidRDefault="006C51D3" w:rsidP="006C51D3">
            <w:pPr>
              <w:pStyle w:val="ASSADACCESStablecentre"/>
            </w:pPr>
            <w:r w:rsidRPr="002E5727">
              <w:rPr>
                <w:bCs w:val="0"/>
                <w:color w:val="000000"/>
              </w:rPr>
              <w:t>7^</w:t>
            </w:r>
          </w:p>
        </w:tc>
        <w:tc>
          <w:tcPr>
            <w:tcW w:w="879" w:type="dxa"/>
            <w:shd w:val="clear" w:color="auto" w:fill="auto"/>
          </w:tcPr>
          <w:p w14:paraId="0537873A" w14:textId="038BCC21" w:rsidR="006C51D3" w:rsidRPr="00DE25AD" w:rsidRDefault="006C51D3" w:rsidP="006C51D3">
            <w:pPr>
              <w:pStyle w:val="ASSADACCESStablecentre"/>
            </w:pPr>
            <w:r w:rsidRPr="002E5727">
              <w:rPr>
                <w:bCs w:val="0"/>
                <w:color w:val="000000"/>
              </w:rPr>
              <w:t>6^</w:t>
            </w:r>
          </w:p>
        </w:tc>
        <w:tc>
          <w:tcPr>
            <w:tcW w:w="879" w:type="dxa"/>
            <w:shd w:val="clear" w:color="auto" w:fill="auto"/>
          </w:tcPr>
          <w:p w14:paraId="3E4B626F" w14:textId="2522C37D" w:rsidR="006C51D3" w:rsidRPr="00DE25AD" w:rsidRDefault="006C51D3" w:rsidP="006C51D3">
            <w:pPr>
              <w:pStyle w:val="ASSADACCESStablecentre"/>
            </w:pPr>
            <w:r w:rsidRPr="002E5727">
              <w:rPr>
                <w:bCs w:val="0"/>
                <w:color w:val="000000"/>
              </w:rPr>
              <w:t>6^</w:t>
            </w:r>
          </w:p>
        </w:tc>
        <w:tc>
          <w:tcPr>
            <w:tcW w:w="879" w:type="dxa"/>
            <w:shd w:val="clear" w:color="auto" w:fill="auto"/>
          </w:tcPr>
          <w:p w14:paraId="6D0C1629" w14:textId="41B26069" w:rsidR="006C51D3" w:rsidRPr="00DE25AD" w:rsidRDefault="006C51D3" w:rsidP="006C51D3">
            <w:pPr>
              <w:pStyle w:val="ASSADACCESStablecentre"/>
            </w:pPr>
            <w:r w:rsidRPr="002E5727">
              <w:rPr>
                <w:bCs w:val="0"/>
                <w:color w:val="000000"/>
              </w:rPr>
              <w:t>6^</w:t>
            </w:r>
          </w:p>
        </w:tc>
        <w:tc>
          <w:tcPr>
            <w:tcW w:w="879" w:type="dxa"/>
            <w:shd w:val="clear" w:color="auto" w:fill="auto"/>
          </w:tcPr>
          <w:p w14:paraId="03BB1AEF" w14:textId="7329795A" w:rsidR="006C51D3" w:rsidRPr="00DE25AD" w:rsidRDefault="006C51D3" w:rsidP="006C51D3">
            <w:pPr>
              <w:pStyle w:val="ASSADACCESStablecentre"/>
            </w:pPr>
            <w:r w:rsidRPr="002E5727">
              <w:rPr>
                <w:bCs w:val="0"/>
                <w:color w:val="000000"/>
              </w:rPr>
              <w:t>7^</w:t>
            </w:r>
          </w:p>
        </w:tc>
        <w:tc>
          <w:tcPr>
            <w:tcW w:w="879" w:type="dxa"/>
            <w:shd w:val="clear" w:color="auto" w:fill="auto"/>
          </w:tcPr>
          <w:p w14:paraId="3C04F600" w14:textId="19217067" w:rsidR="006C51D3" w:rsidRPr="00DE25AD" w:rsidRDefault="006C51D3" w:rsidP="006C51D3">
            <w:pPr>
              <w:pStyle w:val="ASSADACCESStablecentre"/>
            </w:pPr>
            <w:r w:rsidRPr="002E5727">
              <w:rPr>
                <w:bCs w:val="0"/>
                <w:color w:val="000000"/>
              </w:rPr>
              <w:t>8^</w:t>
            </w:r>
          </w:p>
        </w:tc>
      </w:tr>
      <w:tr w:rsidR="006C51D3" w:rsidRPr="00DE25AD" w14:paraId="0EC3878E" w14:textId="77777777" w:rsidTr="005F678B">
        <w:tc>
          <w:tcPr>
            <w:tcW w:w="1517" w:type="dxa"/>
            <w:tcMar>
              <w:left w:w="57" w:type="dxa"/>
            </w:tcMar>
          </w:tcPr>
          <w:p w14:paraId="2AEA20C5" w14:textId="77777777" w:rsidR="006C51D3" w:rsidRPr="00DE25AD" w:rsidRDefault="006C51D3" w:rsidP="006C51D3">
            <w:pPr>
              <w:pStyle w:val="ACCESSTableHeaderRow"/>
            </w:pPr>
          </w:p>
        </w:tc>
        <w:tc>
          <w:tcPr>
            <w:tcW w:w="1068" w:type="dxa"/>
            <w:shd w:val="clear" w:color="auto" w:fill="auto"/>
            <w:tcMar>
              <w:left w:w="57" w:type="dxa"/>
            </w:tcMar>
            <w:vAlign w:val="bottom"/>
          </w:tcPr>
          <w:p w14:paraId="72F7F24A" w14:textId="77777777" w:rsidR="006C51D3" w:rsidRPr="00DE25AD" w:rsidRDefault="006C51D3" w:rsidP="006C51D3">
            <w:pPr>
              <w:pStyle w:val="ASSAD2017ACCESSBody1"/>
            </w:pPr>
            <w:r w:rsidRPr="00DE25AD">
              <w:t>Female</w:t>
            </w:r>
          </w:p>
        </w:tc>
        <w:tc>
          <w:tcPr>
            <w:tcW w:w="878" w:type="dxa"/>
            <w:shd w:val="clear" w:color="auto" w:fill="auto"/>
          </w:tcPr>
          <w:p w14:paraId="2D170116" w14:textId="32E1D8E4" w:rsidR="006C51D3" w:rsidRPr="00DE25AD" w:rsidRDefault="006C51D3" w:rsidP="006C51D3">
            <w:pPr>
              <w:pStyle w:val="ASSADACCESStablecentre"/>
            </w:pPr>
            <w:r w:rsidRPr="002E5727">
              <w:rPr>
                <w:bCs w:val="0"/>
                <w:color w:val="000000"/>
              </w:rPr>
              <w:t>13*</w:t>
            </w:r>
          </w:p>
        </w:tc>
        <w:tc>
          <w:tcPr>
            <w:tcW w:w="879" w:type="dxa"/>
            <w:shd w:val="clear" w:color="auto" w:fill="auto"/>
          </w:tcPr>
          <w:p w14:paraId="66917ABD" w14:textId="1D4A6285" w:rsidR="006C51D3" w:rsidRPr="00DE25AD" w:rsidRDefault="006C51D3" w:rsidP="006C51D3">
            <w:pPr>
              <w:pStyle w:val="ASSADACCESStablecentre"/>
            </w:pPr>
            <w:r w:rsidRPr="002E5727">
              <w:rPr>
                <w:bCs w:val="0"/>
                <w:color w:val="000000"/>
              </w:rPr>
              <w:t>9*</w:t>
            </w:r>
            <w:r>
              <w:rPr>
                <w:bCs w:val="0"/>
                <w:color w:val="000000"/>
              </w:rPr>
              <w:t>^</w:t>
            </w:r>
          </w:p>
        </w:tc>
        <w:tc>
          <w:tcPr>
            <w:tcW w:w="879" w:type="dxa"/>
            <w:shd w:val="clear" w:color="auto" w:fill="auto"/>
          </w:tcPr>
          <w:p w14:paraId="761E8504" w14:textId="49B24AED" w:rsidR="006C51D3" w:rsidRPr="00DE25AD" w:rsidRDefault="006C51D3" w:rsidP="006C51D3">
            <w:pPr>
              <w:pStyle w:val="ASSADACCESStablecentre"/>
            </w:pPr>
            <w:r w:rsidRPr="002E5727">
              <w:rPr>
                <w:bCs w:val="0"/>
                <w:color w:val="000000"/>
              </w:rPr>
              <w:t>6^</w:t>
            </w:r>
          </w:p>
        </w:tc>
        <w:tc>
          <w:tcPr>
            <w:tcW w:w="879" w:type="dxa"/>
            <w:shd w:val="clear" w:color="auto" w:fill="auto"/>
          </w:tcPr>
          <w:p w14:paraId="0BE1DAED" w14:textId="57F1524B" w:rsidR="006C51D3" w:rsidRPr="00DE25AD" w:rsidRDefault="006C51D3" w:rsidP="006C51D3">
            <w:pPr>
              <w:pStyle w:val="ASSADACCESStablecentre"/>
            </w:pPr>
            <w:r w:rsidRPr="002E5727">
              <w:rPr>
                <w:bCs w:val="0"/>
                <w:color w:val="000000"/>
              </w:rPr>
              <w:t>3^</w:t>
            </w:r>
          </w:p>
        </w:tc>
        <w:tc>
          <w:tcPr>
            <w:tcW w:w="879" w:type="dxa"/>
            <w:shd w:val="clear" w:color="auto" w:fill="auto"/>
          </w:tcPr>
          <w:p w14:paraId="72985BEF" w14:textId="5FEEEC2C" w:rsidR="006C51D3" w:rsidRPr="00DE25AD" w:rsidRDefault="006C51D3" w:rsidP="006C51D3">
            <w:pPr>
              <w:pStyle w:val="ASSADACCESStablecentre"/>
            </w:pPr>
            <w:r w:rsidRPr="002E5727">
              <w:rPr>
                <w:bCs w:val="0"/>
                <w:color w:val="000000"/>
              </w:rPr>
              <w:t>4^</w:t>
            </w:r>
          </w:p>
        </w:tc>
        <w:tc>
          <w:tcPr>
            <w:tcW w:w="879" w:type="dxa"/>
            <w:shd w:val="clear" w:color="auto" w:fill="auto"/>
          </w:tcPr>
          <w:p w14:paraId="5A0BD59C" w14:textId="6BE74785" w:rsidR="006C51D3" w:rsidRPr="00DE25AD" w:rsidRDefault="006C51D3" w:rsidP="006C51D3">
            <w:pPr>
              <w:pStyle w:val="ASSADACCESStablecentre"/>
            </w:pPr>
            <w:r w:rsidRPr="002E5727">
              <w:rPr>
                <w:bCs w:val="0"/>
                <w:color w:val="000000"/>
              </w:rPr>
              <w:t>5^</w:t>
            </w:r>
          </w:p>
        </w:tc>
        <w:tc>
          <w:tcPr>
            <w:tcW w:w="879" w:type="dxa"/>
            <w:shd w:val="clear" w:color="auto" w:fill="auto"/>
          </w:tcPr>
          <w:p w14:paraId="130EB032" w14:textId="22AFBCF8" w:rsidR="006C51D3" w:rsidRPr="00DE25AD" w:rsidRDefault="006C51D3" w:rsidP="006C51D3">
            <w:pPr>
              <w:pStyle w:val="ASSADACCESStablecentre"/>
            </w:pPr>
            <w:r w:rsidRPr="002E5727">
              <w:rPr>
                <w:bCs w:val="0"/>
                <w:color w:val="000000"/>
              </w:rPr>
              <w:t>3^</w:t>
            </w:r>
          </w:p>
        </w:tc>
        <w:tc>
          <w:tcPr>
            <w:tcW w:w="879" w:type="dxa"/>
            <w:shd w:val="clear" w:color="auto" w:fill="auto"/>
          </w:tcPr>
          <w:p w14:paraId="358A1E92" w14:textId="4AF12F1D" w:rsidR="006C51D3" w:rsidRPr="00DE25AD" w:rsidRDefault="006C51D3" w:rsidP="006C51D3">
            <w:pPr>
              <w:pStyle w:val="ASSADACCESStablecentre"/>
            </w:pPr>
            <w:r w:rsidRPr="002E5727">
              <w:rPr>
                <w:bCs w:val="0"/>
                <w:color w:val="000000"/>
              </w:rPr>
              <w:t>4^</w:t>
            </w:r>
          </w:p>
        </w:tc>
      </w:tr>
      <w:tr w:rsidR="006C51D3" w:rsidRPr="00DE25AD" w14:paraId="6E350FA2" w14:textId="77777777" w:rsidTr="005F678B">
        <w:trPr>
          <w:trHeight w:val="247"/>
        </w:trPr>
        <w:tc>
          <w:tcPr>
            <w:tcW w:w="1517" w:type="dxa"/>
            <w:tcMar>
              <w:left w:w="57" w:type="dxa"/>
            </w:tcMar>
          </w:tcPr>
          <w:p w14:paraId="7E34151E" w14:textId="77777777" w:rsidR="006C51D3" w:rsidRPr="00DE25AD" w:rsidRDefault="006C51D3" w:rsidP="006C51D3">
            <w:pPr>
              <w:pStyle w:val="ACCESSTableHeaderRow"/>
            </w:pPr>
          </w:p>
        </w:tc>
        <w:tc>
          <w:tcPr>
            <w:tcW w:w="1068" w:type="dxa"/>
            <w:shd w:val="clear" w:color="auto" w:fill="auto"/>
            <w:tcMar>
              <w:left w:w="57" w:type="dxa"/>
            </w:tcMar>
            <w:vAlign w:val="bottom"/>
          </w:tcPr>
          <w:p w14:paraId="2F1B2B7E" w14:textId="77777777" w:rsidR="006C51D3" w:rsidRPr="00DE25AD" w:rsidRDefault="006C51D3" w:rsidP="006C51D3">
            <w:pPr>
              <w:pStyle w:val="ASSAD2017ACCESSBody1"/>
            </w:pPr>
            <w:r w:rsidRPr="00DE25AD">
              <w:t>Total</w:t>
            </w:r>
          </w:p>
        </w:tc>
        <w:tc>
          <w:tcPr>
            <w:tcW w:w="878" w:type="dxa"/>
            <w:shd w:val="clear" w:color="auto" w:fill="auto"/>
          </w:tcPr>
          <w:p w14:paraId="40604389" w14:textId="21A94E25" w:rsidR="006C51D3" w:rsidRPr="00DE25AD" w:rsidRDefault="006C51D3" w:rsidP="006C51D3">
            <w:pPr>
              <w:pStyle w:val="ASSADACCESStablecentre"/>
            </w:pPr>
            <w:r w:rsidRPr="002E5727">
              <w:rPr>
                <w:bCs w:val="0"/>
                <w:color w:val="000000"/>
              </w:rPr>
              <w:t>13*</w:t>
            </w:r>
          </w:p>
        </w:tc>
        <w:tc>
          <w:tcPr>
            <w:tcW w:w="879" w:type="dxa"/>
            <w:shd w:val="clear" w:color="auto" w:fill="auto"/>
          </w:tcPr>
          <w:p w14:paraId="480BB28A" w14:textId="7727966A" w:rsidR="006C51D3" w:rsidRPr="00DE25AD" w:rsidRDefault="006C51D3" w:rsidP="006C51D3">
            <w:pPr>
              <w:pStyle w:val="ASSADACCESStablecentre"/>
            </w:pPr>
            <w:r w:rsidRPr="002E5727">
              <w:rPr>
                <w:bCs w:val="0"/>
                <w:color w:val="000000"/>
              </w:rPr>
              <w:t>11*^</w:t>
            </w:r>
          </w:p>
        </w:tc>
        <w:tc>
          <w:tcPr>
            <w:tcW w:w="879" w:type="dxa"/>
            <w:shd w:val="clear" w:color="auto" w:fill="auto"/>
          </w:tcPr>
          <w:p w14:paraId="03CD34D3" w14:textId="44C24A75" w:rsidR="006C51D3" w:rsidRPr="00DE25AD" w:rsidRDefault="006C51D3" w:rsidP="006C51D3">
            <w:pPr>
              <w:pStyle w:val="ASSADACCESStablecentre"/>
            </w:pPr>
            <w:r w:rsidRPr="002E5727">
              <w:rPr>
                <w:bCs w:val="0"/>
                <w:color w:val="000000"/>
              </w:rPr>
              <w:t>6^</w:t>
            </w:r>
          </w:p>
        </w:tc>
        <w:tc>
          <w:tcPr>
            <w:tcW w:w="879" w:type="dxa"/>
            <w:shd w:val="clear" w:color="auto" w:fill="auto"/>
          </w:tcPr>
          <w:p w14:paraId="72702A36" w14:textId="6CAF3E59" w:rsidR="006C51D3" w:rsidRPr="00DE25AD" w:rsidRDefault="006C51D3" w:rsidP="006C51D3">
            <w:pPr>
              <w:pStyle w:val="ASSADACCESStablecentre"/>
            </w:pPr>
            <w:r w:rsidRPr="002E5727">
              <w:rPr>
                <w:bCs w:val="0"/>
                <w:color w:val="000000"/>
              </w:rPr>
              <w:t>4^</w:t>
            </w:r>
          </w:p>
        </w:tc>
        <w:tc>
          <w:tcPr>
            <w:tcW w:w="879" w:type="dxa"/>
            <w:shd w:val="clear" w:color="auto" w:fill="auto"/>
          </w:tcPr>
          <w:p w14:paraId="54105639" w14:textId="19F7BFFD" w:rsidR="006C51D3" w:rsidRPr="00DE25AD" w:rsidRDefault="006C51D3" w:rsidP="006C51D3">
            <w:pPr>
              <w:pStyle w:val="ASSADACCESStablecentre"/>
            </w:pPr>
            <w:r w:rsidRPr="002E5727">
              <w:rPr>
                <w:bCs w:val="0"/>
                <w:color w:val="000000"/>
              </w:rPr>
              <w:t>5^</w:t>
            </w:r>
          </w:p>
        </w:tc>
        <w:tc>
          <w:tcPr>
            <w:tcW w:w="879" w:type="dxa"/>
            <w:shd w:val="clear" w:color="auto" w:fill="auto"/>
          </w:tcPr>
          <w:p w14:paraId="11C8A53F" w14:textId="508D16DD" w:rsidR="006C51D3" w:rsidRPr="00DE25AD" w:rsidRDefault="006C51D3" w:rsidP="006C51D3">
            <w:pPr>
              <w:pStyle w:val="ASSADACCESStablecentre"/>
            </w:pPr>
            <w:r w:rsidRPr="002E5727">
              <w:rPr>
                <w:bCs w:val="0"/>
                <w:color w:val="000000"/>
              </w:rPr>
              <w:t>5^</w:t>
            </w:r>
          </w:p>
        </w:tc>
        <w:tc>
          <w:tcPr>
            <w:tcW w:w="879" w:type="dxa"/>
            <w:shd w:val="clear" w:color="auto" w:fill="auto"/>
          </w:tcPr>
          <w:p w14:paraId="597821E0" w14:textId="4FB300D7" w:rsidR="006C51D3" w:rsidRPr="00DE25AD" w:rsidRDefault="006C51D3" w:rsidP="006C51D3">
            <w:pPr>
              <w:pStyle w:val="ASSADACCESStablecentre"/>
            </w:pPr>
            <w:r w:rsidRPr="002E5727">
              <w:rPr>
                <w:bCs w:val="0"/>
                <w:color w:val="000000"/>
              </w:rPr>
              <w:t>5^</w:t>
            </w:r>
          </w:p>
        </w:tc>
        <w:tc>
          <w:tcPr>
            <w:tcW w:w="879" w:type="dxa"/>
            <w:shd w:val="clear" w:color="auto" w:fill="auto"/>
          </w:tcPr>
          <w:p w14:paraId="70B86CDB" w14:textId="213408CE" w:rsidR="006C51D3" w:rsidRPr="00DE25AD" w:rsidRDefault="006C51D3" w:rsidP="006C51D3">
            <w:pPr>
              <w:pStyle w:val="ASSADACCESStablecentre"/>
            </w:pPr>
            <w:r w:rsidRPr="002E5727">
              <w:rPr>
                <w:bCs w:val="0"/>
                <w:color w:val="000000"/>
              </w:rPr>
              <w:t>6^</w:t>
            </w:r>
          </w:p>
        </w:tc>
      </w:tr>
      <w:tr w:rsidR="006C51D3" w:rsidRPr="00DE25AD" w14:paraId="73AA80D4" w14:textId="77777777" w:rsidTr="005F678B">
        <w:tc>
          <w:tcPr>
            <w:tcW w:w="1517" w:type="dxa"/>
            <w:tcMar>
              <w:left w:w="57" w:type="dxa"/>
            </w:tcMar>
          </w:tcPr>
          <w:p w14:paraId="04A5A048" w14:textId="77777777" w:rsidR="006C51D3" w:rsidRPr="00DE25AD" w:rsidRDefault="006C51D3" w:rsidP="006C51D3">
            <w:pPr>
              <w:pStyle w:val="ACCESSTableHeaderRow"/>
            </w:pPr>
            <w:r w:rsidRPr="00DE25AD">
              <w:t xml:space="preserve">Past </w:t>
            </w:r>
            <w:r>
              <w:t>year</w:t>
            </w:r>
          </w:p>
        </w:tc>
        <w:tc>
          <w:tcPr>
            <w:tcW w:w="1068" w:type="dxa"/>
            <w:shd w:val="clear" w:color="auto" w:fill="auto"/>
            <w:tcMar>
              <w:left w:w="57" w:type="dxa"/>
            </w:tcMar>
            <w:vAlign w:val="bottom"/>
          </w:tcPr>
          <w:p w14:paraId="6102A952" w14:textId="77777777" w:rsidR="006C51D3" w:rsidRPr="00DE25AD" w:rsidRDefault="006C51D3" w:rsidP="006C51D3">
            <w:pPr>
              <w:pStyle w:val="ASSAD2017ACCESSBody1"/>
            </w:pPr>
            <w:r w:rsidRPr="00DE25AD">
              <w:t>Male</w:t>
            </w:r>
          </w:p>
        </w:tc>
        <w:tc>
          <w:tcPr>
            <w:tcW w:w="878" w:type="dxa"/>
            <w:shd w:val="clear" w:color="auto" w:fill="auto"/>
          </w:tcPr>
          <w:p w14:paraId="3E268D59" w14:textId="6442925D" w:rsidR="006C51D3" w:rsidRPr="00DE25AD" w:rsidRDefault="006C51D3" w:rsidP="006C51D3">
            <w:pPr>
              <w:pStyle w:val="ASSADACCESStablecentre"/>
            </w:pPr>
            <w:r w:rsidRPr="002E5727">
              <w:rPr>
                <w:bCs w:val="0"/>
                <w:color w:val="000000"/>
              </w:rPr>
              <w:t>12*</w:t>
            </w:r>
          </w:p>
        </w:tc>
        <w:tc>
          <w:tcPr>
            <w:tcW w:w="879" w:type="dxa"/>
            <w:shd w:val="clear" w:color="auto" w:fill="auto"/>
          </w:tcPr>
          <w:p w14:paraId="68097203" w14:textId="68F5D738" w:rsidR="006C51D3" w:rsidRPr="00DE25AD" w:rsidRDefault="006C51D3" w:rsidP="006C51D3">
            <w:pPr>
              <w:pStyle w:val="ASSADACCESStablecentre"/>
            </w:pPr>
            <w:r w:rsidRPr="002E5727">
              <w:rPr>
                <w:bCs w:val="0"/>
                <w:color w:val="000000"/>
              </w:rPr>
              <w:t>10*</w:t>
            </w:r>
          </w:p>
        </w:tc>
        <w:tc>
          <w:tcPr>
            <w:tcW w:w="879" w:type="dxa"/>
            <w:shd w:val="clear" w:color="auto" w:fill="auto"/>
          </w:tcPr>
          <w:p w14:paraId="4D67BF65" w14:textId="3A4E6C97" w:rsidR="006C51D3" w:rsidRPr="00DE25AD" w:rsidRDefault="006C51D3" w:rsidP="006C51D3">
            <w:pPr>
              <w:pStyle w:val="ASSADACCESStablecentre"/>
            </w:pPr>
            <w:r w:rsidRPr="002E5727">
              <w:rPr>
                <w:bCs w:val="0"/>
                <w:color w:val="000000"/>
              </w:rPr>
              <w:t>5^</w:t>
            </w:r>
          </w:p>
        </w:tc>
        <w:tc>
          <w:tcPr>
            <w:tcW w:w="879" w:type="dxa"/>
            <w:shd w:val="clear" w:color="auto" w:fill="auto"/>
          </w:tcPr>
          <w:p w14:paraId="20266B85" w14:textId="6DA8B040" w:rsidR="006C51D3" w:rsidRPr="00DE25AD" w:rsidRDefault="006C51D3" w:rsidP="006C51D3">
            <w:pPr>
              <w:pStyle w:val="ASSADACCESStablecentre"/>
            </w:pPr>
            <w:r w:rsidRPr="002E5727">
              <w:rPr>
                <w:bCs w:val="0"/>
                <w:color w:val="000000"/>
              </w:rPr>
              <w:t>4^</w:t>
            </w:r>
          </w:p>
        </w:tc>
        <w:tc>
          <w:tcPr>
            <w:tcW w:w="879" w:type="dxa"/>
            <w:shd w:val="clear" w:color="auto" w:fill="auto"/>
          </w:tcPr>
          <w:p w14:paraId="7CF7A162" w14:textId="7B7E6774" w:rsidR="006C51D3" w:rsidRPr="00DE25AD" w:rsidRDefault="006C51D3" w:rsidP="006C51D3">
            <w:pPr>
              <w:pStyle w:val="ASSADACCESStablecentre"/>
            </w:pPr>
            <w:r w:rsidRPr="002E5727">
              <w:rPr>
                <w:bCs w:val="0"/>
                <w:color w:val="000000"/>
              </w:rPr>
              <w:t>5^</w:t>
            </w:r>
          </w:p>
        </w:tc>
        <w:tc>
          <w:tcPr>
            <w:tcW w:w="879" w:type="dxa"/>
            <w:shd w:val="clear" w:color="auto" w:fill="auto"/>
          </w:tcPr>
          <w:p w14:paraId="42F72529" w14:textId="3B53D609" w:rsidR="006C51D3" w:rsidRPr="00DE25AD" w:rsidRDefault="006C51D3" w:rsidP="006C51D3">
            <w:pPr>
              <w:pStyle w:val="ASSADACCESStablecentre"/>
            </w:pPr>
            <w:r w:rsidRPr="002E5727">
              <w:rPr>
                <w:bCs w:val="0"/>
                <w:color w:val="000000"/>
              </w:rPr>
              <w:t>5^</w:t>
            </w:r>
          </w:p>
        </w:tc>
        <w:tc>
          <w:tcPr>
            <w:tcW w:w="879" w:type="dxa"/>
            <w:shd w:val="clear" w:color="auto" w:fill="auto"/>
          </w:tcPr>
          <w:p w14:paraId="1E5979C7" w14:textId="1A46EBB7" w:rsidR="006C51D3" w:rsidRPr="00DE25AD" w:rsidRDefault="006C51D3" w:rsidP="006C51D3">
            <w:pPr>
              <w:pStyle w:val="ASSADACCESStablecentre"/>
            </w:pPr>
            <w:r w:rsidRPr="002E5727">
              <w:rPr>
                <w:bCs w:val="0"/>
                <w:color w:val="000000"/>
              </w:rPr>
              <w:t>6^</w:t>
            </w:r>
          </w:p>
        </w:tc>
        <w:tc>
          <w:tcPr>
            <w:tcW w:w="879" w:type="dxa"/>
            <w:shd w:val="clear" w:color="auto" w:fill="auto"/>
          </w:tcPr>
          <w:p w14:paraId="69A17FA3" w14:textId="2DCD9A28" w:rsidR="006C51D3" w:rsidRPr="00DE25AD" w:rsidRDefault="006C51D3" w:rsidP="006C51D3">
            <w:pPr>
              <w:pStyle w:val="ASSADACCESStablecentre"/>
            </w:pPr>
            <w:r w:rsidRPr="002E5727">
              <w:rPr>
                <w:bCs w:val="0"/>
                <w:color w:val="000000"/>
              </w:rPr>
              <w:t>7^</w:t>
            </w:r>
          </w:p>
        </w:tc>
      </w:tr>
      <w:tr w:rsidR="006C51D3" w:rsidRPr="00DE25AD" w14:paraId="65F40D5E" w14:textId="77777777" w:rsidTr="005F678B">
        <w:tc>
          <w:tcPr>
            <w:tcW w:w="1517" w:type="dxa"/>
            <w:tcMar>
              <w:left w:w="57" w:type="dxa"/>
            </w:tcMar>
          </w:tcPr>
          <w:p w14:paraId="6F1D4571" w14:textId="77777777" w:rsidR="006C51D3" w:rsidRPr="00DE25AD" w:rsidRDefault="006C51D3" w:rsidP="006C51D3">
            <w:pPr>
              <w:pStyle w:val="ACCESSTableHeaderRow"/>
            </w:pPr>
          </w:p>
        </w:tc>
        <w:tc>
          <w:tcPr>
            <w:tcW w:w="1068" w:type="dxa"/>
            <w:shd w:val="clear" w:color="auto" w:fill="auto"/>
            <w:tcMar>
              <w:left w:w="57" w:type="dxa"/>
            </w:tcMar>
            <w:vAlign w:val="bottom"/>
          </w:tcPr>
          <w:p w14:paraId="50FDE6C7" w14:textId="77777777" w:rsidR="006C51D3" w:rsidRPr="00DE25AD" w:rsidRDefault="006C51D3" w:rsidP="006C51D3">
            <w:pPr>
              <w:pStyle w:val="ASSAD2017ACCESSBody1"/>
            </w:pPr>
            <w:r w:rsidRPr="00DE25AD">
              <w:t>Female</w:t>
            </w:r>
          </w:p>
        </w:tc>
        <w:tc>
          <w:tcPr>
            <w:tcW w:w="878" w:type="dxa"/>
            <w:shd w:val="clear" w:color="auto" w:fill="auto"/>
          </w:tcPr>
          <w:p w14:paraId="378B3B55" w14:textId="439FBFBB" w:rsidR="006C51D3" w:rsidRPr="00DE25AD" w:rsidRDefault="006C51D3" w:rsidP="006C51D3">
            <w:pPr>
              <w:pStyle w:val="ASSADACCESStablecentre"/>
            </w:pPr>
            <w:r w:rsidRPr="002E5727">
              <w:rPr>
                <w:bCs w:val="0"/>
                <w:color w:val="000000"/>
              </w:rPr>
              <w:t>10*</w:t>
            </w:r>
          </w:p>
        </w:tc>
        <w:tc>
          <w:tcPr>
            <w:tcW w:w="879" w:type="dxa"/>
            <w:shd w:val="clear" w:color="auto" w:fill="auto"/>
          </w:tcPr>
          <w:p w14:paraId="736FF9F4" w14:textId="628B428C" w:rsidR="006C51D3" w:rsidRPr="00DE25AD" w:rsidRDefault="006C51D3" w:rsidP="006C51D3">
            <w:pPr>
              <w:pStyle w:val="ASSADACCESStablecentre"/>
            </w:pPr>
            <w:r w:rsidRPr="002E5727">
              <w:rPr>
                <w:bCs w:val="0"/>
                <w:color w:val="000000"/>
              </w:rPr>
              <w:t>7*^</w:t>
            </w:r>
          </w:p>
        </w:tc>
        <w:tc>
          <w:tcPr>
            <w:tcW w:w="879" w:type="dxa"/>
            <w:shd w:val="clear" w:color="auto" w:fill="auto"/>
          </w:tcPr>
          <w:p w14:paraId="29D4E9D2" w14:textId="1384D7FE" w:rsidR="006C51D3" w:rsidRPr="00DE25AD" w:rsidRDefault="006C51D3" w:rsidP="006C51D3">
            <w:pPr>
              <w:pStyle w:val="ASSADACCESStablecentre"/>
            </w:pPr>
            <w:r w:rsidRPr="002E5727">
              <w:rPr>
                <w:bCs w:val="0"/>
                <w:color w:val="000000"/>
              </w:rPr>
              <w:t>4^</w:t>
            </w:r>
          </w:p>
        </w:tc>
        <w:tc>
          <w:tcPr>
            <w:tcW w:w="879" w:type="dxa"/>
            <w:shd w:val="clear" w:color="auto" w:fill="auto"/>
          </w:tcPr>
          <w:p w14:paraId="681AF195" w14:textId="6A5EEAA9" w:rsidR="006C51D3" w:rsidRPr="00DE25AD" w:rsidRDefault="006C51D3" w:rsidP="006C51D3">
            <w:pPr>
              <w:pStyle w:val="ASSADACCESStablecentre"/>
            </w:pPr>
            <w:r w:rsidRPr="002E5727">
              <w:rPr>
                <w:bCs w:val="0"/>
                <w:color w:val="000000"/>
              </w:rPr>
              <w:t>2^</w:t>
            </w:r>
          </w:p>
        </w:tc>
        <w:tc>
          <w:tcPr>
            <w:tcW w:w="879" w:type="dxa"/>
            <w:shd w:val="clear" w:color="auto" w:fill="auto"/>
          </w:tcPr>
          <w:p w14:paraId="6CB2C83A" w14:textId="565D48DC" w:rsidR="006C51D3" w:rsidRPr="00DE25AD" w:rsidRDefault="006C51D3" w:rsidP="006C51D3">
            <w:pPr>
              <w:pStyle w:val="ASSADACCESStablecentre"/>
            </w:pPr>
            <w:r w:rsidRPr="002E5727">
              <w:rPr>
                <w:bCs w:val="0"/>
                <w:color w:val="000000"/>
              </w:rPr>
              <w:t>3^</w:t>
            </w:r>
          </w:p>
        </w:tc>
        <w:tc>
          <w:tcPr>
            <w:tcW w:w="879" w:type="dxa"/>
            <w:shd w:val="clear" w:color="auto" w:fill="auto"/>
          </w:tcPr>
          <w:p w14:paraId="21B856E1" w14:textId="53C0F63D" w:rsidR="006C51D3" w:rsidRPr="00DE25AD" w:rsidRDefault="006C51D3" w:rsidP="006C51D3">
            <w:pPr>
              <w:pStyle w:val="ASSADACCESStablecentre"/>
            </w:pPr>
            <w:r w:rsidRPr="002E5727">
              <w:rPr>
                <w:bCs w:val="0"/>
                <w:color w:val="000000"/>
              </w:rPr>
              <w:t>4^</w:t>
            </w:r>
          </w:p>
        </w:tc>
        <w:tc>
          <w:tcPr>
            <w:tcW w:w="879" w:type="dxa"/>
            <w:shd w:val="clear" w:color="auto" w:fill="auto"/>
          </w:tcPr>
          <w:p w14:paraId="37E9A851" w14:textId="2CB36597" w:rsidR="006C51D3" w:rsidRPr="00DE25AD" w:rsidRDefault="006C51D3" w:rsidP="006C51D3">
            <w:pPr>
              <w:pStyle w:val="ASSADACCESStablecentre"/>
            </w:pPr>
            <w:r w:rsidRPr="002E5727">
              <w:rPr>
                <w:bCs w:val="0"/>
                <w:color w:val="000000"/>
              </w:rPr>
              <w:t>3</w:t>
            </w:r>
            <w:r>
              <w:rPr>
                <w:bCs w:val="0"/>
                <w:color w:val="000000"/>
              </w:rPr>
              <w:t>^</w:t>
            </w:r>
          </w:p>
        </w:tc>
        <w:tc>
          <w:tcPr>
            <w:tcW w:w="879" w:type="dxa"/>
            <w:shd w:val="clear" w:color="auto" w:fill="auto"/>
          </w:tcPr>
          <w:p w14:paraId="19EAF635" w14:textId="794D2D1D" w:rsidR="006C51D3" w:rsidRPr="00DE25AD" w:rsidRDefault="006C51D3" w:rsidP="006C51D3">
            <w:pPr>
              <w:pStyle w:val="ASSADACCESStablecentre"/>
            </w:pPr>
            <w:r w:rsidRPr="002E5727">
              <w:rPr>
                <w:bCs w:val="0"/>
                <w:color w:val="000000"/>
              </w:rPr>
              <w:t>3^</w:t>
            </w:r>
          </w:p>
        </w:tc>
      </w:tr>
      <w:tr w:rsidR="006C51D3" w:rsidRPr="00DE25AD" w14:paraId="65E1AFBA" w14:textId="77777777" w:rsidTr="005F678B">
        <w:tc>
          <w:tcPr>
            <w:tcW w:w="1517" w:type="dxa"/>
            <w:tcMar>
              <w:left w:w="57" w:type="dxa"/>
            </w:tcMar>
          </w:tcPr>
          <w:p w14:paraId="5EB1BF3D" w14:textId="77777777" w:rsidR="006C51D3" w:rsidRPr="00DE25AD" w:rsidRDefault="006C51D3" w:rsidP="006C51D3">
            <w:pPr>
              <w:pStyle w:val="ACCESSTableHeaderRow"/>
            </w:pPr>
          </w:p>
        </w:tc>
        <w:tc>
          <w:tcPr>
            <w:tcW w:w="1068" w:type="dxa"/>
            <w:shd w:val="clear" w:color="auto" w:fill="auto"/>
            <w:tcMar>
              <w:left w:w="57" w:type="dxa"/>
            </w:tcMar>
            <w:vAlign w:val="bottom"/>
          </w:tcPr>
          <w:p w14:paraId="64027D2C" w14:textId="77777777" w:rsidR="006C51D3" w:rsidRPr="00DE25AD" w:rsidRDefault="006C51D3" w:rsidP="006C51D3">
            <w:pPr>
              <w:pStyle w:val="ASSAD2017ACCESSBody1"/>
            </w:pPr>
            <w:r w:rsidRPr="00DE25AD">
              <w:t>Total</w:t>
            </w:r>
          </w:p>
        </w:tc>
        <w:tc>
          <w:tcPr>
            <w:tcW w:w="878" w:type="dxa"/>
            <w:shd w:val="clear" w:color="auto" w:fill="auto"/>
          </w:tcPr>
          <w:p w14:paraId="4E88DE0B" w14:textId="20C8BAE2" w:rsidR="006C51D3" w:rsidRPr="00DE25AD" w:rsidRDefault="006C51D3" w:rsidP="006C51D3">
            <w:pPr>
              <w:pStyle w:val="ASSADACCESStablecentre"/>
            </w:pPr>
            <w:r w:rsidRPr="002E5727">
              <w:rPr>
                <w:bCs w:val="0"/>
                <w:color w:val="000000"/>
              </w:rPr>
              <w:t>11*</w:t>
            </w:r>
          </w:p>
        </w:tc>
        <w:tc>
          <w:tcPr>
            <w:tcW w:w="879" w:type="dxa"/>
            <w:shd w:val="clear" w:color="auto" w:fill="auto"/>
          </w:tcPr>
          <w:p w14:paraId="73BB3CC3" w14:textId="4FB621A1" w:rsidR="006C51D3" w:rsidRPr="00DE25AD" w:rsidRDefault="006C51D3" w:rsidP="006C51D3">
            <w:pPr>
              <w:pStyle w:val="ASSADACCESStablecentre"/>
            </w:pPr>
            <w:r w:rsidRPr="002E5727">
              <w:rPr>
                <w:bCs w:val="0"/>
                <w:color w:val="000000"/>
              </w:rPr>
              <w:t>8*^</w:t>
            </w:r>
          </w:p>
        </w:tc>
        <w:tc>
          <w:tcPr>
            <w:tcW w:w="879" w:type="dxa"/>
            <w:shd w:val="clear" w:color="auto" w:fill="auto"/>
          </w:tcPr>
          <w:p w14:paraId="7116ECD6" w14:textId="1934F9CD" w:rsidR="006C51D3" w:rsidRPr="00DE25AD" w:rsidRDefault="006C51D3" w:rsidP="006C51D3">
            <w:pPr>
              <w:pStyle w:val="ASSADACCESStablecentre"/>
            </w:pPr>
            <w:r w:rsidRPr="002E5727">
              <w:rPr>
                <w:bCs w:val="0"/>
                <w:color w:val="000000"/>
              </w:rPr>
              <w:t>4^</w:t>
            </w:r>
          </w:p>
        </w:tc>
        <w:tc>
          <w:tcPr>
            <w:tcW w:w="879" w:type="dxa"/>
            <w:shd w:val="clear" w:color="auto" w:fill="auto"/>
          </w:tcPr>
          <w:p w14:paraId="1788D271" w14:textId="205FFEEC" w:rsidR="006C51D3" w:rsidRPr="00DE25AD" w:rsidRDefault="006C51D3" w:rsidP="006C51D3">
            <w:pPr>
              <w:pStyle w:val="ASSADACCESStablecentre"/>
            </w:pPr>
            <w:r w:rsidRPr="002E5727">
              <w:rPr>
                <w:bCs w:val="0"/>
                <w:color w:val="000000"/>
              </w:rPr>
              <w:t>3^</w:t>
            </w:r>
          </w:p>
        </w:tc>
        <w:tc>
          <w:tcPr>
            <w:tcW w:w="879" w:type="dxa"/>
            <w:shd w:val="clear" w:color="auto" w:fill="auto"/>
          </w:tcPr>
          <w:p w14:paraId="76FE06E6" w14:textId="1DC36839" w:rsidR="006C51D3" w:rsidRPr="00DE25AD" w:rsidRDefault="006C51D3" w:rsidP="006C51D3">
            <w:pPr>
              <w:pStyle w:val="ASSADACCESStablecentre"/>
            </w:pPr>
            <w:r w:rsidRPr="002E5727">
              <w:rPr>
                <w:bCs w:val="0"/>
                <w:color w:val="000000"/>
              </w:rPr>
              <w:t>4^</w:t>
            </w:r>
          </w:p>
        </w:tc>
        <w:tc>
          <w:tcPr>
            <w:tcW w:w="879" w:type="dxa"/>
            <w:shd w:val="clear" w:color="auto" w:fill="auto"/>
          </w:tcPr>
          <w:p w14:paraId="0A5B9B32" w14:textId="6C8206EE" w:rsidR="006C51D3" w:rsidRPr="00DE25AD" w:rsidRDefault="006C51D3" w:rsidP="006C51D3">
            <w:pPr>
              <w:pStyle w:val="ASSADACCESStablecentre"/>
            </w:pPr>
            <w:r w:rsidRPr="002E5727">
              <w:rPr>
                <w:bCs w:val="0"/>
                <w:color w:val="000000"/>
              </w:rPr>
              <w:t>4^</w:t>
            </w:r>
          </w:p>
        </w:tc>
        <w:tc>
          <w:tcPr>
            <w:tcW w:w="879" w:type="dxa"/>
            <w:shd w:val="clear" w:color="auto" w:fill="auto"/>
          </w:tcPr>
          <w:p w14:paraId="775D8788" w14:textId="5350C974" w:rsidR="006C51D3" w:rsidRPr="00DE25AD" w:rsidRDefault="006C51D3" w:rsidP="006C51D3">
            <w:pPr>
              <w:pStyle w:val="ASSADACCESStablecentre"/>
            </w:pPr>
            <w:r w:rsidRPr="002E5727">
              <w:rPr>
                <w:bCs w:val="0"/>
                <w:color w:val="000000"/>
              </w:rPr>
              <w:t>4^</w:t>
            </w:r>
          </w:p>
        </w:tc>
        <w:tc>
          <w:tcPr>
            <w:tcW w:w="879" w:type="dxa"/>
            <w:shd w:val="clear" w:color="auto" w:fill="auto"/>
          </w:tcPr>
          <w:p w14:paraId="5A25595A" w14:textId="5D4D3DAE" w:rsidR="006C51D3" w:rsidRPr="00DE25AD" w:rsidRDefault="006C51D3" w:rsidP="006C51D3">
            <w:pPr>
              <w:pStyle w:val="ASSADACCESStablecentre"/>
            </w:pPr>
            <w:r w:rsidRPr="002E5727">
              <w:rPr>
                <w:bCs w:val="0"/>
                <w:color w:val="000000"/>
              </w:rPr>
              <w:t>5^</w:t>
            </w:r>
          </w:p>
        </w:tc>
      </w:tr>
      <w:tr w:rsidR="006C51D3" w:rsidRPr="00DE25AD" w14:paraId="781E4CAD" w14:textId="77777777" w:rsidTr="005F678B">
        <w:trPr>
          <w:trHeight w:val="247"/>
        </w:trPr>
        <w:tc>
          <w:tcPr>
            <w:tcW w:w="1517" w:type="dxa"/>
            <w:tcMar>
              <w:left w:w="57" w:type="dxa"/>
            </w:tcMar>
          </w:tcPr>
          <w:p w14:paraId="1E1F7134" w14:textId="77777777" w:rsidR="006C51D3" w:rsidRPr="00DE25AD" w:rsidRDefault="006C51D3" w:rsidP="006C51D3">
            <w:pPr>
              <w:pStyle w:val="ACCESSTableHeaderRow"/>
            </w:pPr>
            <w:r w:rsidRPr="00DE25AD">
              <w:t xml:space="preserve">Past </w:t>
            </w:r>
            <w:r>
              <w:t>month</w:t>
            </w:r>
          </w:p>
        </w:tc>
        <w:tc>
          <w:tcPr>
            <w:tcW w:w="1068" w:type="dxa"/>
            <w:shd w:val="clear" w:color="auto" w:fill="auto"/>
            <w:tcMar>
              <w:left w:w="57" w:type="dxa"/>
            </w:tcMar>
            <w:vAlign w:val="bottom"/>
          </w:tcPr>
          <w:p w14:paraId="37468A51" w14:textId="77777777" w:rsidR="006C51D3" w:rsidRPr="00DE25AD" w:rsidRDefault="006C51D3" w:rsidP="006C51D3">
            <w:pPr>
              <w:pStyle w:val="ASSAD2017ACCESSBody1"/>
            </w:pPr>
            <w:r w:rsidRPr="00DE25AD">
              <w:t>Male</w:t>
            </w:r>
          </w:p>
        </w:tc>
        <w:tc>
          <w:tcPr>
            <w:tcW w:w="878" w:type="dxa"/>
            <w:shd w:val="clear" w:color="auto" w:fill="auto"/>
          </w:tcPr>
          <w:p w14:paraId="283528A2" w14:textId="7744348B" w:rsidR="006C51D3" w:rsidRPr="00DE25AD" w:rsidRDefault="006C51D3" w:rsidP="006C51D3">
            <w:pPr>
              <w:pStyle w:val="ASSADACCESStablecentre"/>
            </w:pPr>
            <w:r w:rsidRPr="002E5727">
              <w:rPr>
                <w:bCs w:val="0"/>
                <w:color w:val="000000"/>
              </w:rPr>
              <w:t>5</w:t>
            </w:r>
          </w:p>
        </w:tc>
        <w:tc>
          <w:tcPr>
            <w:tcW w:w="879" w:type="dxa"/>
            <w:shd w:val="clear" w:color="auto" w:fill="auto"/>
          </w:tcPr>
          <w:p w14:paraId="1A649536" w14:textId="0EA0ADC3" w:rsidR="006C51D3" w:rsidRPr="00DE25AD" w:rsidRDefault="006C51D3" w:rsidP="006C51D3">
            <w:pPr>
              <w:pStyle w:val="ASSADACCESStablecentre"/>
            </w:pPr>
            <w:r w:rsidRPr="002E5727">
              <w:rPr>
                <w:bCs w:val="0"/>
                <w:color w:val="000000"/>
              </w:rPr>
              <w:t>4</w:t>
            </w:r>
          </w:p>
        </w:tc>
        <w:tc>
          <w:tcPr>
            <w:tcW w:w="879" w:type="dxa"/>
            <w:shd w:val="clear" w:color="auto" w:fill="auto"/>
          </w:tcPr>
          <w:p w14:paraId="1FBD019A" w14:textId="4536CFA8" w:rsidR="006C51D3" w:rsidRPr="00DE25AD" w:rsidRDefault="006C51D3" w:rsidP="006C51D3">
            <w:pPr>
              <w:pStyle w:val="ASSADACCESStablecentre"/>
            </w:pPr>
            <w:r w:rsidRPr="002E5727">
              <w:rPr>
                <w:bCs w:val="0"/>
                <w:color w:val="000000"/>
              </w:rPr>
              <w:t>2^</w:t>
            </w:r>
          </w:p>
        </w:tc>
        <w:tc>
          <w:tcPr>
            <w:tcW w:w="879" w:type="dxa"/>
            <w:shd w:val="clear" w:color="auto" w:fill="auto"/>
          </w:tcPr>
          <w:p w14:paraId="30F32146" w14:textId="62C93440" w:rsidR="006C51D3" w:rsidRPr="00DE25AD" w:rsidRDefault="006C51D3" w:rsidP="006C51D3">
            <w:pPr>
              <w:pStyle w:val="ASSADACCESStablecentre"/>
            </w:pPr>
            <w:r w:rsidRPr="002E5727">
              <w:rPr>
                <w:bCs w:val="0"/>
                <w:color w:val="000000"/>
              </w:rPr>
              <w:t>2^</w:t>
            </w:r>
          </w:p>
        </w:tc>
        <w:tc>
          <w:tcPr>
            <w:tcW w:w="879" w:type="dxa"/>
            <w:shd w:val="clear" w:color="auto" w:fill="auto"/>
          </w:tcPr>
          <w:p w14:paraId="7A505A56" w14:textId="5BE65B62" w:rsidR="006C51D3" w:rsidRPr="00DE25AD" w:rsidRDefault="006C51D3" w:rsidP="006C51D3">
            <w:pPr>
              <w:pStyle w:val="ASSADACCESStablecentre"/>
            </w:pPr>
            <w:r w:rsidRPr="002E5727">
              <w:rPr>
                <w:bCs w:val="0"/>
                <w:color w:val="000000"/>
              </w:rPr>
              <w:t>3^</w:t>
            </w:r>
          </w:p>
        </w:tc>
        <w:tc>
          <w:tcPr>
            <w:tcW w:w="879" w:type="dxa"/>
            <w:shd w:val="clear" w:color="auto" w:fill="auto"/>
          </w:tcPr>
          <w:p w14:paraId="77A68243" w14:textId="2F4C9A2A" w:rsidR="006C51D3" w:rsidRPr="00DE25AD" w:rsidRDefault="006C51D3" w:rsidP="006C51D3">
            <w:pPr>
              <w:pStyle w:val="ASSADACCESStablecentre"/>
            </w:pPr>
            <w:r w:rsidRPr="002E5727">
              <w:rPr>
                <w:bCs w:val="0"/>
                <w:color w:val="000000"/>
              </w:rPr>
              <w:t>2^</w:t>
            </w:r>
          </w:p>
        </w:tc>
        <w:tc>
          <w:tcPr>
            <w:tcW w:w="879" w:type="dxa"/>
            <w:shd w:val="clear" w:color="auto" w:fill="auto"/>
          </w:tcPr>
          <w:p w14:paraId="49E02945" w14:textId="28C315C0" w:rsidR="006C51D3" w:rsidRPr="00DE25AD" w:rsidRDefault="006C51D3" w:rsidP="006C51D3">
            <w:pPr>
              <w:pStyle w:val="ASSADACCESStablecentre"/>
            </w:pPr>
            <w:r w:rsidRPr="002E5727">
              <w:rPr>
                <w:bCs w:val="0"/>
                <w:color w:val="000000"/>
              </w:rPr>
              <w:t>2^</w:t>
            </w:r>
          </w:p>
        </w:tc>
        <w:tc>
          <w:tcPr>
            <w:tcW w:w="879" w:type="dxa"/>
            <w:shd w:val="clear" w:color="auto" w:fill="auto"/>
          </w:tcPr>
          <w:p w14:paraId="379C0951" w14:textId="5F262E15" w:rsidR="006C51D3" w:rsidRPr="00DE25AD" w:rsidRDefault="006C51D3" w:rsidP="006C51D3">
            <w:pPr>
              <w:pStyle w:val="ASSADACCESStablecentre"/>
            </w:pPr>
            <w:r w:rsidRPr="002E5727">
              <w:rPr>
                <w:bCs w:val="0"/>
                <w:color w:val="000000"/>
              </w:rPr>
              <w:t>3</w:t>
            </w:r>
          </w:p>
        </w:tc>
      </w:tr>
      <w:tr w:rsidR="006C51D3" w:rsidRPr="00DE25AD" w14:paraId="7DBB6596" w14:textId="77777777" w:rsidTr="005F678B">
        <w:trPr>
          <w:trHeight w:val="247"/>
        </w:trPr>
        <w:tc>
          <w:tcPr>
            <w:tcW w:w="1517" w:type="dxa"/>
            <w:tcMar>
              <w:left w:w="57" w:type="dxa"/>
            </w:tcMar>
          </w:tcPr>
          <w:p w14:paraId="3D708A66" w14:textId="77777777" w:rsidR="006C51D3" w:rsidRPr="00DE25AD" w:rsidRDefault="006C51D3" w:rsidP="006C51D3">
            <w:pPr>
              <w:pStyle w:val="ACCESSTableHeaderRow"/>
            </w:pPr>
          </w:p>
        </w:tc>
        <w:tc>
          <w:tcPr>
            <w:tcW w:w="1068" w:type="dxa"/>
            <w:shd w:val="clear" w:color="auto" w:fill="auto"/>
            <w:tcMar>
              <w:left w:w="57" w:type="dxa"/>
            </w:tcMar>
            <w:vAlign w:val="bottom"/>
          </w:tcPr>
          <w:p w14:paraId="217A4725" w14:textId="77777777" w:rsidR="006C51D3" w:rsidRPr="00DE25AD" w:rsidRDefault="006C51D3" w:rsidP="006C51D3">
            <w:pPr>
              <w:pStyle w:val="ASSAD2017ACCESSBody1"/>
            </w:pPr>
            <w:r w:rsidRPr="00DE25AD">
              <w:t>Female</w:t>
            </w:r>
          </w:p>
        </w:tc>
        <w:tc>
          <w:tcPr>
            <w:tcW w:w="878" w:type="dxa"/>
            <w:shd w:val="clear" w:color="auto" w:fill="auto"/>
          </w:tcPr>
          <w:p w14:paraId="6B0812FB" w14:textId="56C2B278" w:rsidR="006C51D3" w:rsidRPr="00DE25AD" w:rsidRDefault="006C51D3" w:rsidP="006C51D3">
            <w:pPr>
              <w:pStyle w:val="ASSADACCESStablecentre"/>
            </w:pPr>
            <w:r w:rsidRPr="002E5727">
              <w:rPr>
                <w:bCs w:val="0"/>
                <w:color w:val="000000"/>
              </w:rPr>
              <w:t>3*</w:t>
            </w:r>
          </w:p>
        </w:tc>
        <w:tc>
          <w:tcPr>
            <w:tcW w:w="879" w:type="dxa"/>
            <w:shd w:val="clear" w:color="auto" w:fill="auto"/>
          </w:tcPr>
          <w:p w14:paraId="2FCD1E65" w14:textId="06459371" w:rsidR="006C51D3" w:rsidRPr="00DE25AD" w:rsidRDefault="006C51D3" w:rsidP="006C51D3">
            <w:pPr>
              <w:pStyle w:val="ASSADACCESStablecentre"/>
            </w:pPr>
            <w:r w:rsidRPr="002E5727">
              <w:rPr>
                <w:bCs w:val="0"/>
                <w:color w:val="000000"/>
              </w:rPr>
              <w:t>1^</w:t>
            </w:r>
          </w:p>
        </w:tc>
        <w:tc>
          <w:tcPr>
            <w:tcW w:w="879" w:type="dxa"/>
            <w:shd w:val="clear" w:color="auto" w:fill="auto"/>
          </w:tcPr>
          <w:p w14:paraId="6B13E23A" w14:textId="36361478" w:rsidR="006C51D3" w:rsidRPr="00DE25AD" w:rsidRDefault="006C51D3" w:rsidP="006C51D3">
            <w:pPr>
              <w:pStyle w:val="ASSADACCESStablecentre"/>
            </w:pPr>
            <w:r w:rsidRPr="002E5727">
              <w:rPr>
                <w:bCs w:val="0"/>
                <w:color w:val="000000"/>
              </w:rPr>
              <w:t>1^</w:t>
            </w:r>
          </w:p>
        </w:tc>
        <w:tc>
          <w:tcPr>
            <w:tcW w:w="879" w:type="dxa"/>
            <w:shd w:val="clear" w:color="auto" w:fill="auto"/>
          </w:tcPr>
          <w:p w14:paraId="74DACD98" w14:textId="53BBFED5" w:rsidR="006C51D3" w:rsidRPr="00DE25AD" w:rsidRDefault="006C51D3" w:rsidP="006C51D3">
            <w:pPr>
              <w:pStyle w:val="ASSADACCESStablecentre"/>
            </w:pPr>
            <w:r w:rsidRPr="002E5727">
              <w:rPr>
                <w:bCs w:val="0"/>
                <w:color w:val="000000"/>
              </w:rPr>
              <w:t>1^</w:t>
            </w:r>
          </w:p>
        </w:tc>
        <w:tc>
          <w:tcPr>
            <w:tcW w:w="879" w:type="dxa"/>
            <w:shd w:val="clear" w:color="auto" w:fill="auto"/>
          </w:tcPr>
          <w:p w14:paraId="090E2A3F" w14:textId="6E2C16E7" w:rsidR="006C51D3" w:rsidRPr="00DE25AD" w:rsidRDefault="006C51D3" w:rsidP="006C51D3">
            <w:pPr>
              <w:pStyle w:val="ASSADACCESStablecentre"/>
            </w:pPr>
            <w:r w:rsidRPr="002E5727">
              <w:rPr>
                <w:bCs w:val="0"/>
                <w:color w:val="000000"/>
              </w:rPr>
              <w:t>1^</w:t>
            </w:r>
          </w:p>
        </w:tc>
        <w:tc>
          <w:tcPr>
            <w:tcW w:w="879" w:type="dxa"/>
            <w:shd w:val="clear" w:color="auto" w:fill="auto"/>
          </w:tcPr>
          <w:p w14:paraId="7F776742" w14:textId="2C77A0D8" w:rsidR="006C51D3" w:rsidRPr="00DE25AD" w:rsidRDefault="006C51D3" w:rsidP="006C51D3">
            <w:pPr>
              <w:pStyle w:val="ASSADACCESStablecentre"/>
            </w:pPr>
            <w:r w:rsidRPr="002E5727">
              <w:rPr>
                <w:bCs w:val="0"/>
                <w:color w:val="000000"/>
              </w:rPr>
              <w:t>1^</w:t>
            </w:r>
          </w:p>
        </w:tc>
        <w:tc>
          <w:tcPr>
            <w:tcW w:w="879" w:type="dxa"/>
            <w:shd w:val="clear" w:color="auto" w:fill="auto"/>
          </w:tcPr>
          <w:p w14:paraId="22C14DE8" w14:textId="04623AF1" w:rsidR="006C51D3" w:rsidRPr="00DE25AD" w:rsidRDefault="006C51D3" w:rsidP="006C51D3">
            <w:pPr>
              <w:pStyle w:val="ASSADACCESStablecentre"/>
            </w:pPr>
            <w:r w:rsidRPr="002E5727">
              <w:rPr>
                <w:bCs w:val="0"/>
                <w:color w:val="000000"/>
              </w:rPr>
              <w:t>1^</w:t>
            </w:r>
          </w:p>
        </w:tc>
        <w:tc>
          <w:tcPr>
            <w:tcW w:w="879" w:type="dxa"/>
            <w:shd w:val="clear" w:color="auto" w:fill="auto"/>
          </w:tcPr>
          <w:p w14:paraId="6CD68BBB" w14:textId="477BD311" w:rsidR="006C51D3" w:rsidRPr="00DE25AD" w:rsidRDefault="006C51D3" w:rsidP="006C51D3">
            <w:pPr>
              <w:pStyle w:val="ASSADACCESStablecentre"/>
            </w:pPr>
            <w:r w:rsidRPr="002E5727">
              <w:rPr>
                <w:bCs w:val="0"/>
                <w:color w:val="000000"/>
              </w:rPr>
              <w:t>1^</w:t>
            </w:r>
          </w:p>
        </w:tc>
      </w:tr>
      <w:tr w:rsidR="006C51D3" w:rsidRPr="00DE25AD" w14:paraId="1FCF76A0" w14:textId="77777777" w:rsidTr="005F678B">
        <w:trPr>
          <w:trHeight w:val="247"/>
        </w:trPr>
        <w:tc>
          <w:tcPr>
            <w:tcW w:w="1517" w:type="dxa"/>
            <w:tcMar>
              <w:left w:w="57" w:type="dxa"/>
            </w:tcMar>
          </w:tcPr>
          <w:p w14:paraId="193537FC" w14:textId="77777777" w:rsidR="006C51D3" w:rsidRPr="00DE25AD" w:rsidRDefault="006C51D3" w:rsidP="006C51D3">
            <w:pPr>
              <w:pStyle w:val="ACCESSTableHeaderRow"/>
            </w:pPr>
          </w:p>
        </w:tc>
        <w:tc>
          <w:tcPr>
            <w:tcW w:w="1068" w:type="dxa"/>
            <w:shd w:val="clear" w:color="auto" w:fill="auto"/>
            <w:tcMar>
              <w:left w:w="57" w:type="dxa"/>
            </w:tcMar>
            <w:vAlign w:val="bottom"/>
          </w:tcPr>
          <w:p w14:paraId="29B18834" w14:textId="77777777" w:rsidR="006C51D3" w:rsidRPr="00DE25AD" w:rsidRDefault="006C51D3" w:rsidP="006C51D3">
            <w:pPr>
              <w:pStyle w:val="ASSAD2017ACCESSBody1"/>
            </w:pPr>
            <w:r w:rsidRPr="00DE25AD">
              <w:t>Total</w:t>
            </w:r>
          </w:p>
        </w:tc>
        <w:tc>
          <w:tcPr>
            <w:tcW w:w="878" w:type="dxa"/>
            <w:shd w:val="clear" w:color="auto" w:fill="auto"/>
          </w:tcPr>
          <w:p w14:paraId="1AC2FB93" w14:textId="745D10C2" w:rsidR="006C51D3" w:rsidRPr="00DE25AD" w:rsidRDefault="006C51D3" w:rsidP="006C51D3">
            <w:pPr>
              <w:pStyle w:val="ASSADACCESStablecentre"/>
            </w:pPr>
            <w:r w:rsidRPr="002E5727">
              <w:rPr>
                <w:bCs w:val="0"/>
                <w:color w:val="000000"/>
              </w:rPr>
              <w:t>4*</w:t>
            </w:r>
          </w:p>
        </w:tc>
        <w:tc>
          <w:tcPr>
            <w:tcW w:w="879" w:type="dxa"/>
            <w:shd w:val="clear" w:color="auto" w:fill="auto"/>
          </w:tcPr>
          <w:p w14:paraId="4539F139" w14:textId="3158DDA9" w:rsidR="006C51D3" w:rsidRPr="00DE25AD" w:rsidRDefault="006C51D3" w:rsidP="006C51D3">
            <w:pPr>
              <w:pStyle w:val="ASSADACCESStablecentre"/>
            </w:pPr>
            <w:r w:rsidRPr="002E5727">
              <w:rPr>
                <w:bCs w:val="0"/>
                <w:color w:val="000000"/>
              </w:rPr>
              <w:t>3^</w:t>
            </w:r>
          </w:p>
        </w:tc>
        <w:tc>
          <w:tcPr>
            <w:tcW w:w="879" w:type="dxa"/>
            <w:shd w:val="clear" w:color="auto" w:fill="auto"/>
          </w:tcPr>
          <w:p w14:paraId="5AE7E1BC" w14:textId="393C678C" w:rsidR="006C51D3" w:rsidRPr="00DE25AD" w:rsidRDefault="006C51D3" w:rsidP="006C51D3">
            <w:pPr>
              <w:pStyle w:val="ASSADACCESStablecentre"/>
            </w:pPr>
            <w:r w:rsidRPr="002E5727">
              <w:rPr>
                <w:bCs w:val="0"/>
                <w:color w:val="000000"/>
              </w:rPr>
              <w:t>2^</w:t>
            </w:r>
          </w:p>
        </w:tc>
        <w:tc>
          <w:tcPr>
            <w:tcW w:w="879" w:type="dxa"/>
            <w:shd w:val="clear" w:color="auto" w:fill="auto"/>
          </w:tcPr>
          <w:p w14:paraId="0CCBD4D3" w14:textId="5D5D46D1" w:rsidR="006C51D3" w:rsidRPr="00DE25AD" w:rsidRDefault="006C51D3" w:rsidP="006C51D3">
            <w:pPr>
              <w:pStyle w:val="ASSADACCESStablecentre"/>
            </w:pPr>
            <w:r w:rsidRPr="002E5727">
              <w:rPr>
                <w:bCs w:val="0"/>
                <w:color w:val="000000"/>
              </w:rPr>
              <w:t>1^</w:t>
            </w:r>
          </w:p>
        </w:tc>
        <w:tc>
          <w:tcPr>
            <w:tcW w:w="879" w:type="dxa"/>
            <w:shd w:val="clear" w:color="auto" w:fill="auto"/>
          </w:tcPr>
          <w:p w14:paraId="02B048DF" w14:textId="5E729B69" w:rsidR="006C51D3" w:rsidRPr="00DE25AD" w:rsidRDefault="006C51D3" w:rsidP="006C51D3">
            <w:pPr>
              <w:pStyle w:val="ASSADACCESStablecentre"/>
            </w:pPr>
            <w:r w:rsidRPr="002E5727">
              <w:rPr>
                <w:bCs w:val="0"/>
                <w:color w:val="000000"/>
              </w:rPr>
              <w:t>2^</w:t>
            </w:r>
          </w:p>
        </w:tc>
        <w:tc>
          <w:tcPr>
            <w:tcW w:w="879" w:type="dxa"/>
            <w:shd w:val="clear" w:color="auto" w:fill="auto"/>
          </w:tcPr>
          <w:p w14:paraId="3FE8388D" w14:textId="6DC10307" w:rsidR="006C51D3" w:rsidRPr="00DE25AD" w:rsidRDefault="006C51D3" w:rsidP="006C51D3">
            <w:pPr>
              <w:pStyle w:val="ASSADACCESStablecentre"/>
            </w:pPr>
            <w:r w:rsidRPr="002E5727">
              <w:rPr>
                <w:bCs w:val="0"/>
                <w:color w:val="000000"/>
              </w:rPr>
              <w:t>2^</w:t>
            </w:r>
          </w:p>
        </w:tc>
        <w:tc>
          <w:tcPr>
            <w:tcW w:w="879" w:type="dxa"/>
            <w:shd w:val="clear" w:color="auto" w:fill="auto"/>
          </w:tcPr>
          <w:p w14:paraId="4ACE5323" w14:textId="209E155C" w:rsidR="006C51D3" w:rsidRPr="00DE25AD" w:rsidRDefault="006C51D3" w:rsidP="006C51D3">
            <w:pPr>
              <w:pStyle w:val="ASSADACCESStablecentre"/>
            </w:pPr>
            <w:r w:rsidRPr="002E5727">
              <w:rPr>
                <w:bCs w:val="0"/>
                <w:color w:val="000000"/>
              </w:rPr>
              <w:t>1^</w:t>
            </w:r>
          </w:p>
        </w:tc>
        <w:tc>
          <w:tcPr>
            <w:tcW w:w="879" w:type="dxa"/>
            <w:shd w:val="clear" w:color="auto" w:fill="auto"/>
          </w:tcPr>
          <w:p w14:paraId="6858555B" w14:textId="6BA640F6" w:rsidR="006C51D3" w:rsidRPr="00DE25AD" w:rsidRDefault="006C51D3" w:rsidP="006C51D3">
            <w:pPr>
              <w:pStyle w:val="ASSADACCESStablecentre"/>
            </w:pPr>
            <w:r w:rsidRPr="002E5727">
              <w:rPr>
                <w:bCs w:val="0"/>
                <w:color w:val="000000"/>
              </w:rPr>
              <w:t>2^</w:t>
            </w:r>
          </w:p>
        </w:tc>
      </w:tr>
      <w:tr w:rsidR="006C51D3" w:rsidRPr="00DE25AD" w14:paraId="45BFA04B" w14:textId="77777777" w:rsidTr="005F678B">
        <w:tc>
          <w:tcPr>
            <w:tcW w:w="1517" w:type="dxa"/>
            <w:tcMar>
              <w:left w:w="57" w:type="dxa"/>
            </w:tcMar>
          </w:tcPr>
          <w:p w14:paraId="7506A78C" w14:textId="77777777" w:rsidR="006C51D3" w:rsidRDefault="006C51D3" w:rsidP="006C51D3">
            <w:pPr>
              <w:pStyle w:val="ACCESSTableHeaderRow"/>
            </w:pPr>
            <w:r>
              <w:t>Aged 12-17</w:t>
            </w:r>
          </w:p>
        </w:tc>
        <w:tc>
          <w:tcPr>
            <w:tcW w:w="1068" w:type="dxa"/>
            <w:shd w:val="clear" w:color="auto" w:fill="auto"/>
            <w:tcMar>
              <w:left w:w="57" w:type="dxa"/>
            </w:tcMar>
            <w:vAlign w:val="center"/>
          </w:tcPr>
          <w:p w14:paraId="1B569462" w14:textId="77777777" w:rsidR="006C51D3" w:rsidRPr="00DE25AD" w:rsidRDefault="006C51D3" w:rsidP="006C51D3">
            <w:pPr>
              <w:pStyle w:val="ASSAD2017ACCESSBody1"/>
            </w:pPr>
          </w:p>
        </w:tc>
        <w:tc>
          <w:tcPr>
            <w:tcW w:w="878" w:type="dxa"/>
            <w:shd w:val="clear" w:color="auto" w:fill="auto"/>
            <w:vAlign w:val="bottom"/>
          </w:tcPr>
          <w:p w14:paraId="63872414" w14:textId="77777777" w:rsidR="006C51D3" w:rsidRPr="00DE25AD" w:rsidRDefault="006C51D3" w:rsidP="006C51D3">
            <w:pPr>
              <w:pStyle w:val="ASSADACCESStablecentre"/>
            </w:pPr>
          </w:p>
        </w:tc>
        <w:tc>
          <w:tcPr>
            <w:tcW w:w="879" w:type="dxa"/>
            <w:shd w:val="clear" w:color="auto" w:fill="auto"/>
            <w:vAlign w:val="bottom"/>
          </w:tcPr>
          <w:p w14:paraId="5280011C" w14:textId="77777777" w:rsidR="006C51D3" w:rsidRPr="00DE25AD" w:rsidRDefault="006C51D3" w:rsidP="006C51D3">
            <w:pPr>
              <w:pStyle w:val="ASSADACCESStablecentre"/>
            </w:pPr>
          </w:p>
        </w:tc>
        <w:tc>
          <w:tcPr>
            <w:tcW w:w="879" w:type="dxa"/>
            <w:shd w:val="clear" w:color="auto" w:fill="auto"/>
            <w:vAlign w:val="bottom"/>
          </w:tcPr>
          <w:p w14:paraId="13B773F4" w14:textId="77777777" w:rsidR="006C51D3" w:rsidRPr="00DE25AD" w:rsidRDefault="006C51D3" w:rsidP="006C51D3">
            <w:pPr>
              <w:pStyle w:val="ASSADACCESStablecentre"/>
            </w:pPr>
          </w:p>
        </w:tc>
        <w:tc>
          <w:tcPr>
            <w:tcW w:w="879" w:type="dxa"/>
            <w:shd w:val="clear" w:color="auto" w:fill="auto"/>
            <w:vAlign w:val="bottom"/>
          </w:tcPr>
          <w:p w14:paraId="7FE816E0" w14:textId="77777777" w:rsidR="006C51D3" w:rsidRPr="00DE25AD" w:rsidRDefault="006C51D3" w:rsidP="006C51D3">
            <w:pPr>
              <w:pStyle w:val="ASSADACCESStablecentre"/>
            </w:pPr>
          </w:p>
        </w:tc>
        <w:tc>
          <w:tcPr>
            <w:tcW w:w="879" w:type="dxa"/>
            <w:shd w:val="clear" w:color="auto" w:fill="auto"/>
            <w:vAlign w:val="bottom"/>
          </w:tcPr>
          <w:p w14:paraId="05C29B45" w14:textId="77777777" w:rsidR="006C51D3" w:rsidRPr="00DE25AD" w:rsidRDefault="006C51D3" w:rsidP="006C51D3">
            <w:pPr>
              <w:pStyle w:val="ASSADACCESStablecentre"/>
            </w:pPr>
          </w:p>
        </w:tc>
        <w:tc>
          <w:tcPr>
            <w:tcW w:w="879" w:type="dxa"/>
            <w:shd w:val="clear" w:color="auto" w:fill="auto"/>
            <w:vAlign w:val="bottom"/>
          </w:tcPr>
          <w:p w14:paraId="15CB5E57" w14:textId="77777777" w:rsidR="006C51D3" w:rsidRPr="00DE25AD" w:rsidRDefault="006C51D3" w:rsidP="006C51D3">
            <w:pPr>
              <w:pStyle w:val="ASSADACCESStablecentre"/>
            </w:pPr>
          </w:p>
        </w:tc>
        <w:tc>
          <w:tcPr>
            <w:tcW w:w="879" w:type="dxa"/>
            <w:shd w:val="clear" w:color="auto" w:fill="auto"/>
            <w:vAlign w:val="bottom"/>
          </w:tcPr>
          <w:p w14:paraId="35EEF2E4" w14:textId="77777777" w:rsidR="006C51D3" w:rsidRPr="00DE25AD" w:rsidRDefault="006C51D3" w:rsidP="006C51D3">
            <w:pPr>
              <w:pStyle w:val="ASSADACCESStablecentre"/>
            </w:pPr>
          </w:p>
        </w:tc>
        <w:tc>
          <w:tcPr>
            <w:tcW w:w="879" w:type="dxa"/>
            <w:shd w:val="clear" w:color="auto" w:fill="auto"/>
            <w:vAlign w:val="bottom"/>
          </w:tcPr>
          <w:p w14:paraId="2AE8F304" w14:textId="77777777" w:rsidR="006C51D3" w:rsidRPr="00DE25AD" w:rsidRDefault="006C51D3" w:rsidP="006C51D3">
            <w:pPr>
              <w:pStyle w:val="ASSADACCESStablecentre"/>
            </w:pPr>
          </w:p>
        </w:tc>
      </w:tr>
      <w:tr w:rsidR="006C51D3" w:rsidRPr="00DE25AD" w14:paraId="607DF84D" w14:textId="77777777" w:rsidTr="005F678B">
        <w:tc>
          <w:tcPr>
            <w:tcW w:w="1517" w:type="dxa"/>
            <w:tcMar>
              <w:left w:w="57" w:type="dxa"/>
            </w:tcMar>
          </w:tcPr>
          <w:p w14:paraId="63752DCB" w14:textId="77777777" w:rsidR="006C51D3" w:rsidRDefault="006C51D3" w:rsidP="006C51D3">
            <w:pPr>
              <w:pStyle w:val="ACCESSTableHeaderRow"/>
            </w:pPr>
            <w:r w:rsidRPr="00DE25AD">
              <w:t>Recency</w:t>
            </w:r>
          </w:p>
        </w:tc>
        <w:tc>
          <w:tcPr>
            <w:tcW w:w="1068" w:type="dxa"/>
            <w:shd w:val="clear" w:color="auto" w:fill="auto"/>
            <w:tcMar>
              <w:left w:w="57" w:type="dxa"/>
            </w:tcMar>
            <w:vAlign w:val="center"/>
          </w:tcPr>
          <w:p w14:paraId="216AA8B4" w14:textId="77777777" w:rsidR="006C51D3" w:rsidRPr="00DE25AD" w:rsidRDefault="006C51D3" w:rsidP="006C51D3">
            <w:pPr>
              <w:pStyle w:val="ASSAD2017ACCESSBody1"/>
            </w:pPr>
            <w:r w:rsidRPr="005C5B03">
              <w:rPr>
                <w:b/>
                <w:bCs w:val="0"/>
              </w:rPr>
              <w:t>Sex</w:t>
            </w:r>
          </w:p>
        </w:tc>
        <w:tc>
          <w:tcPr>
            <w:tcW w:w="878" w:type="dxa"/>
            <w:shd w:val="clear" w:color="auto" w:fill="auto"/>
            <w:vAlign w:val="bottom"/>
          </w:tcPr>
          <w:p w14:paraId="13D6C0B5" w14:textId="77777777" w:rsidR="006C51D3" w:rsidRPr="00DE25AD" w:rsidRDefault="006C51D3" w:rsidP="006C51D3">
            <w:pPr>
              <w:pStyle w:val="ASSADACCESStablecentre"/>
            </w:pPr>
          </w:p>
        </w:tc>
        <w:tc>
          <w:tcPr>
            <w:tcW w:w="879" w:type="dxa"/>
            <w:shd w:val="clear" w:color="auto" w:fill="auto"/>
            <w:vAlign w:val="bottom"/>
          </w:tcPr>
          <w:p w14:paraId="30ABA5E3" w14:textId="77777777" w:rsidR="006C51D3" w:rsidRPr="00DE25AD" w:rsidRDefault="006C51D3" w:rsidP="006C51D3">
            <w:pPr>
              <w:pStyle w:val="ASSADACCESStablecentre"/>
            </w:pPr>
          </w:p>
        </w:tc>
        <w:tc>
          <w:tcPr>
            <w:tcW w:w="879" w:type="dxa"/>
            <w:shd w:val="clear" w:color="auto" w:fill="auto"/>
            <w:vAlign w:val="bottom"/>
          </w:tcPr>
          <w:p w14:paraId="4407CFE7" w14:textId="77777777" w:rsidR="006C51D3" w:rsidRPr="00DE25AD" w:rsidRDefault="006C51D3" w:rsidP="006C51D3">
            <w:pPr>
              <w:pStyle w:val="ASSADACCESStablecentre"/>
            </w:pPr>
          </w:p>
        </w:tc>
        <w:tc>
          <w:tcPr>
            <w:tcW w:w="879" w:type="dxa"/>
            <w:shd w:val="clear" w:color="auto" w:fill="auto"/>
            <w:vAlign w:val="bottom"/>
          </w:tcPr>
          <w:p w14:paraId="7ABFB3F8" w14:textId="77777777" w:rsidR="006C51D3" w:rsidRPr="00DE25AD" w:rsidRDefault="006C51D3" w:rsidP="006C51D3">
            <w:pPr>
              <w:pStyle w:val="ASSADACCESStablecentre"/>
            </w:pPr>
          </w:p>
        </w:tc>
        <w:tc>
          <w:tcPr>
            <w:tcW w:w="879" w:type="dxa"/>
            <w:shd w:val="clear" w:color="auto" w:fill="auto"/>
            <w:vAlign w:val="bottom"/>
          </w:tcPr>
          <w:p w14:paraId="2768363E" w14:textId="77777777" w:rsidR="006C51D3" w:rsidRPr="00DE25AD" w:rsidRDefault="006C51D3" w:rsidP="006C51D3">
            <w:pPr>
              <w:pStyle w:val="ASSADACCESStablecentre"/>
            </w:pPr>
          </w:p>
        </w:tc>
        <w:tc>
          <w:tcPr>
            <w:tcW w:w="879" w:type="dxa"/>
            <w:shd w:val="clear" w:color="auto" w:fill="auto"/>
            <w:vAlign w:val="bottom"/>
          </w:tcPr>
          <w:p w14:paraId="63F5B9D2" w14:textId="77777777" w:rsidR="006C51D3" w:rsidRPr="00DE25AD" w:rsidRDefault="006C51D3" w:rsidP="006C51D3">
            <w:pPr>
              <w:pStyle w:val="ASSADACCESStablecentre"/>
            </w:pPr>
          </w:p>
        </w:tc>
        <w:tc>
          <w:tcPr>
            <w:tcW w:w="879" w:type="dxa"/>
            <w:shd w:val="clear" w:color="auto" w:fill="auto"/>
            <w:vAlign w:val="bottom"/>
          </w:tcPr>
          <w:p w14:paraId="64E68A33" w14:textId="77777777" w:rsidR="006C51D3" w:rsidRPr="00DE25AD" w:rsidRDefault="006C51D3" w:rsidP="006C51D3">
            <w:pPr>
              <w:pStyle w:val="ASSADACCESStablecentre"/>
            </w:pPr>
          </w:p>
        </w:tc>
        <w:tc>
          <w:tcPr>
            <w:tcW w:w="879" w:type="dxa"/>
            <w:shd w:val="clear" w:color="auto" w:fill="auto"/>
            <w:vAlign w:val="bottom"/>
          </w:tcPr>
          <w:p w14:paraId="7B50A95B" w14:textId="77777777" w:rsidR="006C51D3" w:rsidRPr="00DE25AD" w:rsidRDefault="006C51D3" w:rsidP="006C51D3">
            <w:pPr>
              <w:pStyle w:val="ASSADACCESStablecentre"/>
            </w:pPr>
          </w:p>
        </w:tc>
      </w:tr>
      <w:tr w:rsidR="006C51D3" w:rsidRPr="00DE25AD" w14:paraId="666D979E" w14:textId="77777777" w:rsidTr="00545FF4">
        <w:tc>
          <w:tcPr>
            <w:tcW w:w="1517" w:type="dxa"/>
            <w:tcMar>
              <w:left w:w="57" w:type="dxa"/>
            </w:tcMar>
          </w:tcPr>
          <w:p w14:paraId="5BAB7FB5" w14:textId="77777777" w:rsidR="006C51D3" w:rsidRPr="00DE25AD" w:rsidRDefault="006C51D3" w:rsidP="006C51D3">
            <w:pPr>
              <w:pStyle w:val="ACCESSTableHeaderRow"/>
            </w:pPr>
            <w:r>
              <w:t>Lifetime</w:t>
            </w:r>
          </w:p>
        </w:tc>
        <w:tc>
          <w:tcPr>
            <w:tcW w:w="1068" w:type="dxa"/>
            <w:shd w:val="clear" w:color="auto" w:fill="auto"/>
            <w:tcMar>
              <w:left w:w="57" w:type="dxa"/>
            </w:tcMar>
            <w:vAlign w:val="bottom"/>
          </w:tcPr>
          <w:p w14:paraId="5D4F2582" w14:textId="77777777" w:rsidR="006C51D3" w:rsidRPr="00DE25AD" w:rsidRDefault="006C51D3" w:rsidP="006C51D3">
            <w:pPr>
              <w:pStyle w:val="ASSAD2017ACCESSBody1"/>
            </w:pPr>
            <w:r w:rsidRPr="00DE25AD">
              <w:t>Male</w:t>
            </w:r>
          </w:p>
        </w:tc>
        <w:tc>
          <w:tcPr>
            <w:tcW w:w="878" w:type="dxa"/>
            <w:shd w:val="clear" w:color="auto" w:fill="auto"/>
          </w:tcPr>
          <w:p w14:paraId="405ED580" w14:textId="749A8738" w:rsidR="006C51D3" w:rsidRPr="00DE25AD" w:rsidRDefault="006C51D3" w:rsidP="006C51D3">
            <w:pPr>
              <w:pStyle w:val="ASSADACCESStablecentre"/>
            </w:pPr>
            <w:r w:rsidRPr="002E5727">
              <w:rPr>
                <w:bCs w:val="0"/>
                <w:color w:val="000000"/>
              </w:rPr>
              <w:t>9*</w:t>
            </w:r>
          </w:p>
        </w:tc>
        <w:tc>
          <w:tcPr>
            <w:tcW w:w="879" w:type="dxa"/>
            <w:shd w:val="clear" w:color="auto" w:fill="auto"/>
          </w:tcPr>
          <w:p w14:paraId="11317136" w14:textId="6742541F" w:rsidR="006C51D3" w:rsidRPr="00DE25AD" w:rsidRDefault="006C51D3" w:rsidP="006C51D3">
            <w:pPr>
              <w:pStyle w:val="ASSADACCESStablecentre"/>
            </w:pPr>
            <w:r w:rsidRPr="002E5727">
              <w:rPr>
                <w:bCs w:val="0"/>
                <w:color w:val="000000"/>
              </w:rPr>
              <w:t>7*^</w:t>
            </w:r>
          </w:p>
        </w:tc>
        <w:tc>
          <w:tcPr>
            <w:tcW w:w="879" w:type="dxa"/>
            <w:shd w:val="clear" w:color="auto" w:fill="auto"/>
          </w:tcPr>
          <w:p w14:paraId="30D0D2B3" w14:textId="76A20EF0" w:rsidR="006C51D3" w:rsidRPr="00DE25AD" w:rsidRDefault="006C51D3" w:rsidP="006C51D3">
            <w:pPr>
              <w:pStyle w:val="ASSADACCESStablecentre"/>
            </w:pPr>
            <w:r w:rsidRPr="002E5727">
              <w:rPr>
                <w:bCs w:val="0"/>
                <w:color w:val="000000"/>
              </w:rPr>
              <w:t>5^</w:t>
            </w:r>
          </w:p>
        </w:tc>
        <w:tc>
          <w:tcPr>
            <w:tcW w:w="879" w:type="dxa"/>
            <w:shd w:val="clear" w:color="auto" w:fill="auto"/>
          </w:tcPr>
          <w:p w14:paraId="562FEBB3" w14:textId="4223F9AF" w:rsidR="006C51D3" w:rsidRPr="00DE25AD" w:rsidRDefault="006C51D3" w:rsidP="006C51D3">
            <w:pPr>
              <w:pStyle w:val="ASSADACCESStablecentre"/>
            </w:pPr>
            <w:r w:rsidRPr="002E5727">
              <w:rPr>
                <w:bCs w:val="0"/>
                <w:color w:val="000000"/>
              </w:rPr>
              <w:t>4^</w:t>
            </w:r>
          </w:p>
        </w:tc>
        <w:tc>
          <w:tcPr>
            <w:tcW w:w="879" w:type="dxa"/>
            <w:shd w:val="clear" w:color="auto" w:fill="auto"/>
          </w:tcPr>
          <w:p w14:paraId="07722798" w14:textId="792E8902" w:rsidR="006C51D3" w:rsidRPr="00DE25AD" w:rsidRDefault="006C51D3" w:rsidP="006C51D3">
            <w:pPr>
              <w:pStyle w:val="ASSADACCESStablecentre"/>
            </w:pPr>
            <w:r w:rsidRPr="002E5727">
              <w:rPr>
                <w:bCs w:val="0"/>
                <w:color w:val="000000"/>
              </w:rPr>
              <w:t>4^</w:t>
            </w:r>
          </w:p>
        </w:tc>
        <w:tc>
          <w:tcPr>
            <w:tcW w:w="879" w:type="dxa"/>
            <w:shd w:val="clear" w:color="auto" w:fill="auto"/>
          </w:tcPr>
          <w:p w14:paraId="4165A578" w14:textId="094B1B26" w:rsidR="006C51D3" w:rsidRPr="00DE25AD" w:rsidRDefault="006C51D3" w:rsidP="006C51D3">
            <w:pPr>
              <w:pStyle w:val="ASSADACCESStablecentre"/>
            </w:pPr>
            <w:r w:rsidRPr="002E5727">
              <w:rPr>
                <w:bCs w:val="0"/>
                <w:color w:val="000000"/>
              </w:rPr>
              <w:t>4^</w:t>
            </w:r>
          </w:p>
        </w:tc>
        <w:tc>
          <w:tcPr>
            <w:tcW w:w="879" w:type="dxa"/>
            <w:shd w:val="clear" w:color="auto" w:fill="auto"/>
          </w:tcPr>
          <w:p w14:paraId="7389CFB9" w14:textId="215D3961" w:rsidR="006C51D3" w:rsidRPr="00DE25AD" w:rsidRDefault="006C51D3" w:rsidP="006C51D3">
            <w:pPr>
              <w:pStyle w:val="ASSADACCESStablecentre"/>
            </w:pPr>
            <w:r w:rsidRPr="002E5727">
              <w:rPr>
                <w:bCs w:val="0"/>
                <w:color w:val="000000"/>
              </w:rPr>
              <w:t>3^</w:t>
            </w:r>
          </w:p>
        </w:tc>
        <w:tc>
          <w:tcPr>
            <w:tcW w:w="879" w:type="dxa"/>
            <w:shd w:val="clear" w:color="auto" w:fill="auto"/>
          </w:tcPr>
          <w:p w14:paraId="08F2D1F7" w14:textId="106EF70A" w:rsidR="006C51D3" w:rsidRPr="00DE25AD" w:rsidRDefault="006C51D3" w:rsidP="006C51D3">
            <w:pPr>
              <w:pStyle w:val="ASSADACCESStablecentre"/>
            </w:pPr>
            <w:r>
              <w:rPr>
                <w:bCs w:val="0"/>
                <w:color w:val="000000"/>
              </w:rPr>
              <w:t>4</w:t>
            </w:r>
            <w:r w:rsidRPr="002E5727">
              <w:rPr>
                <w:bCs w:val="0"/>
                <w:color w:val="000000"/>
              </w:rPr>
              <w:t>^</w:t>
            </w:r>
          </w:p>
        </w:tc>
      </w:tr>
      <w:tr w:rsidR="006C51D3" w:rsidRPr="00DE25AD" w14:paraId="5DF93A99" w14:textId="77777777" w:rsidTr="005F678B">
        <w:tc>
          <w:tcPr>
            <w:tcW w:w="1517" w:type="dxa"/>
            <w:tcMar>
              <w:left w:w="57" w:type="dxa"/>
            </w:tcMar>
          </w:tcPr>
          <w:p w14:paraId="155E6CA8" w14:textId="77777777" w:rsidR="006C51D3" w:rsidRPr="00DE25AD" w:rsidRDefault="006C51D3" w:rsidP="006C51D3">
            <w:pPr>
              <w:pStyle w:val="ACCESSTableHeaderRow"/>
            </w:pPr>
          </w:p>
        </w:tc>
        <w:tc>
          <w:tcPr>
            <w:tcW w:w="1068" w:type="dxa"/>
            <w:shd w:val="clear" w:color="auto" w:fill="auto"/>
            <w:tcMar>
              <w:left w:w="57" w:type="dxa"/>
            </w:tcMar>
            <w:vAlign w:val="bottom"/>
          </w:tcPr>
          <w:p w14:paraId="627B1DDB" w14:textId="77777777" w:rsidR="006C51D3" w:rsidRPr="00DE25AD" w:rsidRDefault="006C51D3" w:rsidP="006C51D3">
            <w:pPr>
              <w:pStyle w:val="ASSAD2017ACCESSBody1"/>
            </w:pPr>
            <w:r w:rsidRPr="00DE25AD">
              <w:t>Female</w:t>
            </w:r>
          </w:p>
        </w:tc>
        <w:tc>
          <w:tcPr>
            <w:tcW w:w="878" w:type="dxa"/>
            <w:shd w:val="clear" w:color="auto" w:fill="auto"/>
          </w:tcPr>
          <w:p w14:paraId="28353693" w14:textId="0C07E1F9" w:rsidR="006C51D3" w:rsidRPr="00DE25AD" w:rsidRDefault="006C51D3" w:rsidP="006C51D3">
            <w:pPr>
              <w:pStyle w:val="ASSADACCESStablecentre"/>
            </w:pPr>
            <w:r w:rsidRPr="002E5727">
              <w:rPr>
                <w:bCs w:val="0"/>
                <w:color w:val="000000"/>
              </w:rPr>
              <w:t>7*</w:t>
            </w:r>
          </w:p>
        </w:tc>
        <w:tc>
          <w:tcPr>
            <w:tcW w:w="879" w:type="dxa"/>
            <w:shd w:val="clear" w:color="auto" w:fill="auto"/>
          </w:tcPr>
          <w:p w14:paraId="1C7B5AFB" w14:textId="2574CECC" w:rsidR="006C51D3" w:rsidRPr="00DE25AD" w:rsidRDefault="006C51D3" w:rsidP="006C51D3">
            <w:pPr>
              <w:pStyle w:val="ASSADACCESStablecentre"/>
            </w:pPr>
            <w:r w:rsidRPr="002E5727">
              <w:rPr>
                <w:bCs w:val="0"/>
                <w:color w:val="000000"/>
              </w:rPr>
              <w:t>6*</w:t>
            </w:r>
          </w:p>
        </w:tc>
        <w:tc>
          <w:tcPr>
            <w:tcW w:w="879" w:type="dxa"/>
            <w:shd w:val="clear" w:color="auto" w:fill="auto"/>
          </w:tcPr>
          <w:p w14:paraId="435DFDCA" w14:textId="0D2E2A93" w:rsidR="006C51D3" w:rsidRPr="00DE25AD" w:rsidRDefault="006C51D3" w:rsidP="006C51D3">
            <w:pPr>
              <w:pStyle w:val="ASSADACCESStablecentre"/>
            </w:pPr>
            <w:r w:rsidRPr="002E5727">
              <w:rPr>
                <w:bCs w:val="0"/>
                <w:color w:val="000000"/>
              </w:rPr>
              <w:t>4*^</w:t>
            </w:r>
          </w:p>
        </w:tc>
        <w:tc>
          <w:tcPr>
            <w:tcW w:w="879" w:type="dxa"/>
            <w:shd w:val="clear" w:color="auto" w:fill="auto"/>
          </w:tcPr>
          <w:p w14:paraId="07DE077A" w14:textId="3F24014D" w:rsidR="006C51D3" w:rsidRPr="00DE25AD" w:rsidRDefault="006C51D3" w:rsidP="006C51D3">
            <w:pPr>
              <w:pStyle w:val="ASSADACCESStablecentre"/>
            </w:pPr>
            <w:r w:rsidRPr="002E5727">
              <w:rPr>
                <w:bCs w:val="0"/>
                <w:color w:val="000000"/>
              </w:rPr>
              <w:t>2^</w:t>
            </w:r>
          </w:p>
        </w:tc>
        <w:tc>
          <w:tcPr>
            <w:tcW w:w="879" w:type="dxa"/>
            <w:shd w:val="clear" w:color="auto" w:fill="auto"/>
          </w:tcPr>
          <w:p w14:paraId="6BD185AB" w14:textId="6352ADC7" w:rsidR="006C51D3" w:rsidRPr="00DE25AD" w:rsidRDefault="006C51D3" w:rsidP="006C51D3">
            <w:pPr>
              <w:pStyle w:val="ASSADACCESStablecentre"/>
            </w:pPr>
            <w:r w:rsidRPr="002E5727">
              <w:rPr>
                <w:bCs w:val="0"/>
                <w:color w:val="000000"/>
              </w:rPr>
              <w:t>2^</w:t>
            </w:r>
          </w:p>
        </w:tc>
        <w:tc>
          <w:tcPr>
            <w:tcW w:w="879" w:type="dxa"/>
            <w:shd w:val="clear" w:color="auto" w:fill="auto"/>
          </w:tcPr>
          <w:p w14:paraId="6001F3B8" w14:textId="75E19E15" w:rsidR="006C51D3" w:rsidRPr="00DE25AD" w:rsidRDefault="006C51D3" w:rsidP="006C51D3">
            <w:pPr>
              <w:pStyle w:val="ASSADACCESStablecentre"/>
            </w:pPr>
            <w:r w:rsidRPr="002E5727">
              <w:rPr>
                <w:bCs w:val="0"/>
                <w:color w:val="000000"/>
              </w:rPr>
              <w:t>3^</w:t>
            </w:r>
          </w:p>
        </w:tc>
        <w:tc>
          <w:tcPr>
            <w:tcW w:w="879" w:type="dxa"/>
            <w:shd w:val="clear" w:color="auto" w:fill="auto"/>
          </w:tcPr>
          <w:p w14:paraId="45EFCAC3" w14:textId="6B7A6FF5" w:rsidR="006C51D3" w:rsidRPr="00DE25AD" w:rsidRDefault="006C51D3" w:rsidP="006C51D3">
            <w:pPr>
              <w:pStyle w:val="ASSADACCESStablecentre"/>
            </w:pPr>
            <w:r w:rsidRPr="002E5727">
              <w:rPr>
                <w:bCs w:val="0"/>
                <w:color w:val="000000"/>
              </w:rPr>
              <w:t>2^</w:t>
            </w:r>
          </w:p>
        </w:tc>
        <w:tc>
          <w:tcPr>
            <w:tcW w:w="879" w:type="dxa"/>
            <w:shd w:val="clear" w:color="auto" w:fill="auto"/>
          </w:tcPr>
          <w:p w14:paraId="1B426A6B" w14:textId="5325EC3C" w:rsidR="006C51D3" w:rsidRPr="00DE25AD" w:rsidRDefault="006C51D3" w:rsidP="006C51D3">
            <w:pPr>
              <w:pStyle w:val="ASSADACCESStablecentre"/>
            </w:pPr>
            <w:r w:rsidRPr="002E5727">
              <w:rPr>
                <w:bCs w:val="0"/>
                <w:color w:val="000000"/>
              </w:rPr>
              <w:t>2^</w:t>
            </w:r>
          </w:p>
        </w:tc>
      </w:tr>
      <w:tr w:rsidR="006C51D3" w:rsidRPr="00DE25AD" w14:paraId="2CD77F5A" w14:textId="77777777" w:rsidTr="005F678B">
        <w:trPr>
          <w:trHeight w:val="247"/>
        </w:trPr>
        <w:tc>
          <w:tcPr>
            <w:tcW w:w="1517" w:type="dxa"/>
            <w:tcMar>
              <w:left w:w="57" w:type="dxa"/>
            </w:tcMar>
          </w:tcPr>
          <w:p w14:paraId="3D49F478" w14:textId="77777777" w:rsidR="006C51D3" w:rsidRPr="00DE25AD" w:rsidRDefault="006C51D3" w:rsidP="006C51D3">
            <w:pPr>
              <w:pStyle w:val="ACCESSTableHeaderRow"/>
            </w:pPr>
          </w:p>
        </w:tc>
        <w:tc>
          <w:tcPr>
            <w:tcW w:w="1068" w:type="dxa"/>
            <w:shd w:val="clear" w:color="auto" w:fill="auto"/>
            <w:tcMar>
              <w:left w:w="57" w:type="dxa"/>
            </w:tcMar>
            <w:vAlign w:val="bottom"/>
          </w:tcPr>
          <w:p w14:paraId="59348738" w14:textId="77777777" w:rsidR="006C51D3" w:rsidRPr="00DE25AD" w:rsidRDefault="006C51D3" w:rsidP="006C51D3">
            <w:pPr>
              <w:pStyle w:val="ASSAD2017ACCESSBody1"/>
            </w:pPr>
            <w:r w:rsidRPr="00DE25AD">
              <w:t>Total</w:t>
            </w:r>
          </w:p>
        </w:tc>
        <w:tc>
          <w:tcPr>
            <w:tcW w:w="878" w:type="dxa"/>
            <w:shd w:val="clear" w:color="auto" w:fill="auto"/>
          </w:tcPr>
          <w:p w14:paraId="4F345133" w14:textId="70E498BA" w:rsidR="006C51D3" w:rsidRPr="00DE25AD" w:rsidRDefault="006C51D3" w:rsidP="006C51D3">
            <w:pPr>
              <w:pStyle w:val="ASSADACCESStablecentre"/>
            </w:pPr>
            <w:r w:rsidRPr="002E5727">
              <w:rPr>
                <w:bCs w:val="0"/>
                <w:color w:val="000000"/>
              </w:rPr>
              <w:t>8*</w:t>
            </w:r>
          </w:p>
        </w:tc>
        <w:tc>
          <w:tcPr>
            <w:tcW w:w="879" w:type="dxa"/>
            <w:shd w:val="clear" w:color="auto" w:fill="auto"/>
          </w:tcPr>
          <w:p w14:paraId="251BF3E9" w14:textId="0CC41D19" w:rsidR="006C51D3" w:rsidRPr="00DE25AD" w:rsidRDefault="006C51D3" w:rsidP="006C51D3">
            <w:pPr>
              <w:pStyle w:val="ASSADACCESStablecentre"/>
            </w:pPr>
            <w:r w:rsidRPr="002E5727">
              <w:rPr>
                <w:bCs w:val="0"/>
                <w:color w:val="000000"/>
              </w:rPr>
              <w:t>7*^</w:t>
            </w:r>
          </w:p>
        </w:tc>
        <w:tc>
          <w:tcPr>
            <w:tcW w:w="879" w:type="dxa"/>
            <w:shd w:val="clear" w:color="auto" w:fill="auto"/>
          </w:tcPr>
          <w:p w14:paraId="3C68F814" w14:textId="5A9CEF91" w:rsidR="006C51D3" w:rsidRPr="00DE25AD" w:rsidRDefault="006C51D3" w:rsidP="006C51D3">
            <w:pPr>
              <w:pStyle w:val="ASSADACCESStablecentre"/>
            </w:pPr>
            <w:r w:rsidRPr="002E5727">
              <w:rPr>
                <w:bCs w:val="0"/>
                <w:color w:val="000000"/>
              </w:rPr>
              <w:t>4*^</w:t>
            </w:r>
          </w:p>
        </w:tc>
        <w:tc>
          <w:tcPr>
            <w:tcW w:w="879" w:type="dxa"/>
            <w:shd w:val="clear" w:color="auto" w:fill="auto"/>
          </w:tcPr>
          <w:p w14:paraId="2201E737" w14:textId="519F8350" w:rsidR="006C51D3" w:rsidRPr="00DE25AD" w:rsidRDefault="006C51D3" w:rsidP="006C51D3">
            <w:pPr>
              <w:pStyle w:val="ASSADACCESStablecentre"/>
            </w:pPr>
            <w:r w:rsidRPr="002E5727">
              <w:rPr>
                <w:bCs w:val="0"/>
                <w:color w:val="000000"/>
              </w:rPr>
              <w:t>3^</w:t>
            </w:r>
          </w:p>
        </w:tc>
        <w:tc>
          <w:tcPr>
            <w:tcW w:w="879" w:type="dxa"/>
            <w:shd w:val="clear" w:color="auto" w:fill="auto"/>
          </w:tcPr>
          <w:p w14:paraId="3E0FFB8D" w14:textId="6F7D74A4" w:rsidR="006C51D3" w:rsidRPr="00DE25AD" w:rsidRDefault="006C51D3" w:rsidP="006C51D3">
            <w:pPr>
              <w:pStyle w:val="ASSADACCESStablecentre"/>
            </w:pPr>
            <w:r w:rsidRPr="002E5727">
              <w:rPr>
                <w:bCs w:val="0"/>
                <w:color w:val="000000"/>
              </w:rPr>
              <w:t>3^</w:t>
            </w:r>
          </w:p>
        </w:tc>
        <w:tc>
          <w:tcPr>
            <w:tcW w:w="879" w:type="dxa"/>
            <w:shd w:val="clear" w:color="auto" w:fill="auto"/>
          </w:tcPr>
          <w:p w14:paraId="06323082" w14:textId="3AF0BCF3" w:rsidR="006C51D3" w:rsidRPr="00DE25AD" w:rsidRDefault="006C51D3" w:rsidP="006C51D3">
            <w:pPr>
              <w:pStyle w:val="ASSADACCESStablecentre"/>
            </w:pPr>
            <w:r w:rsidRPr="002E5727">
              <w:rPr>
                <w:bCs w:val="0"/>
                <w:color w:val="000000"/>
              </w:rPr>
              <w:t>3^</w:t>
            </w:r>
          </w:p>
        </w:tc>
        <w:tc>
          <w:tcPr>
            <w:tcW w:w="879" w:type="dxa"/>
            <w:shd w:val="clear" w:color="auto" w:fill="auto"/>
          </w:tcPr>
          <w:p w14:paraId="4E7BAE5D" w14:textId="408D9C68" w:rsidR="006C51D3" w:rsidRPr="00DE25AD" w:rsidRDefault="006C51D3" w:rsidP="006C51D3">
            <w:pPr>
              <w:pStyle w:val="ASSADACCESStablecentre"/>
            </w:pPr>
            <w:r w:rsidRPr="002E5727">
              <w:rPr>
                <w:bCs w:val="0"/>
                <w:color w:val="000000"/>
              </w:rPr>
              <w:t>3^</w:t>
            </w:r>
          </w:p>
        </w:tc>
        <w:tc>
          <w:tcPr>
            <w:tcW w:w="879" w:type="dxa"/>
            <w:shd w:val="clear" w:color="auto" w:fill="auto"/>
          </w:tcPr>
          <w:p w14:paraId="79DCF608" w14:textId="13B60B5D" w:rsidR="006C51D3" w:rsidRPr="00DE25AD" w:rsidRDefault="006C51D3" w:rsidP="006C51D3">
            <w:pPr>
              <w:pStyle w:val="ASSADACCESStablecentre"/>
            </w:pPr>
            <w:r>
              <w:rPr>
                <w:bCs w:val="0"/>
                <w:color w:val="000000"/>
              </w:rPr>
              <w:t>3</w:t>
            </w:r>
            <w:r w:rsidRPr="002E5727">
              <w:rPr>
                <w:bCs w:val="0"/>
                <w:color w:val="000000"/>
              </w:rPr>
              <w:t>^</w:t>
            </w:r>
          </w:p>
        </w:tc>
      </w:tr>
      <w:tr w:rsidR="006C51D3" w:rsidRPr="00DE25AD" w14:paraId="7156F8F4" w14:textId="77777777" w:rsidTr="005F678B">
        <w:tc>
          <w:tcPr>
            <w:tcW w:w="1517" w:type="dxa"/>
            <w:tcMar>
              <w:left w:w="57" w:type="dxa"/>
            </w:tcMar>
          </w:tcPr>
          <w:p w14:paraId="623D6FA4" w14:textId="77777777" w:rsidR="006C51D3" w:rsidRPr="00DE25AD" w:rsidRDefault="006C51D3" w:rsidP="006C51D3">
            <w:pPr>
              <w:pStyle w:val="ACCESSTableHeaderRow"/>
            </w:pPr>
            <w:r w:rsidRPr="00DE25AD">
              <w:t xml:space="preserve">Past </w:t>
            </w:r>
            <w:r>
              <w:t>year</w:t>
            </w:r>
          </w:p>
        </w:tc>
        <w:tc>
          <w:tcPr>
            <w:tcW w:w="1068" w:type="dxa"/>
            <w:shd w:val="clear" w:color="auto" w:fill="auto"/>
            <w:tcMar>
              <w:left w:w="57" w:type="dxa"/>
            </w:tcMar>
            <w:vAlign w:val="bottom"/>
          </w:tcPr>
          <w:p w14:paraId="69F0DF83" w14:textId="77777777" w:rsidR="006C51D3" w:rsidRPr="00DE25AD" w:rsidRDefault="006C51D3" w:rsidP="006C51D3">
            <w:pPr>
              <w:pStyle w:val="ASSAD2017ACCESSBody1"/>
            </w:pPr>
            <w:r w:rsidRPr="00DE25AD">
              <w:t>Male</w:t>
            </w:r>
          </w:p>
        </w:tc>
        <w:tc>
          <w:tcPr>
            <w:tcW w:w="878" w:type="dxa"/>
            <w:shd w:val="clear" w:color="auto" w:fill="auto"/>
          </w:tcPr>
          <w:p w14:paraId="58BB84DF" w14:textId="49DEB07F" w:rsidR="006C51D3" w:rsidRPr="00DE25AD" w:rsidRDefault="006C51D3" w:rsidP="006C51D3">
            <w:pPr>
              <w:pStyle w:val="ASSADACCESStablecentre"/>
            </w:pPr>
            <w:r w:rsidRPr="002E5727">
              <w:rPr>
                <w:bCs w:val="0"/>
                <w:color w:val="000000"/>
              </w:rPr>
              <w:t>7*</w:t>
            </w:r>
          </w:p>
        </w:tc>
        <w:tc>
          <w:tcPr>
            <w:tcW w:w="879" w:type="dxa"/>
            <w:shd w:val="clear" w:color="auto" w:fill="auto"/>
          </w:tcPr>
          <w:p w14:paraId="2CE54883" w14:textId="7F25DD70" w:rsidR="006C51D3" w:rsidRPr="00DE25AD" w:rsidRDefault="006C51D3" w:rsidP="006C51D3">
            <w:pPr>
              <w:pStyle w:val="ASSADACCESStablecentre"/>
            </w:pPr>
            <w:r w:rsidRPr="002E5727">
              <w:rPr>
                <w:bCs w:val="0"/>
                <w:color w:val="000000"/>
              </w:rPr>
              <w:t>5*^</w:t>
            </w:r>
          </w:p>
        </w:tc>
        <w:tc>
          <w:tcPr>
            <w:tcW w:w="879" w:type="dxa"/>
            <w:shd w:val="clear" w:color="auto" w:fill="auto"/>
          </w:tcPr>
          <w:p w14:paraId="731B99D6" w14:textId="6AAD01B4" w:rsidR="006C51D3" w:rsidRPr="00DE25AD" w:rsidRDefault="006C51D3" w:rsidP="006C51D3">
            <w:pPr>
              <w:pStyle w:val="ASSADACCESStablecentre"/>
            </w:pPr>
            <w:r w:rsidRPr="002E5727">
              <w:rPr>
                <w:bCs w:val="0"/>
                <w:color w:val="000000"/>
              </w:rPr>
              <w:t>4^</w:t>
            </w:r>
          </w:p>
        </w:tc>
        <w:tc>
          <w:tcPr>
            <w:tcW w:w="879" w:type="dxa"/>
            <w:shd w:val="clear" w:color="auto" w:fill="auto"/>
          </w:tcPr>
          <w:p w14:paraId="04E99531" w14:textId="0A274583" w:rsidR="006C51D3" w:rsidRPr="00DE25AD" w:rsidRDefault="006C51D3" w:rsidP="006C51D3">
            <w:pPr>
              <w:pStyle w:val="ASSADACCESStablecentre"/>
            </w:pPr>
            <w:r w:rsidRPr="002E5727">
              <w:rPr>
                <w:bCs w:val="0"/>
                <w:color w:val="000000"/>
              </w:rPr>
              <w:t>3^</w:t>
            </w:r>
          </w:p>
        </w:tc>
        <w:tc>
          <w:tcPr>
            <w:tcW w:w="879" w:type="dxa"/>
            <w:shd w:val="clear" w:color="auto" w:fill="auto"/>
          </w:tcPr>
          <w:p w14:paraId="100D2264" w14:textId="1FA27461" w:rsidR="006C51D3" w:rsidRPr="00DE25AD" w:rsidRDefault="006C51D3" w:rsidP="006C51D3">
            <w:pPr>
              <w:pStyle w:val="ASSADACCESStablecentre"/>
            </w:pPr>
            <w:r w:rsidRPr="002E5727">
              <w:rPr>
                <w:bCs w:val="0"/>
                <w:color w:val="000000"/>
              </w:rPr>
              <w:t>3^</w:t>
            </w:r>
          </w:p>
        </w:tc>
        <w:tc>
          <w:tcPr>
            <w:tcW w:w="879" w:type="dxa"/>
            <w:shd w:val="clear" w:color="auto" w:fill="auto"/>
          </w:tcPr>
          <w:p w14:paraId="62ED0289" w14:textId="36577326" w:rsidR="006C51D3" w:rsidRPr="00DE25AD" w:rsidRDefault="006C51D3" w:rsidP="006C51D3">
            <w:pPr>
              <w:pStyle w:val="ASSADACCESStablecentre"/>
            </w:pPr>
            <w:r w:rsidRPr="002E5727">
              <w:rPr>
                <w:bCs w:val="0"/>
                <w:color w:val="000000"/>
              </w:rPr>
              <w:t>3^</w:t>
            </w:r>
          </w:p>
        </w:tc>
        <w:tc>
          <w:tcPr>
            <w:tcW w:w="879" w:type="dxa"/>
            <w:shd w:val="clear" w:color="auto" w:fill="auto"/>
          </w:tcPr>
          <w:p w14:paraId="3987220E" w14:textId="53E93E56" w:rsidR="006C51D3" w:rsidRPr="00DE25AD" w:rsidRDefault="006C51D3" w:rsidP="006C51D3">
            <w:pPr>
              <w:pStyle w:val="ASSADACCESStablecentre"/>
            </w:pPr>
            <w:r w:rsidRPr="002E5727">
              <w:rPr>
                <w:bCs w:val="0"/>
                <w:color w:val="000000"/>
              </w:rPr>
              <w:t>3^</w:t>
            </w:r>
          </w:p>
        </w:tc>
        <w:tc>
          <w:tcPr>
            <w:tcW w:w="879" w:type="dxa"/>
            <w:shd w:val="clear" w:color="auto" w:fill="auto"/>
          </w:tcPr>
          <w:p w14:paraId="1032363A" w14:textId="360958A9" w:rsidR="006C51D3" w:rsidRPr="00DE25AD" w:rsidRDefault="006C51D3" w:rsidP="006C51D3">
            <w:pPr>
              <w:pStyle w:val="ASSADACCESStablecentre"/>
            </w:pPr>
            <w:r>
              <w:rPr>
                <w:bCs w:val="0"/>
                <w:color w:val="000000"/>
              </w:rPr>
              <w:t>3</w:t>
            </w:r>
            <w:r w:rsidRPr="002E5727">
              <w:rPr>
                <w:bCs w:val="0"/>
                <w:color w:val="000000"/>
              </w:rPr>
              <w:t>^</w:t>
            </w:r>
          </w:p>
        </w:tc>
      </w:tr>
      <w:tr w:rsidR="006C51D3" w:rsidRPr="00DE25AD" w14:paraId="4C5CC5ED" w14:textId="77777777" w:rsidTr="005F678B">
        <w:tc>
          <w:tcPr>
            <w:tcW w:w="1517" w:type="dxa"/>
            <w:tcMar>
              <w:left w:w="57" w:type="dxa"/>
            </w:tcMar>
          </w:tcPr>
          <w:p w14:paraId="30999716" w14:textId="77777777" w:rsidR="006C51D3" w:rsidRPr="00DE25AD" w:rsidRDefault="006C51D3" w:rsidP="006C51D3">
            <w:pPr>
              <w:pStyle w:val="ACCESSTableHeaderRow"/>
            </w:pPr>
          </w:p>
        </w:tc>
        <w:tc>
          <w:tcPr>
            <w:tcW w:w="1068" w:type="dxa"/>
            <w:shd w:val="clear" w:color="auto" w:fill="auto"/>
            <w:tcMar>
              <w:left w:w="57" w:type="dxa"/>
            </w:tcMar>
            <w:vAlign w:val="bottom"/>
          </w:tcPr>
          <w:p w14:paraId="0F45F6F2" w14:textId="77777777" w:rsidR="006C51D3" w:rsidRPr="00DE25AD" w:rsidRDefault="006C51D3" w:rsidP="006C51D3">
            <w:pPr>
              <w:pStyle w:val="ASSAD2017ACCESSBody1"/>
            </w:pPr>
            <w:r w:rsidRPr="00DE25AD">
              <w:t>Female</w:t>
            </w:r>
          </w:p>
        </w:tc>
        <w:tc>
          <w:tcPr>
            <w:tcW w:w="878" w:type="dxa"/>
            <w:shd w:val="clear" w:color="auto" w:fill="auto"/>
          </w:tcPr>
          <w:p w14:paraId="0A1F4E20" w14:textId="1F9B290F" w:rsidR="006C51D3" w:rsidRPr="00DE25AD" w:rsidRDefault="006C51D3" w:rsidP="006C51D3">
            <w:pPr>
              <w:pStyle w:val="ASSADACCESStablecentre"/>
            </w:pPr>
            <w:r>
              <w:rPr>
                <w:bCs w:val="0"/>
                <w:color w:val="000000"/>
              </w:rPr>
              <w:t>6</w:t>
            </w:r>
            <w:r w:rsidRPr="002E5727">
              <w:rPr>
                <w:bCs w:val="0"/>
                <w:color w:val="000000"/>
              </w:rPr>
              <w:t>*</w:t>
            </w:r>
          </w:p>
        </w:tc>
        <w:tc>
          <w:tcPr>
            <w:tcW w:w="879" w:type="dxa"/>
            <w:shd w:val="clear" w:color="auto" w:fill="auto"/>
          </w:tcPr>
          <w:p w14:paraId="6E04DB8B" w14:textId="1E82D9E0" w:rsidR="006C51D3" w:rsidRPr="00DE25AD" w:rsidRDefault="006C51D3" w:rsidP="006C51D3">
            <w:pPr>
              <w:pStyle w:val="ASSADACCESStablecentre"/>
            </w:pPr>
            <w:r w:rsidRPr="002E5727">
              <w:rPr>
                <w:bCs w:val="0"/>
                <w:color w:val="000000"/>
              </w:rPr>
              <w:t>4*</w:t>
            </w:r>
            <w:r>
              <w:rPr>
                <w:bCs w:val="0"/>
                <w:color w:val="000000"/>
              </w:rPr>
              <w:t>^</w:t>
            </w:r>
          </w:p>
        </w:tc>
        <w:tc>
          <w:tcPr>
            <w:tcW w:w="879" w:type="dxa"/>
            <w:shd w:val="clear" w:color="auto" w:fill="auto"/>
          </w:tcPr>
          <w:p w14:paraId="4B674CFF" w14:textId="1CED2D69" w:rsidR="006C51D3" w:rsidRPr="00DE25AD" w:rsidRDefault="006C51D3" w:rsidP="006C51D3">
            <w:pPr>
              <w:pStyle w:val="ASSADACCESStablecentre"/>
            </w:pPr>
            <w:r w:rsidRPr="002E5727">
              <w:rPr>
                <w:bCs w:val="0"/>
                <w:color w:val="000000"/>
              </w:rPr>
              <w:t>3^</w:t>
            </w:r>
          </w:p>
        </w:tc>
        <w:tc>
          <w:tcPr>
            <w:tcW w:w="879" w:type="dxa"/>
            <w:shd w:val="clear" w:color="auto" w:fill="auto"/>
          </w:tcPr>
          <w:p w14:paraId="5501A2E2" w14:textId="51F3D01D" w:rsidR="006C51D3" w:rsidRPr="00DE25AD" w:rsidRDefault="006C51D3" w:rsidP="006C51D3">
            <w:pPr>
              <w:pStyle w:val="ASSADACCESStablecentre"/>
            </w:pPr>
            <w:r w:rsidRPr="002E5727">
              <w:rPr>
                <w:bCs w:val="0"/>
                <w:color w:val="000000"/>
              </w:rPr>
              <w:t>2^</w:t>
            </w:r>
          </w:p>
        </w:tc>
        <w:tc>
          <w:tcPr>
            <w:tcW w:w="879" w:type="dxa"/>
            <w:shd w:val="clear" w:color="auto" w:fill="auto"/>
          </w:tcPr>
          <w:p w14:paraId="3AD2A68C" w14:textId="1183C081" w:rsidR="006C51D3" w:rsidRPr="00DE25AD" w:rsidRDefault="006C51D3" w:rsidP="006C51D3">
            <w:pPr>
              <w:pStyle w:val="ASSADACCESStablecentre"/>
            </w:pPr>
            <w:r w:rsidRPr="002E5727">
              <w:rPr>
                <w:bCs w:val="0"/>
                <w:color w:val="000000"/>
              </w:rPr>
              <w:t>2^</w:t>
            </w:r>
          </w:p>
        </w:tc>
        <w:tc>
          <w:tcPr>
            <w:tcW w:w="879" w:type="dxa"/>
            <w:shd w:val="clear" w:color="auto" w:fill="auto"/>
          </w:tcPr>
          <w:p w14:paraId="3E4C18A9" w14:textId="067CD1C9" w:rsidR="006C51D3" w:rsidRPr="00DE25AD" w:rsidRDefault="006C51D3" w:rsidP="006C51D3">
            <w:pPr>
              <w:pStyle w:val="ASSADACCESStablecentre"/>
            </w:pPr>
            <w:r w:rsidRPr="002E5727">
              <w:rPr>
                <w:bCs w:val="0"/>
                <w:color w:val="000000"/>
              </w:rPr>
              <w:t>2^</w:t>
            </w:r>
          </w:p>
        </w:tc>
        <w:tc>
          <w:tcPr>
            <w:tcW w:w="879" w:type="dxa"/>
            <w:shd w:val="clear" w:color="auto" w:fill="auto"/>
          </w:tcPr>
          <w:p w14:paraId="085AD008" w14:textId="7D88B2FB" w:rsidR="006C51D3" w:rsidRPr="00DE25AD" w:rsidRDefault="006C51D3" w:rsidP="006C51D3">
            <w:pPr>
              <w:pStyle w:val="ASSADACCESStablecentre"/>
            </w:pPr>
            <w:r w:rsidRPr="002E5727">
              <w:rPr>
                <w:bCs w:val="0"/>
                <w:color w:val="000000"/>
              </w:rPr>
              <w:t>2^</w:t>
            </w:r>
          </w:p>
        </w:tc>
        <w:tc>
          <w:tcPr>
            <w:tcW w:w="879" w:type="dxa"/>
            <w:shd w:val="clear" w:color="auto" w:fill="auto"/>
          </w:tcPr>
          <w:p w14:paraId="1EEB8512" w14:textId="00473269" w:rsidR="006C51D3" w:rsidRPr="00DE25AD" w:rsidRDefault="006C51D3" w:rsidP="006C51D3">
            <w:pPr>
              <w:pStyle w:val="ASSADACCESStablecentre"/>
            </w:pPr>
            <w:r w:rsidRPr="002E5727">
              <w:rPr>
                <w:bCs w:val="0"/>
                <w:color w:val="000000"/>
              </w:rPr>
              <w:t>2^</w:t>
            </w:r>
          </w:p>
        </w:tc>
      </w:tr>
      <w:tr w:rsidR="006C51D3" w:rsidRPr="00DE25AD" w14:paraId="280A4911" w14:textId="77777777" w:rsidTr="005F678B">
        <w:tc>
          <w:tcPr>
            <w:tcW w:w="1517" w:type="dxa"/>
            <w:tcMar>
              <w:left w:w="57" w:type="dxa"/>
            </w:tcMar>
          </w:tcPr>
          <w:p w14:paraId="1E21EC64" w14:textId="77777777" w:rsidR="006C51D3" w:rsidRPr="00DE25AD" w:rsidRDefault="006C51D3" w:rsidP="006C51D3">
            <w:pPr>
              <w:pStyle w:val="ACCESSTableHeaderRow"/>
            </w:pPr>
          </w:p>
        </w:tc>
        <w:tc>
          <w:tcPr>
            <w:tcW w:w="1068" w:type="dxa"/>
            <w:shd w:val="clear" w:color="auto" w:fill="auto"/>
            <w:tcMar>
              <w:left w:w="57" w:type="dxa"/>
            </w:tcMar>
            <w:vAlign w:val="bottom"/>
          </w:tcPr>
          <w:p w14:paraId="16768342" w14:textId="77777777" w:rsidR="006C51D3" w:rsidRPr="00DE25AD" w:rsidRDefault="006C51D3" w:rsidP="006C51D3">
            <w:pPr>
              <w:pStyle w:val="ASSAD2017ACCESSBody1"/>
            </w:pPr>
            <w:r w:rsidRPr="00DE25AD">
              <w:t>Total</w:t>
            </w:r>
          </w:p>
        </w:tc>
        <w:tc>
          <w:tcPr>
            <w:tcW w:w="878" w:type="dxa"/>
            <w:shd w:val="clear" w:color="auto" w:fill="auto"/>
          </w:tcPr>
          <w:p w14:paraId="5B964707" w14:textId="466596EC" w:rsidR="006C51D3" w:rsidRPr="00DE25AD" w:rsidRDefault="006C51D3" w:rsidP="006C51D3">
            <w:pPr>
              <w:pStyle w:val="ASSADACCESStablecentre"/>
            </w:pPr>
            <w:r w:rsidRPr="002E5727">
              <w:rPr>
                <w:bCs w:val="0"/>
                <w:color w:val="000000"/>
              </w:rPr>
              <w:t>6*</w:t>
            </w:r>
          </w:p>
        </w:tc>
        <w:tc>
          <w:tcPr>
            <w:tcW w:w="879" w:type="dxa"/>
            <w:shd w:val="clear" w:color="auto" w:fill="auto"/>
          </w:tcPr>
          <w:p w14:paraId="2F2FBF65" w14:textId="425BBF17" w:rsidR="006C51D3" w:rsidRPr="00DE25AD" w:rsidRDefault="006C51D3" w:rsidP="006C51D3">
            <w:pPr>
              <w:pStyle w:val="ASSADACCESStablecentre"/>
            </w:pPr>
            <w:r w:rsidRPr="002E5727">
              <w:rPr>
                <w:bCs w:val="0"/>
                <w:color w:val="000000"/>
              </w:rPr>
              <w:t>5*^</w:t>
            </w:r>
          </w:p>
        </w:tc>
        <w:tc>
          <w:tcPr>
            <w:tcW w:w="879" w:type="dxa"/>
            <w:shd w:val="clear" w:color="auto" w:fill="auto"/>
          </w:tcPr>
          <w:p w14:paraId="55CE5617" w14:textId="54BEB809" w:rsidR="006C51D3" w:rsidRPr="00DE25AD" w:rsidRDefault="006C51D3" w:rsidP="006C51D3">
            <w:pPr>
              <w:pStyle w:val="ASSADACCESStablecentre"/>
            </w:pPr>
            <w:r w:rsidRPr="002E5727">
              <w:rPr>
                <w:bCs w:val="0"/>
                <w:color w:val="000000"/>
              </w:rPr>
              <w:t>3^</w:t>
            </w:r>
          </w:p>
        </w:tc>
        <w:tc>
          <w:tcPr>
            <w:tcW w:w="879" w:type="dxa"/>
            <w:shd w:val="clear" w:color="auto" w:fill="auto"/>
          </w:tcPr>
          <w:p w14:paraId="67C9865F" w14:textId="33A71394" w:rsidR="006C51D3" w:rsidRPr="00DE25AD" w:rsidRDefault="006C51D3" w:rsidP="006C51D3">
            <w:pPr>
              <w:pStyle w:val="ASSADACCESStablecentre"/>
            </w:pPr>
            <w:r w:rsidRPr="002E5727">
              <w:rPr>
                <w:bCs w:val="0"/>
                <w:color w:val="000000"/>
              </w:rPr>
              <w:t>3^</w:t>
            </w:r>
          </w:p>
        </w:tc>
        <w:tc>
          <w:tcPr>
            <w:tcW w:w="879" w:type="dxa"/>
            <w:shd w:val="clear" w:color="auto" w:fill="auto"/>
          </w:tcPr>
          <w:p w14:paraId="3934D86F" w14:textId="2BA6D43B" w:rsidR="006C51D3" w:rsidRPr="00DE25AD" w:rsidRDefault="006C51D3" w:rsidP="006C51D3">
            <w:pPr>
              <w:pStyle w:val="ASSADACCESStablecentre"/>
            </w:pPr>
            <w:r w:rsidRPr="002E5727">
              <w:rPr>
                <w:bCs w:val="0"/>
                <w:color w:val="000000"/>
              </w:rPr>
              <w:t>2^</w:t>
            </w:r>
          </w:p>
        </w:tc>
        <w:tc>
          <w:tcPr>
            <w:tcW w:w="879" w:type="dxa"/>
            <w:shd w:val="clear" w:color="auto" w:fill="auto"/>
          </w:tcPr>
          <w:p w14:paraId="3B5FDFB5" w14:textId="3A28AF81" w:rsidR="006C51D3" w:rsidRPr="00DE25AD" w:rsidRDefault="006C51D3" w:rsidP="006C51D3">
            <w:pPr>
              <w:pStyle w:val="ASSADACCESStablecentre"/>
            </w:pPr>
            <w:r w:rsidRPr="002E5727">
              <w:rPr>
                <w:bCs w:val="0"/>
                <w:color w:val="000000"/>
              </w:rPr>
              <w:t>2^</w:t>
            </w:r>
          </w:p>
        </w:tc>
        <w:tc>
          <w:tcPr>
            <w:tcW w:w="879" w:type="dxa"/>
            <w:shd w:val="clear" w:color="auto" w:fill="auto"/>
          </w:tcPr>
          <w:p w14:paraId="6816043C" w14:textId="45E1BA0F" w:rsidR="006C51D3" w:rsidRPr="00DE25AD" w:rsidRDefault="006C51D3" w:rsidP="006C51D3">
            <w:pPr>
              <w:pStyle w:val="ASSADACCESStablecentre"/>
            </w:pPr>
            <w:r w:rsidRPr="002E5727">
              <w:rPr>
                <w:bCs w:val="0"/>
                <w:color w:val="000000"/>
              </w:rPr>
              <w:t>2^</w:t>
            </w:r>
          </w:p>
        </w:tc>
        <w:tc>
          <w:tcPr>
            <w:tcW w:w="879" w:type="dxa"/>
            <w:shd w:val="clear" w:color="auto" w:fill="auto"/>
          </w:tcPr>
          <w:p w14:paraId="2FAD57B3" w14:textId="7FABB540" w:rsidR="006C51D3" w:rsidRPr="00DE25AD" w:rsidRDefault="006C51D3" w:rsidP="006C51D3">
            <w:pPr>
              <w:pStyle w:val="ASSADACCESStablecentre"/>
            </w:pPr>
            <w:r w:rsidRPr="002E5727">
              <w:rPr>
                <w:bCs w:val="0"/>
                <w:color w:val="000000"/>
              </w:rPr>
              <w:t>3^</w:t>
            </w:r>
          </w:p>
        </w:tc>
      </w:tr>
      <w:tr w:rsidR="006C51D3" w:rsidRPr="00DE25AD" w14:paraId="1D18A5AB" w14:textId="77777777" w:rsidTr="005F678B">
        <w:trPr>
          <w:trHeight w:val="247"/>
        </w:trPr>
        <w:tc>
          <w:tcPr>
            <w:tcW w:w="1517" w:type="dxa"/>
            <w:tcMar>
              <w:left w:w="57" w:type="dxa"/>
            </w:tcMar>
          </w:tcPr>
          <w:p w14:paraId="2DA1DF41" w14:textId="77777777" w:rsidR="006C51D3" w:rsidRPr="00DE25AD" w:rsidRDefault="006C51D3" w:rsidP="006C51D3">
            <w:pPr>
              <w:pStyle w:val="ACCESSTableHeaderRow"/>
            </w:pPr>
            <w:r w:rsidRPr="00DE25AD">
              <w:t xml:space="preserve">Past </w:t>
            </w:r>
            <w:r>
              <w:t>month</w:t>
            </w:r>
          </w:p>
        </w:tc>
        <w:tc>
          <w:tcPr>
            <w:tcW w:w="1068" w:type="dxa"/>
            <w:shd w:val="clear" w:color="auto" w:fill="auto"/>
            <w:tcMar>
              <w:left w:w="57" w:type="dxa"/>
            </w:tcMar>
            <w:vAlign w:val="bottom"/>
          </w:tcPr>
          <w:p w14:paraId="35FE7E6E" w14:textId="77777777" w:rsidR="006C51D3" w:rsidRPr="00DE25AD" w:rsidRDefault="006C51D3" w:rsidP="006C51D3">
            <w:pPr>
              <w:pStyle w:val="ASSAD2017ACCESSBody1"/>
            </w:pPr>
            <w:r w:rsidRPr="00DE25AD">
              <w:t>Male</w:t>
            </w:r>
          </w:p>
        </w:tc>
        <w:tc>
          <w:tcPr>
            <w:tcW w:w="878" w:type="dxa"/>
            <w:shd w:val="clear" w:color="auto" w:fill="auto"/>
          </w:tcPr>
          <w:p w14:paraId="7F45162D" w14:textId="7955565A" w:rsidR="006C51D3" w:rsidRPr="00DE25AD" w:rsidRDefault="006C51D3" w:rsidP="006C51D3">
            <w:pPr>
              <w:pStyle w:val="ASSADACCESStablecentre"/>
            </w:pPr>
            <w:r w:rsidRPr="002E5727">
              <w:rPr>
                <w:bCs w:val="0"/>
                <w:color w:val="000000"/>
              </w:rPr>
              <w:t>4*</w:t>
            </w:r>
          </w:p>
        </w:tc>
        <w:tc>
          <w:tcPr>
            <w:tcW w:w="879" w:type="dxa"/>
            <w:shd w:val="clear" w:color="auto" w:fill="auto"/>
          </w:tcPr>
          <w:p w14:paraId="1870C2D9" w14:textId="59DEAF82" w:rsidR="006C51D3" w:rsidRPr="00DE25AD" w:rsidRDefault="006C51D3" w:rsidP="006C51D3">
            <w:pPr>
              <w:pStyle w:val="ASSADACCESStablecentre"/>
            </w:pPr>
            <w:r w:rsidRPr="002E5727">
              <w:rPr>
                <w:bCs w:val="0"/>
                <w:color w:val="000000"/>
              </w:rPr>
              <w:t>2^</w:t>
            </w:r>
          </w:p>
        </w:tc>
        <w:tc>
          <w:tcPr>
            <w:tcW w:w="879" w:type="dxa"/>
            <w:shd w:val="clear" w:color="auto" w:fill="auto"/>
          </w:tcPr>
          <w:p w14:paraId="38EFB41B" w14:textId="4EFFEEF5" w:rsidR="006C51D3" w:rsidRPr="00DE25AD" w:rsidRDefault="006C51D3" w:rsidP="006C51D3">
            <w:pPr>
              <w:pStyle w:val="ASSADACCESStablecentre"/>
            </w:pPr>
            <w:r w:rsidRPr="002E5727">
              <w:rPr>
                <w:bCs w:val="0"/>
                <w:color w:val="000000"/>
              </w:rPr>
              <w:t>2^</w:t>
            </w:r>
          </w:p>
        </w:tc>
        <w:tc>
          <w:tcPr>
            <w:tcW w:w="879" w:type="dxa"/>
            <w:shd w:val="clear" w:color="auto" w:fill="auto"/>
          </w:tcPr>
          <w:p w14:paraId="5EDD4F44" w14:textId="4B7F19F3" w:rsidR="006C51D3" w:rsidRPr="00DE25AD" w:rsidRDefault="006C51D3" w:rsidP="006C51D3">
            <w:pPr>
              <w:pStyle w:val="ASSADACCESStablecentre"/>
            </w:pPr>
            <w:r w:rsidRPr="002E5727">
              <w:rPr>
                <w:bCs w:val="0"/>
                <w:color w:val="000000"/>
              </w:rPr>
              <w:t>2^</w:t>
            </w:r>
          </w:p>
        </w:tc>
        <w:tc>
          <w:tcPr>
            <w:tcW w:w="879" w:type="dxa"/>
            <w:shd w:val="clear" w:color="auto" w:fill="auto"/>
          </w:tcPr>
          <w:p w14:paraId="6B36CD46" w14:textId="66135D29" w:rsidR="006C51D3" w:rsidRPr="00DE25AD" w:rsidRDefault="006C51D3" w:rsidP="006C51D3">
            <w:pPr>
              <w:pStyle w:val="ASSADACCESStablecentre"/>
            </w:pPr>
            <w:r w:rsidRPr="002E5727">
              <w:rPr>
                <w:bCs w:val="0"/>
                <w:color w:val="000000"/>
              </w:rPr>
              <w:t>2^</w:t>
            </w:r>
          </w:p>
        </w:tc>
        <w:tc>
          <w:tcPr>
            <w:tcW w:w="879" w:type="dxa"/>
            <w:shd w:val="clear" w:color="auto" w:fill="auto"/>
          </w:tcPr>
          <w:p w14:paraId="306DF403" w14:textId="0FE9DE97" w:rsidR="006C51D3" w:rsidRPr="00DE25AD" w:rsidRDefault="006C51D3" w:rsidP="006C51D3">
            <w:pPr>
              <w:pStyle w:val="ASSADACCESStablecentre"/>
            </w:pPr>
            <w:r w:rsidRPr="002E5727">
              <w:rPr>
                <w:bCs w:val="0"/>
                <w:color w:val="000000"/>
              </w:rPr>
              <w:t>1^</w:t>
            </w:r>
          </w:p>
        </w:tc>
        <w:tc>
          <w:tcPr>
            <w:tcW w:w="879" w:type="dxa"/>
            <w:shd w:val="clear" w:color="auto" w:fill="auto"/>
          </w:tcPr>
          <w:p w14:paraId="0536DB0E" w14:textId="1A0D0187" w:rsidR="006C51D3" w:rsidRPr="00DE25AD" w:rsidRDefault="006C51D3" w:rsidP="006C51D3">
            <w:pPr>
              <w:pStyle w:val="ASSADACCESStablecentre"/>
            </w:pPr>
            <w:r w:rsidRPr="002E5727">
              <w:rPr>
                <w:bCs w:val="0"/>
                <w:color w:val="000000"/>
              </w:rPr>
              <w:t>1^</w:t>
            </w:r>
          </w:p>
        </w:tc>
        <w:tc>
          <w:tcPr>
            <w:tcW w:w="879" w:type="dxa"/>
            <w:shd w:val="clear" w:color="auto" w:fill="auto"/>
          </w:tcPr>
          <w:p w14:paraId="247E51E6" w14:textId="00005424" w:rsidR="006C51D3" w:rsidRPr="00DE25AD" w:rsidRDefault="006C51D3" w:rsidP="006C51D3">
            <w:pPr>
              <w:pStyle w:val="ASSADACCESStablecentre"/>
            </w:pPr>
            <w:r w:rsidRPr="002E5727">
              <w:rPr>
                <w:bCs w:val="0"/>
                <w:color w:val="000000"/>
              </w:rPr>
              <w:t>2^</w:t>
            </w:r>
          </w:p>
        </w:tc>
      </w:tr>
      <w:tr w:rsidR="006C51D3" w:rsidRPr="00DE25AD" w14:paraId="572C9E24" w14:textId="77777777" w:rsidTr="005F678B">
        <w:trPr>
          <w:trHeight w:val="247"/>
        </w:trPr>
        <w:tc>
          <w:tcPr>
            <w:tcW w:w="1517" w:type="dxa"/>
            <w:tcMar>
              <w:left w:w="57" w:type="dxa"/>
            </w:tcMar>
          </w:tcPr>
          <w:p w14:paraId="5598650A" w14:textId="77777777" w:rsidR="006C51D3" w:rsidRPr="00DE25AD" w:rsidRDefault="006C51D3" w:rsidP="006C51D3">
            <w:pPr>
              <w:pStyle w:val="ACCESSTableHeaderRow"/>
            </w:pPr>
          </w:p>
        </w:tc>
        <w:tc>
          <w:tcPr>
            <w:tcW w:w="1068" w:type="dxa"/>
            <w:shd w:val="clear" w:color="auto" w:fill="auto"/>
            <w:tcMar>
              <w:left w:w="57" w:type="dxa"/>
            </w:tcMar>
            <w:vAlign w:val="bottom"/>
          </w:tcPr>
          <w:p w14:paraId="52691B41" w14:textId="77777777" w:rsidR="006C51D3" w:rsidRPr="00DE25AD" w:rsidRDefault="006C51D3" w:rsidP="006C51D3">
            <w:pPr>
              <w:pStyle w:val="ASSAD2017ACCESSBody1"/>
            </w:pPr>
            <w:r w:rsidRPr="00DE25AD">
              <w:t>Female</w:t>
            </w:r>
          </w:p>
        </w:tc>
        <w:tc>
          <w:tcPr>
            <w:tcW w:w="878" w:type="dxa"/>
            <w:shd w:val="clear" w:color="auto" w:fill="auto"/>
          </w:tcPr>
          <w:p w14:paraId="254778A9" w14:textId="27A8901E" w:rsidR="006C51D3" w:rsidRPr="00DE25AD" w:rsidRDefault="006C51D3" w:rsidP="006C51D3">
            <w:pPr>
              <w:pStyle w:val="ASSADACCESStablecentre"/>
            </w:pPr>
            <w:r w:rsidRPr="002E5727">
              <w:rPr>
                <w:bCs w:val="0"/>
                <w:color w:val="000000"/>
              </w:rPr>
              <w:t>2*</w:t>
            </w:r>
          </w:p>
        </w:tc>
        <w:tc>
          <w:tcPr>
            <w:tcW w:w="879" w:type="dxa"/>
            <w:shd w:val="clear" w:color="auto" w:fill="auto"/>
          </w:tcPr>
          <w:p w14:paraId="41ECC263" w14:textId="08AD9ABB" w:rsidR="006C51D3" w:rsidRPr="00DE25AD" w:rsidRDefault="006C51D3" w:rsidP="006C51D3">
            <w:pPr>
              <w:pStyle w:val="ASSADACCESStablecentre"/>
            </w:pPr>
            <w:r>
              <w:rPr>
                <w:bCs w:val="0"/>
                <w:color w:val="000000"/>
              </w:rPr>
              <w:t>1*</w:t>
            </w:r>
            <w:r w:rsidRPr="002E5727">
              <w:rPr>
                <w:bCs w:val="0"/>
                <w:color w:val="000000"/>
              </w:rPr>
              <w:t>^</w:t>
            </w:r>
          </w:p>
        </w:tc>
        <w:tc>
          <w:tcPr>
            <w:tcW w:w="879" w:type="dxa"/>
            <w:shd w:val="clear" w:color="auto" w:fill="auto"/>
          </w:tcPr>
          <w:p w14:paraId="32EA2562" w14:textId="0715B24E" w:rsidR="006C51D3" w:rsidRPr="00DE25AD" w:rsidRDefault="006C51D3" w:rsidP="006C51D3">
            <w:pPr>
              <w:pStyle w:val="ASSADACCESStablecentre"/>
            </w:pPr>
            <w:r w:rsidRPr="002E5727">
              <w:rPr>
                <w:bCs w:val="0"/>
                <w:color w:val="000000"/>
              </w:rPr>
              <w:t>1*^</w:t>
            </w:r>
          </w:p>
        </w:tc>
        <w:tc>
          <w:tcPr>
            <w:tcW w:w="879" w:type="dxa"/>
            <w:shd w:val="clear" w:color="auto" w:fill="auto"/>
          </w:tcPr>
          <w:p w14:paraId="5BA8FD23" w14:textId="666620EB" w:rsidR="006C51D3" w:rsidRPr="00DE25AD" w:rsidRDefault="006C51D3" w:rsidP="006C51D3">
            <w:pPr>
              <w:pStyle w:val="ASSADACCESStablecentre"/>
            </w:pPr>
            <w:r w:rsidRPr="002E5727">
              <w:rPr>
                <w:bCs w:val="0"/>
                <w:color w:val="000000"/>
              </w:rPr>
              <w:t>1^</w:t>
            </w:r>
          </w:p>
        </w:tc>
        <w:tc>
          <w:tcPr>
            <w:tcW w:w="879" w:type="dxa"/>
            <w:shd w:val="clear" w:color="auto" w:fill="auto"/>
          </w:tcPr>
          <w:p w14:paraId="7D040E10" w14:textId="7709B541" w:rsidR="006C51D3" w:rsidRPr="00DE25AD" w:rsidRDefault="006C51D3" w:rsidP="006C51D3">
            <w:pPr>
              <w:pStyle w:val="ASSADACCESStablecentre"/>
            </w:pPr>
            <w:r w:rsidRPr="002E5727">
              <w:rPr>
                <w:bCs w:val="0"/>
                <w:color w:val="000000"/>
              </w:rPr>
              <w:t>1^</w:t>
            </w:r>
          </w:p>
        </w:tc>
        <w:tc>
          <w:tcPr>
            <w:tcW w:w="879" w:type="dxa"/>
            <w:shd w:val="clear" w:color="auto" w:fill="auto"/>
          </w:tcPr>
          <w:p w14:paraId="1F9C80AA" w14:textId="4A7B6F4E" w:rsidR="006C51D3" w:rsidRPr="00DE25AD" w:rsidRDefault="006C51D3" w:rsidP="006C51D3">
            <w:pPr>
              <w:pStyle w:val="ASSADACCESStablecentre"/>
            </w:pPr>
            <w:r w:rsidRPr="002E5727">
              <w:rPr>
                <w:bCs w:val="0"/>
                <w:color w:val="000000"/>
              </w:rPr>
              <w:t>1^</w:t>
            </w:r>
          </w:p>
        </w:tc>
        <w:tc>
          <w:tcPr>
            <w:tcW w:w="879" w:type="dxa"/>
            <w:shd w:val="clear" w:color="auto" w:fill="auto"/>
          </w:tcPr>
          <w:p w14:paraId="5200AF2E" w14:textId="7C69E45D" w:rsidR="006C51D3" w:rsidRPr="00DE25AD" w:rsidRDefault="006C51D3" w:rsidP="006C51D3">
            <w:pPr>
              <w:pStyle w:val="ASSADACCESStablecentre"/>
            </w:pPr>
            <w:r w:rsidRPr="002E5727">
              <w:rPr>
                <w:bCs w:val="0"/>
                <w:color w:val="000000"/>
              </w:rPr>
              <w:t>1^</w:t>
            </w:r>
          </w:p>
        </w:tc>
        <w:tc>
          <w:tcPr>
            <w:tcW w:w="879" w:type="dxa"/>
            <w:shd w:val="clear" w:color="auto" w:fill="auto"/>
          </w:tcPr>
          <w:p w14:paraId="7F4D651A" w14:textId="056ACC9C" w:rsidR="006C51D3" w:rsidRPr="00DE25AD" w:rsidRDefault="006C51D3" w:rsidP="006C51D3">
            <w:pPr>
              <w:pStyle w:val="ASSADACCESStablecentre"/>
            </w:pPr>
            <w:r w:rsidRPr="002E5727">
              <w:rPr>
                <w:bCs w:val="0"/>
                <w:color w:val="000000"/>
              </w:rPr>
              <w:t>1^</w:t>
            </w:r>
          </w:p>
        </w:tc>
      </w:tr>
      <w:tr w:rsidR="006C51D3" w:rsidRPr="00DE25AD" w14:paraId="6FDCA813" w14:textId="77777777" w:rsidTr="005F678B">
        <w:trPr>
          <w:trHeight w:val="247"/>
        </w:trPr>
        <w:tc>
          <w:tcPr>
            <w:tcW w:w="1517" w:type="dxa"/>
            <w:tcMar>
              <w:left w:w="57" w:type="dxa"/>
            </w:tcMar>
          </w:tcPr>
          <w:p w14:paraId="65BBA31E" w14:textId="77777777" w:rsidR="006C51D3" w:rsidRPr="00DE25AD" w:rsidRDefault="006C51D3" w:rsidP="006C51D3">
            <w:pPr>
              <w:pStyle w:val="ACCESSTableHeaderRow"/>
            </w:pPr>
          </w:p>
        </w:tc>
        <w:tc>
          <w:tcPr>
            <w:tcW w:w="1068" w:type="dxa"/>
            <w:shd w:val="clear" w:color="auto" w:fill="auto"/>
            <w:tcMar>
              <w:left w:w="57" w:type="dxa"/>
            </w:tcMar>
            <w:vAlign w:val="bottom"/>
          </w:tcPr>
          <w:p w14:paraId="6A6DA025" w14:textId="77777777" w:rsidR="006C51D3" w:rsidRPr="00DE25AD" w:rsidRDefault="006C51D3" w:rsidP="006C51D3">
            <w:pPr>
              <w:pStyle w:val="ASSAD2017ACCESSBody1"/>
            </w:pPr>
            <w:r w:rsidRPr="00DE25AD">
              <w:t>Total</w:t>
            </w:r>
          </w:p>
        </w:tc>
        <w:tc>
          <w:tcPr>
            <w:tcW w:w="878" w:type="dxa"/>
            <w:shd w:val="clear" w:color="auto" w:fill="auto"/>
          </w:tcPr>
          <w:p w14:paraId="0AA59B03" w14:textId="6D3823DB" w:rsidR="006C51D3" w:rsidRPr="00DE25AD" w:rsidRDefault="006C51D3" w:rsidP="006C51D3">
            <w:pPr>
              <w:pStyle w:val="ASSADACCESStablecentre"/>
            </w:pPr>
            <w:r>
              <w:rPr>
                <w:bCs w:val="0"/>
                <w:color w:val="000000"/>
              </w:rPr>
              <w:t>3</w:t>
            </w:r>
            <w:r w:rsidRPr="002E5727">
              <w:rPr>
                <w:bCs w:val="0"/>
                <w:color w:val="000000"/>
              </w:rPr>
              <w:t>*</w:t>
            </w:r>
          </w:p>
        </w:tc>
        <w:tc>
          <w:tcPr>
            <w:tcW w:w="879" w:type="dxa"/>
            <w:shd w:val="clear" w:color="auto" w:fill="auto"/>
          </w:tcPr>
          <w:p w14:paraId="0E388754" w14:textId="1DC488B0" w:rsidR="006C51D3" w:rsidRPr="00DE25AD" w:rsidRDefault="006C51D3" w:rsidP="006C51D3">
            <w:pPr>
              <w:pStyle w:val="ASSADACCESStablecentre"/>
            </w:pPr>
            <w:r>
              <w:rPr>
                <w:bCs w:val="0"/>
                <w:color w:val="000000"/>
              </w:rPr>
              <w:t>2</w:t>
            </w:r>
            <w:r w:rsidRPr="002E5727">
              <w:rPr>
                <w:bCs w:val="0"/>
                <w:color w:val="000000"/>
              </w:rPr>
              <w:t>*^</w:t>
            </w:r>
          </w:p>
        </w:tc>
        <w:tc>
          <w:tcPr>
            <w:tcW w:w="879" w:type="dxa"/>
            <w:shd w:val="clear" w:color="auto" w:fill="auto"/>
          </w:tcPr>
          <w:p w14:paraId="29AC4EB3" w14:textId="17BC92CB" w:rsidR="006C51D3" w:rsidRPr="00DE25AD" w:rsidRDefault="006C51D3" w:rsidP="006C51D3">
            <w:pPr>
              <w:pStyle w:val="ASSADACCESStablecentre"/>
            </w:pPr>
            <w:r>
              <w:rPr>
                <w:bCs w:val="0"/>
                <w:color w:val="000000"/>
              </w:rPr>
              <w:t>2</w:t>
            </w:r>
            <w:r w:rsidRPr="002E5727">
              <w:rPr>
                <w:bCs w:val="0"/>
                <w:color w:val="000000"/>
              </w:rPr>
              <w:t>^</w:t>
            </w:r>
          </w:p>
        </w:tc>
        <w:tc>
          <w:tcPr>
            <w:tcW w:w="879" w:type="dxa"/>
            <w:shd w:val="clear" w:color="auto" w:fill="auto"/>
          </w:tcPr>
          <w:p w14:paraId="5253F0CF" w14:textId="38583AD5" w:rsidR="006C51D3" w:rsidRPr="00DE25AD" w:rsidRDefault="006C51D3" w:rsidP="006C51D3">
            <w:pPr>
              <w:pStyle w:val="ASSADACCESStablecentre"/>
            </w:pPr>
            <w:r w:rsidRPr="002E5727">
              <w:rPr>
                <w:bCs w:val="0"/>
                <w:color w:val="000000"/>
              </w:rPr>
              <w:t>1^</w:t>
            </w:r>
          </w:p>
        </w:tc>
        <w:tc>
          <w:tcPr>
            <w:tcW w:w="879" w:type="dxa"/>
            <w:shd w:val="clear" w:color="auto" w:fill="auto"/>
          </w:tcPr>
          <w:p w14:paraId="794A0F7C" w14:textId="2BD5C2FD" w:rsidR="006C51D3" w:rsidRPr="00DE25AD" w:rsidRDefault="006C51D3" w:rsidP="006C51D3">
            <w:pPr>
              <w:pStyle w:val="ASSADACCESStablecentre"/>
            </w:pPr>
            <w:r w:rsidRPr="002E5727">
              <w:rPr>
                <w:bCs w:val="0"/>
                <w:color w:val="000000"/>
              </w:rPr>
              <w:t>1^</w:t>
            </w:r>
          </w:p>
        </w:tc>
        <w:tc>
          <w:tcPr>
            <w:tcW w:w="879" w:type="dxa"/>
            <w:shd w:val="clear" w:color="auto" w:fill="auto"/>
          </w:tcPr>
          <w:p w14:paraId="29410388" w14:textId="42A633EF" w:rsidR="006C51D3" w:rsidRPr="00DE25AD" w:rsidRDefault="006C51D3" w:rsidP="006C51D3">
            <w:pPr>
              <w:pStyle w:val="ASSADACCESStablecentre"/>
            </w:pPr>
            <w:r w:rsidRPr="002E5727">
              <w:rPr>
                <w:bCs w:val="0"/>
                <w:color w:val="000000"/>
              </w:rPr>
              <w:t>1^</w:t>
            </w:r>
          </w:p>
        </w:tc>
        <w:tc>
          <w:tcPr>
            <w:tcW w:w="879" w:type="dxa"/>
            <w:shd w:val="clear" w:color="auto" w:fill="auto"/>
          </w:tcPr>
          <w:p w14:paraId="3E313912" w14:textId="7D23315C" w:rsidR="006C51D3" w:rsidRPr="00DE25AD" w:rsidRDefault="006C51D3" w:rsidP="006C51D3">
            <w:pPr>
              <w:pStyle w:val="ASSADACCESStablecentre"/>
            </w:pPr>
            <w:r w:rsidRPr="002E5727">
              <w:rPr>
                <w:bCs w:val="0"/>
                <w:color w:val="000000"/>
              </w:rPr>
              <w:t>1^</w:t>
            </w:r>
          </w:p>
        </w:tc>
        <w:tc>
          <w:tcPr>
            <w:tcW w:w="879" w:type="dxa"/>
            <w:shd w:val="clear" w:color="auto" w:fill="auto"/>
          </w:tcPr>
          <w:p w14:paraId="01673804" w14:textId="4A2998F2" w:rsidR="006C51D3" w:rsidRPr="00DE25AD" w:rsidRDefault="006C51D3" w:rsidP="006C51D3">
            <w:pPr>
              <w:pStyle w:val="ASSADACCESStablecentre"/>
            </w:pPr>
            <w:r w:rsidRPr="002E5727">
              <w:rPr>
                <w:bCs w:val="0"/>
                <w:color w:val="000000"/>
              </w:rPr>
              <w:t>1^</w:t>
            </w:r>
          </w:p>
        </w:tc>
      </w:tr>
    </w:tbl>
    <w:p w14:paraId="7F28CAB3" w14:textId="57DF7363" w:rsidR="00461EEA" w:rsidRDefault="00461EEA" w:rsidP="00461EEA">
      <w:pPr>
        <w:pStyle w:val="ASSAD2017CWTablenote1"/>
      </w:pPr>
      <w:r w:rsidRPr="002E5727">
        <w:t>* Significantly different than 2017, p&lt;.01; ^ Significantly different than 1996, p&lt;.01</w:t>
      </w:r>
      <w:r>
        <w:t>.</w:t>
      </w:r>
    </w:p>
    <w:p w14:paraId="325A7F7F" w14:textId="54D9FF81" w:rsidR="00461EEA" w:rsidRDefault="00461EEA">
      <w:pPr>
        <w:suppressAutoHyphens w:val="0"/>
        <w:rPr>
          <w:rFonts w:ascii="Arial" w:eastAsia="Arial" w:hAnsi="Arial" w:cs="Arial"/>
          <w:sz w:val="18"/>
          <w:szCs w:val="18"/>
          <w:lang w:val="en-AU"/>
        </w:rPr>
      </w:pPr>
      <w:r>
        <w:br w:type="page"/>
      </w:r>
    </w:p>
    <w:p w14:paraId="1120D526" w14:textId="3FC5D651" w:rsidR="00461EEA" w:rsidRPr="0046446A" w:rsidRDefault="00461EEA" w:rsidP="00461EEA">
      <w:pPr>
        <w:pStyle w:val="ASSAD2017TableHeading"/>
      </w:pPr>
      <w:bookmarkStart w:id="88" w:name="_Toc44060504"/>
      <w:r w:rsidRPr="0046446A">
        <w:lastRenderedPageBreak/>
        <w:t xml:space="preserve">Table </w:t>
      </w:r>
      <w:r>
        <w:t>17</w:t>
      </w:r>
      <w:r w:rsidRPr="0046446A">
        <w:t xml:space="preserve"> </w:t>
      </w:r>
      <w:r>
        <w:t>Prevalence</w:t>
      </w:r>
      <w:r w:rsidRPr="0046446A">
        <w:t xml:space="preserve"> of </w:t>
      </w:r>
      <w:r>
        <w:t>ecstasy use</w:t>
      </w:r>
      <w:r w:rsidRPr="0046446A">
        <w:t xml:space="preserve"> among secondary students aged 12-1</w:t>
      </w:r>
      <w:r>
        <w:t>5, 16-17, &amp; 12-17</w:t>
      </w:r>
      <w:r w:rsidRPr="0046446A">
        <w:t xml:space="preserve"> in Australia, ASSAD 1996-2017</w:t>
      </w:r>
      <w:bookmarkEnd w:id="88"/>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517"/>
        <w:gridCol w:w="1068"/>
        <w:gridCol w:w="878"/>
        <w:gridCol w:w="879"/>
        <w:gridCol w:w="879"/>
        <w:gridCol w:w="879"/>
        <w:gridCol w:w="879"/>
        <w:gridCol w:w="879"/>
        <w:gridCol w:w="879"/>
        <w:gridCol w:w="879"/>
      </w:tblGrid>
      <w:tr w:rsidR="00461EEA" w:rsidRPr="00DE25AD" w14:paraId="133E0B5D" w14:textId="77777777" w:rsidTr="005F678B">
        <w:trPr>
          <w:tblHeader/>
        </w:trPr>
        <w:tc>
          <w:tcPr>
            <w:tcW w:w="1517" w:type="dxa"/>
            <w:tcMar>
              <w:left w:w="57" w:type="dxa"/>
            </w:tcMar>
          </w:tcPr>
          <w:p w14:paraId="339DC5AF" w14:textId="77777777" w:rsidR="00461EEA" w:rsidRPr="00DE25AD" w:rsidRDefault="00461EEA"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068" w:type="dxa"/>
            <w:shd w:val="clear" w:color="auto" w:fill="auto"/>
            <w:tcMar>
              <w:left w:w="57" w:type="dxa"/>
            </w:tcMar>
            <w:vAlign w:val="center"/>
          </w:tcPr>
          <w:p w14:paraId="46B58ADD" w14:textId="77777777" w:rsidR="00461EEA" w:rsidRPr="00DE25AD" w:rsidRDefault="00461EEA" w:rsidP="005F678B">
            <w:pPr>
              <w:pStyle w:val="ACCESSTableHeaderRow"/>
            </w:pPr>
          </w:p>
        </w:tc>
        <w:tc>
          <w:tcPr>
            <w:tcW w:w="878" w:type="dxa"/>
            <w:shd w:val="clear" w:color="auto" w:fill="auto"/>
            <w:vAlign w:val="bottom"/>
          </w:tcPr>
          <w:p w14:paraId="3D9D1448" w14:textId="77777777" w:rsidR="00461EEA" w:rsidRPr="00DE25AD" w:rsidRDefault="00461EEA" w:rsidP="005F678B">
            <w:pPr>
              <w:pStyle w:val="ACCESSTableHeaderRow"/>
              <w:jc w:val="center"/>
            </w:pPr>
            <w:r>
              <w:t>1996</w:t>
            </w:r>
          </w:p>
          <w:p w14:paraId="4E1FD962"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36E36C87" w14:textId="77777777" w:rsidR="00461EEA" w:rsidRPr="00DE25AD" w:rsidRDefault="00461EEA" w:rsidP="005F678B">
            <w:pPr>
              <w:pStyle w:val="ACCESSTableHeaderRow"/>
              <w:jc w:val="center"/>
            </w:pPr>
            <w:r w:rsidRPr="00DE25AD">
              <w:t>1</w:t>
            </w:r>
            <w:r>
              <w:t>999</w:t>
            </w:r>
          </w:p>
          <w:p w14:paraId="4DC74E69"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7217E40A" w14:textId="77777777" w:rsidR="00461EEA" w:rsidRPr="00DE25AD" w:rsidRDefault="00461EEA" w:rsidP="005F678B">
            <w:pPr>
              <w:pStyle w:val="ACCESSTableHeaderRow"/>
              <w:jc w:val="center"/>
            </w:pPr>
            <w:r>
              <w:t>2002</w:t>
            </w:r>
          </w:p>
          <w:p w14:paraId="199441EE"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67B20952" w14:textId="77777777" w:rsidR="00461EEA" w:rsidRPr="00DE25AD" w:rsidRDefault="00461EEA" w:rsidP="005F678B">
            <w:pPr>
              <w:pStyle w:val="ACCESSTableHeaderRow"/>
              <w:jc w:val="center"/>
            </w:pPr>
            <w:r>
              <w:t>200</w:t>
            </w:r>
            <w:r w:rsidRPr="00DE25AD">
              <w:t>5</w:t>
            </w:r>
          </w:p>
          <w:p w14:paraId="341C8208"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44B52E52" w14:textId="77777777" w:rsidR="00461EEA" w:rsidRPr="00DE25AD" w:rsidRDefault="00461EEA" w:rsidP="005F678B">
            <w:pPr>
              <w:pStyle w:val="ACCESSTableHeaderRow"/>
              <w:jc w:val="center"/>
            </w:pPr>
            <w:r>
              <w:t>2008</w:t>
            </w:r>
          </w:p>
          <w:p w14:paraId="75BEC937"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333A437C" w14:textId="77777777" w:rsidR="00461EEA" w:rsidRPr="00DE25AD" w:rsidRDefault="00461EEA" w:rsidP="005F678B">
            <w:pPr>
              <w:pStyle w:val="ACCESSTableHeaderRow"/>
              <w:jc w:val="center"/>
            </w:pPr>
            <w:r>
              <w:t>2011</w:t>
            </w:r>
          </w:p>
          <w:p w14:paraId="5D3BB34D" w14:textId="77777777" w:rsidR="00461EEA" w:rsidRPr="00DE25AD" w:rsidRDefault="00461EEA" w:rsidP="005F678B">
            <w:pPr>
              <w:pStyle w:val="ACCESSTableHeaderRow"/>
              <w:jc w:val="center"/>
            </w:pPr>
            <w:r w:rsidRPr="00DE25AD">
              <w:t>(%)</w:t>
            </w:r>
          </w:p>
        </w:tc>
        <w:tc>
          <w:tcPr>
            <w:tcW w:w="879" w:type="dxa"/>
            <w:shd w:val="clear" w:color="auto" w:fill="auto"/>
            <w:vAlign w:val="bottom"/>
          </w:tcPr>
          <w:p w14:paraId="565A8735" w14:textId="77777777" w:rsidR="00461EEA" w:rsidRDefault="00461EEA" w:rsidP="005F678B">
            <w:pPr>
              <w:pStyle w:val="ACCESSTableHeaderRow"/>
              <w:jc w:val="center"/>
            </w:pPr>
            <w:r>
              <w:t>2014</w:t>
            </w:r>
          </w:p>
          <w:p w14:paraId="6A01EE38" w14:textId="77777777" w:rsidR="00461EEA" w:rsidRPr="00DE25AD" w:rsidRDefault="00461EEA" w:rsidP="005F678B">
            <w:pPr>
              <w:pStyle w:val="ACCESSTableHeaderRow"/>
              <w:jc w:val="center"/>
            </w:pPr>
            <w:r>
              <w:t>(%)</w:t>
            </w:r>
          </w:p>
        </w:tc>
        <w:tc>
          <w:tcPr>
            <w:tcW w:w="879" w:type="dxa"/>
            <w:shd w:val="clear" w:color="auto" w:fill="auto"/>
            <w:vAlign w:val="bottom"/>
          </w:tcPr>
          <w:p w14:paraId="671CBEBF" w14:textId="77777777" w:rsidR="00461EEA" w:rsidRDefault="00461EEA" w:rsidP="005F678B">
            <w:pPr>
              <w:pStyle w:val="ACCESSTableHeaderRow"/>
              <w:jc w:val="center"/>
            </w:pPr>
            <w:r>
              <w:t>2017</w:t>
            </w:r>
          </w:p>
          <w:p w14:paraId="54CE8E83" w14:textId="77777777" w:rsidR="00461EEA" w:rsidRPr="00DE25AD" w:rsidRDefault="00461EEA" w:rsidP="005F678B">
            <w:pPr>
              <w:pStyle w:val="ACCESSTableHeaderRow"/>
              <w:jc w:val="center"/>
            </w:pPr>
            <w:r w:rsidRPr="00DE25AD">
              <w:t>(%)</w:t>
            </w:r>
          </w:p>
        </w:tc>
      </w:tr>
      <w:tr w:rsidR="00461EEA" w:rsidRPr="00DE25AD" w14:paraId="5A6EF5EB" w14:textId="77777777" w:rsidTr="005F678B">
        <w:trPr>
          <w:tblHeader/>
        </w:trPr>
        <w:tc>
          <w:tcPr>
            <w:tcW w:w="1517" w:type="dxa"/>
            <w:tcMar>
              <w:left w:w="57" w:type="dxa"/>
            </w:tcMar>
          </w:tcPr>
          <w:p w14:paraId="4E46A51C" w14:textId="77777777" w:rsidR="00461EEA" w:rsidRPr="00DE25AD" w:rsidRDefault="00461EEA" w:rsidP="005F678B">
            <w:pPr>
              <w:pStyle w:val="ACCESSTableHeaderRow"/>
            </w:pPr>
            <w:r>
              <w:t>Aged 12-15</w:t>
            </w:r>
          </w:p>
        </w:tc>
        <w:tc>
          <w:tcPr>
            <w:tcW w:w="1068" w:type="dxa"/>
            <w:shd w:val="clear" w:color="auto" w:fill="auto"/>
            <w:tcMar>
              <w:left w:w="57" w:type="dxa"/>
            </w:tcMar>
            <w:vAlign w:val="center"/>
          </w:tcPr>
          <w:p w14:paraId="0738F11A" w14:textId="77777777" w:rsidR="00461EEA" w:rsidRPr="00DE25AD" w:rsidRDefault="00461EEA" w:rsidP="005F678B">
            <w:pPr>
              <w:pStyle w:val="ACCESSTableHeaderRow"/>
            </w:pPr>
          </w:p>
        </w:tc>
        <w:tc>
          <w:tcPr>
            <w:tcW w:w="878" w:type="dxa"/>
            <w:shd w:val="clear" w:color="auto" w:fill="auto"/>
            <w:vAlign w:val="bottom"/>
          </w:tcPr>
          <w:p w14:paraId="2E862253" w14:textId="77777777" w:rsidR="00461EEA" w:rsidRPr="00DE25AD" w:rsidRDefault="00461EEA" w:rsidP="005F678B">
            <w:pPr>
              <w:pStyle w:val="ACCESSTableHeaderRow"/>
            </w:pPr>
          </w:p>
        </w:tc>
        <w:tc>
          <w:tcPr>
            <w:tcW w:w="879" w:type="dxa"/>
            <w:shd w:val="clear" w:color="auto" w:fill="auto"/>
            <w:vAlign w:val="bottom"/>
          </w:tcPr>
          <w:p w14:paraId="6ADFA69D" w14:textId="77777777" w:rsidR="00461EEA" w:rsidRPr="00DE25AD" w:rsidRDefault="00461EEA" w:rsidP="005F678B">
            <w:pPr>
              <w:pStyle w:val="ACCESSTableHeaderRow"/>
            </w:pPr>
          </w:p>
        </w:tc>
        <w:tc>
          <w:tcPr>
            <w:tcW w:w="879" w:type="dxa"/>
            <w:shd w:val="clear" w:color="auto" w:fill="auto"/>
            <w:vAlign w:val="bottom"/>
          </w:tcPr>
          <w:p w14:paraId="2107B46C" w14:textId="77777777" w:rsidR="00461EEA" w:rsidRPr="00DE25AD" w:rsidRDefault="00461EEA" w:rsidP="005F678B">
            <w:pPr>
              <w:pStyle w:val="ACCESSTableHeaderRow"/>
            </w:pPr>
          </w:p>
        </w:tc>
        <w:tc>
          <w:tcPr>
            <w:tcW w:w="879" w:type="dxa"/>
            <w:shd w:val="clear" w:color="auto" w:fill="auto"/>
            <w:vAlign w:val="bottom"/>
          </w:tcPr>
          <w:p w14:paraId="3FA14F8D" w14:textId="77777777" w:rsidR="00461EEA" w:rsidRPr="00DE25AD" w:rsidRDefault="00461EEA" w:rsidP="005F678B">
            <w:pPr>
              <w:pStyle w:val="ACCESSTableHeaderRow"/>
            </w:pPr>
          </w:p>
        </w:tc>
        <w:tc>
          <w:tcPr>
            <w:tcW w:w="879" w:type="dxa"/>
            <w:shd w:val="clear" w:color="auto" w:fill="auto"/>
            <w:vAlign w:val="bottom"/>
          </w:tcPr>
          <w:p w14:paraId="2A75B688" w14:textId="77777777" w:rsidR="00461EEA" w:rsidRPr="00DE25AD" w:rsidRDefault="00461EEA" w:rsidP="005F678B">
            <w:pPr>
              <w:pStyle w:val="ACCESSTableHeaderRow"/>
            </w:pPr>
          </w:p>
        </w:tc>
        <w:tc>
          <w:tcPr>
            <w:tcW w:w="879" w:type="dxa"/>
            <w:shd w:val="clear" w:color="auto" w:fill="auto"/>
            <w:vAlign w:val="bottom"/>
          </w:tcPr>
          <w:p w14:paraId="00E83EE0" w14:textId="77777777" w:rsidR="00461EEA" w:rsidRPr="00DE25AD" w:rsidRDefault="00461EEA" w:rsidP="005F678B">
            <w:pPr>
              <w:pStyle w:val="ACCESSTableHeaderRow"/>
            </w:pPr>
          </w:p>
        </w:tc>
        <w:tc>
          <w:tcPr>
            <w:tcW w:w="879" w:type="dxa"/>
            <w:shd w:val="clear" w:color="auto" w:fill="auto"/>
            <w:vAlign w:val="bottom"/>
          </w:tcPr>
          <w:p w14:paraId="68C0C514" w14:textId="77777777" w:rsidR="00461EEA" w:rsidRPr="00DE25AD" w:rsidRDefault="00461EEA" w:rsidP="005F678B">
            <w:pPr>
              <w:pStyle w:val="ACCESSTableHeaderRow"/>
            </w:pPr>
          </w:p>
        </w:tc>
        <w:tc>
          <w:tcPr>
            <w:tcW w:w="879" w:type="dxa"/>
            <w:shd w:val="clear" w:color="auto" w:fill="auto"/>
            <w:vAlign w:val="bottom"/>
          </w:tcPr>
          <w:p w14:paraId="465588D4" w14:textId="77777777" w:rsidR="00461EEA" w:rsidRPr="00DE25AD" w:rsidRDefault="00461EEA" w:rsidP="005F678B">
            <w:pPr>
              <w:pStyle w:val="ACCESSTableHeaderRow"/>
            </w:pPr>
          </w:p>
        </w:tc>
      </w:tr>
      <w:tr w:rsidR="00461EEA" w:rsidRPr="00DE25AD" w14:paraId="01A3FE1A" w14:textId="77777777" w:rsidTr="005F678B">
        <w:tc>
          <w:tcPr>
            <w:tcW w:w="1517" w:type="dxa"/>
            <w:tcMar>
              <w:left w:w="57" w:type="dxa"/>
            </w:tcMar>
          </w:tcPr>
          <w:p w14:paraId="6DDD2E75" w14:textId="77777777" w:rsidR="00461EEA" w:rsidRDefault="00461EEA" w:rsidP="005F678B">
            <w:pPr>
              <w:pStyle w:val="ACCESSTableHeaderRow"/>
            </w:pPr>
            <w:r w:rsidRPr="00DE25AD">
              <w:t>Recency</w:t>
            </w:r>
          </w:p>
        </w:tc>
        <w:tc>
          <w:tcPr>
            <w:tcW w:w="1068" w:type="dxa"/>
            <w:shd w:val="clear" w:color="auto" w:fill="auto"/>
            <w:tcMar>
              <w:left w:w="57" w:type="dxa"/>
            </w:tcMar>
            <w:vAlign w:val="center"/>
          </w:tcPr>
          <w:p w14:paraId="594C2288" w14:textId="77777777" w:rsidR="00461EEA" w:rsidRPr="00DE25AD" w:rsidRDefault="00461EEA" w:rsidP="005F678B">
            <w:pPr>
              <w:pStyle w:val="ASSAD2017ACCESSBody1"/>
            </w:pPr>
            <w:r w:rsidRPr="005C5B03">
              <w:rPr>
                <w:b/>
                <w:bCs w:val="0"/>
              </w:rPr>
              <w:t>Sex</w:t>
            </w:r>
          </w:p>
        </w:tc>
        <w:tc>
          <w:tcPr>
            <w:tcW w:w="878" w:type="dxa"/>
            <w:shd w:val="clear" w:color="auto" w:fill="auto"/>
          </w:tcPr>
          <w:p w14:paraId="58D5A820" w14:textId="77777777" w:rsidR="00461EEA" w:rsidRPr="00DE25AD" w:rsidRDefault="00461EEA" w:rsidP="005F678B">
            <w:pPr>
              <w:pStyle w:val="ASSADACCESStablecentre"/>
            </w:pPr>
          </w:p>
        </w:tc>
        <w:tc>
          <w:tcPr>
            <w:tcW w:w="879" w:type="dxa"/>
            <w:shd w:val="clear" w:color="auto" w:fill="auto"/>
          </w:tcPr>
          <w:p w14:paraId="179FC2F9" w14:textId="77777777" w:rsidR="00461EEA" w:rsidRPr="00DE25AD" w:rsidRDefault="00461EEA" w:rsidP="005F678B">
            <w:pPr>
              <w:pStyle w:val="ASSADACCESStablecentre"/>
            </w:pPr>
          </w:p>
        </w:tc>
        <w:tc>
          <w:tcPr>
            <w:tcW w:w="879" w:type="dxa"/>
            <w:shd w:val="clear" w:color="auto" w:fill="auto"/>
          </w:tcPr>
          <w:p w14:paraId="67077AC9" w14:textId="77777777" w:rsidR="00461EEA" w:rsidRPr="00DE25AD" w:rsidRDefault="00461EEA" w:rsidP="005F678B">
            <w:pPr>
              <w:pStyle w:val="ASSADACCESStablecentre"/>
            </w:pPr>
          </w:p>
        </w:tc>
        <w:tc>
          <w:tcPr>
            <w:tcW w:w="879" w:type="dxa"/>
            <w:shd w:val="clear" w:color="auto" w:fill="auto"/>
          </w:tcPr>
          <w:p w14:paraId="24FE50EE" w14:textId="77777777" w:rsidR="00461EEA" w:rsidRPr="00DE25AD" w:rsidRDefault="00461EEA" w:rsidP="005F678B">
            <w:pPr>
              <w:pStyle w:val="ASSADACCESStablecentre"/>
            </w:pPr>
          </w:p>
        </w:tc>
        <w:tc>
          <w:tcPr>
            <w:tcW w:w="879" w:type="dxa"/>
            <w:shd w:val="clear" w:color="auto" w:fill="auto"/>
          </w:tcPr>
          <w:p w14:paraId="4B73811E" w14:textId="77777777" w:rsidR="00461EEA" w:rsidRPr="00DE25AD" w:rsidRDefault="00461EEA" w:rsidP="005F678B">
            <w:pPr>
              <w:pStyle w:val="ASSADACCESStablecentre"/>
            </w:pPr>
          </w:p>
        </w:tc>
        <w:tc>
          <w:tcPr>
            <w:tcW w:w="879" w:type="dxa"/>
            <w:shd w:val="clear" w:color="auto" w:fill="auto"/>
          </w:tcPr>
          <w:p w14:paraId="292D40C1" w14:textId="77777777" w:rsidR="00461EEA" w:rsidRPr="00DE25AD" w:rsidRDefault="00461EEA" w:rsidP="005F678B">
            <w:pPr>
              <w:pStyle w:val="ASSADACCESStablecentre"/>
            </w:pPr>
          </w:p>
        </w:tc>
        <w:tc>
          <w:tcPr>
            <w:tcW w:w="879" w:type="dxa"/>
            <w:shd w:val="clear" w:color="auto" w:fill="auto"/>
          </w:tcPr>
          <w:p w14:paraId="4819F252" w14:textId="77777777" w:rsidR="00461EEA" w:rsidRPr="00DE25AD" w:rsidRDefault="00461EEA" w:rsidP="005F678B">
            <w:pPr>
              <w:pStyle w:val="ASSADACCESStablecentre"/>
            </w:pPr>
          </w:p>
        </w:tc>
        <w:tc>
          <w:tcPr>
            <w:tcW w:w="879" w:type="dxa"/>
            <w:shd w:val="clear" w:color="auto" w:fill="auto"/>
          </w:tcPr>
          <w:p w14:paraId="26721533" w14:textId="77777777" w:rsidR="00461EEA" w:rsidRPr="00DE25AD" w:rsidRDefault="00461EEA" w:rsidP="005F678B">
            <w:pPr>
              <w:pStyle w:val="ASSADACCESStablecentre"/>
            </w:pPr>
          </w:p>
        </w:tc>
      </w:tr>
      <w:tr w:rsidR="00545FF4" w:rsidRPr="00DE25AD" w14:paraId="5A37A37B" w14:textId="77777777" w:rsidTr="005F678B">
        <w:tc>
          <w:tcPr>
            <w:tcW w:w="1517" w:type="dxa"/>
            <w:tcMar>
              <w:left w:w="57" w:type="dxa"/>
            </w:tcMar>
          </w:tcPr>
          <w:p w14:paraId="0B57E43F" w14:textId="77777777" w:rsidR="00545FF4" w:rsidRPr="00DE25AD" w:rsidRDefault="00545FF4" w:rsidP="00545FF4">
            <w:pPr>
              <w:pStyle w:val="ACCESSTableHeaderRow"/>
            </w:pPr>
            <w:r>
              <w:t>Lifetime</w:t>
            </w:r>
          </w:p>
        </w:tc>
        <w:tc>
          <w:tcPr>
            <w:tcW w:w="1068" w:type="dxa"/>
            <w:shd w:val="clear" w:color="auto" w:fill="auto"/>
            <w:tcMar>
              <w:left w:w="57" w:type="dxa"/>
            </w:tcMar>
            <w:vAlign w:val="bottom"/>
          </w:tcPr>
          <w:p w14:paraId="45DBEC3A" w14:textId="77777777" w:rsidR="00545FF4" w:rsidRPr="00DE25AD" w:rsidRDefault="00545FF4" w:rsidP="00545FF4">
            <w:pPr>
              <w:pStyle w:val="ASSAD2017ACCESSBody1"/>
            </w:pPr>
            <w:r w:rsidRPr="00DE25AD">
              <w:t>Male</w:t>
            </w:r>
          </w:p>
        </w:tc>
        <w:tc>
          <w:tcPr>
            <w:tcW w:w="878" w:type="dxa"/>
            <w:shd w:val="clear" w:color="auto" w:fill="auto"/>
          </w:tcPr>
          <w:p w14:paraId="210239E9" w14:textId="5C8EC32A" w:rsidR="00545FF4" w:rsidRPr="00DE25AD" w:rsidRDefault="00545FF4" w:rsidP="00545FF4">
            <w:pPr>
              <w:pStyle w:val="ASSADACCESStablecentre"/>
            </w:pPr>
            <w:r w:rsidRPr="002E5727">
              <w:rPr>
                <w:bCs w:val="0"/>
                <w:color w:val="000000"/>
              </w:rPr>
              <w:t>4</w:t>
            </w:r>
          </w:p>
        </w:tc>
        <w:tc>
          <w:tcPr>
            <w:tcW w:w="879" w:type="dxa"/>
            <w:shd w:val="clear" w:color="auto" w:fill="auto"/>
          </w:tcPr>
          <w:p w14:paraId="6D7470B7" w14:textId="6BE21AD1" w:rsidR="00545FF4" w:rsidRPr="00DE25AD" w:rsidRDefault="00545FF4" w:rsidP="00545FF4">
            <w:pPr>
              <w:pStyle w:val="ASSADACCESStablecentre"/>
            </w:pPr>
            <w:r w:rsidRPr="002E5727">
              <w:rPr>
                <w:bCs w:val="0"/>
                <w:color w:val="000000"/>
              </w:rPr>
              <w:t>4</w:t>
            </w:r>
          </w:p>
        </w:tc>
        <w:tc>
          <w:tcPr>
            <w:tcW w:w="879" w:type="dxa"/>
            <w:shd w:val="clear" w:color="auto" w:fill="auto"/>
          </w:tcPr>
          <w:p w14:paraId="27150ADA" w14:textId="5C2BA7BB" w:rsidR="00545FF4" w:rsidRPr="00DE25AD" w:rsidRDefault="00545FF4" w:rsidP="00545FF4">
            <w:pPr>
              <w:pStyle w:val="ASSADACCESStablecentre"/>
            </w:pPr>
            <w:r w:rsidRPr="002E5727">
              <w:rPr>
                <w:bCs w:val="0"/>
                <w:color w:val="000000"/>
              </w:rPr>
              <w:t>4</w:t>
            </w:r>
          </w:p>
        </w:tc>
        <w:tc>
          <w:tcPr>
            <w:tcW w:w="879" w:type="dxa"/>
            <w:shd w:val="clear" w:color="auto" w:fill="auto"/>
          </w:tcPr>
          <w:p w14:paraId="6D4E1619" w14:textId="11CE88AE" w:rsidR="00545FF4" w:rsidRPr="00DE25AD" w:rsidRDefault="00545FF4" w:rsidP="00545FF4">
            <w:pPr>
              <w:pStyle w:val="ASSADACCESStablecentre"/>
            </w:pPr>
            <w:r w:rsidRPr="002E5727">
              <w:rPr>
                <w:bCs w:val="0"/>
                <w:color w:val="000000"/>
              </w:rPr>
              <w:t>4</w:t>
            </w:r>
          </w:p>
        </w:tc>
        <w:tc>
          <w:tcPr>
            <w:tcW w:w="879" w:type="dxa"/>
            <w:shd w:val="clear" w:color="auto" w:fill="auto"/>
          </w:tcPr>
          <w:p w14:paraId="67B2B32B" w14:textId="3B5E2339" w:rsidR="00545FF4" w:rsidRPr="00DE25AD" w:rsidRDefault="00545FF4" w:rsidP="00545FF4">
            <w:pPr>
              <w:pStyle w:val="ASSADACCESStablecentre"/>
            </w:pPr>
            <w:r w:rsidRPr="002E5727">
              <w:rPr>
                <w:bCs w:val="0"/>
                <w:color w:val="000000"/>
              </w:rPr>
              <w:t>3</w:t>
            </w:r>
          </w:p>
        </w:tc>
        <w:tc>
          <w:tcPr>
            <w:tcW w:w="879" w:type="dxa"/>
            <w:shd w:val="clear" w:color="auto" w:fill="auto"/>
          </w:tcPr>
          <w:p w14:paraId="4D905CA6" w14:textId="257A1B66" w:rsidR="00545FF4" w:rsidRPr="00DE25AD" w:rsidRDefault="00545FF4" w:rsidP="00545FF4">
            <w:pPr>
              <w:pStyle w:val="ASSADACCESStablecentre"/>
            </w:pPr>
            <w:r w:rsidRPr="002E5727">
              <w:rPr>
                <w:bCs w:val="0"/>
                <w:color w:val="000000"/>
              </w:rPr>
              <w:t>2^</w:t>
            </w:r>
          </w:p>
        </w:tc>
        <w:tc>
          <w:tcPr>
            <w:tcW w:w="879" w:type="dxa"/>
            <w:shd w:val="clear" w:color="auto" w:fill="auto"/>
          </w:tcPr>
          <w:p w14:paraId="363F38F4" w14:textId="5879DBCA" w:rsidR="00545FF4" w:rsidRPr="00DE25AD" w:rsidRDefault="00545FF4" w:rsidP="00545FF4">
            <w:pPr>
              <w:pStyle w:val="ASSADACCESStablecentre"/>
            </w:pPr>
            <w:r w:rsidRPr="002E5727">
              <w:rPr>
                <w:bCs w:val="0"/>
                <w:color w:val="000000"/>
              </w:rPr>
              <w:t>2*^</w:t>
            </w:r>
          </w:p>
        </w:tc>
        <w:tc>
          <w:tcPr>
            <w:tcW w:w="879" w:type="dxa"/>
            <w:shd w:val="clear" w:color="auto" w:fill="auto"/>
          </w:tcPr>
          <w:p w14:paraId="3278AAA7" w14:textId="55F1B603" w:rsidR="00545FF4" w:rsidRPr="00DE25AD" w:rsidRDefault="00545FF4" w:rsidP="00545FF4">
            <w:pPr>
              <w:pStyle w:val="ASSADACCESStablecentre"/>
            </w:pPr>
            <w:r>
              <w:rPr>
                <w:bCs w:val="0"/>
                <w:color w:val="000000"/>
              </w:rPr>
              <w:t>4</w:t>
            </w:r>
          </w:p>
        </w:tc>
      </w:tr>
      <w:tr w:rsidR="00545FF4" w:rsidRPr="00DE25AD" w14:paraId="355D8778" w14:textId="77777777" w:rsidTr="005F678B">
        <w:tc>
          <w:tcPr>
            <w:tcW w:w="1517" w:type="dxa"/>
            <w:tcMar>
              <w:left w:w="57" w:type="dxa"/>
            </w:tcMar>
          </w:tcPr>
          <w:p w14:paraId="23878538" w14:textId="77777777" w:rsidR="00545FF4" w:rsidRPr="00DE25AD" w:rsidRDefault="00545FF4" w:rsidP="00545FF4">
            <w:pPr>
              <w:pStyle w:val="ACCESSTableHeaderRow"/>
            </w:pPr>
          </w:p>
        </w:tc>
        <w:tc>
          <w:tcPr>
            <w:tcW w:w="1068" w:type="dxa"/>
            <w:shd w:val="clear" w:color="auto" w:fill="auto"/>
            <w:tcMar>
              <w:left w:w="57" w:type="dxa"/>
            </w:tcMar>
            <w:vAlign w:val="bottom"/>
          </w:tcPr>
          <w:p w14:paraId="210E7F86" w14:textId="77777777" w:rsidR="00545FF4" w:rsidRPr="00DE25AD" w:rsidRDefault="00545FF4" w:rsidP="00545FF4">
            <w:pPr>
              <w:pStyle w:val="ASSAD2017ACCESSBody1"/>
            </w:pPr>
            <w:r w:rsidRPr="00DE25AD">
              <w:t>Female</w:t>
            </w:r>
          </w:p>
        </w:tc>
        <w:tc>
          <w:tcPr>
            <w:tcW w:w="878" w:type="dxa"/>
            <w:shd w:val="clear" w:color="auto" w:fill="auto"/>
          </w:tcPr>
          <w:p w14:paraId="443F0AC6" w14:textId="34E084EE" w:rsidR="00545FF4" w:rsidRPr="00DE25AD" w:rsidRDefault="00545FF4" w:rsidP="00545FF4">
            <w:pPr>
              <w:pStyle w:val="ASSADACCESStablecentre"/>
            </w:pPr>
            <w:r w:rsidRPr="002E5727">
              <w:rPr>
                <w:bCs w:val="0"/>
                <w:color w:val="000000"/>
              </w:rPr>
              <w:t>2</w:t>
            </w:r>
          </w:p>
        </w:tc>
        <w:tc>
          <w:tcPr>
            <w:tcW w:w="879" w:type="dxa"/>
            <w:shd w:val="clear" w:color="auto" w:fill="auto"/>
          </w:tcPr>
          <w:p w14:paraId="418D38A1" w14:textId="24587142" w:rsidR="00545FF4" w:rsidRPr="00DE25AD" w:rsidRDefault="00545FF4" w:rsidP="00545FF4">
            <w:pPr>
              <w:pStyle w:val="ASSADACCESStablecentre"/>
            </w:pPr>
            <w:r w:rsidRPr="002E5727">
              <w:rPr>
                <w:bCs w:val="0"/>
                <w:color w:val="000000"/>
              </w:rPr>
              <w:t>3</w:t>
            </w:r>
          </w:p>
        </w:tc>
        <w:tc>
          <w:tcPr>
            <w:tcW w:w="879" w:type="dxa"/>
            <w:shd w:val="clear" w:color="auto" w:fill="auto"/>
          </w:tcPr>
          <w:p w14:paraId="61C24523" w14:textId="6FFDBFCC" w:rsidR="00545FF4" w:rsidRPr="00DE25AD" w:rsidRDefault="00545FF4" w:rsidP="00545FF4">
            <w:pPr>
              <w:pStyle w:val="ASSADACCESStablecentre"/>
            </w:pPr>
            <w:r w:rsidRPr="002E5727">
              <w:rPr>
                <w:bCs w:val="0"/>
                <w:color w:val="000000"/>
              </w:rPr>
              <w:t>3^</w:t>
            </w:r>
          </w:p>
        </w:tc>
        <w:tc>
          <w:tcPr>
            <w:tcW w:w="879" w:type="dxa"/>
            <w:shd w:val="clear" w:color="auto" w:fill="auto"/>
          </w:tcPr>
          <w:p w14:paraId="74E348F2" w14:textId="74B3F89B" w:rsidR="00545FF4" w:rsidRPr="00DE25AD" w:rsidRDefault="00545FF4" w:rsidP="00545FF4">
            <w:pPr>
              <w:pStyle w:val="ASSADACCESStablecentre"/>
            </w:pPr>
            <w:r w:rsidRPr="002E5727">
              <w:rPr>
                <w:bCs w:val="0"/>
                <w:color w:val="000000"/>
              </w:rPr>
              <w:t>2</w:t>
            </w:r>
          </w:p>
        </w:tc>
        <w:tc>
          <w:tcPr>
            <w:tcW w:w="879" w:type="dxa"/>
            <w:shd w:val="clear" w:color="auto" w:fill="auto"/>
          </w:tcPr>
          <w:p w14:paraId="4E726812" w14:textId="37554A1F" w:rsidR="00545FF4" w:rsidRPr="00DE25AD" w:rsidRDefault="00545FF4" w:rsidP="00545FF4">
            <w:pPr>
              <w:pStyle w:val="ASSADACCESStablecentre"/>
            </w:pPr>
            <w:r w:rsidRPr="002E5727">
              <w:rPr>
                <w:bCs w:val="0"/>
                <w:color w:val="000000"/>
              </w:rPr>
              <w:t>2</w:t>
            </w:r>
          </w:p>
        </w:tc>
        <w:tc>
          <w:tcPr>
            <w:tcW w:w="879" w:type="dxa"/>
            <w:shd w:val="clear" w:color="auto" w:fill="auto"/>
          </w:tcPr>
          <w:p w14:paraId="160F53A2" w14:textId="5E094BD2" w:rsidR="00545FF4" w:rsidRPr="00DE25AD" w:rsidRDefault="00545FF4" w:rsidP="00545FF4">
            <w:pPr>
              <w:pStyle w:val="ASSADACCESStablecentre"/>
            </w:pPr>
            <w:r w:rsidRPr="002E5727">
              <w:rPr>
                <w:bCs w:val="0"/>
                <w:color w:val="000000"/>
              </w:rPr>
              <w:t>1*^</w:t>
            </w:r>
          </w:p>
        </w:tc>
        <w:tc>
          <w:tcPr>
            <w:tcW w:w="879" w:type="dxa"/>
            <w:shd w:val="clear" w:color="auto" w:fill="auto"/>
          </w:tcPr>
          <w:p w14:paraId="65082034" w14:textId="25AE98D9" w:rsidR="00545FF4" w:rsidRPr="00DE25AD" w:rsidRDefault="00545FF4" w:rsidP="00545FF4">
            <w:pPr>
              <w:pStyle w:val="ASSADACCESStablecentre"/>
            </w:pPr>
            <w:r w:rsidRPr="002E5727">
              <w:rPr>
                <w:bCs w:val="0"/>
                <w:color w:val="000000"/>
              </w:rPr>
              <w:t>1*^</w:t>
            </w:r>
          </w:p>
        </w:tc>
        <w:tc>
          <w:tcPr>
            <w:tcW w:w="879" w:type="dxa"/>
            <w:shd w:val="clear" w:color="auto" w:fill="auto"/>
          </w:tcPr>
          <w:p w14:paraId="03C84722" w14:textId="362A8357" w:rsidR="00545FF4" w:rsidRPr="00DE25AD" w:rsidRDefault="00545FF4" w:rsidP="00545FF4">
            <w:pPr>
              <w:pStyle w:val="ASSADACCESStablecentre"/>
            </w:pPr>
            <w:r w:rsidRPr="002E5727">
              <w:rPr>
                <w:bCs w:val="0"/>
                <w:color w:val="000000"/>
              </w:rPr>
              <w:t>3</w:t>
            </w:r>
          </w:p>
        </w:tc>
      </w:tr>
      <w:tr w:rsidR="00545FF4" w:rsidRPr="00DE25AD" w14:paraId="48C0BDF3" w14:textId="77777777" w:rsidTr="005F678B">
        <w:tc>
          <w:tcPr>
            <w:tcW w:w="1517" w:type="dxa"/>
            <w:tcMar>
              <w:left w:w="57" w:type="dxa"/>
            </w:tcMar>
          </w:tcPr>
          <w:p w14:paraId="6022CF33" w14:textId="77777777" w:rsidR="00545FF4" w:rsidRPr="00DE25AD" w:rsidRDefault="00545FF4" w:rsidP="00545FF4">
            <w:pPr>
              <w:pStyle w:val="ACCESSTableHeaderRow"/>
            </w:pPr>
          </w:p>
        </w:tc>
        <w:tc>
          <w:tcPr>
            <w:tcW w:w="1068" w:type="dxa"/>
            <w:shd w:val="clear" w:color="auto" w:fill="auto"/>
            <w:tcMar>
              <w:left w:w="57" w:type="dxa"/>
            </w:tcMar>
            <w:vAlign w:val="bottom"/>
          </w:tcPr>
          <w:p w14:paraId="3273B1BE" w14:textId="77777777" w:rsidR="00545FF4" w:rsidRPr="00DE25AD" w:rsidRDefault="00545FF4" w:rsidP="00545FF4">
            <w:pPr>
              <w:pStyle w:val="ASSAD2017ACCESSBody1"/>
            </w:pPr>
            <w:r w:rsidRPr="00DE25AD">
              <w:t>Total</w:t>
            </w:r>
          </w:p>
        </w:tc>
        <w:tc>
          <w:tcPr>
            <w:tcW w:w="878" w:type="dxa"/>
            <w:shd w:val="clear" w:color="auto" w:fill="auto"/>
          </w:tcPr>
          <w:p w14:paraId="1B76942D" w14:textId="17FD7786" w:rsidR="00545FF4" w:rsidRPr="00DE25AD" w:rsidRDefault="00545FF4" w:rsidP="00545FF4">
            <w:pPr>
              <w:pStyle w:val="ASSADACCESStablecentre"/>
            </w:pPr>
            <w:r w:rsidRPr="002E5727">
              <w:rPr>
                <w:bCs w:val="0"/>
                <w:color w:val="000000"/>
              </w:rPr>
              <w:t>3</w:t>
            </w:r>
          </w:p>
        </w:tc>
        <w:tc>
          <w:tcPr>
            <w:tcW w:w="879" w:type="dxa"/>
            <w:shd w:val="clear" w:color="auto" w:fill="auto"/>
          </w:tcPr>
          <w:p w14:paraId="2F1F4722" w14:textId="71DF1E20" w:rsidR="00545FF4" w:rsidRPr="00DE25AD" w:rsidRDefault="00545FF4" w:rsidP="00545FF4">
            <w:pPr>
              <w:pStyle w:val="ASSADACCESStablecentre"/>
            </w:pPr>
            <w:r w:rsidRPr="002E5727">
              <w:rPr>
                <w:bCs w:val="0"/>
                <w:color w:val="000000"/>
              </w:rPr>
              <w:t>3</w:t>
            </w:r>
          </w:p>
        </w:tc>
        <w:tc>
          <w:tcPr>
            <w:tcW w:w="879" w:type="dxa"/>
            <w:shd w:val="clear" w:color="auto" w:fill="auto"/>
          </w:tcPr>
          <w:p w14:paraId="5DF8B373" w14:textId="1793B8A6" w:rsidR="00545FF4" w:rsidRPr="00DE25AD" w:rsidRDefault="00545FF4" w:rsidP="00545FF4">
            <w:pPr>
              <w:pStyle w:val="ASSADACCESStablecentre"/>
            </w:pPr>
            <w:r w:rsidRPr="002E5727">
              <w:rPr>
                <w:bCs w:val="0"/>
                <w:color w:val="000000"/>
              </w:rPr>
              <w:t>4^</w:t>
            </w:r>
          </w:p>
        </w:tc>
        <w:tc>
          <w:tcPr>
            <w:tcW w:w="879" w:type="dxa"/>
            <w:shd w:val="clear" w:color="auto" w:fill="auto"/>
          </w:tcPr>
          <w:p w14:paraId="29092349" w14:textId="191F7812" w:rsidR="00545FF4" w:rsidRPr="00DE25AD" w:rsidRDefault="00545FF4" w:rsidP="00545FF4">
            <w:pPr>
              <w:pStyle w:val="ASSADACCESStablecentre"/>
            </w:pPr>
            <w:r w:rsidRPr="002E5727">
              <w:rPr>
                <w:bCs w:val="0"/>
                <w:color w:val="000000"/>
              </w:rPr>
              <w:t>3</w:t>
            </w:r>
          </w:p>
        </w:tc>
        <w:tc>
          <w:tcPr>
            <w:tcW w:w="879" w:type="dxa"/>
            <w:shd w:val="clear" w:color="auto" w:fill="auto"/>
          </w:tcPr>
          <w:p w14:paraId="5E9B7F8F" w14:textId="674E141E" w:rsidR="00545FF4" w:rsidRPr="00DE25AD" w:rsidRDefault="00545FF4" w:rsidP="00545FF4">
            <w:pPr>
              <w:pStyle w:val="ASSADACCESStablecentre"/>
            </w:pPr>
            <w:r w:rsidRPr="002E5727">
              <w:rPr>
                <w:bCs w:val="0"/>
                <w:color w:val="000000"/>
              </w:rPr>
              <w:t>3</w:t>
            </w:r>
          </w:p>
        </w:tc>
        <w:tc>
          <w:tcPr>
            <w:tcW w:w="879" w:type="dxa"/>
            <w:shd w:val="clear" w:color="auto" w:fill="auto"/>
          </w:tcPr>
          <w:p w14:paraId="0E797B33" w14:textId="3966AAF9" w:rsidR="00545FF4" w:rsidRPr="00DE25AD" w:rsidRDefault="00545FF4" w:rsidP="00545FF4">
            <w:pPr>
              <w:pStyle w:val="ASSADACCESStablecentre"/>
            </w:pPr>
            <w:r w:rsidRPr="002E5727">
              <w:rPr>
                <w:bCs w:val="0"/>
                <w:color w:val="000000"/>
              </w:rPr>
              <w:t>2*^</w:t>
            </w:r>
          </w:p>
        </w:tc>
        <w:tc>
          <w:tcPr>
            <w:tcW w:w="879" w:type="dxa"/>
            <w:shd w:val="clear" w:color="auto" w:fill="auto"/>
          </w:tcPr>
          <w:p w14:paraId="65781CBB" w14:textId="32B9F7C3" w:rsidR="00545FF4" w:rsidRPr="00DE25AD" w:rsidRDefault="00545FF4" w:rsidP="00545FF4">
            <w:pPr>
              <w:pStyle w:val="ASSADACCESStablecentre"/>
            </w:pPr>
            <w:r w:rsidRPr="002E5727">
              <w:rPr>
                <w:bCs w:val="0"/>
                <w:color w:val="000000"/>
              </w:rPr>
              <w:t>2*^</w:t>
            </w:r>
          </w:p>
        </w:tc>
        <w:tc>
          <w:tcPr>
            <w:tcW w:w="879" w:type="dxa"/>
            <w:shd w:val="clear" w:color="auto" w:fill="auto"/>
          </w:tcPr>
          <w:p w14:paraId="4BF31D88" w14:textId="2362BD7F" w:rsidR="00545FF4" w:rsidRPr="00DE25AD" w:rsidRDefault="00545FF4" w:rsidP="00545FF4">
            <w:pPr>
              <w:pStyle w:val="ASSADACCESStablecentre"/>
            </w:pPr>
            <w:r>
              <w:rPr>
                <w:bCs w:val="0"/>
                <w:color w:val="000000"/>
              </w:rPr>
              <w:t>3</w:t>
            </w:r>
          </w:p>
        </w:tc>
      </w:tr>
      <w:tr w:rsidR="00545FF4" w:rsidRPr="00DE25AD" w14:paraId="1E3941DE" w14:textId="77777777" w:rsidTr="005F678B">
        <w:tc>
          <w:tcPr>
            <w:tcW w:w="1517" w:type="dxa"/>
            <w:tcMar>
              <w:left w:w="57" w:type="dxa"/>
            </w:tcMar>
          </w:tcPr>
          <w:p w14:paraId="2544016D" w14:textId="77777777" w:rsidR="00545FF4" w:rsidRPr="00DE25AD" w:rsidRDefault="00545FF4" w:rsidP="00545FF4">
            <w:pPr>
              <w:pStyle w:val="ACCESSTableHeaderRow"/>
            </w:pPr>
            <w:r w:rsidRPr="00DE25AD">
              <w:t xml:space="preserve">Past </w:t>
            </w:r>
            <w:r>
              <w:t>year</w:t>
            </w:r>
          </w:p>
        </w:tc>
        <w:tc>
          <w:tcPr>
            <w:tcW w:w="1068" w:type="dxa"/>
            <w:shd w:val="clear" w:color="auto" w:fill="auto"/>
            <w:tcMar>
              <w:left w:w="57" w:type="dxa"/>
            </w:tcMar>
            <w:vAlign w:val="bottom"/>
          </w:tcPr>
          <w:p w14:paraId="3CF76686" w14:textId="77777777" w:rsidR="00545FF4" w:rsidRPr="00DE25AD" w:rsidRDefault="00545FF4" w:rsidP="00545FF4">
            <w:pPr>
              <w:pStyle w:val="ASSAD2017ACCESSBody1"/>
            </w:pPr>
            <w:r w:rsidRPr="00DE25AD">
              <w:t>Male</w:t>
            </w:r>
          </w:p>
        </w:tc>
        <w:tc>
          <w:tcPr>
            <w:tcW w:w="878" w:type="dxa"/>
            <w:shd w:val="clear" w:color="auto" w:fill="auto"/>
          </w:tcPr>
          <w:p w14:paraId="7A24F7CC" w14:textId="1E0C79D2" w:rsidR="00545FF4" w:rsidRPr="00DE25AD" w:rsidRDefault="00545FF4" w:rsidP="00545FF4">
            <w:pPr>
              <w:pStyle w:val="ASSADACCESStablecentre"/>
            </w:pPr>
            <w:r w:rsidRPr="002E5727">
              <w:rPr>
                <w:bCs w:val="0"/>
                <w:color w:val="000000"/>
              </w:rPr>
              <w:t>3</w:t>
            </w:r>
          </w:p>
        </w:tc>
        <w:tc>
          <w:tcPr>
            <w:tcW w:w="879" w:type="dxa"/>
            <w:shd w:val="clear" w:color="auto" w:fill="auto"/>
          </w:tcPr>
          <w:p w14:paraId="77433422" w14:textId="5FAA281B" w:rsidR="00545FF4" w:rsidRPr="00DE25AD" w:rsidRDefault="00545FF4" w:rsidP="00545FF4">
            <w:pPr>
              <w:pStyle w:val="ASSADACCESStablecentre"/>
            </w:pPr>
            <w:r w:rsidRPr="002E5727">
              <w:rPr>
                <w:bCs w:val="0"/>
                <w:color w:val="000000"/>
              </w:rPr>
              <w:t>3</w:t>
            </w:r>
          </w:p>
        </w:tc>
        <w:tc>
          <w:tcPr>
            <w:tcW w:w="879" w:type="dxa"/>
            <w:shd w:val="clear" w:color="auto" w:fill="auto"/>
          </w:tcPr>
          <w:p w14:paraId="6833F343" w14:textId="1DD18434" w:rsidR="00545FF4" w:rsidRPr="00DE25AD" w:rsidRDefault="00545FF4" w:rsidP="00545FF4">
            <w:pPr>
              <w:pStyle w:val="ASSADACCESStablecentre"/>
            </w:pPr>
            <w:r w:rsidRPr="002E5727">
              <w:rPr>
                <w:bCs w:val="0"/>
                <w:color w:val="000000"/>
              </w:rPr>
              <w:t>3</w:t>
            </w:r>
          </w:p>
        </w:tc>
        <w:tc>
          <w:tcPr>
            <w:tcW w:w="879" w:type="dxa"/>
            <w:shd w:val="clear" w:color="auto" w:fill="auto"/>
          </w:tcPr>
          <w:p w14:paraId="2C08355F" w14:textId="09C9840E" w:rsidR="00545FF4" w:rsidRPr="00DE25AD" w:rsidRDefault="00545FF4" w:rsidP="00545FF4">
            <w:pPr>
              <w:pStyle w:val="ASSADACCESStablecentre"/>
            </w:pPr>
            <w:r w:rsidRPr="002E5727">
              <w:rPr>
                <w:bCs w:val="0"/>
                <w:color w:val="000000"/>
              </w:rPr>
              <w:t>3</w:t>
            </w:r>
          </w:p>
        </w:tc>
        <w:tc>
          <w:tcPr>
            <w:tcW w:w="879" w:type="dxa"/>
            <w:shd w:val="clear" w:color="auto" w:fill="auto"/>
          </w:tcPr>
          <w:p w14:paraId="51F443CB" w14:textId="12DBB34D" w:rsidR="00545FF4" w:rsidRPr="00DE25AD" w:rsidRDefault="00545FF4" w:rsidP="00545FF4">
            <w:pPr>
              <w:pStyle w:val="ASSADACCESStablecentre"/>
            </w:pPr>
            <w:r w:rsidRPr="002E5727">
              <w:rPr>
                <w:bCs w:val="0"/>
                <w:color w:val="000000"/>
              </w:rPr>
              <w:t>2</w:t>
            </w:r>
          </w:p>
        </w:tc>
        <w:tc>
          <w:tcPr>
            <w:tcW w:w="879" w:type="dxa"/>
            <w:shd w:val="clear" w:color="auto" w:fill="auto"/>
          </w:tcPr>
          <w:p w14:paraId="22D9AB20" w14:textId="117A5CE1" w:rsidR="00545FF4" w:rsidRPr="00DE25AD" w:rsidRDefault="00545FF4" w:rsidP="00545FF4">
            <w:pPr>
              <w:pStyle w:val="ASSADACCESStablecentre"/>
            </w:pPr>
            <w:r w:rsidRPr="002E5727">
              <w:rPr>
                <w:bCs w:val="0"/>
                <w:color w:val="000000"/>
              </w:rPr>
              <w:t>1*^</w:t>
            </w:r>
          </w:p>
        </w:tc>
        <w:tc>
          <w:tcPr>
            <w:tcW w:w="879" w:type="dxa"/>
            <w:shd w:val="clear" w:color="auto" w:fill="auto"/>
          </w:tcPr>
          <w:p w14:paraId="13869F14" w14:textId="1E49D74B" w:rsidR="00545FF4" w:rsidRPr="00DE25AD" w:rsidRDefault="00545FF4" w:rsidP="00545FF4">
            <w:pPr>
              <w:pStyle w:val="ASSADACCESStablecentre"/>
            </w:pPr>
            <w:r w:rsidRPr="002E5727">
              <w:rPr>
                <w:bCs w:val="0"/>
                <w:color w:val="000000"/>
              </w:rPr>
              <w:t>1*^</w:t>
            </w:r>
          </w:p>
        </w:tc>
        <w:tc>
          <w:tcPr>
            <w:tcW w:w="879" w:type="dxa"/>
            <w:shd w:val="clear" w:color="auto" w:fill="auto"/>
          </w:tcPr>
          <w:p w14:paraId="2E917B70" w14:textId="11D50A87" w:rsidR="00545FF4" w:rsidRPr="00DE25AD" w:rsidRDefault="00545FF4" w:rsidP="00545FF4">
            <w:pPr>
              <w:pStyle w:val="ASSADACCESStablecentre"/>
            </w:pPr>
            <w:r>
              <w:rPr>
                <w:bCs w:val="0"/>
                <w:color w:val="000000"/>
              </w:rPr>
              <w:t>3</w:t>
            </w:r>
          </w:p>
        </w:tc>
      </w:tr>
      <w:tr w:rsidR="00545FF4" w:rsidRPr="00DE25AD" w14:paraId="32B28D8E" w14:textId="77777777" w:rsidTr="005F678B">
        <w:tc>
          <w:tcPr>
            <w:tcW w:w="1517" w:type="dxa"/>
            <w:tcMar>
              <w:left w:w="57" w:type="dxa"/>
            </w:tcMar>
          </w:tcPr>
          <w:p w14:paraId="15A0B4BF" w14:textId="77777777" w:rsidR="00545FF4" w:rsidRPr="00DE25AD" w:rsidRDefault="00545FF4" w:rsidP="00545FF4">
            <w:pPr>
              <w:pStyle w:val="ACCESSTableHeaderRow"/>
            </w:pPr>
          </w:p>
        </w:tc>
        <w:tc>
          <w:tcPr>
            <w:tcW w:w="1068" w:type="dxa"/>
            <w:shd w:val="clear" w:color="auto" w:fill="auto"/>
            <w:tcMar>
              <w:left w:w="57" w:type="dxa"/>
            </w:tcMar>
            <w:vAlign w:val="bottom"/>
          </w:tcPr>
          <w:p w14:paraId="5142C7B8" w14:textId="77777777" w:rsidR="00545FF4" w:rsidRPr="00DE25AD" w:rsidRDefault="00545FF4" w:rsidP="00545FF4">
            <w:pPr>
              <w:pStyle w:val="ASSAD2017ACCESSBody1"/>
            </w:pPr>
            <w:r w:rsidRPr="00DE25AD">
              <w:t>Female</w:t>
            </w:r>
          </w:p>
        </w:tc>
        <w:tc>
          <w:tcPr>
            <w:tcW w:w="878" w:type="dxa"/>
            <w:shd w:val="clear" w:color="auto" w:fill="auto"/>
          </w:tcPr>
          <w:p w14:paraId="09F4D0DD" w14:textId="35018BF3" w:rsidR="00545FF4" w:rsidRPr="00DE25AD" w:rsidRDefault="00545FF4" w:rsidP="00545FF4">
            <w:pPr>
              <w:pStyle w:val="ASSADACCESStablecentre"/>
            </w:pPr>
            <w:r w:rsidRPr="002E5727">
              <w:rPr>
                <w:bCs w:val="0"/>
                <w:color w:val="000000"/>
              </w:rPr>
              <w:t>2</w:t>
            </w:r>
          </w:p>
        </w:tc>
        <w:tc>
          <w:tcPr>
            <w:tcW w:w="879" w:type="dxa"/>
            <w:shd w:val="clear" w:color="auto" w:fill="auto"/>
          </w:tcPr>
          <w:p w14:paraId="0FFD5ACC" w14:textId="1762B7E1" w:rsidR="00545FF4" w:rsidRPr="00DE25AD" w:rsidRDefault="00545FF4" w:rsidP="00545FF4">
            <w:pPr>
              <w:pStyle w:val="ASSADACCESStablecentre"/>
            </w:pPr>
            <w:r w:rsidRPr="002E5727">
              <w:rPr>
                <w:bCs w:val="0"/>
                <w:color w:val="000000"/>
              </w:rPr>
              <w:t>2</w:t>
            </w:r>
          </w:p>
        </w:tc>
        <w:tc>
          <w:tcPr>
            <w:tcW w:w="879" w:type="dxa"/>
            <w:shd w:val="clear" w:color="auto" w:fill="auto"/>
          </w:tcPr>
          <w:p w14:paraId="0590F38B" w14:textId="4134FAF8" w:rsidR="00545FF4" w:rsidRPr="00DE25AD" w:rsidRDefault="00545FF4" w:rsidP="00545FF4">
            <w:pPr>
              <w:pStyle w:val="ASSADACCESStablecentre"/>
            </w:pPr>
            <w:r w:rsidRPr="002E5727">
              <w:rPr>
                <w:bCs w:val="0"/>
                <w:color w:val="000000"/>
              </w:rPr>
              <w:t>2</w:t>
            </w:r>
          </w:p>
        </w:tc>
        <w:tc>
          <w:tcPr>
            <w:tcW w:w="879" w:type="dxa"/>
            <w:shd w:val="clear" w:color="auto" w:fill="auto"/>
          </w:tcPr>
          <w:p w14:paraId="24DBCE26" w14:textId="288CD9D5" w:rsidR="00545FF4" w:rsidRPr="00DE25AD" w:rsidRDefault="00545FF4" w:rsidP="00545FF4">
            <w:pPr>
              <w:pStyle w:val="ASSADACCESStablecentre"/>
            </w:pPr>
            <w:r w:rsidRPr="002E5727">
              <w:rPr>
                <w:bCs w:val="0"/>
                <w:color w:val="000000"/>
              </w:rPr>
              <w:t>2</w:t>
            </w:r>
          </w:p>
        </w:tc>
        <w:tc>
          <w:tcPr>
            <w:tcW w:w="879" w:type="dxa"/>
            <w:shd w:val="clear" w:color="auto" w:fill="auto"/>
          </w:tcPr>
          <w:p w14:paraId="1F80598E" w14:textId="3E8D7CC6" w:rsidR="00545FF4" w:rsidRPr="00DE25AD" w:rsidRDefault="00545FF4" w:rsidP="00545FF4">
            <w:pPr>
              <w:pStyle w:val="ASSADACCESStablecentre"/>
            </w:pPr>
            <w:r w:rsidRPr="002E5727">
              <w:rPr>
                <w:bCs w:val="0"/>
                <w:color w:val="000000"/>
              </w:rPr>
              <w:t>2</w:t>
            </w:r>
          </w:p>
        </w:tc>
        <w:tc>
          <w:tcPr>
            <w:tcW w:w="879" w:type="dxa"/>
            <w:shd w:val="clear" w:color="auto" w:fill="auto"/>
          </w:tcPr>
          <w:p w14:paraId="19F85695" w14:textId="54F87AD7" w:rsidR="00545FF4" w:rsidRPr="00DE25AD" w:rsidRDefault="00545FF4" w:rsidP="00545FF4">
            <w:pPr>
              <w:pStyle w:val="ASSADACCESStablecentre"/>
            </w:pPr>
            <w:r w:rsidRPr="002E5727">
              <w:rPr>
                <w:bCs w:val="0"/>
                <w:color w:val="000000"/>
              </w:rPr>
              <w:t>1*^</w:t>
            </w:r>
          </w:p>
        </w:tc>
        <w:tc>
          <w:tcPr>
            <w:tcW w:w="879" w:type="dxa"/>
            <w:shd w:val="clear" w:color="auto" w:fill="auto"/>
          </w:tcPr>
          <w:p w14:paraId="671E5C3B" w14:textId="5B8D6BD0" w:rsidR="00545FF4" w:rsidRPr="00DE25AD" w:rsidRDefault="00545FF4" w:rsidP="00545FF4">
            <w:pPr>
              <w:pStyle w:val="ASSADACCESStablecentre"/>
            </w:pPr>
            <w:r w:rsidRPr="002E5727">
              <w:rPr>
                <w:bCs w:val="0"/>
                <w:color w:val="000000"/>
              </w:rPr>
              <w:t>1*</w:t>
            </w:r>
          </w:p>
        </w:tc>
        <w:tc>
          <w:tcPr>
            <w:tcW w:w="879" w:type="dxa"/>
            <w:shd w:val="clear" w:color="auto" w:fill="auto"/>
          </w:tcPr>
          <w:p w14:paraId="12C535ED" w14:textId="5B6DDF01" w:rsidR="00545FF4" w:rsidRPr="00DE25AD" w:rsidRDefault="00545FF4" w:rsidP="00545FF4">
            <w:pPr>
              <w:pStyle w:val="ASSADACCESStablecentre"/>
            </w:pPr>
            <w:r>
              <w:rPr>
                <w:bCs w:val="0"/>
                <w:color w:val="000000"/>
              </w:rPr>
              <w:t>2</w:t>
            </w:r>
          </w:p>
        </w:tc>
      </w:tr>
      <w:tr w:rsidR="00545FF4" w:rsidRPr="00DE25AD" w14:paraId="653CEA81" w14:textId="77777777" w:rsidTr="005F678B">
        <w:tc>
          <w:tcPr>
            <w:tcW w:w="1517" w:type="dxa"/>
            <w:tcMar>
              <w:left w:w="57" w:type="dxa"/>
            </w:tcMar>
          </w:tcPr>
          <w:p w14:paraId="06ED4CDE" w14:textId="77777777" w:rsidR="00545FF4" w:rsidRPr="00DE25AD" w:rsidRDefault="00545FF4" w:rsidP="00545FF4">
            <w:pPr>
              <w:pStyle w:val="ACCESSTableHeaderRow"/>
            </w:pPr>
          </w:p>
        </w:tc>
        <w:tc>
          <w:tcPr>
            <w:tcW w:w="1068" w:type="dxa"/>
            <w:shd w:val="clear" w:color="auto" w:fill="auto"/>
            <w:tcMar>
              <w:left w:w="57" w:type="dxa"/>
            </w:tcMar>
            <w:vAlign w:val="bottom"/>
          </w:tcPr>
          <w:p w14:paraId="58AA90AD" w14:textId="77777777" w:rsidR="00545FF4" w:rsidRPr="00DE25AD" w:rsidRDefault="00545FF4" w:rsidP="00545FF4">
            <w:pPr>
              <w:pStyle w:val="ASSAD2017ACCESSBody1"/>
            </w:pPr>
            <w:r w:rsidRPr="00DE25AD">
              <w:t>Total</w:t>
            </w:r>
          </w:p>
        </w:tc>
        <w:tc>
          <w:tcPr>
            <w:tcW w:w="878" w:type="dxa"/>
            <w:shd w:val="clear" w:color="auto" w:fill="auto"/>
          </w:tcPr>
          <w:p w14:paraId="227D273F" w14:textId="21111E67" w:rsidR="00545FF4" w:rsidRPr="00DE25AD" w:rsidRDefault="00545FF4" w:rsidP="00545FF4">
            <w:pPr>
              <w:pStyle w:val="ASSADACCESStablecentre"/>
            </w:pPr>
            <w:r w:rsidRPr="002E5727">
              <w:rPr>
                <w:bCs w:val="0"/>
                <w:color w:val="000000"/>
              </w:rPr>
              <w:t>2</w:t>
            </w:r>
          </w:p>
        </w:tc>
        <w:tc>
          <w:tcPr>
            <w:tcW w:w="879" w:type="dxa"/>
            <w:shd w:val="clear" w:color="auto" w:fill="auto"/>
          </w:tcPr>
          <w:p w14:paraId="36577307" w14:textId="28C8249E" w:rsidR="00545FF4" w:rsidRPr="00DE25AD" w:rsidRDefault="00545FF4" w:rsidP="00545FF4">
            <w:pPr>
              <w:pStyle w:val="ASSADACCESStablecentre"/>
            </w:pPr>
            <w:r w:rsidRPr="002E5727">
              <w:rPr>
                <w:bCs w:val="0"/>
                <w:color w:val="000000"/>
              </w:rPr>
              <w:t>2</w:t>
            </w:r>
          </w:p>
        </w:tc>
        <w:tc>
          <w:tcPr>
            <w:tcW w:w="879" w:type="dxa"/>
            <w:shd w:val="clear" w:color="auto" w:fill="auto"/>
          </w:tcPr>
          <w:p w14:paraId="53E4B6E6" w14:textId="21319B04" w:rsidR="00545FF4" w:rsidRPr="00DE25AD" w:rsidRDefault="00545FF4" w:rsidP="00545FF4">
            <w:pPr>
              <w:pStyle w:val="ASSADACCESStablecentre"/>
            </w:pPr>
            <w:r w:rsidRPr="002E5727">
              <w:rPr>
                <w:bCs w:val="0"/>
                <w:color w:val="000000"/>
              </w:rPr>
              <w:t>3</w:t>
            </w:r>
          </w:p>
        </w:tc>
        <w:tc>
          <w:tcPr>
            <w:tcW w:w="879" w:type="dxa"/>
            <w:shd w:val="clear" w:color="auto" w:fill="auto"/>
          </w:tcPr>
          <w:p w14:paraId="084969DA" w14:textId="0714A539" w:rsidR="00545FF4" w:rsidRPr="00DE25AD" w:rsidRDefault="00545FF4" w:rsidP="00545FF4">
            <w:pPr>
              <w:pStyle w:val="ASSADACCESStablecentre"/>
            </w:pPr>
            <w:r w:rsidRPr="002E5727">
              <w:rPr>
                <w:bCs w:val="0"/>
                <w:color w:val="000000"/>
              </w:rPr>
              <w:t>3</w:t>
            </w:r>
          </w:p>
        </w:tc>
        <w:tc>
          <w:tcPr>
            <w:tcW w:w="879" w:type="dxa"/>
            <w:shd w:val="clear" w:color="auto" w:fill="auto"/>
          </w:tcPr>
          <w:p w14:paraId="036E90F0" w14:textId="3E133B19" w:rsidR="00545FF4" w:rsidRPr="00DE25AD" w:rsidRDefault="00545FF4" w:rsidP="00545FF4">
            <w:pPr>
              <w:pStyle w:val="ASSADACCESStablecentre"/>
            </w:pPr>
            <w:r w:rsidRPr="002E5727">
              <w:rPr>
                <w:bCs w:val="0"/>
                <w:color w:val="000000"/>
              </w:rPr>
              <w:t>2</w:t>
            </w:r>
          </w:p>
        </w:tc>
        <w:tc>
          <w:tcPr>
            <w:tcW w:w="879" w:type="dxa"/>
            <w:shd w:val="clear" w:color="auto" w:fill="auto"/>
          </w:tcPr>
          <w:p w14:paraId="43BAF844" w14:textId="02CEFB30" w:rsidR="00545FF4" w:rsidRPr="00DE25AD" w:rsidRDefault="00545FF4" w:rsidP="00545FF4">
            <w:pPr>
              <w:pStyle w:val="ASSADACCESStablecentre"/>
            </w:pPr>
            <w:r w:rsidRPr="002E5727">
              <w:rPr>
                <w:bCs w:val="0"/>
                <w:color w:val="000000"/>
              </w:rPr>
              <w:t>1*^</w:t>
            </w:r>
          </w:p>
        </w:tc>
        <w:tc>
          <w:tcPr>
            <w:tcW w:w="879" w:type="dxa"/>
            <w:shd w:val="clear" w:color="auto" w:fill="auto"/>
          </w:tcPr>
          <w:p w14:paraId="76D32191" w14:textId="59871064" w:rsidR="00545FF4" w:rsidRPr="00DE25AD" w:rsidRDefault="00545FF4" w:rsidP="00545FF4">
            <w:pPr>
              <w:pStyle w:val="ASSADACCESStablecentre"/>
            </w:pPr>
            <w:r w:rsidRPr="002E5727">
              <w:rPr>
                <w:bCs w:val="0"/>
                <w:color w:val="000000"/>
              </w:rPr>
              <w:t>1*^</w:t>
            </w:r>
          </w:p>
        </w:tc>
        <w:tc>
          <w:tcPr>
            <w:tcW w:w="879" w:type="dxa"/>
            <w:shd w:val="clear" w:color="auto" w:fill="auto"/>
          </w:tcPr>
          <w:p w14:paraId="1CBBA1DA" w14:textId="2D8CAFC3" w:rsidR="00545FF4" w:rsidRPr="00DE25AD" w:rsidRDefault="00545FF4" w:rsidP="00545FF4">
            <w:pPr>
              <w:pStyle w:val="ASSADACCESStablecentre"/>
            </w:pPr>
            <w:r>
              <w:rPr>
                <w:bCs w:val="0"/>
                <w:color w:val="000000"/>
              </w:rPr>
              <w:t>2</w:t>
            </w:r>
          </w:p>
        </w:tc>
      </w:tr>
      <w:tr w:rsidR="00545FF4" w:rsidRPr="00DE25AD" w14:paraId="092CE1D5" w14:textId="77777777" w:rsidTr="005F678B">
        <w:tc>
          <w:tcPr>
            <w:tcW w:w="1517" w:type="dxa"/>
            <w:tcMar>
              <w:left w:w="57" w:type="dxa"/>
            </w:tcMar>
          </w:tcPr>
          <w:p w14:paraId="6CFD4D8C" w14:textId="77777777" w:rsidR="00545FF4" w:rsidRPr="00DE25AD" w:rsidRDefault="00545FF4" w:rsidP="00545FF4">
            <w:pPr>
              <w:pStyle w:val="ACCESSTableHeaderRow"/>
            </w:pPr>
            <w:r w:rsidRPr="00DE25AD">
              <w:t xml:space="preserve">Past </w:t>
            </w:r>
            <w:r>
              <w:t>month</w:t>
            </w:r>
          </w:p>
        </w:tc>
        <w:tc>
          <w:tcPr>
            <w:tcW w:w="1068" w:type="dxa"/>
            <w:shd w:val="clear" w:color="auto" w:fill="auto"/>
            <w:tcMar>
              <w:left w:w="57" w:type="dxa"/>
            </w:tcMar>
            <w:vAlign w:val="bottom"/>
          </w:tcPr>
          <w:p w14:paraId="4C94E946" w14:textId="77777777" w:rsidR="00545FF4" w:rsidRPr="00DE25AD" w:rsidRDefault="00545FF4" w:rsidP="00545FF4">
            <w:pPr>
              <w:pStyle w:val="ASSAD2017ACCESSBody1"/>
            </w:pPr>
            <w:r w:rsidRPr="00DE25AD">
              <w:t>Male</w:t>
            </w:r>
          </w:p>
        </w:tc>
        <w:tc>
          <w:tcPr>
            <w:tcW w:w="878" w:type="dxa"/>
            <w:shd w:val="clear" w:color="auto" w:fill="auto"/>
          </w:tcPr>
          <w:p w14:paraId="07C5EE30" w14:textId="093F97BF" w:rsidR="00545FF4" w:rsidRPr="00DE25AD" w:rsidRDefault="00545FF4" w:rsidP="00545FF4">
            <w:pPr>
              <w:pStyle w:val="ASSADACCESStablecentre"/>
            </w:pPr>
            <w:r w:rsidRPr="002E5727">
              <w:rPr>
                <w:bCs w:val="0"/>
                <w:color w:val="000000"/>
              </w:rPr>
              <w:t>2</w:t>
            </w:r>
          </w:p>
        </w:tc>
        <w:tc>
          <w:tcPr>
            <w:tcW w:w="879" w:type="dxa"/>
            <w:shd w:val="clear" w:color="auto" w:fill="auto"/>
          </w:tcPr>
          <w:p w14:paraId="4F4F4D0D" w14:textId="67AD2DEF" w:rsidR="00545FF4" w:rsidRPr="00DE25AD" w:rsidRDefault="00545FF4" w:rsidP="00545FF4">
            <w:pPr>
              <w:pStyle w:val="ASSADACCESStablecentre"/>
            </w:pPr>
            <w:r w:rsidRPr="002E5727">
              <w:rPr>
                <w:bCs w:val="0"/>
                <w:color w:val="000000"/>
              </w:rPr>
              <w:t>2</w:t>
            </w:r>
          </w:p>
        </w:tc>
        <w:tc>
          <w:tcPr>
            <w:tcW w:w="879" w:type="dxa"/>
            <w:shd w:val="clear" w:color="auto" w:fill="auto"/>
          </w:tcPr>
          <w:p w14:paraId="304BCC9B" w14:textId="79C828D3" w:rsidR="00545FF4" w:rsidRPr="00DE25AD" w:rsidRDefault="00545FF4" w:rsidP="00545FF4">
            <w:pPr>
              <w:pStyle w:val="ASSADACCESStablecentre"/>
            </w:pPr>
            <w:r w:rsidRPr="002E5727">
              <w:rPr>
                <w:bCs w:val="0"/>
                <w:color w:val="000000"/>
              </w:rPr>
              <w:t>2</w:t>
            </w:r>
          </w:p>
        </w:tc>
        <w:tc>
          <w:tcPr>
            <w:tcW w:w="879" w:type="dxa"/>
            <w:shd w:val="clear" w:color="auto" w:fill="auto"/>
          </w:tcPr>
          <w:p w14:paraId="66F52AD3" w14:textId="0ED3224A" w:rsidR="00545FF4" w:rsidRPr="00DE25AD" w:rsidRDefault="00545FF4" w:rsidP="00545FF4">
            <w:pPr>
              <w:pStyle w:val="ASSADACCESStablecentre"/>
            </w:pPr>
            <w:r w:rsidRPr="002E5727">
              <w:rPr>
                <w:bCs w:val="0"/>
                <w:color w:val="000000"/>
              </w:rPr>
              <w:t>2</w:t>
            </w:r>
          </w:p>
        </w:tc>
        <w:tc>
          <w:tcPr>
            <w:tcW w:w="879" w:type="dxa"/>
            <w:shd w:val="clear" w:color="auto" w:fill="auto"/>
          </w:tcPr>
          <w:p w14:paraId="6678DCA8" w14:textId="54D71945" w:rsidR="00545FF4" w:rsidRPr="00DE25AD" w:rsidRDefault="00545FF4" w:rsidP="00545FF4">
            <w:pPr>
              <w:pStyle w:val="ASSADACCESStablecentre"/>
            </w:pPr>
            <w:r w:rsidRPr="002E5727">
              <w:rPr>
                <w:bCs w:val="0"/>
                <w:color w:val="000000"/>
              </w:rPr>
              <w:t>2</w:t>
            </w:r>
          </w:p>
        </w:tc>
        <w:tc>
          <w:tcPr>
            <w:tcW w:w="879" w:type="dxa"/>
            <w:shd w:val="clear" w:color="auto" w:fill="auto"/>
          </w:tcPr>
          <w:p w14:paraId="45B60A79" w14:textId="5AF1423C" w:rsidR="00545FF4" w:rsidRPr="00DE25AD" w:rsidRDefault="00545FF4" w:rsidP="00545FF4">
            <w:pPr>
              <w:pStyle w:val="ASSADACCESStablecentre"/>
            </w:pPr>
            <w:r w:rsidRPr="002E5727">
              <w:rPr>
                <w:bCs w:val="0"/>
                <w:color w:val="000000"/>
              </w:rPr>
              <w:t>1*</w:t>
            </w:r>
            <w:r>
              <w:rPr>
                <w:bCs w:val="0"/>
                <w:color w:val="000000"/>
              </w:rPr>
              <w:t>^</w:t>
            </w:r>
          </w:p>
        </w:tc>
        <w:tc>
          <w:tcPr>
            <w:tcW w:w="879" w:type="dxa"/>
            <w:shd w:val="clear" w:color="auto" w:fill="auto"/>
          </w:tcPr>
          <w:p w14:paraId="73BC9DF1" w14:textId="7486CD4A" w:rsidR="00545FF4" w:rsidRPr="00DE25AD" w:rsidRDefault="00545FF4" w:rsidP="00545FF4">
            <w:pPr>
              <w:pStyle w:val="ASSADACCESStablecentre"/>
            </w:pPr>
            <w:r w:rsidRPr="002E5727">
              <w:rPr>
                <w:bCs w:val="0"/>
                <w:color w:val="000000"/>
              </w:rPr>
              <w:t>1*</w:t>
            </w:r>
            <w:r>
              <w:rPr>
                <w:bCs w:val="0"/>
                <w:color w:val="000000"/>
              </w:rPr>
              <w:t>^</w:t>
            </w:r>
          </w:p>
        </w:tc>
        <w:tc>
          <w:tcPr>
            <w:tcW w:w="879" w:type="dxa"/>
            <w:shd w:val="clear" w:color="auto" w:fill="auto"/>
          </w:tcPr>
          <w:p w14:paraId="26042C86" w14:textId="727E7363" w:rsidR="00545FF4" w:rsidRPr="00DE25AD" w:rsidRDefault="00545FF4" w:rsidP="00545FF4">
            <w:pPr>
              <w:pStyle w:val="ASSADACCESStablecentre"/>
            </w:pPr>
            <w:r w:rsidRPr="002E5727">
              <w:rPr>
                <w:bCs w:val="0"/>
                <w:color w:val="000000"/>
              </w:rPr>
              <w:t>2</w:t>
            </w:r>
          </w:p>
        </w:tc>
      </w:tr>
      <w:tr w:rsidR="00545FF4" w:rsidRPr="00DE25AD" w14:paraId="53CC6EC5" w14:textId="77777777" w:rsidTr="005F678B">
        <w:tc>
          <w:tcPr>
            <w:tcW w:w="1517" w:type="dxa"/>
            <w:tcMar>
              <w:left w:w="57" w:type="dxa"/>
            </w:tcMar>
          </w:tcPr>
          <w:p w14:paraId="19E050FE" w14:textId="77777777" w:rsidR="00545FF4" w:rsidRPr="00DE25AD" w:rsidRDefault="00545FF4" w:rsidP="00545FF4">
            <w:pPr>
              <w:pStyle w:val="ACCESSTableHeaderRow"/>
            </w:pPr>
          </w:p>
        </w:tc>
        <w:tc>
          <w:tcPr>
            <w:tcW w:w="1068" w:type="dxa"/>
            <w:shd w:val="clear" w:color="auto" w:fill="auto"/>
            <w:tcMar>
              <w:left w:w="57" w:type="dxa"/>
            </w:tcMar>
            <w:vAlign w:val="bottom"/>
          </w:tcPr>
          <w:p w14:paraId="4D8FE4FB" w14:textId="77777777" w:rsidR="00545FF4" w:rsidRPr="00DE25AD" w:rsidRDefault="00545FF4" w:rsidP="00545FF4">
            <w:pPr>
              <w:pStyle w:val="ASSAD2017ACCESSBody1"/>
            </w:pPr>
            <w:r w:rsidRPr="00DE25AD">
              <w:t>Female</w:t>
            </w:r>
          </w:p>
        </w:tc>
        <w:tc>
          <w:tcPr>
            <w:tcW w:w="878" w:type="dxa"/>
            <w:shd w:val="clear" w:color="auto" w:fill="auto"/>
          </w:tcPr>
          <w:p w14:paraId="245060AE" w14:textId="781D7F31" w:rsidR="00545FF4" w:rsidRPr="00DE25AD" w:rsidRDefault="00545FF4" w:rsidP="00545FF4">
            <w:pPr>
              <w:pStyle w:val="ASSADACCESStablecentre"/>
            </w:pPr>
            <w:r w:rsidRPr="002E5727">
              <w:rPr>
                <w:bCs w:val="0"/>
                <w:color w:val="000000"/>
              </w:rPr>
              <w:t>1</w:t>
            </w:r>
          </w:p>
        </w:tc>
        <w:tc>
          <w:tcPr>
            <w:tcW w:w="879" w:type="dxa"/>
            <w:shd w:val="clear" w:color="auto" w:fill="auto"/>
          </w:tcPr>
          <w:p w14:paraId="3A99B17A" w14:textId="1EA5801A" w:rsidR="00545FF4" w:rsidRPr="00DE25AD" w:rsidRDefault="00545FF4" w:rsidP="00545FF4">
            <w:pPr>
              <w:pStyle w:val="ASSADACCESStablecentre"/>
            </w:pPr>
            <w:r w:rsidRPr="002E5727">
              <w:rPr>
                <w:bCs w:val="0"/>
                <w:color w:val="000000"/>
              </w:rPr>
              <w:t>1</w:t>
            </w:r>
          </w:p>
        </w:tc>
        <w:tc>
          <w:tcPr>
            <w:tcW w:w="879" w:type="dxa"/>
            <w:shd w:val="clear" w:color="auto" w:fill="auto"/>
          </w:tcPr>
          <w:p w14:paraId="353A6CFD" w14:textId="4E301E51" w:rsidR="00545FF4" w:rsidRPr="00DE25AD" w:rsidRDefault="00545FF4" w:rsidP="00545FF4">
            <w:pPr>
              <w:pStyle w:val="ASSADACCESStablecentre"/>
            </w:pPr>
            <w:r w:rsidRPr="002E5727">
              <w:rPr>
                <w:bCs w:val="0"/>
                <w:color w:val="000000"/>
              </w:rPr>
              <w:t>1</w:t>
            </w:r>
          </w:p>
        </w:tc>
        <w:tc>
          <w:tcPr>
            <w:tcW w:w="879" w:type="dxa"/>
            <w:shd w:val="clear" w:color="auto" w:fill="auto"/>
          </w:tcPr>
          <w:p w14:paraId="1D73ED52" w14:textId="2707DE19" w:rsidR="00545FF4" w:rsidRPr="00DE25AD" w:rsidRDefault="00545FF4" w:rsidP="00545FF4">
            <w:pPr>
              <w:pStyle w:val="ASSADACCESStablecentre"/>
            </w:pPr>
            <w:r w:rsidRPr="002E5727">
              <w:rPr>
                <w:bCs w:val="0"/>
                <w:color w:val="000000"/>
              </w:rPr>
              <w:t>1</w:t>
            </w:r>
          </w:p>
        </w:tc>
        <w:tc>
          <w:tcPr>
            <w:tcW w:w="879" w:type="dxa"/>
            <w:shd w:val="clear" w:color="auto" w:fill="auto"/>
          </w:tcPr>
          <w:p w14:paraId="03641A3D" w14:textId="73E0224C" w:rsidR="00545FF4" w:rsidRPr="00DE25AD" w:rsidRDefault="00545FF4" w:rsidP="00545FF4">
            <w:pPr>
              <w:pStyle w:val="ASSADACCESStablecentre"/>
            </w:pPr>
            <w:r w:rsidRPr="002E5727">
              <w:rPr>
                <w:bCs w:val="0"/>
                <w:color w:val="000000"/>
              </w:rPr>
              <w:t>1</w:t>
            </w:r>
          </w:p>
        </w:tc>
        <w:tc>
          <w:tcPr>
            <w:tcW w:w="879" w:type="dxa"/>
            <w:shd w:val="clear" w:color="auto" w:fill="auto"/>
          </w:tcPr>
          <w:p w14:paraId="324F5986" w14:textId="7890A6CE" w:rsidR="00545FF4" w:rsidRPr="00DE25AD" w:rsidRDefault="00545FF4" w:rsidP="00545FF4">
            <w:pPr>
              <w:pStyle w:val="ASSADACCESStablecentre"/>
            </w:pPr>
            <w:r w:rsidRPr="002E5727">
              <w:rPr>
                <w:bCs w:val="0"/>
                <w:color w:val="000000"/>
              </w:rPr>
              <w:t>&lt;1*</w:t>
            </w:r>
            <w:r>
              <w:rPr>
                <w:bCs w:val="0"/>
                <w:color w:val="000000"/>
              </w:rPr>
              <w:t>^</w:t>
            </w:r>
          </w:p>
        </w:tc>
        <w:tc>
          <w:tcPr>
            <w:tcW w:w="879" w:type="dxa"/>
            <w:shd w:val="clear" w:color="auto" w:fill="auto"/>
          </w:tcPr>
          <w:p w14:paraId="292A2879" w14:textId="605C2DF0" w:rsidR="00545FF4" w:rsidRPr="00DE25AD" w:rsidRDefault="00545FF4" w:rsidP="00545FF4">
            <w:pPr>
              <w:pStyle w:val="ASSADACCESStablecentre"/>
            </w:pPr>
            <w:r w:rsidRPr="002E5727">
              <w:rPr>
                <w:bCs w:val="0"/>
                <w:color w:val="000000"/>
              </w:rPr>
              <w:t>1</w:t>
            </w:r>
          </w:p>
        </w:tc>
        <w:tc>
          <w:tcPr>
            <w:tcW w:w="879" w:type="dxa"/>
            <w:shd w:val="clear" w:color="auto" w:fill="auto"/>
          </w:tcPr>
          <w:p w14:paraId="515F65AD" w14:textId="4B5B28D4" w:rsidR="00545FF4" w:rsidRPr="00DE25AD" w:rsidRDefault="00545FF4" w:rsidP="00545FF4">
            <w:pPr>
              <w:pStyle w:val="ASSADACCESStablecentre"/>
            </w:pPr>
            <w:r w:rsidRPr="002E5727">
              <w:rPr>
                <w:bCs w:val="0"/>
                <w:color w:val="000000"/>
              </w:rPr>
              <w:t>1</w:t>
            </w:r>
          </w:p>
        </w:tc>
      </w:tr>
      <w:tr w:rsidR="00545FF4" w:rsidRPr="00DE25AD" w14:paraId="189F258E" w14:textId="77777777" w:rsidTr="005F678B">
        <w:tc>
          <w:tcPr>
            <w:tcW w:w="1517" w:type="dxa"/>
            <w:tcMar>
              <w:left w:w="57" w:type="dxa"/>
            </w:tcMar>
          </w:tcPr>
          <w:p w14:paraId="64C25BFF" w14:textId="77777777" w:rsidR="00545FF4" w:rsidRPr="00DE25AD" w:rsidRDefault="00545FF4" w:rsidP="00545FF4">
            <w:pPr>
              <w:pStyle w:val="ACCESSTableHeaderRow"/>
            </w:pPr>
          </w:p>
        </w:tc>
        <w:tc>
          <w:tcPr>
            <w:tcW w:w="1068" w:type="dxa"/>
            <w:shd w:val="clear" w:color="auto" w:fill="auto"/>
            <w:tcMar>
              <w:left w:w="57" w:type="dxa"/>
            </w:tcMar>
            <w:vAlign w:val="bottom"/>
          </w:tcPr>
          <w:p w14:paraId="0F503D13" w14:textId="77777777" w:rsidR="00545FF4" w:rsidRPr="00DE25AD" w:rsidRDefault="00545FF4" w:rsidP="00545FF4">
            <w:pPr>
              <w:pStyle w:val="ASSAD2017ACCESSBody1"/>
            </w:pPr>
            <w:r w:rsidRPr="00DE25AD">
              <w:t>Total</w:t>
            </w:r>
          </w:p>
        </w:tc>
        <w:tc>
          <w:tcPr>
            <w:tcW w:w="878" w:type="dxa"/>
            <w:shd w:val="clear" w:color="auto" w:fill="auto"/>
          </w:tcPr>
          <w:p w14:paraId="1443C9E9" w14:textId="033A224A" w:rsidR="00545FF4" w:rsidRPr="00DE25AD" w:rsidRDefault="00545FF4" w:rsidP="00545FF4">
            <w:pPr>
              <w:pStyle w:val="ASSADACCESStablecentre"/>
            </w:pPr>
            <w:r w:rsidRPr="002E5727">
              <w:rPr>
                <w:bCs w:val="0"/>
                <w:color w:val="000000"/>
              </w:rPr>
              <w:t>1</w:t>
            </w:r>
          </w:p>
        </w:tc>
        <w:tc>
          <w:tcPr>
            <w:tcW w:w="879" w:type="dxa"/>
            <w:shd w:val="clear" w:color="auto" w:fill="auto"/>
          </w:tcPr>
          <w:p w14:paraId="07A5B87B" w14:textId="6842191E" w:rsidR="00545FF4" w:rsidRPr="00DE25AD" w:rsidRDefault="00545FF4" w:rsidP="00545FF4">
            <w:pPr>
              <w:pStyle w:val="ASSADACCESStablecentre"/>
            </w:pPr>
            <w:r w:rsidRPr="002E5727">
              <w:rPr>
                <w:bCs w:val="0"/>
                <w:color w:val="000000"/>
              </w:rPr>
              <w:t>1</w:t>
            </w:r>
          </w:p>
        </w:tc>
        <w:tc>
          <w:tcPr>
            <w:tcW w:w="879" w:type="dxa"/>
            <w:shd w:val="clear" w:color="auto" w:fill="auto"/>
          </w:tcPr>
          <w:p w14:paraId="7BA2E913" w14:textId="4ACA827F" w:rsidR="00545FF4" w:rsidRPr="00DE25AD" w:rsidRDefault="00545FF4" w:rsidP="00545FF4">
            <w:pPr>
              <w:pStyle w:val="ASSADACCESStablecentre"/>
            </w:pPr>
            <w:r w:rsidRPr="002E5727">
              <w:rPr>
                <w:bCs w:val="0"/>
                <w:color w:val="000000"/>
              </w:rPr>
              <w:t>2</w:t>
            </w:r>
          </w:p>
        </w:tc>
        <w:tc>
          <w:tcPr>
            <w:tcW w:w="879" w:type="dxa"/>
            <w:shd w:val="clear" w:color="auto" w:fill="auto"/>
          </w:tcPr>
          <w:p w14:paraId="33D4660E" w14:textId="55FD1083" w:rsidR="00545FF4" w:rsidRPr="00DE25AD" w:rsidRDefault="00545FF4" w:rsidP="00545FF4">
            <w:pPr>
              <w:pStyle w:val="ASSADACCESStablecentre"/>
            </w:pPr>
            <w:r w:rsidRPr="002E5727">
              <w:rPr>
                <w:bCs w:val="0"/>
                <w:color w:val="000000"/>
              </w:rPr>
              <w:t>1</w:t>
            </w:r>
          </w:p>
        </w:tc>
        <w:tc>
          <w:tcPr>
            <w:tcW w:w="879" w:type="dxa"/>
            <w:shd w:val="clear" w:color="auto" w:fill="auto"/>
          </w:tcPr>
          <w:p w14:paraId="765BED24" w14:textId="686F4B47" w:rsidR="00545FF4" w:rsidRPr="00DE25AD" w:rsidRDefault="00545FF4" w:rsidP="00545FF4">
            <w:pPr>
              <w:pStyle w:val="ASSADACCESStablecentre"/>
            </w:pPr>
            <w:r w:rsidRPr="002E5727">
              <w:rPr>
                <w:bCs w:val="0"/>
                <w:color w:val="000000"/>
              </w:rPr>
              <w:t>1</w:t>
            </w:r>
          </w:p>
        </w:tc>
        <w:tc>
          <w:tcPr>
            <w:tcW w:w="879" w:type="dxa"/>
            <w:shd w:val="clear" w:color="auto" w:fill="auto"/>
          </w:tcPr>
          <w:p w14:paraId="3FA577E9" w14:textId="10A7CCE5" w:rsidR="00545FF4" w:rsidRPr="00DE25AD" w:rsidRDefault="00545FF4" w:rsidP="00545FF4">
            <w:pPr>
              <w:pStyle w:val="ASSADACCESStablecentre"/>
            </w:pPr>
            <w:r w:rsidRPr="002E5727">
              <w:rPr>
                <w:bCs w:val="0"/>
                <w:color w:val="000000"/>
              </w:rPr>
              <w:t>1*^</w:t>
            </w:r>
          </w:p>
        </w:tc>
        <w:tc>
          <w:tcPr>
            <w:tcW w:w="879" w:type="dxa"/>
            <w:shd w:val="clear" w:color="auto" w:fill="auto"/>
          </w:tcPr>
          <w:p w14:paraId="49F60CF8" w14:textId="106C2877" w:rsidR="00545FF4" w:rsidRPr="00DE25AD" w:rsidRDefault="00545FF4" w:rsidP="00545FF4">
            <w:pPr>
              <w:pStyle w:val="ASSADACCESStablecentre"/>
            </w:pPr>
            <w:r w:rsidRPr="002E5727">
              <w:rPr>
                <w:bCs w:val="0"/>
                <w:color w:val="000000"/>
              </w:rPr>
              <w:t>1*^</w:t>
            </w:r>
          </w:p>
        </w:tc>
        <w:tc>
          <w:tcPr>
            <w:tcW w:w="879" w:type="dxa"/>
            <w:shd w:val="clear" w:color="auto" w:fill="auto"/>
          </w:tcPr>
          <w:p w14:paraId="7F5C7270" w14:textId="20590458" w:rsidR="00545FF4" w:rsidRPr="00DE25AD" w:rsidRDefault="00545FF4" w:rsidP="00545FF4">
            <w:pPr>
              <w:pStyle w:val="ASSADACCESStablecentre"/>
            </w:pPr>
            <w:r w:rsidRPr="002E5727">
              <w:rPr>
                <w:bCs w:val="0"/>
                <w:color w:val="000000"/>
              </w:rPr>
              <w:t>1</w:t>
            </w:r>
          </w:p>
        </w:tc>
      </w:tr>
      <w:tr w:rsidR="00545FF4" w:rsidRPr="00DE25AD" w14:paraId="01E975CA" w14:textId="77777777" w:rsidTr="005F678B">
        <w:tc>
          <w:tcPr>
            <w:tcW w:w="1517" w:type="dxa"/>
            <w:tcMar>
              <w:left w:w="57" w:type="dxa"/>
            </w:tcMar>
          </w:tcPr>
          <w:p w14:paraId="2C707D99" w14:textId="77777777" w:rsidR="00545FF4" w:rsidRDefault="00545FF4" w:rsidP="00545FF4">
            <w:pPr>
              <w:pStyle w:val="ACCESSTableHeaderRow"/>
            </w:pPr>
            <w:r>
              <w:t>Aged 16-17</w:t>
            </w:r>
          </w:p>
        </w:tc>
        <w:tc>
          <w:tcPr>
            <w:tcW w:w="1068" w:type="dxa"/>
            <w:shd w:val="clear" w:color="auto" w:fill="auto"/>
            <w:tcMar>
              <w:left w:w="57" w:type="dxa"/>
            </w:tcMar>
            <w:vAlign w:val="center"/>
          </w:tcPr>
          <w:p w14:paraId="728F1538" w14:textId="77777777" w:rsidR="00545FF4" w:rsidRPr="00DE25AD" w:rsidRDefault="00545FF4" w:rsidP="00545FF4">
            <w:pPr>
              <w:pStyle w:val="ASSAD2017ACCESSBody1"/>
            </w:pPr>
          </w:p>
        </w:tc>
        <w:tc>
          <w:tcPr>
            <w:tcW w:w="878" w:type="dxa"/>
            <w:shd w:val="clear" w:color="auto" w:fill="auto"/>
            <w:vAlign w:val="bottom"/>
          </w:tcPr>
          <w:p w14:paraId="762DFFD9" w14:textId="77777777" w:rsidR="00545FF4" w:rsidRPr="00DE25AD" w:rsidRDefault="00545FF4" w:rsidP="00545FF4">
            <w:pPr>
              <w:pStyle w:val="ASSADACCESStablecentre"/>
            </w:pPr>
          </w:p>
        </w:tc>
        <w:tc>
          <w:tcPr>
            <w:tcW w:w="879" w:type="dxa"/>
            <w:shd w:val="clear" w:color="auto" w:fill="auto"/>
            <w:vAlign w:val="bottom"/>
          </w:tcPr>
          <w:p w14:paraId="5DBD276F" w14:textId="77777777" w:rsidR="00545FF4" w:rsidRPr="00DE25AD" w:rsidRDefault="00545FF4" w:rsidP="00545FF4">
            <w:pPr>
              <w:pStyle w:val="ASSADACCESStablecentre"/>
            </w:pPr>
          </w:p>
        </w:tc>
        <w:tc>
          <w:tcPr>
            <w:tcW w:w="879" w:type="dxa"/>
            <w:shd w:val="clear" w:color="auto" w:fill="auto"/>
            <w:vAlign w:val="bottom"/>
          </w:tcPr>
          <w:p w14:paraId="3C9EB40D" w14:textId="77777777" w:rsidR="00545FF4" w:rsidRPr="00DE25AD" w:rsidRDefault="00545FF4" w:rsidP="00545FF4">
            <w:pPr>
              <w:pStyle w:val="ASSADACCESStablecentre"/>
            </w:pPr>
          </w:p>
        </w:tc>
        <w:tc>
          <w:tcPr>
            <w:tcW w:w="879" w:type="dxa"/>
            <w:shd w:val="clear" w:color="auto" w:fill="auto"/>
            <w:vAlign w:val="bottom"/>
          </w:tcPr>
          <w:p w14:paraId="2F6E31B0" w14:textId="77777777" w:rsidR="00545FF4" w:rsidRPr="00DE25AD" w:rsidRDefault="00545FF4" w:rsidP="00545FF4">
            <w:pPr>
              <w:pStyle w:val="ASSADACCESStablecentre"/>
            </w:pPr>
          </w:p>
        </w:tc>
        <w:tc>
          <w:tcPr>
            <w:tcW w:w="879" w:type="dxa"/>
            <w:shd w:val="clear" w:color="auto" w:fill="auto"/>
            <w:vAlign w:val="bottom"/>
          </w:tcPr>
          <w:p w14:paraId="3174F40C" w14:textId="77777777" w:rsidR="00545FF4" w:rsidRPr="00DE25AD" w:rsidRDefault="00545FF4" w:rsidP="00545FF4">
            <w:pPr>
              <w:pStyle w:val="ASSADACCESStablecentre"/>
            </w:pPr>
          </w:p>
        </w:tc>
        <w:tc>
          <w:tcPr>
            <w:tcW w:w="879" w:type="dxa"/>
            <w:shd w:val="clear" w:color="auto" w:fill="auto"/>
            <w:vAlign w:val="bottom"/>
          </w:tcPr>
          <w:p w14:paraId="6EC3324B" w14:textId="77777777" w:rsidR="00545FF4" w:rsidRPr="00DE25AD" w:rsidRDefault="00545FF4" w:rsidP="00545FF4">
            <w:pPr>
              <w:pStyle w:val="ASSADACCESStablecentre"/>
            </w:pPr>
          </w:p>
        </w:tc>
        <w:tc>
          <w:tcPr>
            <w:tcW w:w="879" w:type="dxa"/>
            <w:shd w:val="clear" w:color="auto" w:fill="auto"/>
            <w:vAlign w:val="bottom"/>
          </w:tcPr>
          <w:p w14:paraId="516D6174" w14:textId="77777777" w:rsidR="00545FF4" w:rsidRPr="00DE25AD" w:rsidRDefault="00545FF4" w:rsidP="00545FF4">
            <w:pPr>
              <w:pStyle w:val="ASSADACCESStablecentre"/>
            </w:pPr>
          </w:p>
        </w:tc>
        <w:tc>
          <w:tcPr>
            <w:tcW w:w="879" w:type="dxa"/>
            <w:shd w:val="clear" w:color="auto" w:fill="auto"/>
            <w:vAlign w:val="bottom"/>
          </w:tcPr>
          <w:p w14:paraId="6C4082DE" w14:textId="77777777" w:rsidR="00545FF4" w:rsidRPr="00DE25AD" w:rsidRDefault="00545FF4" w:rsidP="00545FF4">
            <w:pPr>
              <w:pStyle w:val="ASSADACCESStablecentre"/>
            </w:pPr>
          </w:p>
        </w:tc>
      </w:tr>
      <w:tr w:rsidR="00545FF4" w:rsidRPr="00DE25AD" w14:paraId="1B4C50DF" w14:textId="77777777" w:rsidTr="005F678B">
        <w:tc>
          <w:tcPr>
            <w:tcW w:w="1517" w:type="dxa"/>
            <w:tcMar>
              <w:left w:w="57" w:type="dxa"/>
            </w:tcMar>
          </w:tcPr>
          <w:p w14:paraId="745872AA" w14:textId="77777777" w:rsidR="00545FF4" w:rsidRDefault="00545FF4" w:rsidP="00545FF4">
            <w:pPr>
              <w:pStyle w:val="ACCESSTableHeaderRow"/>
            </w:pPr>
            <w:r w:rsidRPr="00DE25AD">
              <w:t>Recency</w:t>
            </w:r>
          </w:p>
        </w:tc>
        <w:tc>
          <w:tcPr>
            <w:tcW w:w="1068" w:type="dxa"/>
            <w:shd w:val="clear" w:color="auto" w:fill="auto"/>
            <w:tcMar>
              <w:left w:w="57" w:type="dxa"/>
            </w:tcMar>
            <w:vAlign w:val="center"/>
          </w:tcPr>
          <w:p w14:paraId="0033CB04" w14:textId="77777777" w:rsidR="00545FF4" w:rsidRPr="00DE25AD" w:rsidRDefault="00545FF4" w:rsidP="00545FF4">
            <w:pPr>
              <w:pStyle w:val="ASSAD2017ACCESSBody1"/>
            </w:pPr>
            <w:r w:rsidRPr="005C5B03">
              <w:rPr>
                <w:b/>
                <w:bCs w:val="0"/>
              </w:rPr>
              <w:t>Sex</w:t>
            </w:r>
          </w:p>
        </w:tc>
        <w:tc>
          <w:tcPr>
            <w:tcW w:w="878" w:type="dxa"/>
            <w:shd w:val="clear" w:color="auto" w:fill="auto"/>
            <w:vAlign w:val="bottom"/>
          </w:tcPr>
          <w:p w14:paraId="5E00082E" w14:textId="77777777" w:rsidR="00545FF4" w:rsidRPr="00DE25AD" w:rsidRDefault="00545FF4" w:rsidP="00545FF4">
            <w:pPr>
              <w:pStyle w:val="ASSADACCESStablecentre"/>
            </w:pPr>
          </w:p>
        </w:tc>
        <w:tc>
          <w:tcPr>
            <w:tcW w:w="879" w:type="dxa"/>
            <w:shd w:val="clear" w:color="auto" w:fill="auto"/>
            <w:vAlign w:val="bottom"/>
          </w:tcPr>
          <w:p w14:paraId="4246C19A" w14:textId="77777777" w:rsidR="00545FF4" w:rsidRPr="00DE25AD" w:rsidRDefault="00545FF4" w:rsidP="00545FF4">
            <w:pPr>
              <w:pStyle w:val="ASSADACCESStablecentre"/>
            </w:pPr>
          </w:p>
        </w:tc>
        <w:tc>
          <w:tcPr>
            <w:tcW w:w="879" w:type="dxa"/>
            <w:shd w:val="clear" w:color="auto" w:fill="auto"/>
            <w:vAlign w:val="bottom"/>
          </w:tcPr>
          <w:p w14:paraId="2F7E0098" w14:textId="77777777" w:rsidR="00545FF4" w:rsidRPr="00DE25AD" w:rsidRDefault="00545FF4" w:rsidP="00545FF4">
            <w:pPr>
              <w:pStyle w:val="ASSADACCESStablecentre"/>
            </w:pPr>
          </w:p>
        </w:tc>
        <w:tc>
          <w:tcPr>
            <w:tcW w:w="879" w:type="dxa"/>
            <w:shd w:val="clear" w:color="auto" w:fill="auto"/>
            <w:vAlign w:val="bottom"/>
          </w:tcPr>
          <w:p w14:paraId="0FE9A448" w14:textId="77777777" w:rsidR="00545FF4" w:rsidRPr="00DE25AD" w:rsidRDefault="00545FF4" w:rsidP="00545FF4">
            <w:pPr>
              <w:pStyle w:val="ASSADACCESStablecentre"/>
            </w:pPr>
          </w:p>
        </w:tc>
        <w:tc>
          <w:tcPr>
            <w:tcW w:w="879" w:type="dxa"/>
            <w:shd w:val="clear" w:color="auto" w:fill="auto"/>
            <w:vAlign w:val="bottom"/>
          </w:tcPr>
          <w:p w14:paraId="11502890" w14:textId="77777777" w:rsidR="00545FF4" w:rsidRPr="00DE25AD" w:rsidRDefault="00545FF4" w:rsidP="00545FF4">
            <w:pPr>
              <w:pStyle w:val="ASSADACCESStablecentre"/>
            </w:pPr>
          </w:p>
        </w:tc>
        <w:tc>
          <w:tcPr>
            <w:tcW w:w="879" w:type="dxa"/>
            <w:shd w:val="clear" w:color="auto" w:fill="auto"/>
            <w:vAlign w:val="bottom"/>
          </w:tcPr>
          <w:p w14:paraId="4B30DDF3" w14:textId="77777777" w:rsidR="00545FF4" w:rsidRPr="00DE25AD" w:rsidRDefault="00545FF4" w:rsidP="00545FF4">
            <w:pPr>
              <w:pStyle w:val="ASSADACCESStablecentre"/>
            </w:pPr>
          </w:p>
        </w:tc>
        <w:tc>
          <w:tcPr>
            <w:tcW w:w="879" w:type="dxa"/>
            <w:shd w:val="clear" w:color="auto" w:fill="auto"/>
            <w:vAlign w:val="bottom"/>
          </w:tcPr>
          <w:p w14:paraId="2CBF919D" w14:textId="77777777" w:rsidR="00545FF4" w:rsidRPr="00DE25AD" w:rsidRDefault="00545FF4" w:rsidP="00545FF4">
            <w:pPr>
              <w:pStyle w:val="ASSADACCESStablecentre"/>
            </w:pPr>
          </w:p>
        </w:tc>
        <w:tc>
          <w:tcPr>
            <w:tcW w:w="879" w:type="dxa"/>
            <w:shd w:val="clear" w:color="auto" w:fill="auto"/>
            <w:vAlign w:val="bottom"/>
          </w:tcPr>
          <w:p w14:paraId="4C4201CF" w14:textId="77777777" w:rsidR="00545FF4" w:rsidRPr="00DE25AD" w:rsidRDefault="00545FF4" w:rsidP="00545FF4">
            <w:pPr>
              <w:pStyle w:val="ASSADACCESStablecentre"/>
            </w:pPr>
          </w:p>
        </w:tc>
      </w:tr>
      <w:tr w:rsidR="00545FF4" w:rsidRPr="00DE25AD" w14:paraId="64DB0D05" w14:textId="77777777" w:rsidTr="00545FF4">
        <w:tc>
          <w:tcPr>
            <w:tcW w:w="1517" w:type="dxa"/>
            <w:tcMar>
              <w:left w:w="57" w:type="dxa"/>
            </w:tcMar>
          </w:tcPr>
          <w:p w14:paraId="59C7395A" w14:textId="77777777" w:rsidR="00545FF4" w:rsidRPr="00DE25AD" w:rsidRDefault="00545FF4" w:rsidP="00545FF4">
            <w:pPr>
              <w:pStyle w:val="ACCESSTableHeaderRow"/>
            </w:pPr>
            <w:r>
              <w:t>Lifetime</w:t>
            </w:r>
          </w:p>
        </w:tc>
        <w:tc>
          <w:tcPr>
            <w:tcW w:w="1068" w:type="dxa"/>
            <w:shd w:val="clear" w:color="auto" w:fill="auto"/>
            <w:tcMar>
              <w:left w:w="57" w:type="dxa"/>
            </w:tcMar>
            <w:vAlign w:val="bottom"/>
          </w:tcPr>
          <w:p w14:paraId="4AF01054" w14:textId="77777777" w:rsidR="00545FF4" w:rsidRPr="00DE25AD" w:rsidRDefault="00545FF4" w:rsidP="00545FF4">
            <w:pPr>
              <w:pStyle w:val="ASSAD2017ACCESSBody1"/>
            </w:pPr>
            <w:r w:rsidRPr="00DE25AD">
              <w:t>Male</w:t>
            </w:r>
          </w:p>
        </w:tc>
        <w:tc>
          <w:tcPr>
            <w:tcW w:w="878" w:type="dxa"/>
            <w:shd w:val="clear" w:color="auto" w:fill="auto"/>
          </w:tcPr>
          <w:p w14:paraId="76AF5029" w14:textId="2495F799" w:rsidR="00545FF4" w:rsidRPr="00DE25AD" w:rsidRDefault="00545FF4" w:rsidP="00545FF4">
            <w:pPr>
              <w:pStyle w:val="ASSADACCESStablecentre"/>
            </w:pPr>
            <w:r w:rsidRPr="002E5727">
              <w:rPr>
                <w:bCs w:val="0"/>
                <w:color w:val="000000"/>
              </w:rPr>
              <w:t>6*</w:t>
            </w:r>
          </w:p>
        </w:tc>
        <w:tc>
          <w:tcPr>
            <w:tcW w:w="879" w:type="dxa"/>
            <w:shd w:val="clear" w:color="auto" w:fill="auto"/>
          </w:tcPr>
          <w:p w14:paraId="3EA33971" w14:textId="2848643A" w:rsidR="00545FF4" w:rsidRPr="00DE25AD" w:rsidRDefault="00545FF4" w:rsidP="00545FF4">
            <w:pPr>
              <w:pStyle w:val="ASSADACCESStablecentre"/>
            </w:pPr>
            <w:r w:rsidRPr="002E5727">
              <w:rPr>
                <w:bCs w:val="0"/>
                <w:color w:val="000000"/>
              </w:rPr>
              <w:t>7*</w:t>
            </w:r>
          </w:p>
        </w:tc>
        <w:tc>
          <w:tcPr>
            <w:tcW w:w="879" w:type="dxa"/>
            <w:shd w:val="clear" w:color="auto" w:fill="auto"/>
          </w:tcPr>
          <w:p w14:paraId="16DF8A55" w14:textId="7C39CF05" w:rsidR="00545FF4" w:rsidRPr="00DE25AD" w:rsidRDefault="00545FF4" w:rsidP="00545FF4">
            <w:pPr>
              <w:pStyle w:val="ASSADACCESStablecentre"/>
            </w:pPr>
            <w:r w:rsidRPr="002E5727">
              <w:rPr>
                <w:bCs w:val="0"/>
                <w:color w:val="000000"/>
              </w:rPr>
              <w:t>7*</w:t>
            </w:r>
          </w:p>
        </w:tc>
        <w:tc>
          <w:tcPr>
            <w:tcW w:w="879" w:type="dxa"/>
            <w:shd w:val="clear" w:color="auto" w:fill="auto"/>
          </w:tcPr>
          <w:p w14:paraId="18CA9009" w14:textId="50C7FDBC" w:rsidR="00545FF4" w:rsidRPr="00DE25AD" w:rsidRDefault="00545FF4" w:rsidP="00545FF4">
            <w:pPr>
              <w:pStyle w:val="ASSADACCESStablecentre"/>
            </w:pPr>
            <w:r w:rsidRPr="002E5727">
              <w:rPr>
                <w:bCs w:val="0"/>
                <w:color w:val="000000"/>
              </w:rPr>
              <w:t>7*</w:t>
            </w:r>
          </w:p>
        </w:tc>
        <w:tc>
          <w:tcPr>
            <w:tcW w:w="879" w:type="dxa"/>
            <w:shd w:val="clear" w:color="auto" w:fill="auto"/>
          </w:tcPr>
          <w:p w14:paraId="2E0462BE" w14:textId="235DE626" w:rsidR="00545FF4" w:rsidRPr="00DE25AD" w:rsidRDefault="00545FF4" w:rsidP="00545FF4">
            <w:pPr>
              <w:pStyle w:val="ASSADACCESStablecentre"/>
            </w:pPr>
            <w:r w:rsidRPr="002E5727">
              <w:rPr>
                <w:bCs w:val="0"/>
                <w:color w:val="000000"/>
              </w:rPr>
              <w:t>9^</w:t>
            </w:r>
          </w:p>
        </w:tc>
        <w:tc>
          <w:tcPr>
            <w:tcW w:w="879" w:type="dxa"/>
            <w:shd w:val="clear" w:color="auto" w:fill="auto"/>
          </w:tcPr>
          <w:p w14:paraId="794CD2B6" w14:textId="6452F2E7" w:rsidR="00545FF4" w:rsidRPr="00DE25AD" w:rsidRDefault="00545FF4" w:rsidP="00545FF4">
            <w:pPr>
              <w:pStyle w:val="ASSADACCESStablecentre"/>
            </w:pPr>
            <w:r w:rsidRPr="002E5727">
              <w:rPr>
                <w:bCs w:val="0"/>
                <w:color w:val="000000"/>
              </w:rPr>
              <w:t>5*</w:t>
            </w:r>
          </w:p>
        </w:tc>
        <w:tc>
          <w:tcPr>
            <w:tcW w:w="879" w:type="dxa"/>
            <w:shd w:val="clear" w:color="auto" w:fill="auto"/>
          </w:tcPr>
          <w:p w14:paraId="133C7918" w14:textId="5D3D8379" w:rsidR="00545FF4" w:rsidRPr="00DE25AD" w:rsidRDefault="00545FF4" w:rsidP="00545FF4">
            <w:pPr>
              <w:pStyle w:val="ASSADACCESStablecentre"/>
            </w:pPr>
            <w:r w:rsidRPr="002E5727">
              <w:rPr>
                <w:bCs w:val="0"/>
                <w:color w:val="000000"/>
              </w:rPr>
              <w:t>8^</w:t>
            </w:r>
          </w:p>
        </w:tc>
        <w:tc>
          <w:tcPr>
            <w:tcW w:w="879" w:type="dxa"/>
            <w:shd w:val="clear" w:color="auto" w:fill="auto"/>
          </w:tcPr>
          <w:p w14:paraId="11FE53A1" w14:textId="1BE9A6F4" w:rsidR="00545FF4" w:rsidRPr="00DE25AD" w:rsidRDefault="00545FF4" w:rsidP="00545FF4">
            <w:pPr>
              <w:pStyle w:val="ASSADACCESStablecentre"/>
            </w:pPr>
            <w:r w:rsidRPr="002E5727">
              <w:rPr>
                <w:bCs w:val="0"/>
                <w:color w:val="000000"/>
              </w:rPr>
              <w:t>1</w:t>
            </w:r>
            <w:r>
              <w:rPr>
                <w:bCs w:val="0"/>
                <w:color w:val="000000"/>
              </w:rPr>
              <w:t>2</w:t>
            </w:r>
            <w:r w:rsidRPr="002E5727">
              <w:rPr>
                <w:bCs w:val="0"/>
                <w:color w:val="000000"/>
              </w:rPr>
              <w:t>^</w:t>
            </w:r>
          </w:p>
        </w:tc>
      </w:tr>
      <w:tr w:rsidR="00545FF4" w:rsidRPr="00DE25AD" w14:paraId="07A77A41" w14:textId="77777777" w:rsidTr="005F678B">
        <w:tc>
          <w:tcPr>
            <w:tcW w:w="1517" w:type="dxa"/>
            <w:tcMar>
              <w:left w:w="57" w:type="dxa"/>
            </w:tcMar>
          </w:tcPr>
          <w:p w14:paraId="428F683C" w14:textId="77777777" w:rsidR="00545FF4" w:rsidRPr="00DE25AD" w:rsidRDefault="00545FF4" w:rsidP="00545FF4">
            <w:pPr>
              <w:pStyle w:val="ACCESSTableHeaderRow"/>
            </w:pPr>
          </w:p>
        </w:tc>
        <w:tc>
          <w:tcPr>
            <w:tcW w:w="1068" w:type="dxa"/>
            <w:shd w:val="clear" w:color="auto" w:fill="auto"/>
            <w:tcMar>
              <w:left w:w="57" w:type="dxa"/>
            </w:tcMar>
            <w:vAlign w:val="bottom"/>
          </w:tcPr>
          <w:p w14:paraId="129EA376" w14:textId="77777777" w:rsidR="00545FF4" w:rsidRPr="00DE25AD" w:rsidRDefault="00545FF4" w:rsidP="00545FF4">
            <w:pPr>
              <w:pStyle w:val="ASSAD2017ACCESSBody1"/>
            </w:pPr>
            <w:r w:rsidRPr="00DE25AD">
              <w:t>Female</w:t>
            </w:r>
          </w:p>
        </w:tc>
        <w:tc>
          <w:tcPr>
            <w:tcW w:w="878" w:type="dxa"/>
            <w:shd w:val="clear" w:color="auto" w:fill="auto"/>
          </w:tcPr>
          <w:p w14:paraId="6AF19B4A" w14:textId="6DB6AAFD" w:rsidR="00545FF4" w:rsidRPr="00DE25AD" w:rsidRDefault="00545FF4" w:rsidP="00545FF4">
            <w:pPr>
              <w:pStyle w:val="ASSADACCESStablecentre"/>
            </w:pPr>
            <w:r w:rsidRPr="002E5727">
              <w:rPr>
                <w:bCs w:val="0"/>
                <w:color w:val="000000"/>
              </w:rPr>
              <w:t>4*</w:t>
            </w:r>
          </w:p>
        </w:tc>
        <w:tc>
          <w:tcPr>
            <w:tcW w:w="879" w:type="dxa"/>
            <w:shd w:val="clear" w:color="auto" w:fill="auto"/>
          </w:tcPr>
          <w:p w14:paraId="51DF5347" w14:textId="13CAAFA3" w:rsidR="00545FF4" w:rsidRPr="00DE25AD" w:rsidRDefault="00545FF4" w:rsidP="00545FF4">
            <w:pPr>
              <w:pStyle w:val="ASSADACCESStablecentre"/>
            </w:pPr>
            <w:r w:rsidRPr="002E5727">
              <w:rPr>
                <w:bCs w:val="0"/>
                <w:color w:val="000000"/>
              </w:rPr>
              <w:t>5</w:t>
            </w:r>
          </w:p>
        </w:tc>
        <w:tc>
          <w:tcPr>
            <w:tcW w:w="879" w:type="dxa"/>
            <w:shd w:val="clear" w:color="auto" w:fill="auto"/>
          </w:tcPr>
          <w:p w14:paraId="7F8AAC1F" w14:textId="61C0C047" w:rsidR="00545FF4" w:rsidRPr="00DE25AD" w:rsidRDefault="00545FF4" w:rsidP="00545FF4">
            <w:pPr>
              <w:pStyle w:val="ASSADACCESStablecentre"/>
            </w:pPr>
            <w:r w:rsidRPr="002E5727">
              <w:rPr>
                <w:bCs w:val="0"/>
                <w:color w:val="000000"/>
              </w:rPr>
              <w:t>7^</w:t>
            </w:r>
          </w:p>
        </w:tc>
        <w:tc>
          <w:tcPr>
            <w:tcW w:w="879" w:type="dxa"/>
            <w:shd w:val="clear" w:color="auto" w:fill="auto"/>
          </w:tcPr>
          <w:p w14:paraId="05FA1F98" w14:textId="3A9D493F" w:rsidR="00545FF4" w:rsidRPr="00DE25AD" w:rsidRDefault="00545FF4" w:rsidP="00545FF4">
            <w:pPr>
              <w:pStyle w:val="ASSADACCESStablecentre"/>
            </w:pPr>
            <w:r w:rsidRPr="002E5727">
              <w:rPr>
                <w:bCs w:val="0"/>
                <w:color w:val="000000"/>
              </w:rPr>
              <w:t>5</w:t>
            </w:r>
          </w:p>
        </w:tc>
        <w:tc>
          <w:tcPr>
            <w:tcW w:w="879" w:type="dxa"/>
            <w:shd w:val="clear" w:color="auto" w:fill="auto"/>
          </w:tcPr>
          <w:p w14:paraId="679AC749" w14:textId="3F0FCD7A" w:rsidR="00545FF4" w:rsidRPr="00DE25AD" w:rsidRDefault="00545FF4" w:rsidP="00545FF4">
            <w:pPr>
              <w:pStyle w:val="ASSADACCESStablecentre"/>
            </w:pPr>
            <w:r w:rsidRPr="002E5727">
              <w:rPr>
                <w:bCs w:val="0"/>
                <w:color w:val="000000"/>
              </w:rPr>
              <w:t>7^</w:t>
            </w:r>
          </w:p>
        </w:tc>
        <w:tc>
          <w:tcPr>
            <w:tcW w:w="879" w:type="dxa"/>
            <w:shd w:val="clear" w:color="auto" w:fill="auto"/>
          </w:tcPr>
          <w:p w14:paraId="37DC16C8" w14:textId="5C4AA81F" w:rsidR="00545FF4" w:rsidRPr="00DE25AD" w:rsidRDefault="00545FF4" w:rsidP="00545FF4">
            <w:pPr>
              <w:pStyle w:val="ASSADACCESStablecentre"/>
            </w:pPr>
            <w:r w:rsidRPr="002E5727">
              <w:rPr>
                <w:bCs w:val="0"/>
                <w:color w:val="000000"/>
              </w:rPr>
              <w:t>4*</w:t>
            </w:r>
          </w:p>
        </w:tc>
        <w:tc>
          <w:tcPr>
            <w:tcW w:w="879" w:type="dxa"/>
            <w:shd w:val="clear" w:color="auto" w:fill="auto"/>
          </w:tcPr>
          <w:p w14:paraId="1162D9A4" w14:textId="37208F32" w:rsidR="00545FF4" w:rsidRPr="00DE25AD" w:rsidRDefault="00545FF4" w:rsidP="00545FF4">
            <w:pPr>
              <w:pStyle w:val="ASSADACCESStablecentre"/>
            </w:pPr>
            <w:r w:rsidRPr="002E5727">
              <w:rPr>
                <w:bCs w:val="0"/>
                <w:color w:val="000000"/>
              </w:rPr>
              <w:t>4*</w:t>
            </w:r>
          </w:p>
        </w:tc>
        <w:tc>
          <w:tcPr>
            <w:tcW w:w="879" w:type="dxa"/>
            <w:shd w:val="clear" w:color="auto" w:fill="auto"/>
          </w:tcPr>
          <w:p w14:paraId="18441A09" w14:textId="77223426" w:rsidR="00545FF4" w:rsidRPr="00DE25AD" w:rsidRDefault="00545FF4" w:rsidP="00545FF4">
            <w:pPr>
              <w:pStyle w:val="ASSADACCESStablecentre"/>
            </w:pPr>
            <w:r>
              <w:rPr>
                <w:bCs w:val="0"/>
                <w:color w:val="000000"/>
              </w:rPr>
              <w:t>7</w:t>
            </w:r>
            <w:r w:rsidRPr="002E5727">
              <w:rPr>
                <w:bCs w:val="0"/>
                <w:color w:val="000000"/>
              </w:rPr>
              <w:t>^</w:t>
            </w:r>
          </w:p>
        </w:tc>
      </w:tr>
      <w:tr w:rsidR="00545FF4" w:rsidRPr="00DE25AD" w14:paraId="03211314" w14:textId="77777777" w:rsidTr="005F678B">
        <w:trPr>
          <w:trHeight w:val="247"/>
        </w:trPr>
        <w:tc>
          <w:tcPr>
            <w:tcW w:w="1517" w:type="dxa"/>
            <w:tcMar>
              <w:left w:w="57" w:type="dxa"/>
            </w:tcMar>
          </w:tcPr>
          <w:p w14:paraId="3F09BED2" w14:textId="77777777" w:rsidR="00545FF4" w:rsidRPr="00DE25AD" w:rsidRDefault="00545FF4" w:rsidP="00545FF4">
            <w:pPr>
              <w:pStyle w:val="ACCESSTableHeaderRow"/>
            </w:pPr>
          </w:p>
        </w:tc>
        <w:tc>
          <w:tcPr>
            <w:tcW w:w="1068" w:type="dxa"/>
            <w:shd w:val="clear" w:color="auto" w:fill="auto"/>
            <w:tcMar>
              <w:left w:w="57" w:type="dxa"/>
            </w:tcMar>
            <w:vAlign w:val="bottom"/>
          </w:tcPr>
          <w:p w14:paraId="73EA4265" w14:textId="77777777" w:rsidR="00545FF4" w:rsidRPr="00DE25AD" w:rsidRDefault="00545FF4" w:rsidP="00545FF4">
            <w:pPr>
              <w:pStyle w:val="ASSAD2017ACCESSBody1"/>
            </w:pPr>
            <w:r w:rsidRPr="00DE25AD">
              <w:t>Total</w:t>
            </w:r>
          </w:p>
        </w:tc>
        <w:tc>
          <w:tcPr>
            <w:tcW w:w="878" w:type="dxa"/>
            <w:shd w:val="clear" w:color="auto" w:fill="auto"/>
          </w:tcPr>
          <w:p w14:paraId="7D022129" w14:textId="76377E7A" w:rsidR="00545FF4" w:rsidRPr="00DE25AD" w:rsidRDefault="00545FF4" w:rsidP="00545FF4">
            <w:pPr>
              <w:pStyle w:val="ASSADACCESStablecentre"/>
            </w:pPr>
            <w:r w:rsidRPr="002E5727">
              <w:rPr>
                <w:bCs w:val="0"/>
                <w:color w:val="000000"/>
              </w:rPr>
              <w:t>5*</w:t>
            </w:r>
          </w:p>
        </w:tc>
        <w:tc>
          <w:tcPr>
            <w:tcW w:w="879" w:type="dxa"/>
            <w:shd w:val="clear" w:color="auto" w:fill="auto"/>
          </w:tcPr>
          <w:p w14:paraId="55BF277E" w14:textId="49FC0515" w:rsidR="00545FF4" w:rsidRPr="00DE25AD" w:rsidRDefault="00545FF4" w:rsidP="00545FF4">
            <w:pPr>
              <w:pStyle w:val="ASSADACCESStablecentre"/>
            </w:pPr>
            <w:r w:rsidRPr="002E5727">
              <w:rPr>
                <w:bCs w:val="0"/>
                <w:color w:val="000000"/>
              </w:rPr>
              <w:t>6*</w:t>
            </w:r>
          </w:p>
        </w:tc>
        <w:tc>
          <w:tcPr>
            <w:tcW w:w="879" w:type="dxa"/>
            <w:shd w:val="clear" w:color="auto" w:fill="auto"/>
          </w:tcPr>
          <w:p w14:paraId="215AE185" w14:textId="645BCCB8" w:rsidR="00545FF4" w:rsidRPr="00DE25AD" w:rsidRDefault="00545FF4" w:rsidP="00545FF4">
            <w:pPr>
              <w:pStyle w:val="ASSADACCESStablecentre"/>
            </w:pPr>
            <w:r w:rsidRPr="002E5727">
              <w:rPr>
                <w:bCs w:val="0"/>
                <w:color w:val="000000"/>
              </w:rPr>
              <w:t>7*^</w:t>
            </w:r>
          </w:p>
        </w:tc>
        <w:tc>
          <w:tcPr>
            <w:tcW w:w="879" w:type="dxa"/>
            <w:shd w:val="clear" w:color="auto" w:fill="auto"/>
          </w:tcPr>
          <w:p w14:paraId="368A6F81" w14:textId="30C9A3BC" w:rsidR="00545FF4" w:rsidRPr="00DE25AD" w:rsidRDefault="00545FF4" w:rsidP="00545FF4">
            <w:pPr>
              <w:pStyle w:val="ASSADACCESStablecentre"/>
            </w:pPr>
            <w:r w:rsidRPr="002E5727">
              <w:rPr>
                <w:bCs w:val="0"/>
                <w:color w:val="000000"/>
              </w:rPr>
              <w:t>6*</w:t>
            </w:r>
          </w:p>
        </w:tc>
        <w:tc>
          <w:tcPr>
            <w:tcW w:w="879" w:type="dxa"/>
            <w:shd w:val="clear" w:color="auto" w:fill="auto"/>
          </w:tcPr>
          <w:p w14:paraId="77E46693" w14:textId="429B248F" w:rsidR="00545FF4" w:rsidRPr="00DE25AD" w:rsidRDefault="00545FF4" w:rsidP="00545FF4">
            <w:pPr>
              <w:pStyle w:val="ASSADACCESStablecentre"/>
            </w:pPr>
            <w:r w:rsidRPr="002E5727">
              <w:rPr>
                <w:bCs w:val="0"/>
                <w:color w:val="000000"/>
              </w:rPr>
              <w:t>8^</w:t>
            </w:r>
          </w:p>
        </w:tc>
        <w:tc>
          <w:tcPr>
            <w:tcW w:w="879" w:type="dxa"/>
            <w:shd w:val="clear" w:color="auto" w:fill="auto"/>
          </w:tcPr>
          <w:p w14:paraId="104016E2" w14:textId="54D663CE" w:rsidR="00545FF4" w:rsidRPr="00DE25AD" w:rsidRDefault="00545FF4" w:rsidP="00545FF4">
            <w:pPr>
              <w:pStyle w:val="ASSADACCESStablecentre"/>
            </w:pPr>
            <w:r w:rsidRPr="002E5727">
              <w:rPr>
                <w:bCs w:val="0"/>
                <w:color w:val="000000"/>
              </w:rPr>
              <w:t>5*</w:t>
            </w:r>
          </w:p>
        </w:tc>
        <w:tc>
          <w:tcPr>
            <w:tcW w:w="879" w:type="dxa"/>
            <w:shd w:val="clear" w:color="auto" w:fill="auto"/>
          </w:tcPr>
          <w:p w14:paraId="05BA8AC9" w14:textId="3FBFB838" w:rsidR="00545FF4" w:rsidRPr="00DE25AD" w:rsidRDefault="00545FF4" w:rsidP="00545FF4">
            <w:pPr>
              <w:pStyle w:val="ASSADACCESStablecentre"/>
            </w:pPr>
            <w:r w:rsidRPr="002E5727">
              <w:rPr>
                <w:bCs w:val="0"/>
                <w:color w:val="000000"/>
              </w:rPr>
              <w:t>6*</w:t>
            </w:r>
          </w:p>
        </w:tc>
        <w:tc>
          <w:tcPr>
            <w:tcW w:w="879" w:type="dxa"/>
            <w:shd w:val="clear" w:color="auto" w:fill="auto"/>
          </w:tcPr>
          <w:p w14:paraId="606AFAB6" w14:textId="390B02C7" w:rsidR="00545FF4" w:rsidRPr="00DE25AD" w:rsidRDefault="00545FF4" w:rsidP="00545FF4">
            <w:pPr>
              <w:pStyle w:val="ASSADACCESStablecentre"/>
            </w:pPr>
            <w:r>
              <w:rPr>
                <w:bCs w:val="0"/>
                <w:color w:val="000000"/>
              </w:rPr>
              <w:t>9</w:t>
            </w:r>
            <w:r w:rsidRPr="002E5727">
              <w:rPr>
                <w:bCs w:val="0"/>
                <w:color w:val="000000"/>
              </w:rPr>
              <w:t>^</w:t>
            </w:r>
          </w:p>
        </w:tc>
      </w:tr>
      <w:tr w:rsidR="00545FF4" w:rsidRPr="00DE25AD" w14:paraId="3E6224ED" w14:textId="77777777" w:rsidTr="005F678B">
        <w:tc>
          <w:tcPr>
            <w:tcW w:w="1517" w:type="dxa"/>
            <w:tcMar>
              <w:left w:w="57" w:type="dxa"/>
            </w:tcMar>
          </w:tcPr>
          <w:p w14:paraId="26E59C84" w14:textId="77777777" w:rsidR="00545FF4" w:rsidRPr="00DE25AD" w:rsidRDefault="00545FF4" w:rsidP="00545FF4">
            <w:pPr>
              <w:pStyle w:val="ACCESSTableHeaderRow"/>
            </w:pPr>
            <w:r w:rsidRPr="00DE25AD">
              <w:t xml:space="preserve">Past </w:t>
            </w:r>
            <w:r>
              <w:t>year</w:t>
            </w:r>
          </w:p>
        </w:tc>
        <w:tc>
          <w:tcPr>
            <w:tcW w:w="1068" w:type="dxa"/>
            <w:shd w:val="clear" w:color="auto" w:fill="auto"/>
            <w:tcMar>
              <w:left w:w="57" w:type="dxa"/>
            </w:tcMar>
            <w:vAlign w:val="bottom"/>
          </w:tcPr>
          <w:p w14:paraId="51B23AE9" w14:textId="77777777" w:rsidR="00545FF4" w:rsidRPr="00DE25AD" w:rsidRDefault="00545FF4" w:rsidP="00545FF4">
            <w:pPr>
              <w:pStyle w:val="ASSAD2017ACCESSBody1"/>
            </w:pPr>
            <w:r w:rsidRPr="00DE25AD">
              <w:t>Male</w:t>
            </w:r>
          </w:p>
        </w:tc>
        <w:tc>
          <w:tcPr>
            <w:tcW w:w="878" w:type="dxa"/>
            <w:shd w:val="clear" w:color="auto" w:fill="auto"/>
          </w:tcPr>
          <w:p w14:paraId="3D8AEE03" w14:textId="76765C3D" w:rsidR="00545FF4" w:rsidRPr="00DE25AD" w:rsidRDefault="00545FF4" w:rsidP="00545FF4">
            <w:pPr>
              <w:pStyle w:val="ASSADACCESStablecentre"/>
            </w:pPr>
            <w:r w:rsidRPr="002E5727">
              <w:rPr>
                <w:bCs w:val="0"/>
                <w:color w:val="000000"/>
              </w:rPr>
              <w:t>5*</w:t>
            </w:r>
          </w:p>
        </w:tc>
        <w:tc>
          <w:tcPr>
            <w:tcW w:w="879" w:type="dxa"/>
            <w:shd w:val="clear" w:color="auto" w:fill="auto"/>
          </w:tcPr>
          <w:p w14:paraId="15D9BC1D" w14:textId="35BD8918" w:rsidR="00545FF4" w:rsidRPr="00DE25AD" w:rsidRDefault="00545FF4" w:rsidP="00545FF4">
            <w:pPr>
              <w:pStyle w:val="ASSADACCESStablecentre"/>
            </w:pPr>
            <w:r w:rsidRPr="002E5727">
              <w:rPr>
                <w:bCs w:val="0"/>
                <w:color w:val="000000"/>
              </w:rPr>
              <w:t>6*</w:t>
            </w:r>
          </w:p>
        </w:tc>
        <w:tc>
          <w:tcPr>
            <w:tcW w:w="879" w:type="dxa"/>
            <w:shd w:val="clear" w:color="auto" w:fill="auto"/>
          </w:tcPr>
          <w:p w14:paraId="5D1261E6" w14:textId="43413E27" w:rsidR="00545FF4" w:rsidRPr="00DE25AD" w:rsidRDefault="00545FF4" w:rsidP="00545FF4">
            <w:pPr>
              <w:pStyle w:val="ASSADACCESStablecentre"/>
            </w:pPr>
            <w:r w:rsidRPr="002E5727">
              <w:rPr>
                <w:bCs w:val="0"/>
                <w:color w:val="000000"/>
              </w:rPr>
              <w:t>5*</w:t>
            </w:r>
          </w:p>
        </w:tc>
        <w:tc>
          <w:tcPr>
            <w:tcW w:w="879" w:type="dxa"/>
            <w:shd w:val="clear" w:color="auto" w:fill="auto"/>
          </w:tcPr>
          <w:p w14:paraId="2542ABB1" w14:textId="38FA2F3E" w:rsidR="00545FF4" w:rsidRPr="00DE25AD" w:rsidRDefault="00545FF4" w:rsidP="00545FF4">
            <w:pPr>
              <w:pStyle w:val="ASSADACCESStablecentre"/>
            </w:pPr>
            <w:r w:rsidRPr="002E5727">
              <w:rPr>
                <w:bCs w:val="0"/>
                <w:color w:val="000000"/>
              </w:rPr>
              <w:t>6*</w:t>
            </w:r>
          </w:p>
        </w:tc>
        <w:tc>
          <w:tcPr>
            <w:tcW w:w="879" w:type="dxa"/>
            <w:shd w:val="clear" w:color="auto" w:fill="auto"/>
          </w:tcPr>
          <w:p w14:paraId="09C177CD" w14:textId="70F32587" w:rsidR="00545FF4" w:rsidRPr="00DE25AD" w:rsidRDefault="00545FF4" w:rsidP="00545FF4">
            <w:pPr>
              <w:pStyle w:val="ASSADACCESStablecentre"/>
            </w:pPr>
            <w:r w:rsidRPr="002E5727">
              <w:rPr>
                <w:bCs w:val="0"/>
                <w:color w:val="000000"/>
              </w:rPr>
              <w:t>8^</w:t>
            </w:r>
          </w:p>
        </w:tc>
        <w:tc>
          <w:tcPr>
            <w:tcW w:w="879" w:type="dxa"/>
            <w:shd w:val="clear" w:color="auto" w:fill="auto"/>
          </w:tcPr>
          <w:p w14:paraId="5E1DA66C" w14:textId="3AF39B3D" w:rsidR="00545FF4" w:rsidRPr="00DE25AD" w:rsidRDefault="00545FF4" w:rsidP="00545FF4">
            <w:pPr>
              <w:pStyle w:val="ASSADACCESStablecentre"/>
            </w:pPr>
            <w:r w:rsidRPr="002E5727">
              <w:rPr>
                <w:bCs w:val="0"/>
                <w:color w:val="000000"/>
              </w:rPr>
              <w:t>4*</w:t>
            </w:r>
          </w:p>
        </w:tc>
        <w:tc>
          <w:tcPr>
            <w:tcW w:w="879" w:type="dxa"/>
            <w:shd w:val="clear" w:color="auto" w:fill="auto"/>
          </w:tcPr>
          <w:p w14:paraId="32866ADB" w14:textId="2E973BEB" w:rsidR="00545FF4" w:rsidRPr="00DE25AD" w:rsidRDefault="00545FF4" w:rsidP="00545FF4">
            <w:pPr>
              <w:pStyle w:val="ASSADACCESStablecentre"/>
            </w:pPr>
            <w:r w:rsidRPr="002E5727">
              <w:rPr>
                <w:bCs w:val="0"/>
                <w:color w:val="000000"/>
              </w:rPr>
              <w:t>7^</w:t>
            </w:r>
          </w:p>
        </w:tc>
        <w:tc>
          <w:tcPr>
            <w:tcW w:w="879" w:type="dxa"/>
            <w:shd w:val="clear" w:color="auto" w:fill="auto"/>
          </w:tcPr>
          <w:p w14:paraId="69BE236E" w14:textId="7AE26828" w:rsidR="00545FF4" w:rsidRPr="00DE25AD" w:rsidRDefault="00545FF4" w:rsidP="00545FF4">
            <w:pPr>
              <w:pStyle w:val="ASSADACCESStablecentre"/>
            </w:pPr>
            <w:r>
              <w:rPr>
                <w:bCs w:val="0"/>
                <w:color w:val="000000"/>
              </w:rPr>
              <w:t>9</w:t>
            </w:r>
            <w:r w:rsidRPr="002E5727">
              <w:rPr>
                <w:bCs w:val="0"/>
                <w:color w:val="000000"/>
              </w:rPr>
              <w:t>^</w:t>
            </w:r>
          </w:p>
        </w:tc>
      </w:tr>
      <w:tr w:rsidR="00545FF4" w:rsidRPr="00DE25AD" w14:paraId="2B7DA4E1" w14:textId="77777777" w:rsidTr="005F678B">
        <w:tc>
          <w:tcPr>
            <w:tcW w:w="1517" w:type="dxa"/>
            <w:tcMar>
              <w:left w:w="57" w:type="dxa"/>
            </w:tcMar>
          </w:tcPr>
          <w:p w14:paraId="562F7C80" w14:textId="77777777" w:rsidR="00545FF4" w:rsidRPr="00DE25AD" w:rsidRDefault="00545FF4" w:rsidP="00545FF4">
            <w:pPr>
              <w:pStyle w:val="ACCESSTableHeaderRow"/>
            </w:pPr>
          </w:p>
        </w:tc>
        <w:tc>
          <w:tcPr>
            <w:tcW w:w="1068" w:type="dxa"/>
            <w:shd w:val="clear" w:color="auto" w:fill="auto"/>
            <w:tcMar>
              <w:left w:w="57" w:type="dxa"/>
            </w:tcMar>
            <w:vAlign w:val="bottom"/>
          </w:tcPr>
          <w:p w14:paraId="76C8239F" w14:textId="77777777" w:rsidR="00545FF4" w:rsidRPr="00DE25AD" w:rsidRDefault="00545FF4" w:rsidP="00545FF4">
            <w:pPr>
              <w:pStyle w:val="ASSAD2017ACCESSBody1"/>
            </w:pPr>
            <w:r w:rsidRPr="00DE25AD">
              <w:t>Female</w:t>
            </w:r>
          </w:p>
        </w:tc>
        <w:tc>
          <w:tcPr>
            <w:tcW w:w="878" w:type="dxa"/>
            <w:shd w:val="clear" w:color="auto" w:fill="auto"/>
          </w:tcPr>
          <w:p w14:paraId="770B84E4" w14:textId="5AC2B2CD" w:rsidR="00545FF4" w:rsidRPr="00DE25AD" w:rsidRDefault="00545FF4" w:rsidP="00545FF4">
            <w:pPr>
              <w:pStyle w:val="ASSADACCESStablecentre"/>
            </w:pPr>
            <w:r w:rsidRPr="002E5727">
              <w:rPr>
                <w:bCs w:val="0"/>
                <w:color w:val="000000"/>
              </w:rPr>
              <w:t>3*</w:t>
            </w:r>
          </w:p>
        </w:tc>
        <w:tc>
          <w:tcPr>
            <w:tcW w:w="879" w:type="dxa"/>
            <w:shd w:val="clear" w:color="auto" w:fill="auto"/>
          </w:tcPr>
          <w:p w14:paraId="0FF62208" w14:textId="7A524E71" w:rsidR="00545FF4" w:rsidRPr="00DE25AD" w:rsidRDefault="00545FF4" w:rsidP="00545FF4">
            <w:pPr>
              <w:pStyle w:val="ASSADACCESStablecentre"/>
            </w:pPr>
            <w:r w:rsidRPr="002E5727">
              <w:rPr>
                <w:bCs w:val="0"/>
                <w:color w:val="000000"/>
              </w:rPr>
              <w:t>4*</w:t>
            </w:r>
          </w:p>
        </w:tc>
        <w:tc>
          <w:tcPr>
            <w:tcW w:w="879" w:type="dxa"/>
            <w:shd w:val="clear" w:color="auto" w:fill="auto"/>
          </w:tcPr>
          <w:p w14:paraId="7084427A" w14:textId="42983B70" w:rsidR="00545FF4" w:rsidRPr="00DE25AD" w:rsidRDefault="00545FF4" w:rsidP="00545FF4">
            <w:pPr>
              <w:pStyle w:val="ASSADACCESStablecentre"/>
            </w:pPr>
            <w:r w:rsidRPr="002E5727">
              <w:rPr>
                <w:bCs w:val="0"/>
                <w:color w:val="000000"/>
              </w:rPr>
              <w:t>5^</w:t>
            </w:r>
          </w:p>
        </w:tc>
        <w:tc>
          <w:tcPr>
            <w:tcW w:w="879" w:type="dxa"/>
            <w:shd w:val="clear" w:color="auto" w:fill="auto"/>
          </w:tcPr>
          <w:p w14:paraId="1CF73DA8" w14:textId="652D113A" w:rsidR="00545FF4" w:rsidRPr="00DE25AD" w:rsidRDefault="00545FF4" w:rsidP="00545FF4">
            <w:pPr>
              <w:pStyle w:val="ASSADACCESStablecentre"/>
            </w:pPr>
            <w:r w:rsidRPr="002E5727">
              <w:rPr>
                <w:bCs w:val="0"/>
                <w:color w:val="000000"/>
              </w:rPr>
              <w:t>4*</w:t>
            </w:r>
          </w:p>
        </w:tc>
        <w:tc>
          <w:tcPr>
            <w:tcW w:w="879" w:type="dxa"/>
            <w:shd w:val="clear" w:color="auto" w:fill="auto"/>
          </w:tcPr>
          <w:p w14:paraId="540508E8" w14:textId="0CFABA3C" w:rsidR="00545FF4" w:rsidRPr="00DE25AD" w:rsidRDefault="00545FF4" w:rsidP="00545FF4">
            <w:pPr>
              <w:pStyle w:val="ASSADACCESStablecentre"/>
            </w:pPr>
            <w:r w:rsidRPr="002E5727">
              <w:rPr>
                <w:bCs w:val="0"/>
                <w:color w:val="000000"/>
              </w:rPr>
              <w:t>6^</w:t>
            </w:r>
          </w:p>
        </w:tc>
        <w:tc>
          <w:tcPr>
            <w:tcW w:w="879" w:type="dxa"/>
            <w:shd w:val="clear" w:color="auto" w:fill="auto"/>
          </w:tcPr>
          <w:p w14:paraId="603392EE" w14:textId="09C75350" w:rsidR="00545FF4" w:rsidRPr="00DE25AD" w:rsidRDefault="00545FF4" w:rsidP="00545FF4">
            <w:pPr>
              <w:pStyle w:val="ASSADACCESStablecentre"/>
            </w:pPr>
            <w:r w:rsidRPr="002E5727">
              <w:rPr>
                <w:bCs w:val="0"/>
                <w:color w:val="000000"/>
              </w:rPr>
              <w:t>3*</w:t>
            </w:r>
          </w:p>
        </w:tc>
        <w:tc>
          <w:tcPr>
            <w:tcW w:w="879" w:type="dxa"/>
            <w:shd w:val="clear" w:color="auto" w:fill="auto"/>
          </w:tcPr>
          <w:p w14:paraId="3598AED2" w14:textId="3ED3CA6D" w:rsidR="00545FF4" w:rsidRPr="00DE25AD" w:rsidRDefault="00545FF4" w:rsidP="00545FF4">
            <w:pPr>
              <w:pStyle w:val="ASSADACCESStablecentre"/>
            </w:pPr>
            <w:r w:rsidRPr="002E5727">
              <w:rPr>
                <w:bCs w:val="0"/>
                <w:color w:val="000000"/>
              </w:rPr>
              <w:t>4*</w:t>
            </w:r>
          </w:p>
        </w:tc>
        <w:tc>
          <w:tcPr>
            <w:tcW w:w="879" w:type="dxa"/>
            <w:shd w:val="clear" w:color="auto" w:fill="auto"/>
          </w:tcPr>
          <w:p w14:paraId="3D777984" w14:textId="5E09916F" w:rsidR="00545FF4" w:rsidRPr="00DE25AD" w:rsidRDefault="00545FF4" w:rsidP="00545FF4">
            <w:pPr>
              <w:pStyle w:val="ASSADACCESStablecentre"/>
            </w:pPr>
            <w:r>
              <w:rPr>
                <w:bCs w:val="0"/>
                <w:color w:val="000000"/>
              </w:rPr>
              <w:t>6</w:t>
            </w:r>
            <w:r w:rsidRPr="002E5727">
              <w:rPr>
                <w:bCs w:val="0"/>
                <w:color w:val="000000"/>
              </w:rPr>
              <w:t>^</w:t>
            </w:r>
          </w:p>
        </w:tc>
      </w:tr>
      <w:tr w:rsidR="00545FF4" w:rsidRPr="00DE25AD" w14:paraId="2F42B757" w14:textId="77777777" w:rsidTr="005F678B">
        <w:tc>
          <w:tcPr>
            <w:tcW w:w="1517" w:type="dxa"/>
            <w:tcMar>
              <w:left w:w="57" w:type="dxa"/>
            </w:tcMar>
          </w:tcPr>
          <w:p w14:paraId="0E2B231C" w14:textId="77777777" w:rsidR="00545FF4" w:rsidRPr="00DE25AD" w:rsidRDefault="00545FF4" w:rsidP="00545FF4">
            <w:pPr>
              <w:pStyle w:val="ACCESSTableHeaderRow"/>
            </w:pPr>
          </w:p>
        </w:tc>
        <w:tc>
          <w:tcPr>
            <w:tcW w:w="1068" w:type="dxa"/>
            <w:shd w:val="clear" w:color="auto" w:fill="auto"/>
            <w:tcMar>
              <w:left w:w="57" w:type="dxa"/>
            </w:tcMar>
            <w:vAlign w:val="bottom"/>
          </w:tcPr>
          <w:p w14:paraId="27EE94B5" w14:textId="77777777" w:rsidR="00545FF4" w:rsidRPr="00DE25AD" w:rsidRDefault="00545FF4" w:rsidP="00545FF4">
            <w:pPr>
              <w:pStyle w:val="ASSAD2017ACCESSBody1"/>
            </w:pPr>
            <w:r w:rsidRPr="00DE25AD">
              <w:t>Total</w:t>
            </w:r>
          </w:p>
        </w:tc>
        <w:tc>
          <w:tcPr>
            <w:tcW w:w="878" w:type="dxa"/>
            <w:shd w:val="clear" w:color="auto" w:fill="auto"/>
          </w:tcPr>
          <w:p w14:paraId="06CBABB0" w14:textId="301D475C" w:rsidR="00545FF4" w:rsidRPr="00DE25AD" w:rsidRDefault="00545FF4" w:rsidP="00545FF4">
            <w:pPr>
              <w:pStyle w:val="ASSADACCESStablecentre"/>
            </w:pPr>
            <w:r w:rsidRPr="002E5727">
              <w:rPr>
                <w:bCs w:val="0"/>
                <w:color w:val="000000"/>
              </w:rPr>
              <w:t>4*</w:t>
            </w:r>
          </w:p>
        </w:tc>
        <w:tc>
          <w:tcPr>
            <w:tcW w:w="879" w:type="dxa"/>
            <w:shd w:val="clear" w:color="auto" w:fill="auto"/>
          </w:tcPr>
          <w:p w14:paraId="4E8640CD" w14:textId="6E476DCF" w:rsidR="00545FF4" w:rsidRPr="00DE25AD" w:rsidRDefault="00545FF4" w:rsidP="00545FF4">
            <w:pPr>
              <w:pStyle w:val="ASSADACCESStablecentre"/>
            </w:pPr>
            <w:r w:rsidRPr="002E5727">
              <w:rPr>
                <w:bCs w:val="0"/>
                <w:color w:val="000000"/>
              </w:rPr>
              <w:t>5*</w:t>
            </w:r>
          </w:p>
        </w:tc>
        <w:tc>
          <w:tcPr>
            <w:tcW w:w="879" w:type="dxa"/>
            <w:shd w:val="clear" w:color="auto" w:fill="auto"/>
          </w:tcPr>
          <w:p w14:paraId="0F70C55A" w14:textId="454C92CA" w:rsidR="00545FF4" w:rsidRPr="00DE25AD" w:rsidRDefault="00545FF4" w:rsidP="00545FF4">
            <w:pPr>
              <w:pStyle w:val="ASSADACCESStablecentre"/>
            </w:pPr>
            <w:r w:rsidRPr="002E5727">
              <w:rPr>
                <w:bCs w:val="0"/>
                <w:color w:val="000000"/>
              </w:rPr>
              <w:t>5*</w:t>
            </w:r>
          </w:p>
        </w:tc>
        <w:tc>
          <w:tcPr>
            <w:tcW w:w="879" w:type="dxa"/>
            <w:shd w:val="clear" w:color="auto" w:fill="auto"/>
          </w:tcPr>
          <w:p w14:paraId="744FCF1B" w14:textId="25A81B23" w:rsidR="00545FF4" w:rsidRPr="00DE25AD" w:rsidRDefault="00545FF4" w:rsidP="00545FF4">
            <w:pPr>
              <w:pStyle w:val="ASSADACCESStablecentre"/>
            </w:pPr>
            <w:r w:rsidRPr="002E5727">
              <w:rPr>
                <w:bCs w:val="0"/>
                <w:color w:val="000000"/>
              </w:rPr>
              <w:t>5*</w:t>
            </w:r>
          </w:p>
        </w:tc>
        <w:tc>
          <w:tcPr>
            <w:tcW w:w="879" w:type="dxa"/>
            <w:shd w:val="clear" w:color="auto" w:fill="auto"/>
          </w:tcPr>
          <w:p w14:paraId="34C92E9A" w14:textId="3D25D9B1" w:rsidR="00545FF4" w:rsidRPr="00DE25AD" w:rsidRDefault="00545FF4" w:rsidP="00545FF4">
            <w:pPr>
              <w:pStyle w:val="ASSADACCESStablecentre"/>
            </w:pPr>
            <w:r w:rsidRPr="002E5727">
              <w:rPr>
                <w:bCs w:val="0"/>
                <w:color w:val="000000"/>
              </w:rPr>
              <w:t>7^</w:t>
            </w:r>
          </w:p>
        </w:tc>
        <w:tc>
          <w:tcPr>
            <w:tcW w:w="879" w:type="dxa"/>
            <w:shd w:val="clear" w:color="auto" w:fill="auto"/>
          </w:tcPr>
          <w:p w14:paraId="250DA416" w14:textId="701D3C2E" w:rsidR="00545FF4" w:rsidRPr="00DE25AD" w:rsidRDefault="00545FF4" w:rsidP="00545FF4">
            <w:pPr>
              <w:pStyle w:val="ASSADACCESStablecentre"/>
            </w:pPr>
            <w:r w:rsidRPr="002E5727">
              <w:rPr>
                <w:bCs w:val="0"/>
                <w:color w:val="000000"/>
              </w:rPr>
              <w:t>4*</w:t>
            </w:r>
          </w:p>
        </w:tc>
        <w:tc>
          <w:tcPr>
            <w:tcW w:w="879" w:type="dxa"/>
            <w:shd w:val="clear" w:color="auto" w:fill="auto"/>
          </w:tcPr>
          <w:p w14:paraId="175CA72D" w14:textId="2C9AAB98" w:rsidR="00545FF4" w:rsidRPr="00DE25AD" w:rsidRDefault="00545FF4" w:rsidP="00545FF4">
            <w:pPr>
              <w:pStyle w:val="ASSADACCESStablecentre"/>
            </w:pPr>
            <w:r w:rsidRPr="002E5727">
              <w:rPr>
                <w:bCs w:val="0"/>
                <w:color w:val="000000"/>
              </w:rPr>
              <w:t>5^</w:t>
            </w:r>
          </w:p>
        </w:tc>
        <w:tc>
          <w:tcPr>
            <w:tcW w:w="879" w:type="dxa"/>
            <w:shd w:val="clear" w:color="auto" w:fill="auto"/>
          </w:tcPr>
          <w:p w14:paraId="58863240" w14:textId="44B5BBDD" w:rsidR="00545FF4" w:rsidRPr="00DE25AD" w:rsidRDefault="00545FF4" w:rsidP="00545FF4">
            <w:pPr>
              <w:pStyle w:val="ASSADACCESStablecentre"/>
            </w:pPr>
            <w:r w:rsidRPr="002E5727">
              <w:rPr>
                <w:bCs w:val="0"/>
                <w:color w:val="000000"/>
              </w:rPr>
              <w:t>8^</w:t>
            </w:r>
          </w:p>
        </w:tc>
      </w:tr>
      <w:tr w:rsidR="00545FF4" w:rsidRPr="00DE25AD" w14:paraId="5E386327" w14:textId="77777777" w:rsidTr="005F678B">
        <w:trPr>
          <w:trHeight w:val="247"/>
        </w:trPr>
        <w:tc>
          <w:tcPr>
            <w:tcW w:w="1517" w:type="dxa"/>
            <w:tcMar>
              <w:left w:w="57" w:type="dxa"/>
            </w:tcMar>
          </w:tcPr>
          <w:p w14:paraId="2D804246" w14:textId="77777777" w:rsidR="00545FF4" w:rsidRPr="00DE25AD" w:rsidRDefault="00545FF4" w:rsidP="00545FF4">
            <w:pPr>
              <w:pStyle w:val="ACCESSTableHeaderRow"/>
            </w:pPr>
            <w:r w:rsidRPr="00DE25AD">
              <w:t xml:space="preserve">Past </w:t>
            </w:r>
            <w:r>
              <w:t>month</w:t>
            </w:r>
          </w:p>
        </w:tc>
        <w:tc>
          <w:tcPr>
            <w:tcW w:w="1068" w:type="dxa"/>
            <w:shd w:val="clear" w:color="auto" w:fill="auto"/>
            <w:tcMar>
              <w:left w:w="57" w:type="dxa"/>
            </w:tcMar>
            <w:vAlign w:val="bottom"/>
          </w:tcPr>
          <w:p w14:paraId="2C7B3DB7" w14:textId="77777777" w:rsidR="00545FF4" w:rsidRPr="00DE25AD" w:rsidRDefault="00545FF4" w:rsidP="00545FF4">
            <w:pPr>
              <w:pStyle w:val="ASSAD2017ACCESSBody1"/>
            </w:pPr>
            <w:r w:rsidRPr="00DE25AD">
              <w:t>Male</w:t>
            </w:r>
          </w:p>
        </w:tc>
        <w:tc>
          <w:tcPr>
            <w:tcW w:w="878" w:type="dxa"/>
            <w:shd w:val="clear" w:color="auto" w:fill="auto"/>
          </w:tcPr>
          <w:p w14:paraId="0EFB577F" w14:textId="0AF4D85E" w:rsidR="00545FF4" w:rsidRPr="00DE25AD" w:rsidRDefault="00545FF4" w:rsidP="00545FF4">
            <w:pPr>
              <w:pStyle w:val="ASSADACCESStablecentre"/>
            </w:pPr>
            <w:r w:rsidRPr="002E5727">
              <w:rPr>
                <w:bCs w:val="0"/>
                <w:color w:val="000000"/>
              </w:rPr>
              <w:t>2*</w:t>
            </w:r>
          </w:p>
        </w:tc>
        <w:tc>
          <w:tcPr>
            <w:tcW w:w="879" w:type="dxa"/>
            <w:shd w:val="clear" w:color="auto" w:fill="auto"/>
          </w:tcPr>
          <w:p w14:paraId="5B585796" w14:textId="6E1D41C6" w:rsidR="00545FF4" w:rsidRPr="00DE25AD" w:rsidRDefault="00545FF4" w:rsidP="00545FF4">
            <w:pPr>
              <w:pStyle w:val="ASSADACCESStablecentre"/>
            </w:pPr>
            <w:r w:rsidRPr="002E5727">
              <w:rPr>
                <w:bCs w:val="0"/>
                <w:color w:val="000000"/>
              </w:rPr>
              <w:t>3</w:t>
            </w:r>
          </w:p>
        </w:tc>
        <w:tc>
          <w:tcPr>
            <w:tcW w:w="879" w:type="dxa"/>
            <w:shd w:val="clear" w:color="auto" w:fill="auto"/>
          </w:tcPr>
          <w:p w14:paraId="6724F506" w14:textId="73712889" w:rsidR="00545FF4" w:rsidRPr="00DE25AD" w:rsidRDefault="00545FF4" w:rsidP="00545FF4">
            <w:pPr>
              <w:pStyle w:val="ASSADACCESStablecentre"/>
            </w:pPr>
            <w:r w:rsidRPr="002E5727">
              <w:rPr>
                <w:bCs w:val="0"/>
                <w:color w:val="000000"/>
              </w:rPr>
              <w:t>3*</w:t>
            </w:r>
          </w:p>
        </w:tc>
        <w:tc>
          <w:tcPr>
            <w:tcW w:w="879" w:type="dxa"/>
            <w:shd w:val="clear" w:color="auto" w:fill="auto"/>
          </w:tcPr>
          <w:p w14:paraId="0FD8D7BA" w14:textId="572D0747" w:rsidR="00545FF4" w:rsidRPr="00DE25AD" w:rsidRDefault="00545FF4" w:rsidP="00545FF4">
            <w:pPr>
              <w:pStyle w:val="ASSADACCESStablecentre"/>
            </w:pPr>
            <w:r w:rsidRPr="002E5727">
              <w:rPr>
                <w:bCs w:val="0"/>
                <w:color w:val="000000"/>
              </w:rPr>
              <w:t>3*</w:t>
            </w:r>
          </w:p>
        </w:tc>
        <w:tc>
          <w:tcPr>
            <w:tcW w:w="879" w:type="dxa"/>
            <w:shd w:val="clear" w:color="auto" w:fill="auto"/>
          </w:tcPr>
          <w:p w14:paraId="0CD8A74E" w14:textId="757D2434" w:rsidR="00545FF4" w:rsidRPr="00DE25AD" w:rsidRDefault="00545FF4" w:rsidP="00545FF4">
            <w:pPr>
              <w:pStyle w:val="ASSADACCESStablecentre"/>
            </w:pPr>
            <w:r w:rsidRPr="002E5727">
              <w:rPr>
                <w:bCs w:val="0"/>
                <w:color w:val="000000"/>
              </w:rPr>
              <w:t>4</w:t>
            </w:r>
            <w:r>
              <w:rPr>
                <w:bCs w:val="0"/>
                <w:color w:val="000000"/>
              </w:rPr>
              <w:t>^</w:t>
            </w:r>
          </w:p>
        </w:tc>
        <w:tc>
          <w:tcPr>
            <w:tcW w:w="879" w:type="dxa"/>
            <w:shd w:val="clear" w:color="auto" w:fill="auto"/>
          </w:tcPr>
          <w:p w14:paraId="6E971FAB" w14:textId="5CE2D0EE" w:rsidR="00545FF4" w:rsidRPr="00DE25AD" w:rsidRDefault="00545FF4" w:rsidP="00545FF4">
            <w:pPr>
              <w:pStyle w:val="ASSADACCESStablecentre"/>
            </w:pPr>
            <w:r w:rsidRPr="002E5727">
              <w:rPr>
                <w:bCs w:val="0"/>
                <w:color w:val="000000"/>
              </w:rPr>
              <w:t>2*</w:t>
            </w:r>
          </w:p>
        </w:tc>
        <w:tc>
          <w:tcPr>
            <w:tcW w:w="879" w:type="dxa"/>
            <w:shd w:val="clear" w:color="auto" w:fill="auto"/>
          </w:tcPr>
          <w:p w14:paraId="36A6D623" w14:textId="047625FD" w:rsidR="00545FF4" w:rsidRPr="00DE25AD" w:rsidRDefault="00545FF4" w:rsidP="00545FF4">
            <w:pPr>
              <w:pStyle w:val="ASSADACCESStablecentre"/>
            </w:pPr>
            <w:r w:rsidRPr="002E5727">
              <w:rPr>
                <w:bCs w:val="0"/>
                <w:color w:val="000000"/>
              </w:rPr>
              <w:t>4</w:t>
            </w:r>
            <w:r>
              <w:rPr>
                <w:bCs w:val="0"/>
                <w:color w:val="000000"/>
              </w:rPr>
              <w:t>^</w:t>
            </w:r>
          </w:p>
        </w:tc>
        <w:tc>
          <w:tcPr>
            <w:tcW w:w="879" w:type="dxa"/>
            <w:shd w:val="clear" w:color="auto" w:fill="auto"/>
          </w:tcPr>
          <w:p w14:paraId="3971CFA9" w14:textId="439C0120" w:rsidR="00545FF4" w:rsidRPr="00DE25AD" w:rsidRDefault="00545FF4" w:rsidP="00545FF4">
            <w:pPr>
              <w:pStyle w:val="ASSADACCESStablecentre"/>
            </w:pPr>
            <w:r w:rsidRPr="002E5727">
              <w:rPr>
                <w:bCs w:val="0"/>
                <w:color w:val="000000"/>
              </w:rPr>
              <w:t>5</w:t>
            </w:r>
            <w:r>
              <w:rPr>
                <w:bCs w:val="0"/>
                <w:color w:val="000000"/>
              </w:rPr>
              <w:t>^</w:t>
            </w:r>
          </w:p>
        </w:tc>
      </w:tr>
      <w:tr w:rsidR="00545FF4" w:rsidRPr="00DE25AD" w14:paraId="311CD9AE" w14:textId="77777777" w:rsidTr="005F678B">
        <w:trPr>
          <w:trHeight w:val="247"/>
        </w:trPr>
        <w:tc>
          <w:tcPr>
            <w:tcW w:w="1517" w:type="dxa"/>
            <w:tcMar>
              <w:left w:w="57" w:type="dxa"/>
            </w:tcMar>
          </w:tcPr>
          <w:p w14:paraId="3440CA6D" w14:textId="77777777" w:rsidR="00545FF4" w:rsidRPr="00DE25AD" w:rsidRDefault="00545FF4" w:rsidP="00545FF4">
            <w:pPr>
              <w:pStyle w:val="ACCESSTableHeaderRow"/>
            </w:pPr>
          </w:p>
        </w:tc>
        <w:tc>
          <w:tcPr>
            <w:tcW w:w="1068" w:type="dxa"/>
            <w:shd w:val="clear" w:color="auto" w:fill="auto"/>
            <w:tcMar>
              <w:left w:w="57" w:type="dxa"/>
            </w:tcMar>
            <w:vAlign w:val="bottom"/>
          </w:tcPr>
          <w:p w14:paraId="34A289B8" w14:textId="77777777" w:rsidR="00545FF4" w:rsidRPr="00DE25AD" w:rsidRDefault="00545FF4" w:rsidP="00545FF4">
            <w:pPr>
              <w:pStyle w:val="ASSAD2017ACCESSBody1"/>
            </w:pPr>
            <w:r w:rsidRPr="00DE25AD">
              <w:t>Female</w:t>
            </w:r>
          </w:p>
        </w:tc>
        <w:tc>
          <w:tcPr>
            <w:tcW w:w="878" w:type="dxa"/>
            <w:shd w:val="clear" w:color="auto" w:fill="auto"/>
          </w:tcPr>
          <w:p w14:paraId="5A8A34AE" w14:textId="52E3F487" w:rsidR="00545FF4" w:rsidRPr="00DE25AD" w:rsidRDefault="00545FF4" w:rsidP="00545FF4">
            <w:pPr>
              <w:pStyle w:val="ASSADACCESStablecentre"/>
            </w:pPr>
            <w:r w:rsidRPr="002E5727">
              <w:rPr>
                <w:bCs w:val="0"/>
                <w:color w:val="000000"/>
              </w:rPr>
              <w:t>1*</w:t>
            </w:r>
          </w:p>
        </w:tc>
        <w:tc>
          <w:tcPr>
            <w:tcW w:w="879" w:type="dxa"/>
            <w:shd w:val="clear" w:color="auto" w:fill="auto"/>
          </w:tcPr>
          <w:p w14:paraId="0313D314" w14:textId="0E28B8F6" w:rsidR="00545FF4" w:rsidRPr="00DE25AD" w:rsidRDefault="00545FF4" w:rsidP="00545FF4">
            <w:pPr>
              <w:pStyle w:val="ASSADACCESStablecentre"/>
            </w:pPr>
            <w:r w:rsidRPr="002E5727">
              <w:rPr>
                <w:bCs w:val="0"/>
                <w:color w:val="000000"/>
              </w:rPr>
              <w:t>2*</w:t>
            </w:r>
            <w:r>
              <w:rPr>
                <w:bCs w:val="0"/>
                <w:color w:val="000000"/>
              </w:rPr>
              <w:t>^</w:t>
            </w:r>
          </w:p>
        </w:tc>
        <w:tc>
          <w:tcPr>
            <w:tcW w:w="879" w:type="dxa"/>
            <w:shd w:val="clear" w:color="auto" w:fill="auto"/>
          </w:tcPr>
          <w:p w14:paraId="2A954DE8" w14:textId="4B4C67A5" w:rsidR="00545FF4" w:rsidRPr="00DE25AD" w:rsidRDefault="00545FF4" w:rsidP="00545FF4">
            <w:pPr>
              <w:pStyle w:val="ASSADACCESStablecentre"/>
            </w:pPr>
            <w:r w:rsidRPr="002E5727">
              <w:rPr>
                <w:bCs w:val="0"/>
                <w:color w:val="000000"/>
              </w:rPr>
              <w:t>2</w:t>
            </w:r>
            <w:r>
              <w:rPr>
                <w:bCs w:val="0"/>
                <w:color w:val="000000"/>
              </w:rPr>
              <w:t>^</w:t>
            </w:r>
          </w:p>
        </w:tc>
        <w:tc>
          <w:tcPr>
            <w:tcW w:w="879" w:type="dxa"/>
            <w:shd w:val="clear" w:color="auto" w:fill="auto"/>
          </w:tcPr>
          <w:p w14:paraId="3CDA7422" w14:textId="4D30FA36" w:rsidR="00545FF4" w:rsidRPr="00DE25AD" w:rsidRDefault="00545FF4" w:rsidP="00545FF4">
            <w:pPr>
              <w:pStyle w:val="ASSADACCESStablecentre"/>
            </w:pPr>
            <w:r w:rsidRPr="002E5727">
              <w:rPr>
                <w:bCs w:val="0"/>
                <w:color w:val="000000"/>
              </w:rPr>
              <w:t>2*</w:t>
            </w:r>
            <w:r>
              <w:rPr>
                <w:bCs w:val="0"/>
                <w:color w:val="000000"/>
              </w:rPr>
              <w:t>^</w:t>
            </w:r>
          </w:p>
        </w:tc>
        <w:tc>
          <w:tcPr>
            <w:tcW w:w="879" w:type="dxa"/>
            <w:shd w:val="clear" w:color="auto" w:fill="auto"/>
          </w:tcPr>
          <w:p w14:paraId="23A60555" w14:textId="6AFBB837" w:rsidR="00545FF4" w:rsidRPr="00DE25AD" w:rsidRDefault="00545FF4" w:rsidP="00545FF4">
            <w:pPr>
              <w:pStyle w:val="ASSADACCESStablecentre"/>
            </w:pPr>
            <w:r w:rsidRPr="002E5727">
              <w:rPr>
                <w:bCs w:val="0"/>
                <w:color w:val="000000"/>
              </w:rPr>
              <w:t>3</w:t>
            </w:r>
            <w:r>
              <w:rPr>
                <w:bCs w:val="0"/>
                <w:color w:val="000000"/>
              </w:rPr>
              <w:t>^</w:t>
            </w:r>
          </w:p>
        </w:tc>
        <w:tc>
          <w:tcPr>
            <w:tcW w:w="879" w:type="dxa"/>
            <w:shd w:val="clear" w:color="auto" w:fill="auto"/>
          </w:tcPr>
          <w:p w14:paraId="33276492" w14:textId="55D70493" w:rsidR="00545FF4" w:rsidRPr="00DE25AD" w:rsidRDefault="00545FF4" w:rsidP="00545FF4">
            <w:pPr>
              <w:pStyle w:val="ASSADACCESStablecentre"/>
            </w:pPr>
            <w:r w:rsidRPr="002E5727">
              <w:rPr>
                <w:bCs w:val="0"/>
                <w:color w:val="000000"/>
              </w:rPr>
              <w:t>1*</w:t>
            </w:r>
          </w:p>
        </w:tc>
        <w:tc>
          <w:tcPr>
            <w:tcW w:w="879" w:type="dxa"/>
            <w:shd w:val="clear" w:color="auto" w:fill="auto"/>
          </w:tcPr>
          <w:p w14:paraId="094A14F3" w14:textId="34D75923" w:rsidR="00545FF4" w:rsidRPr="00DE25AD" w:rsidRDefault="00545FF4" w:rsidP="00545FF4">
            <w:pPr>
              <w:pStyle w:val="ASSADACCESStablecentre"/>
            </w:pPr>
            <w:r w:rsidRPr="002E5727">
              <w:rPr>
                <w:bCs w:val="0"/>
                <w:color w:val="000000"/>
              </w:rPr>
              <w:t>2</w:t>
            </w:r>
            <w:r>
              <w:rPr>
                <w:bCs w:val="0"/>
                <w:color w:val="000000"/>
              </w:rPr>
              <w:t>^</w:t>
            </w:r>
          </w:p>
        </w:tc>
        <w:tc>
          <w:tcPr>
            <w:tcW w:w="879" w:type="dxa"/>
            <w:shd w:val="clear" w:color="auto" w:fill="auto"/>
          </w:tcPr>
          <w:p w14:paraId="7A1274EE" w14:textId="44837678" w:rsidR="00545FF4" w:rsidRPr="00DE25AD" w:rsidRDefault="00545FF4" w:rsidP="00545FF4">
            <w:pPr>
              <w:pStyle w:val="ASSADACCESStablecentre"/>
            </w:pPr>
            <w:r w:rsidRPr="002E5727">
              <w:rPr>
                <w:bCs w:val="0"/>
                <w:color w:val="000000"/>
              </w:rPr>
              <w:t>3</w:t>
            </w:r>
            <w:r>
              <w:rPr>
                <w:bCs w:val="0"/>
                <w:color w:val="000000"/>
              </w:rPr>
              <w:t>^</w:t>
            </w:r>
          </w:p>
        </w:tc>
      </w:tr>
      <w:tr w:rsidR="00545FF4" w:rsidRPr="00DE25AD" w14:paraId="49F5807F" w14:textId="77777777" w:rsidTr="005F678B">
        <w:trPr>
          <w:trHeight w:val="247"/>
        </w:trPr>
        <w:tc>
          <w:tcPr>
            <w:tcW w:w="1517" w:type="dxa"/>
            <w:tcMar>
              <w:left w:w="57" w:type="dxa"/>
            </w:tcMar>
          </w:tcPr>
          <w:p w14:paraId="3AD7AE92" w14:textId="77777777" w:rsidR="00545FF4" w:rsidRPr="00DE25AD" w:rsidRDefault="00545FF4" w:rsidP="00545FF4">
            <w:pPr>
              <w:pStyle w:val="ACCESSTableHeaderRow"/>
            </w:pPr>
          </w:p>
        </w:tc>
        <w:tc>
          <w:tcPr>
            <w:tcW w:w="1068" w:type="dxa"/>
            <w:shd w:val="clear" w:color="auto" w:fill="auto"/>
            <w:tcMar>
              <w:left w:w="57" w:type="dxa"/>
            </w:tcMar>
            <w:vAlign w:val="bottom"/>
          </w:tcPr>
          <w:p w14:paraId="7F50E004" w14:textId="77777777" w:rsidR="00545FF4" w:rsidRPr="00DE25AD" w:rsidRDefault="00545FF4" w:rsidP="00545FF4">
            <w:pPr>
              <w:pStyle w:val="ASSAD2017ACCESSBody1"/>
            </w:pPr>
            <w:r w:rsidRPr="00DE25AD">
              <w:t>Total</w:t>
            </w:r>
          </w:p>
        </w:tc>
        <w:tc>
          <w:tcPr>
            <w:tcW w:w="878" w:type="dxa"/>
            <w:shd w:val="clear" w:color="auto" w:fill="auto"/>
          </w:tcPr>
          <w:p w14:paraId="5CAEF682" w14:textId="0264C2DF" w:rsidR="00545FF4" w:rsidRPr="00DE25AD" w:rsidRDefault="00545FF4" w:rsidP="00545FF4">
            <w:pPr>
              <w:pStyle w:val="ASSADACCESStablecentre"/>
            </w:pPr>
            <w:r w:rsidRPr="002E5727">
              <w:rPr>
                <w:bCs w:val="0"/>
                <w:color w:val="000000"/>
              </w:rPr>
              <w:t>2*</w:t>
            </w:r>
          </w:p>
        </w:tc>
        <w:tc>
          <w:tcPr>
            <w:tcW w:w="879" w:type="dxa"/>
            <w:shd w:val="clear" w:color="auto" w:fill="auto"/>
          </w:tcPr>
          <w:p w14:paraId="3F33B936" w14:textId="6E94A05A" w:rsidR="00545FF4" w:rsidRPr="00DE25AD" w:rsidRDefault="00545FF4" w:rsidP="00545FF4">
            <w:pPr>
              <w:pStyle w:val="ASSADACCESStablecentre"/>
            </w:pPr>
            <w:r w:rsidRPr="002E5727">
              <w:rPr>
                <w:bCs w:val="0"/>
                <w:color w:val="000000"/>
              </w:rPr>
              <w:t>2*^</w:t>
            </w:r>
          </w:p>
        </w:tc>
        <w:tc>
          <w:tcPr>
            <w:tcW w:w="879" w:type="dxa"/>
            <w:shd w:val="clear" w:color="auto" w:fill="auto"/>
          </w:tcPr>
          <w:p w14:paraId="3E551A3E" w14:textId="56D89781" w:rsidR="00545FF4" w:rsidRPr="00DE25AD" w:rsidRDefault="00545FF4" w:rsidP="00545FF4">
            <w:pPr>
              <w:pStyle w:val="ASSADACCESStablecentre"/>
            </w:pPr>
            <w:r w:rsidRPr="002E5727">
              <w:rPr>
                <w:bCs w:val="0"/>
                <w:color w:val="000000"/>
              </w:rPr>
              <w:t>2*^</w:t>
            </w:r>
          </w:p>
        </w:tc>
        <w:tc>
          <w:tcPr>
            <w:tcW w:w="879" w:type="dxa"/>
            <w:shd w:val="clear" w:color="auto" w:fill="auto"/>
          </w:tcPr>
          <w:p w14:paraId="61DC9D41" w14:textId="4E39158A" w:rsidR="00545FF4" w:rsidRPr="00DE25AD" w:rsidRDefault="00545FF4" w:rsidP="00545FF4">
            <w:pPr>
              <w:pStyle w:val="ASSADACCESStablecentre"/>
            </w:pPr>
            <w:r w:rsidRPr="002E5727">
              <w:rPr>
                <w:bCs w:val="0"/>
                <w:color w:val="000000"/>
              </w:rPr>
              <w:t>2*</w:t>
            </w:r>
          </w:p>
        </w:tc>
        <w:tc>
          <w:tcPr>
            <w:tcW w:w="879" w:type="dxa"/>
            <w:shd w:val="clear" w:color="auto" w:fill="auto"/>
          </w:tcPr>
          <w:p w14:paraId="6789B38F" w14:textId="7EFC3BA0" w:rsidR="00545FF4" w:rsidRPr="00DE25AD" w:rsidRDefault="00545FF4" w:rsidP="00545FF4">
            <w:pPr>
              <w:pStyle w:val="ASSADACCESStablecentre"/>
            </w:pPr>
            <w:r w:rsidRPr="002E5727">
              <w:rPr>
                <w:bCs w:val="0"/>
                <w:color w:val="000000"/>
              </w:rPr>
              <w:t>3^</w:t>
            </w:r>
          </w:p>
        </w:tc>
        <w:tc>
          <w:tcPr>
            <w:tcW w:w="879" w:type="dxa"/>
            <w:shd w:val="clear" w:color="auto" w:fill="auto"/>
          </w:tcPr>
          <w:p w14:paraId="28BA52D6" w14:textId="2D8869EE" w:rsidR="00545FF4" w:rsidRPr="00DE25AD" w:rsidRDefault="00545FF4" w:rsidP="00545FF4">
            <w:pPr>
              <w:pStyle w:val="ASSADACCESStablecentre"/>
            </w:pPr>
            <w:r w:rsidRPr="002E5727">
              <w:rPr>
                <w:bCs w:val="0"/>
                <w:color w:val="000000"/>
              </w:rPr>
              <w:t>2*</w:t>
            </w:r>
          </w:p>
        </w:tc>
        <w:tc>
          <w:tcPr>
            <w:tcW w:w="879" w:type="dxa"/>
            <w:shd w:val="clear" w:color="auto" w:fill="auto"/>
          </w:tcPr>
          <w:p w14:paraId="0F08A613" w14:textId="65548C3A" w:rsidR="00545FF4" w:rsidRPr="00DE25AD" w:rsidRDefault="00545FF4" w:rsidP="00545FF4">
            <w:pPr>
              <w:pStyle w:val="ASSADACCESStablecentre"/>
            </w:pPr>
            <w:r w:rsidRPr="002E5727">
              <w:rPr>
                <w:bCs w:val="0"/>
                <w:color w:val="000000"/>
              </w:rPr>
              <w:t>3^</w:t>
            </w:r>
          </w:p>
        </w:tc>
        <w:tc>
          <w:tcPr>
            <w:tcW w:w="879" w:type="dxa"/>
            <w:shd w:val="clear" w:color="auto" w:fill="auto"/>
          </w:tcPr>
          <w:p w14:paraId="59D7E192" w14:textId="779472D2" w:rsidR="00545FF4" w:rsidRPr="00DE25AD" w:rsidRDefault="00545FF4" w:rsidP="00545FF4">
            <w:pPr>
              <w:pStyle w:val="ASSADACCESStablecentre"/>
            </w:pPr>
            <w:r w:rsidRPr="002E5727">
              <w:rPr>
                <w:bCs w:val="0"/>
                <w:color w:val="000000"/>
              </w:rPr>
              <w:t>4^</w:t>
            </w:r>
          </w:p>
        </w:tc>
      </w:tr>
      <w:tr w:rsidR="00545FF4" w:rsidRPr="00DE25AD" w14:paraId="57BDE8FD" w14:textId="77777777" w:rsidTr="005F678B">
        <w:tc>
          <w:tcPr>
            <w:tcW w:w="1517" w:type="dxa"/>
            <w:tcMar>
              <w:left w:w="57" w:type="dxa"/>
            </w:tcMar>
          </w:tcPr>
          <w:p w14:paraId="6A4F5589" w14:textId="77777777" w:rsidR="00545FF4" w:rsidRDefault="00545FF4" w:rsidP="00545FF4">
            <w:pPr>
              <w:pStyle w:val="ACCESSTableHeaderRow"/>
            </w:pPr>
            <w:r>
              <w:t>Aged 12-17</w:t>
            </w:r>
          </w:p>
        </w:tc>
        <w:tc>
          <w:tcPr>
            <w:tcW w:w="1068" w:type="dxa"/>
            <w:shd w:val="clear" w:color="auto" w:fill="auto"/>
            <w:tcMar>
              <w:left w:w="57" w:type="dxa"/>
            </w:tcMar>
            <w:vAlign w:val="center"/>
          </w:tcPr>
          <w:p w14:paraId="00915AF7" w14:textId="77777777" w:rsidR="00545FF4" w:rsidRPr="00DE25AD" w:rsidRDefault="00545FF4" w:rsidP="00545FF4">
            <w:pPr>
              <w:pStyle w:val="ASSAD2017ACCESSBody1"/>
            </w:pPr>
          </w:p>
        </w:tc>
        <w:tc>
          <w:tcPr>
            <w:tcW w:w="878" w:type="dxa"/>
            <w:shd w:val="clear" w:color="auto" w:fill="auto"/>
            <w:vAlign w:val="bottom"/>
          </w:tcPr>
          <w:p w14:paraId="635B6250" w14:textId="77777777" w:rsidR="00545FF4" w:rsidRPr="00DE25AD" w:rsidRDefault="00545FF4" w:rsidP="00545FF4">
            <w:pPr>
              <w:pStyle w:val="ASSADACCESStablecentre"/>
            </w:pPr>
          </w:p>
        </w:tc>
        <w:tc>
          <w:tcPr>
            <w:tcW w:w="879" w:type="dxa"/>
            <w:shd w:val="clear" w:color="auto" w:fill="auto"/>
            <w:vAlign w:val="bottom"/>
          </w:tcPr>
          <w:p w14:paraId="43D773D3" w14:textId="77777777" w:rsidR="00545FF4" w:rsidRPr="00DE25AD" w:rsidRDefault="00545FF4" w:rsidP="00545FF4">
            <w:pPr>
              <w:pStyle w:val="ASSADACCESStablecentre"/>
            </w:pPr>
          </w:p>
        </w:tc>
        <w:tc>
          <w:tcPr>
            <w:tcW w:w="879" w:type="dxa"/>
            <w:shd w:val="clear" w:color="auto" w:fill="auto"/>
            <w:vAlign w:val="bottom"/>
          </w:tcPr>
          <w:p w14:paraId="3B834603" w14:textId="77777777" w:rsidR="00545FF4" w:rsidRPr="00DE25AD" w:rsidRDefault="00545FF4" w:rsidP="00545FF4">
            <w:pPr>
              <w:pStyle w:val="ASSADACCESStablecentre"/>
            </w:pPr>
          </w:p>
        </w:tc>
        <w:tc>
          <w:tcPr>
            <w:tcW w:w="879" w:type="dxa"/>
            <w:shd w:val="clear" w:color="auto" w:fill="auto"/>
            <w:vAlign w:val="bottom"/>
          </w:tcPr>
          <w:p w14:paraId="3621AB32" w14:textId="77777777" w:rsidR="00545FF4" w:rsidRPr="00DE25AD" w:rsidRDefault="00545FF4" w:rsidP="00545FF4">
            <w:pPr>
              <w:pStyle w:val="ASSADACCESStablecentre"/>
            </w:pPr>
          </w:p>
        </w:tc>
        <w:tc>
          <w:tcPr>
            <w:tcW w:w="879" w:type="dxa"/>
            <w:shd w:val="clear" w:color="auto" w:fill="auto"/>
            <w:vAlign w:val="bottom"/>
          </w:tcPr>
          <w:p w14:paraId="44B1694B" w14:textId="77777777" w:rsidR="00545FF4" w:rsidRPr="00DE25AD" w:rsidRDefault="00545FF4" w:rsidP="00545FF4">
            <w:pPr>
              <w:pStyle w:val="ASSADACCESStablecentre"/>
            </w:pPr>
          </w:p>
        </w:tc>
        <w:tc>
          <w:tcPr>
            <w:tcW w:w="879" w:type="dxa"/>
            <w:shd w:val="clear" w:color="auto" w:fill="auto"/>
            <w:vAlign w:val="bottom"/>
          </w:tcPr>
          <w:p w14:paraId="65212AB3" w14:textId="77777777" w:rsidR="00545FF4" w:rsidRPr="00DE25AD" w:rsidRDefault="00545FF4" w:rsidP="00545FF4">
            <w:pPr>
              <w:pStyle w:val="ASSADACCESStablecentre"/>
            </w:pPr>
          </w:p>
        </w:tc>
        <w:tc>
          <w:tcPr>
            <w:tcW w:w="879" w:type="dxa"/>
            <w:shd w:val="clear" w:color="auto" w:fill="auto"/>
            <w:vAlign w:val="bottom"/>
          </w:tcPr>
          <w:p w14:paraId="447007AB" w14:textId="77777777" w:rsidR="00545FF4" w:rsidRPr="00DE25AD" w:rsidRDefault="00545FF4" w:rsidP="00545FF4">
            <w:pPr>
              <w:pStyle w:val="ASSADACCESStablecentre"/>
            </w:pPr>
          </w:p>
        </w:tc>
        <w:tc>
          <w:tcPr>
            <w:tcW w:w="879" w:type="dxa"/>
            <w:shd w:val="clear" w:color="auto" w:fill="auto"/>
            <w:vAlign w:val="bottom"/>
          </w:tcPr>
          <w:p w14:paraId="18E30184" w14:textId="77777777" w:rsidR="00545FF4" w:rsidRPr="00DE25AD" w:rsidRDefault="00545FF4" w:rsidP="00545FF4">
            <w:pPr>
              <w:pStyle w:val="ASSADACCESStablecentre"/>
            </w:pPr>
          </w:p>
        </w:tc>
      </w:tr>
      <w:tr w:rsidR="00545FF4" w:rsidRPr="00DE25AD" w14:paraId="2B9D1B46" w14:textId="77777777" w:rsidTr="005F678B">
        <w:tc>
          <w:tcPr>
            <w:tcW w:w="1517" w:type="dxa"/>
            <w:tcMar>
              <w:left w:w="57" w:type="dxa"/>
            </w:tcMar>
          </w:tcPr>
          <w:p w14:paraId="2BA0090E" w14:textId="77777777" w:rsidR="00545FF4" w:rsidRDefault="00545FF4" w:rsidP="00545FF4">
            <w:pPr>
              <w:pStyle w:val="ACCESSTableHeaderRow"/>
            </w:pPr>
            <w:r w:rsidRPr="00DE25AD">
              <w:t>Recency</w:t>
            </w:r>
          </w:p>
        </w:tc>
        <w:tc>
          <w:tcPr>
            <w:tcW w:w="1068" w:type="dxa"/>
            <w:shd w:val="clear" w:color="auto" w:fill="auto"/>
            <w:tcMar>
              <w:left w:w="57" w:type="dxa"/>
            </w:tcMar>
            <w:vAlign w:val="center"/>
          </w:tcPr>
          <w:p w14:paraId="35881B14" w14:textId="77777777" w:rsidR="00545FF4" w:rsidRPr="00DE25AD" w:rsidRDefault="00545FF4" w:rsidP="00545FF4">
            <w:pPr>
              <w:pStyle w:val="ASSAD2017ACCESSBody1"/>
            </w:pPr>
            <w:r w:rsidRPr="005C5B03">
              <w:rPr>
                <w:b/>
                <w:bCs w:val="0"/>
              </w:rPr>
              <w:t>Sex</w:t>
            </w:r>
          </w:p>
        </w:tc>
        <w:tc>
          <w:tcPr>
            <w:tcW w:w="878" w:type="dxa"/>
            <w:shd w:val="clear" w:color="auto" w:fill="auto"/>
            <w:vAlign w:val="bottom"/>
          </w:tcPr>
          <w:p w14:paraId="4183A28F" w14:textId="77777777" w:rsidR="00545FF4" w:rsidRPr="00DE25AD" w:rsidRDefault="00545FF4" w:rsidP="00545FF4">
            <w:pPr>
              <w:pStyle w:val="ASSADACCESStablecentre"/>
            </w:pPr>
          </w:p>
        </w:tc>
        <w:tc>
          <w:tcPr>
            <w:tcW w:w="879" w:type="dxa"/>
            <w:shd w:val="clear" w:color="auto" w:fill="auto"/>
            <w:vAlign w:val="bottom"/>
          </w:tcPr>
          <w:p w14:paraId="72002F0C" w14:textId="77777777" w:rsidR="00545FF4" w:rsidRPr="00DE25AD" w:rsidRDefault="00545FF4" w:rsidP="00545FF4">
            <w:pPr>
              <w:pStyle w:val="ASSADACCESStablecentre"/>
            </w:pPr>
          </w:p>
        </w:tc>
        <w:tc>
          <w:tcPr>
            <w:tcW w:w="879" w:type="dxa"/>
            <w:shd w:val="clear" w:color="auto" w:fill="auto"/>
            <w:vAlign w:val="bottom"/>
          </w:tcPr>
          <w:p w14:paraId="0C19DD2B" w14:textId="77777777" w:rsidR="00545FF4" w:rsidRPr="00DE25AD" w:rsidRDefault="00545FF4" w:rsidP="00545FF4">
            <w:pPr>
              <w:pStyle w:val="ASSADACCESStablecentre"/>
            </w:pPr>
          </w:p>
        </w:tc>
        <w:tc>
          <w:tcPr>
            <w:tcW w:w="879" w:type="dxa"/>
            <w:shd w:val="clear" w:color="auto" w:fill="auto"/>
            <w:vAlign w:val="bottom"/>
          </w:tcPr>
          <w:p w14:paraId="57466D32" w14:textId="77777777" w:rsidR="00545FF4" w:rsidRPr="00DE25AD" w:rsidRDefault="00545FF4" w:rsidP="00545FF4">
            <w:pPr>
              <w:pStyle w:val="ASSADACCESStablecentre"/>
            </w:pPr>
          </w:p>
        </w:tc>
        <w:tc>
          <w:tcPr>
            <w:tcW w:w="879" w:type="dxa"/>
            <w:shd w:val="clear" w:color="auto" w:fill="auto"/>
            <w:vAlign w:val="bottom"/>
          </w:tcPr>
          <w:p w14:paraId="43D8084E" w14:textId="77777777" w:rsidR="00545FF4" w:rsidRPr="00DE25AD" w:rsidRDefault="00545FF4" w:rsidP="00545FF4">
            <w:pPr>
              <w:pStyle w:val="ASSADACCESStablecentre"/>
            </w:pPr>
          </w:p>
        </w:tc>
        <w:tc>
          <w:tcPr>
            <w:tcW w:w="879" w:type="dxa"/>
            <w:shd w:val="clear" w:color="auto" w:fill="auto"/>
            <w:vAlign w:val="bottom"/>
          </w:tcPr>
          <w:p w14:paraId="51C37CD0" w14:textId="77777777" w:rsidR="00545FF4" w:rsidRPr="00DE25AD" w:rsidRDefault="00545FF4" w:rsidP="00545FF4">
            <w:pPr>
              <w:pStyle w:val="ASSADACCESStablecentre"/>
            </w:pPr>
          </w:p>
        </w:tc>
        <w:tc>
          <w:tcPr>
            <w:tcW w:w="879" w:type="dxa"/>
            <w:shd w:val="clear" w:color="auto" w:fill="auto"/>
            <w:vAlign w:val="bottom"/>
          </w:tcPr>
          <w:p w14:paraId="539827A8" w14:textId="77777777" w:rsidR="00545FF4" w:rsidRPr="00DE25AD" w:rsidRDefault="00545FF4" w:rsidP="00545FF4">
            <w:pPr>
              <w:pStyle w:val="ASSADACCESStablecentre"/>
            </w:pPr>
          </w:p>
        </w:tc>
        <w:tc>
          <w:tcPr>
            <w:tcW w:w="879" w:type="dxa"/>
            <w:shd w:val="clear" w:color="auto" w:fill="auto"/>
            <w:vAlign w:val="bottom"/>
          </w:tcPr>
          <w:p w14:paraId="0F3627AF" w14:textId="77777777" w:rsidR="00545FF4" w:rsidRPr="00DE25AD" w:rsidRDefault="00545FF4" w:rsidP="00545FF4">
            <w:pPr>
              <w:pStyle w:val="ASSADACCESStablecentre"/>
            </w:pPr>
          </w:p>
        </w:tc>
      </w:tr>
      <w:tr w:rsidR="00545FF4" w:rsidRPr="00DE25AD" w14:paraId="24BBBCBF" w14:textId="77777777" w:rsidTr="00545FF4">
        <w:tc>
          <w:tcPr>
            <w:tcW w:w="1517" w:type="dxa"/>
            <w:tcMar>
              <w:left w:w="57" w:type="dxa"/>
            </w:tcMar>
          </w:tcPr>
          <w:p w14:paraId="452C16D5" w14:textId="77777777" w:rsidR="00545FF4" w:rsidRPr="00DE25AD" w:rsidRDefault="00545FF4" w:rsidP="00545FF4">
            <w:pPr>
              <w:pStyle w:val="ACCESSTableHeaderRow"/>
            </w:pPr>
            <w:r>
              <w:t>Lifetime</w:t>
            </w:r>
          </w:p>
        </w:tc>
        <w:tc>
          <w:tcPr>
            <w:tcW w:w="1068" w:type="dxa"/>
            <w:shd w:val="clear" w:color="auto" w:fill="auto"/>
            <w:tcMar>
              <w:left w:w="57" w:type="dxa"/>
            </w:tcMar>
            <w:vAlign w:val="bottom"/>
          </w:tcPr>
          <w:p w14:paraId="4774D161" w14:textId="77777777" w:rsidR="00545FF4" w:rsidRPr="00DE25AD" w:rsidRDefault="00545FF4" w:rsidP="00545FF4">
            <w:pPr>
              <w:pStyle w:val="ASSAD2017ACCESSBody1"/>
            </w:pPr>
            <w:r w:rsidRPr="00DE25AD">
              <w:t>Male</w:t>
            </w:r>
          </w:p>
        </w:tc>
        <w:tc>
          <w:tcPr>
            <w:tcW w:w="878" w:type="dxa"/>
            <w:shd w:val="clear" w:color="auto" w:fill="auto"/>
          </w:tcPr>
          <w:p w14:paraId="67915492" w14:textId="286B534D" w:rsidR="00545FF4" w:rsidRPr="00DE25AD" w:rsidRDefault="00545FF4" w:rsidP="00545FF4">
            <w:pPr>
              <w:pStyle w:val="ASSADACCESStablecentre"/>
            </w:pPr>
            <w:r w:rsidRPr="002E5727">
              <w:rPr>
                <w:bCs w:val="0"/>
                <w:color w:val="000000"/>
              </w:rPr>
              <w:t>4*</w:t>
            </w:r>
          </w:p>
        </w:tc>
        <w:tc>
          <w:tcPr>
            <w:tcW w:w="879" w:type="dxa"/>
            <w:shd w:val="clear" w:color="auto" w:fill="auto"/>
          </w:tcPr>
          <w:p w14:paraId="4D66592D" w14:textId="38676E91" w:rsidR="00545FF4" w:rsidRPr="00DE25AD" w:rsidRDefault="00545FF4" w:rsidP="00545FF4">
            <w:pPr>
              <w:pStyle w:val="ASSADACCESStablecentre"/>
            </w:pPr>
            <w:r w:rsidRPr="002E5727">
              <w:rPr>
                <w:bCs w:val="0"/>
                <w:color w:val="000000"/>
              </w:rPr>
              <w:t>5</w:t>
            </w:r>
          </w:p>
        </w:tc>
        <w:tc>
          <w:tcPr>
            <w:tcW w:w="879" w:type="dxa"/>
            <w:shd w:val="clear" w:color="auto" w:fill="auto"/>
          </w:tcPr>
          <w:p w14:paraId="6A780204" w14:textId="73096FFD" w:rsidR="00545FF4" w:rsidRPr="00DE25AD" w:rsidRDefault="00545FF4" w:rsidP="00545FF4">
            <w:pPr>
              <w:pStyle w:val="ASSADACCESStablecentre"/>
            </w:pPr>
            <w:r w:rsidRPr="002E5727">
              <w:rPr>
                <w:bCs w:val="0"/>
                <w:color w:val="000000"/>
              </w:rPr>
              <w:t>5</w:t>
            </w:r>
          </w:p>
        </w:tc>
        <w:tc>
          <w:tcPr>
            <w:tcW w:w="879" w:type="dxa"/>
            <w:shd w:val="clear" w:color="auto" w:fill="auto"/>
          </w:tcPr>
          <w:p w14:paraId="18F23829" w14:textId="4C1A2968" w:rsidR="00545FF4" w:rsidRPr="00DE25AD" w:rsidRDefault="00545FF4" w:rsidP="00545FF4">
            <w:pPr>
              <w:pStyle w:val="ASSADACCESStablecentre"/>
            </w:pPr>
            <w:r w:rsidRPr="002E5727">
              <w:rPr>
                <w:bCs w:val="0"/>
                <w:color w:val="000000"/>
              </w:rPr>
              <w:t>4*</w:t>
            </w:r>
          </w:p>
        </w:tc>
        <w:tc>
          <w:tcPr>
            <w:tcW w:w="879" w:type="dxa"/>
            <w:shd w:val="clear" w:color="auto" w:fill="auto"/>
          </w:tcPr>
          <w:p w14:paraId="1F61352B" w14:textId="22B35539" w:rsidR="00545FF4" w:rsidRPr="00DE25AD" w:rsidRDefault="00545FF4" w:rsidP="00545FF4">
            <w:pPr>
              <w:pStyle w:val="ASSADACCESStablecentre"/>
            </w:pPr>
            <w:r w:rsidRPr="002E5727">
              <w:rPr>
                <w:bCs w:val="0"/>
                <w:color w:val="000000"/>
              </w:rPr>
              <w:t>4*</w:t>
            </w:r>
          </w:p>
        </w:tc>
        <w:tc>
          <w:tcPr>
            <w:tcW w:w="879" w:type="dxa"/>
            <w:shd w:val="clear" w:color="auto" w:fill="auto"/>
          </w:tcPr>
          <w:p w14:paraId="6F4175E7" w14:textId="54D92866" w:rsidR="00545FF4" w:rsidRPr="00DE25AD" w:rsidRDefault="00545FF4" w:rsidP="00545FF4">
            <w:pPr>
              <w:pStyle w:val="ASSADACCESStablecentre"/>
            </w:pPr>
            <w:r w:rsidRPr="002E5727">
              <w:rPr>
                <w:bCs w:val="0"/>
                <w:color w:val="000000"/>
              </w:rPr>
              <w:t>3*^</w:t>
            </w:r>
          </w:p>
        </w:tc>
        <w:tc>
          <w:tcPr>
            <w:tcW w:w="879" w:type="dxa"/>
            <w:shd w:val="clear" w:color="auto" w:fill="auto"/>
          </w:tcPr>
          <w:p w14:paraId="3D552377" w14:textId="29EFAFD7" w:rsidR="00545FF4" w:rsidRPr="00DE25AD" w:rsidRDefault="00545FF4" w:rsidP="00545FF4">
            <w:pPr>
              <w:pStyle w:val="ASSADACCESStablecentre"/>
            </w:pPr>
            <w:r w:rsidRPr="002E5727">
              <w:rPr>
                <w:bCs w:val="0"/>
                <w:color w:val="000000"/>
              </w:rPr>
              <w:t>4*</w:t>
            </w:r>
          </w:p>
        </w:tc>
        <w:tc>
          <w:tcPr>
            <w:tcW w:w="879" w:type="dxa"/>
            <w:shd w:val="clear" w:color="auto" w:fill="auto"/>
          </w:tcPr>
          <w:p w14:paraId="063E7283" w14:textId="6B399C53" w:rsidR="00545FF4" w:rsidRPr="00DE25AD" w:rsidRDefault="00545FF4" w:rsidP="00545FF4">
            <w:pPr>
              <w:pStyle w:val="ASSADACCESStablecentre"/>
            </w:pPr>
            <w:r>
              <w:rPr>
                <w:bCs w:val="0"/>
                <w:color w:val="000000"/>
              </w:rPr>
              <w:t>6</w:t>
            </w:r>
            <w:r w:rsidRPr="002E5727">
              <w:rPr>
                <w:bCs w:val="0"/>
                <w:color w:val="000000"/>
              </w:rPr>
              <w:t>^</w:t>
            </w:r>
          </w:p>
        </w:tc>
      </w:tr>
      <w:tr w:rsidR="00545FF4" w:rsidRPr="00DE25AD" w14:paraId="62DAEAD7" w14:textId="77777777" w:rsidTr="005F678B">
        <w:tc>
          <w:tcPr>
            <w:tcW w:w="1517" w:type="dxa"/>
            <w:tcMar>
              <w:left w:w="57" w:type="dxa"/>
            </w:tcMar>
          </w:tcPr>
          <w:p w14:paraId="5144A4DB" w14:textId="77777777" w:rsidR="00545FF4" w:rsidRPr="00DE25AD" w:rsidRDefault="00545FF4" w:rsidP="00545FF4">
            <w:pPr>
              <w:pStyle w:val="ACCESSTableHeaderRow"/>
            </w:pPr>
          </w:p>
        </w:tc>
        <w:tc>
          <w:tcPr>
            <w:tcW w:w="1068" w:type="dxa"/>
            <w:shd w:val="clear" w:color="auto" w:fill="auto"/>
            <w:tcMar>
              <w:left w:w="57" w:type="dxa"/>
            </w:tcMar>
            <w:vAlign w:val="bottom"/>
          </w:tcPr>
          <w:p w14:paraId="51754B9C" w14:textId="77777777" w:rsidR="00545FF4" w:rsidRPr="00DE25AD" w:rsidRDefault="00545FF4" w:rsidP="00545FF4">
            <w:pPr>
              <w:pStyle w:val="ASSAD2017ACCESSBody1"/>
            </w:pPr>
            <w:r w:rsidRPr="00DE25AD">
              <w:t>Female</w:t>
            </w:r>
          </w:p>
        </w:tc>
        <w:tc>
          <w:tcPr>
            <w:tcW w:w="878" w:type="dxa"/>
            <w:shd w:val="clear" w:color="auto" w:fill="auto"/>
          </w:tcPr>
          <w:p w14:paraId="1BE288A6" w14:textId="1C2F1876" w:rsidR="00545FF4" w:rsidRPr="00DE25AD" w:rsidRDefault="00545FF4" w:rsidP="00545FF4">
            <w:pPr>
              <w:pStyle w:val="ASSADACCESStablecentre"/>
            </w:pPr>
            <w:r w:rsidRPr="002E5727">
              <w:rPr>
                <w:bCs w:val="0"/>
                <w:color w:val="000000"/>
              </w:rPr>
              <w:t>3*</w:t>
            </w:r>
          </w:p>
        </w:tc>
        <w:tc>
          <w:tcPr>
            <w:tcW w:w="879" w:type="dxa"/>
            <w:shd w:val="clear" w:color="auto" w:fill="auto"/>
          </w:tcPr>
          <w:p w14:paraId="5CA10E23" w14:textId="55CA2788" w:rsidR="00545FF4" w:rsidRPr="00DE25AD" w:rsidRDefault="00545FF4" w:rsidP="00545FF4">
            <w:pPr>
              <w:pStyle w:val="ASSADACCESStablecentre"/>
            </w:pPr>
            <w:r w:rsidRPr="002E5727">
              <w:rPr>
                <w:bCs w:val="0"/>
                <w:color w:val="000000"/>
              </w:rPr>
              <w:t>3</w:t>
            </w:r>
          </w:p>
        </w:tc>
        <w:tc>
          <w:tcPr>
            <w:tcW w:w="879" w:type="dxa"/>
            <w:shd w:val="clear" w:color="auto" w:fill="auto"/>
          </w:tcPr>
          <w:p w14:paraId="29A839A5" w14:textId="475B5CE1" w:rsidR="00545FF4" w:rsidRPr="00DE25AD" w:rsidRDefault="00545FF4" w:rsidP="00545FF4">
            <w:pPr>
              <w:pStyle w:val="ASSADACCESStablecentre"/>
            </w:pPr>
            <w:r w:rsidRPr="002E5727">
              <w:rPr>
                <w:bCs w:val="0"/>
                <w:color w:val="000000"/>
              </w:rPr>
              <w:t>4^</w:t>
            </w:r>
          </w:p>
        </w:tc>
        <w:tc>
          <w:tcPr>
            <w:tcW w:w="879" w:type="dxa"/>
            <w:shd w:val="clear" w:color="auto" w:fill="auto"/>
          </w:tcPr>
          <w:p w14:paraId="35B83C1E" w14:textId="170700BA" w:rsidR="00545FF4" w:rsidRPr="00DE25AD" w:rsidRDefault="00545FF4" w:rsidP="00545FF4">
            <w:pPr>
              <w:pStyle w:val="ASSADACCESStablecentre"/>
            </w:pPr>
            <w:r w:rsidRPr="002E5727">
              <w:rPr>
                <w:bCs w:val="0"/>
                <w:color w:val="000000"/>
              </w:rPr>
              <w:t>3</w:t>
            </w:r>
          </w:p>
        </w:tc>
        <w:tc>
          <w:tcPr>
            <w:tcW w:w="879" w:type="dxa"/>
            <w:shd w:val="clear" w:color="auto" w:fill="auto"/>
          </w:tcPr>
          <w:p w14:paraId="77E7282E" w14:textId="02B3A303" w:rsidR="00545FF4" w:rsidRPr="00DE25AD" w:rsidRDefault="00545FF4" w:rsidP="00545FF4">
            <w:pPr>
              <w:pStyle w:val="ASSADACCESStablecentre"/>
            </w:pPr>
            <w:r w:rsidRPr="002E5727">
              <w:rPr>
                <w:bCs w:val="0"/>
                <w:color w:val="000000"/>
              </w:rPr>
              <w:t>4^</w:t>
            </w:r>
          </w:p>
        </w:tc>
        <w:tc>
          <w:tcPr>
            <w:tcW w:w="879" w:type="dxa"/>
            <w:shd w:val="clear" w:color="auto" w:fill="auto"/>
          </w:tcPr>
          <w:p w14:paraId="79FD7261" w14:textId="4081497C" w:rsidR="00545FF4" w:rsidRPr="00DE25AD" w:rsidRDefault="00545FF4" w:rsidP="00545FF4">
            <w:pPr>
              <w:pStyle w:val="ASSADACCESStablecentre"/>
            </w:pPr>
            <w:r w:rsidRPr="002E5727">
              <w:rPr>
                <w:bCs w:val="0"/>
                <w:color w:val="000000"/>
              </w:rPr>
              <w:t>2*</w:t>
            </w:r>
          </w:p>
        </w:tc>
        <w:tc>
          <w:tcPr>
            <w:tcW w:w="879" w:type="dxa"/>
            <w:shd w:val="clear" w:color="auto" w:fill="auto"/>
          </w:tcPr>
          <w:p w14:paraId="0B19F53E" w14:textId="3AECF803" w:rsidR="00545FF4" w:rsidRPr="00DE25AD" w:rsidRDefault="00545FF4" w:rsidP="00545FF4">
            <w:pPr>
              <w:pStyle w:val="ASSADACCESStablecentre"/>
            </w:pPr>
            <w:r w:rsidRPr="002E5727">
              <w:rPr>
                <w:bCs w:val="0"/>
                <w:color w:val="000000"/>
              </w:rPr>
              <w:t>2*</w:t>
            </w:r>
          </w:p>
        </w:tc>
        <w:tc>
          <w:tcPr>
            <w:tcW w:w="879" w:type="dxa"/>
            <w:shd w:val="clear" w:color="auto" w:fill="auto"/>
          </w:tcPr>
          <w:p w14:paraId="7DE204B1" w14:textId="2FF34D07" w:rsidR="00545FF4" w:rsidRPr="00DE25AD" w:rsidRDefault="00545FF4" w:rsidP="00545FF4">
            <w:pPr>
              <w:pStyle w:val="ASSADACCESStablecentre"/>
            </w:pPr>
            <w:r>
              <w:rPr>
                <w:bCs w:val="0"/>
                <w:color w:val="000000"/>
              </w:rPr>
              <w:t>4</w:t>
            </w:r>
            <w:r w:rsidRPr="002E5727">
              <w:rPr>
                <w:bCs w:val="0"/>
                <w:color w:val="000000"/>
              </w:rPr>
              <w:t>^</w:t>
            </w:r>
          </w:p>
        </w:tc>
      </w:tr>
      <w:tr w:rsidR="00545FF4" w:rsidRPr="00DE25AD" w14:paraId="3A9F1802" w14:textId="77777777" w:rsidTr="005F678B">
        <w:trPr>
          <w:trHeight w:val="247"/>
        </w:trPr>
        <w:tc>
          <w:tcPr>
            <w:tcW w:w="1517" w:type="dxa"/>
            <w:tcMar>
              <w:left w:w="57" w:type="dxa"/>
            </w:tcMar>
          </w:tcPr>
          <w:p w14:paraId="037033B8" w14:textId="77777777" w:rsidR="00545FF4" w:rsidRPr="00DE25AD" w:rsidRDefault="00545FF4" w:rsidP="00545FF4">
            <w:pPr>
              <w:pStyle w:val="ACCESSTableHeaderRow"/>
            </w:pPr>
          </w:p>
        </w:tc>
        <w:tc>
          <w:tcPr>
            <w:tcW w:w="1068" w:type="dxa"/>
            <w:shd w:val="clear" w:color="auto" w:fill="auto"/>
            <w:tcMar>
              <w:left w:w="57" w:type="dxa"/>
            </w:tcMar>
            <w:vAlign w:val="bottom"/>
          </w:tcPr>
          <w:p w14:paraId="027CC5C1" w14:textId="77777777" w:rsidR="00545FF4" w:rsidRPr="00DE25AD" w:rsidRDefault="00545FF4" w:rsidP="00545FF4">
            <w:pPr>
              <w:pStyle w:val="ASSAD2017ACCESSBody1"/>
            </w:pPr>
            <w:r w:rsidRPr="00DE25AD">
              <w:t>Total</w:t>
            </w:r>
          </w:p>
        </w:tc>
        <w:tc>
          <w:tcPr>
            <w:tcW w:w="878" w:type="dxa"/>
            <w:shd w:val="clear" w:color="auto" w:fill="auto"/>
          </w:tcPr>
          <w:p w14:paraId="07BB4187" w14:textId="23DED964" w:rsidR="00545FF4" w:rsidRPr="00DE25AD" w:rsidRDefault="00545FF4" w:rsidP="00545FF4">
            <w:pPr>
              <w:pStyle w:val="ASSADACCESStablecentre"/>
            </w:pPr>
            <w:r w:rsidRPr="002E5727">
              <w:rPr>
                <w:bCs w:val="0"/>
                <w:color w:val="000000"/>
              </w:rPr>
              <w:t>3*</w:t>
            </w:r>
          </w:p>
        </w:tc>
        <w:tc>
          <w:tcPr>
            <w:tcW w:w="879" w:type="dxa"/>
            <w:shd w:val="clear" w:color="auto" w:fill="auto"/>
          </w:tcPr>
          <w:p w14:paraId="35CD854E" w14:textId="37468E9F" w:rsidR="00545FF4" w:rsidRPr="00DE25AD" w:rsidRDefault="00545FF4" w:rsidP="00545FF4">
            <w:pPr>
              <w:pStyle w:val="ASSADACCESStablecentre"/>
            </w:pPr>
            <w:r>
              <w:rPr>
                <w:bCs w:val="0"/>
                <w:color w:val="000000"/>
              </w:rPr>
              <w:t>4</w:t>
            </w:r>
          </w:p>
        </w:tc>
        <w:tc>
          <w:tcPr>
            <w:tcW w:w="879" w:type="dxa"/>
            <w:shd w:val="clear" w:color="auto" w:fill="auto"/>
          </w:tcPr>
          <w:p w14:paraId="287FC0B8" w14:textId="28DA3391" w:rsidR="00545FF4" w:rsidRPr="00DE25AD" w:rsidRDefault="00545FF4" w:rsidP="00545FF4">
            <w:pPr>
              <w:pStyle w:val="ASSADACCESStablecentre"/>
            </w:pPr>
            <w:r>
              <w:rPr>
                <w:bCs w:val="0"/>
                <w:color w:val="000000"/>
              </w:rPr>
              <w:t>4^</w:t>
            </w:r>
          </w:p>
        </w:tc>
        <w:tc>
          <w:tcPr>
            <w:tcW w:w="879" w:type="dxa"/>
            <w:shd w:val="clear" w:color="auto" w:fill="auto"/>
          </w:tcPr>
          <w:p w14:paraId="481110A9" w14:textId="55F9184B" w:rsidR="00545FF4" w:rsidRPr="00DE25AD" w:rsidRDefault="00545FF4" w:rsidP="00545FF4">
            <w:pPr>
              <w:pStyle w:val="ASSADACCESStablecentre"/>
            </w:pPr>
            <w:r>
              <w:rPr>
                <w:bCs w:val="0"/>
                <w:color w:val="000000"/>
              </w:rPr>
              <w:t>4*</w:t>
            </w:r>
          </w:p>
        </w:tc>
        <w:tc>
          <w:tcPr>
            <w:tcW w:w="879" w:type="dxa"/>
            <w:shd w:val="clear" w:color="auto" w:fill="auto"/>
          </w:tcPr>
          <w:p w14:paraId="51B8F79D" w14:textId="5025CE2F" w:rsidR="00545FF4" w:rsidRPr="00DE25AD" w:rsidRDefault="00545FF4" w:rsidP="00545FF4">
            <w:pPr>
              <w:pStyle w:val="ASSADACCESStablecentre"/>
            </w:pPr>
            <w:r>
              <w:rPr>
                <w:bCs w:val="0"/>
                <w:color w:val="000000"/>
              </w:rPr>
              <w:t>4</w:t>
            </w:r>
          </w:p>
        </w:tc>
        <w:tc>
          <w:tcPr>
            <w:tcW w:w="879" w:type="dxa"/>
            <w:shd w:val="clear" w:color="auto" w:fill="auto"/>
          </w:tcPr>
          <w:p w14:paraId="4000222B" w14:textId="5563D237" w:rsidR="00545FF4" w:rsidRPr="00DE25AD" w:rsidRDefault="00545FF4" w:rsidP="00545FF4">
            <w:pPr>
              <w:pStyle w:val="ASSADACCESStablecentre"/>
            </w:pPr>
            <w:r>
              <w:rPr>
                <w:bCs w:val="0"/>
                <w:color w:val="000000"/>
              </w:rPr>
              <w:t>3</w:t>
            </w:r>
            <w:r w:rsidRPr="002E5727">
              <w:rPr>
                <w:bCs w:val="0"/>
                <w:color w:val="000000"/>
              </w:rPr>
              <w:t>*^</w:t>
            </w:r>
          </w:p>
        </w:tc>
        <w:tc>
          <w:tcPr>
            <w:tcW w:w="879" w:type="dxa"/>
            <w:shd w:val="clear" w:color="auto" w:fill="auto"/>
          </w:tcPr>
          <w:p w14:paraId="602BA72F" w14:textId="71846C75" w:rsidR="00545FF4" w:rsidRPr="00DE25AD" w:rsidRDefault="00545FF4" w:rsidP="00545FF4">
            <w:pPr>
              <w:pStyle w:val="ASSADACCESStablecentre"/>
            </w:pPr>
            <w:r w:rsidRPr="002E5727">
              <w:rPr>
                <w:bCs w:val="0"/>
                <w:color w:val="000000"/>
              </w:rPr>
              <w:t>3*</w:t>
            </w:r>
          </w:p>
        </w:tc>
        <w:tc>
          <w:tcPr>
            <w:tcW w:w="879" w:type="dxa"/>
            <w:shd w:val="clear" w:color="auto" w:fill="auto"/>
          </w:tcPr>
          <w:p w14:paraId="05B98E92" w14:textId="0041B49A" w:rsidR="00545FF4" w:rsidRPr="00DE25AD" w:rsidRDefault="00545FF4" w:rsidP="00545FF4">
            <w:pPr>
              <w:pStyle w:val="ASSADACCESStablecentre"/>
            </w:pPr>
            <w:r>
              <w:rPr>
                <w:bCs w:val="0"/>
                <w:color w:val="000000"/>
              </w:rPr>
              <w:t>5</w:t>
            </w:r>
            <w:r w:rsidRPr="002E5727">
              <w:rPr>
                <w:bCs w:val="0"/>
                <w:color w:val="000000"/>
              </w:rPr>
              <w:t>^</w:t>
            </w:r>
          </w:p>
        </w:tc>
      </w:tr>
      <w:tr w:rsidR="00545FF4" w:rsidRPr="00DE25AD" w14:paraId="63FC4F10" w14:textId="77777777" w:rsidTr="005F678B">
        <w:tc>
          <w:tcPr>
            <w:tcW w:w="1517" w:type="dxa"/>
            <w:tcMar>
              <w:left w:w="57" w:type="dxa"/>
            </w:tcMar>
          </w:tcPr>
          <w:p w14:paraId="0468DB93" w14:textId="77777777" w:rsidR="00545FF4" w:rsidRPr="00DE25AD" w:rsidRDefault="00545FF4" w:rsidP="00545FF4">
            <w:pPr>
              <w:pStyle w:val="ACCESSTableHeaderRow"/>
            </w:pPr>
            <w:r w:rsidRPr="00DE25AD">
              <w:t xml:space="preserve">Past </w:t>
            </w:r>
            <w:r>
              <w:t>year</w:t>
            </w:r>
          </w:p>
        </w:tc>
        <w:tc>
          <w:tcPr>
            <w:tcW w:w="1068" w:type="dxa"/>
            <w:shd w:val="clear" w:color="auto" w:fill="auto"/>
            <w:tcMar>
              <w:left w:w="57" w:type="dxa"/>
            </w:tcMar>
            <w:vAlign w:val="bottom"/>
          </w:tcPr>
          <w:p w14:paraId="45BC3785" w14:textId="77777777" w:rsidR="00545FF4" w:rsidRPr="00DE25AD" w:rsidRDefault="00545FF4" w:rsidP="00545FF4">
            <w:pPr>
              <w:pStyle w:val="ASSAD2017ACCESSBody1"/>
            </w:pPr>
            <w:r w:rsidRPr="00DE25AD">
              <w:t>Male</w:t>
            </w:r>
          </w:p>
        </w:tc>
        <w:tc>
          <w:tcPr>
            <w:tcW w:w="878" w:type="dxa"/>
            <w:shd w:val="clear" w:color="auto" w:fill="auto"/>
          </w:tcPr>
          <w:p w14:paraId="60AACE18" w14:textId="73BA213A" w:rsidR="00545FF4" w:rsidRPr="00DE25AD" w:rsidRDefault="00545FF4" w:rsidP="00545FF4">
            <w:pPr>
              <w:pStyle w:val="ASSADACCESStablecentre"/>
            </w:pPr>
            <w:r w:rsidRPr="002E5727">
              <w:rPr>
                <w:bCs w:val="0"/>
                <w:color w:val="000000"/>
              </w:rPr>
              <w:t>3*</w:t>
            </w:r>
          </w:p>
        </w:tc>
        <w:tc>
          <w:tcPr>
            <w:tcW w:w="879" w:type="dxa"/>
            <w:shd w:val="clear" w:color="auto" w:fill="auto"/>
          </w:tcPr>
          <w:p w14:paraId="13B15453" w14:textId="4699B17F" w:rsidR="00545FF4" w:rsidRPr="00DE25AD" w:rsidRDefault="00545FF4" w:rsidP="00545FF4">
            <w:pPr>
              <w:pStyle w:val="ASSADACCESStablecentre"/>
            </w:pPr>
            <w:r w:rsidRPr="002E5727">
              <w:rPr>
                <w:bCs w:val="0"/>
                <w:color w:val="000000"/>
              </w:rPr>
              <w:t>4</w:t>
            </w:r>
          </w:p>
        </w:tc>
        <w:tc>
          <w:tcPr>
            <w:tcW w:w="879" w:type="dxa"/>
            <w:shd w:val="clear" w:color="auto" w:fill="auto"/>
          </w:tcPr>
          <w:p w14:paraId="14FCB352" w14:textId="113B2DEE" w:rsidR="00545FF4" w:rsidRPr="00DE25AD" w:rsidRDefault="00545FF4" w:rsidP="00545FF4">
            <w:pPr>
              <w:pStyle w:val="ASSADACCESStablecentre"/>
            </w:pPr>
            <w:r w:rsidRPr="002E5727">
              <w:rPr>
                <w:bCs w:val="0"/>
                <w:color w:val="000000"/>
              </w:rPr>
              <w:t>4</w:t>
            </w:r>
          </w:p>
        </w:tc>
        <w:tc>
          <w:tcPr>
            <w:tcW w:w="879" w:type="dxa"/>
            <w:shd w:val="clear" w:color="auto" w:fill="auto"/>
          </w:tcPr>
          <w:p w14:paraId="3D7808FC" w14:textId="265DC04E" w:rsidR="00545FF4" w:rsidRPr="00DE25AD" w:rsidRDefault="00545FF4" w:rsidP="00545FF4">
            <w:pPr>
              <w:pStyle w:val="ASSADACCESStablecentre"/>
            </w:pPr>
            <w:r w:rsidRPr="002E5727">
              <w:rPr>
                <w:bCs w:val="0"/>
                <w:color w:val="000000"/>
              </w:rPr>
              <w:t>4</w:t>
            </w:r>
          </w:p>
        </w:tc>
        <w:tc>
          <w:tcPr>
            <w:tcW w:w="879" w:type="dxa"/>
            <w:shd w:val="clear" w:color="auto" w:fill="auto"/>
          </w:tcPr>
          <w:p w14:paraId="40FD8E3A" w14:textId="75A736B1" w:rsidR="00545FF4" w:rsidRPr="00DE25AD" w:rsidRDefault="00545FF4" w:rsidP="00545FF4">
            <w:pPr>
              <w:pStyle w:val="ASSADACCESStablecentre"/>
            </w:pPr>
            <w:r w:rsidRPr="002E5727">
              <w:rPr>
                <w:bCs w:val="0"/>
                <w:color w:val="000000"/>
              </w:rPr>
              <w:t>4</w:t>
            </w:r>
          </w:p>
        </w:tc>
        <w:tc>
          <w:tcPr>
            <w:tcW w:w="879" w:type="dxa"/>
            <w:shd w:val="clear" w:color="auto" w:fill="auto"/>
          </w:tcPr>
          <w:p w14:paraId="5A462960" w14:textId="2AEA13A5" w:rsidR="00545FF4" w:rsidRPr="00DE25AD" w:rsidRDefault="00545FF4" w:rsidP="00545FF4">
            <w:pPr>
              <w:pStyle w:val="ASSADACCESStablecentre"/>
            </w:pPr>
            <w:r w:rsidRPr="002E5727">
              <w:rPr>
                <w:bCs w:val="0"/>
                <w:color w:val="000000"/>
              </w:rPr>
              <w:t>2*^</w:t>
            </w:r>
          </w:p>
        </w:tc>
        <w:tc>
          <w:tcPr>
            <w:tcW w:w="879" w:type="dxa"/>
            <w:shd w:val="clear" w:color="auto" w:fill="auto"/>
          </w:tcPr>
          <w:p w14:paraId="50AE2DB4" w14:textId="710077C8" w:rsidR="00545FF4" w:rsidRPr="00DE25AD" w:rsidRDefault="00545FF4" w:rsidP="00545FF4">
            <w:pPr>
              <w:pStyle w:val="ASSADACCESStablecentre"/>
            </w:pPr>
            <w:r w:rsidRPr="002E5727">
              <w:rPr>
                <w:bCs w:val="0"/>
                <w:color w:val="000000"/>
              </w:rPr>
              <w:t>3*</w:t>
            </w:r>
          </w:p>
        </w:tc>
        <w:tc>
          <w:tcPr>
            <w:tcW w:w="879" w:type="dxa"/>
            <w:shd w:val="clear" w:color="auto" w:fill="auto"/>
          </w:tcPr>
          <w:p w14:paraId="451C2676" w14:textId="3A002180" w:rsidR="00545FF4" w:rsidRPr="00DE25AD" w:rsidRDefault="00545FF4" w:rsidP="00545FF4">
            <w:pPr>
              <w:pStyle w:val="ASSADACCESStablecentre"/>
            </w:pPr>
            <w:r>
              <w:rPr>
                <w:bCs w:val="0"/>
                <w:color w:val="000000"/>
              </w:rPr>
              <w:t>5</w:t>
            </w:r>
            <w:r w:rsidRPr="002E5727">
              <w:rPr>
                <w:bCs w:val="0"/>
                <w:color w:val="000000"/>
              </w:rPr>
              <w:t>^</w:t>
            </w:r>
          </w:p>
        </w:tc>
      </w:tr>
      <w:tr w:rsidR="00545FF4" w:rsidRPr="00DE25AD" w14:paraId="65A8EDFE" w14:textId="77777777" w:rsidTr="005F678B">
        <w:tc>
          <w:tcPr>
            <w:tcW w:w="1517" w:type="dxa"/>
            <w:tcMar>
              <w:left w:w="57" w:type="dxa"/>
            </w:tcMar>
          </w:tcPr>
          <w:p w14:paraId="6171FC9E" w14:textId="77777777" w:rsidR="00545FF4" w:rsidRPr="00DE25AD" w:rsidRDefault="00545FF4" w:rsidP="00545FF4">
            <w:pPr>
              <w:pStyle w:val="ACCESSTableHeaderRow"/>
            </w:pPr>
          </w:p>
        </w:tc>
        <w:tc>
          <w:tcPr>
            <w:tcW w:w="1068" w:type="dxa"/>
            <w:shd w:val="clear" w:color="auto" w:fill="auto"/>
            <w:tcMar>
              <w:left w:w="57" w:type="dxa"/>
            </w:tcMar>
            <w:vAlign w:val="bottom"/>
          </w:tcPr>
          <w:p w14:paraId="6CF51123" w14:textId="77777777" w:rsidR="00545FF4" w:rsidRPr="00DE25AD" w:rsidRDefault="00545FF4" w:rsidP="00545FF4">
            <w:pPr>
              <w:pStyle w:val="ASSAD2017ACCESSBody1"/>
            </w:pPr>
            <w:r w:rsidRPr="00DE25AD">
              <w:t>Female</w:t>
            </w:r>
          </w:p>
        </w:tc>
        <w:tc>
          <w:tcPr>
            <w:tcW w:w="878" w:type="dxa"/>
            <w:shd w:val="clear" w:color="auto" w:fill="auto"/>
          </w:tcPr>
          <w:p w14:paraId="109F6075" w14:textId="3212106E" w:rsidR="00545FF4" w:rsidRPr="00DE25AD" w:rsidRDefault="00545FF4" w:rsidP="00545FF4">
            <w:pPr>
              <w:pStyle w:val="ASSADACCESStablecentre"/>
            </w:pPr>
            <w:r w:rsidRPr="002E5727">
              <w:rPr>
                <w:bCs w:val="0"/>
                <w:color w:val="000000"/>
              </w:rPr>
              <w:t>2*</w:t>
            </w:r>
          </w:p>
        </w:tc>
        <w:tc>
          <w:tcPr>
            <w:tcW w:w="879" w:type="dxa"/>
            <w:shd w:val="clear" w:color="auto" w:fill="auto"/>
          </w:tcPr>
          <w:p w14:paraId="4D441BFB" w14:textId="7A0D1922" w:rsidR="00545FF4" w:rsidRPr="00DE25AD" w:rsidRDefault="00545FF4" w:rsidP="00545FF4">
            <w:pPr>
              <w:pStyle w:val="ASSADACCESStablecentre"/>
            </w:pPr>
            <w:r w:rsidRPr="002E5727">
              <w:rPr>
                <w:bCs w:val="0"/>
                <w:color w:val="000000"/>
              </w:rPr>
              <w:t>3^</w:t>
            </w:r>
          </w:p>
        </w:tc>
        <w:tc>
          <w:tcPr>
            <w:tcW w:w="879" w:type="dxa"/>
            <w:shd w:val="clear" w:color="auto" w:fill="auto"/>
          </w:tcPr>
          <w:p w14:paraId="48F23DDB" w14:textId="638A3100" w:rsidR="00545FF4" w:rsidRPr="00DE25AD" w:rsidRDefault="00545FF4" w:rsidP="00545FF4">
            <w:pPr>
              <w:pStyle w:val="ASSADACCESStablecentre"/>
            </w:pPr>
            <w:r w:rsidRPr="002E5727">
              <w:rPr>
                <w:bCs w:val="0"/>
                <w:color w:val="000000"/>
              </w:rPr>
              <w:t>3^</w:t>
            </w:r>
          </w:p>
        </w:tc>
        <w:tc>
          <w:tcPr>
            <w:tcW w:w="879" w:type="dxa"/>
            <w:shd w:val="clear" w:color="auto" w:fill="auto"/>
          </w:tcPr>
          <w:p w14:paraId="103BD3F4" w14:textId="4786AC62" w:rsidR="00545FF4" w:rsidRPr="00DE25AD" w:rsidRDefault="00545FF4" w:rsidP="00545FF4">
            <w:pPr>
              <w:pStyle w:val="ASSADACCESStablecentre"/>
            </w:pPr>
            <w:r w:rsidRPr="002E5727">
              <w:rPr>
                <w:bCs w:val="0"/>
                <w:color w:val="000000"/>
              </w:rPr>
              <w:t>3</w:t>
            </w:r>
          </w:p>
        </w:tc>
        <w:tc>
          <w:tcPr>
            <w:tcW w:w="879" w:type="dxa"/>
            <w:shd w:val="clear" w:color="auto" w:fill="auto"/>
          </w:tcPr>
          <w:p w14:paraId="623EDF80" w14:textId="14900E36" w:rsidR="00545FF4" w:rsidRPr="00DE25AD" w:rsidRDefault="00545FF4" w:rsidP="00545FF4">
            <w:pPr>
              <w:pStyle w:val="ASSADACCESStablecentre"/>
            </w:pPr>
            <w:r w:rsidRPr="002E5727">
              <w:rPr>
                <w:bCs w:val="0"/>
                <w:color w:val="000000"/>
              </w:rPr>
              <w:t>3^</w:t>
            </w:r>
          </w:p>
        </w:tc>
        <w:tc>
          <w:tcPr>
            <w:tcW w:w="879" w:type="dxa"/>
            <w:shd w:val="clear" w:color="auto" w:fill="auto"/>
          </w:tcPr>
          <w:p w14:paraId="2111239E" w14:textId="757DE297" w:rsidR="00545FF4" w:rsidRPr="00DE25AD" w:rsidRDefault="00545FF4" w:rsidP="00545FF4">
            <w:pPr>
              <w:pStyle w:val="ASSADACCESStablecentre"/>
            </w:pPr>
            <w:r w:rsidRPr="002E5727">
              <w:rPr>
                <w:bCs w:val="0"/>
                <w:color w:val="000000"/>
              </w:rPr>
              <w:t>2*</w:t>
            </w:r>
          </w:p>
        </w:tc>
        <w:tc>
          <w:tcPr>
            <w:tcW w:w="879" w:type="dxa"/>
            <w:shd w:val="clear" w:color="auto" w:fill="auto"/>
          </w:tcPr>
          <w:p w14:paraId="29903061" w14:textId="796AA4CD" w:rsidR="00545FF4" w:rsidRPr="00DE25AD" w:rsidRDefault="00545FF4" w:rsidP="00545FF4">
            <w:pPr>
              <w:pStyle w:val="ASSADACCESStablecentre"/>
            </w:pPr>
            <w:r w:rsidRPr="002E5727">
              <w:rPr>
                <w:bCs w:val="0"/>
                <w:color w:val="000000"/>
              </w:rPr>
              <w:t>2*</w:t>
            </w:r>
          </w:p>
        </w:tc>
        <w:tc>
          <w:tcPr>
            <w:tcW w:w="879" w:type="dxa"/>
            <w:shd w:val="clear" w:color="auto" w:fill="auto"/>
          </w:tcPr>
          <w:p w14:paraId="1B9CB3C3" w14:textId="0B4146AF" w:rsidR="00545FF4" w:rsidRPr="00DE25AD" w:rsidRDefault="00545FF4" w:rsidP="00545FF4">
            <w:pPr>
              <w:pStyle w:val="ASSADACCESStablecentre"/>
            </w:pPr>
            <w:r>
              <w:rPr>
                <w:bCs w:val="0"/>
                <w:color w:val="000000"/>
              </w:rPr>
              <w:t>3</w:t>
            </w:r>
            <w:r w:rsidRPr="002E5727">
              <w:rPr>
                <w:bCs w:val="0"/>
                <w:color w:val="000000"/>
              </w:rPr>
              <w:t>^</w:t>
            </w:r>
          </w:p>
        </w:tc>
      </w:tr>
      <w:tr w:rsidR="00545FF4" w:rsidRPr="00DE25AD" w14:paraId="304F27D3" w14:textId="77777777" w:rsidTr="005F678B">
        <w:tc>
          <w:tcPr>
            <w:tcW w:w="1517" w:type="dxa"/>
            <w:tcMar>
              <w:left w:w="57" w:type="dxa"/>
            </w:tcMar>
          </w:tcPr>
          <w:p w14:paraId="1CBF2548" w14:textId="77777777" w:rsidR="00545FF4" w:rsidRPr="00DE25AD" w:rsidRDefault="00545FF4" w:rsidP="00545FF4">
            <w:pPr>
              <w:pStyle w:val="ACCESSTableHeaderRow"/>
            </w:pPr>
          </w:p>
        </w:tc>
        <w:tc>
          <w:tcPr>
            <w:tcW w:w="1068" w:type="dxa"/>
            <w:shd w:val="clear" w:color="auto" w:fill="auto"/>
            <w:tcMar>
              <w:left w:w="57" w:type="dxa"/>
            </w:tcMar>
            <w:vAlign w:val="bottom"/>
          </w:tcPr>
          <w:p w14:paraId="6C06063B" w14:textId="77777777" w:rsidR="00545FF4" w:rsidRPr="00DE25AD" w:rsidRDefault="00545FF4" w:rsidP="00545FF4">
            <w:pPr>
              <w:pStyle w:val="ASSAD2017ACCESSBody1"/>
            </w:pPr>
            <w:r w:rsidRPr="00DE25AD">
              <w:t>Total</w:t>
            </w:r>
          </w:p>
        </w:tc>
        <w:tc>
          <w:tcPr>
            <w:tcW w:w="878" w:type="dxa"/>
            <w:shd w:val="clear" w:color="auto" w:fill="auto"/>
          </w:tcPr>
          <w:p w14:paraId="3E2A05C9" w14:textId="624164F0" w:rsidR="00545FF4" w:rsidRPr="00DE25AD" w:rsidRDefault="00545FF4" w:rsidP="00545FF4">
            <w:pPr>
              <w:pStyle w:val="ASSADACCESStablecentre"/>
            </w:pPr>
            <w:r>
              <w:rPr>
                <w:bCs w:val="0"/>
                <w:color w:val="000000"/>
              </w:rPr>
              <w:t>3</w:t>
            </w:r>
            <w:r w:rsidRPr="002E5727">
              <w:rPr>
                <w:bCs w:val="0"/>
                <w:color w:val="000000"/>
              </w:rPr>
              <w:t>*</w:t>
            </w:r>
          </w:p>
        </w:tc>
        <w:tc>
          <w:tcPr>
            <w:tcW w:w="879" w:type="dxa"/>
            <w:shd w:val="clear" w:color="auto" w:fill="auto"/>
          </w:tcPr>
          <w:p w14:paraId="6D2CCFB3" w14:textId="01CA4254" w:rsidR="00545FF4" w:rsidRPr="00DE25AD" w:rsidRDefault="00545FF4" w:rsidP="00545FF4">
            <w:pPr>
              <w:pStyle w:val="ASSADACCESStablecentre"/>
            </w:pPr>
            <w:r>
              <w:rPr>
                <w:bCs w:val="0"/>
                <w:color w:val="000000"/>
              </w:rPr>
              <w:t>3*</w:t>
            </w:r>
          </w:p>
        </w:tc>
        <w:tc>
          <w:tcPr>
            <w:tcW w:w="879" w:type="dxa"/>
            <w:shd w:val="clear" w:color="auto" w:fill="auto"/>
          </w:tcPr>
          <w:p w14:paraId="6B290481" w14:textId="475F3CA6" w:rsidR="00545FF4" w:rsidRPr="00DE25AD" w:rsidRDefault="00545FF4" w:rsidP="00545FF4">
            <w:pPr>
              <w:pStyle w:val="ASSADACCESStablecentre"/>
            </w:pPr>
            <w:r>
              <w:rPr>
                <w:bCs w:val="0"/>
                <w:color w:val="000000"/>
              </w:rPr>
              <w:t>3^</w:t>
            </w:r>
          </w:p>
        </w:tc>
        <w:tc>
          <w:tcPr>
            <w:tcW w:w="879" w:type="dxa"/>
            <w:shd w:val="clear" w:color="auto" w:fill="auto"/>
          </w:tcPr>
          <w:p w14:paraId="1F9EBA15" w14:textId="2BA685A0" w:rsidR="00545FF4" w:rsidRPr="00DE25AD" w:rsidRDefault="00545FF4" w:rsidP="00545FF4">
            <w:pPr>
              <w:pStyle w:val="ASSADACCESStablecentre"/>
            </w:pPr>
            <w:r>
              <w:rPr>
                <w:bCs w:val="0"/>
                <w:color w:val="000000"/>
              </w:rPr>
              <w:t>3</w:t>
            </w:r>
          </w:p>
        </w:tc>
        <w:tc>
          <w:tcPr>
            <w:tcW w:w="879" w:type="dxa"/>
            <w:shd w:val="clear" w:color="auto" w:fill="auto"/>
          </w:tcPr>
          <w:p w14:paraId="27557CCA" w14:textId="2E610306" w:rsidR="00545FF4" w:rsidRPr="00DE25AD" w:rsidRDefault="00545FF4" w:rsidP="00545FF4">
            <w:pPr>
              <w:pStyle w:val="ASSADACCESStablecentre"/>
            </w:pPr>
            <w:r>
              <w:rPr>
                <w:bCs w:val="0"/>
                <w:color w:val="000000"/>
              </w:rPr>
              <w:t>4^</w:t>
            </w:r>
          </w:p>
        </w:tc>
        <w:tc>
          <w:tcPr>
            <w:tcW w:w="879" w:type="dxa"/>
            <w:shd w:val="clear" w:color="auto" w:fill="auto"/>
          </w:tcPr>
          <w:p w14:paraId="15A11DF6" w14:textId="5ABDC3FC" w:rsidR="00545FF4" w:rsidRPr="00DE25AD" w:rsidRDefault="00545FF4" w:rsidP="00545FF4">
            <w:pPr>
              <w:pStyle w:val="ASSADACCESStablecentre"/>
            </w:pPr>
            <w:r>
              <w:rPr>
                <w:bCs w:val="0"/>
                <w:color w:val="000000"/>
              </w:rPr>
              <w:t>2</w:t>
            </w:r>
            <w:r w:rsidRPr="002E5727">
              <w:rPr>
                <w:bCs w:val="0"/>
                <w:color w:val="000000"/>
              </w:rPr>
              <w:t>*^</w:t>
            </w:r>
          </w:p>
        </w:tc>
        <w:tc>
          <w:tcPr>
            <w:tcW w:w="879" w:type="dxa"/>
            <w:shd w:val="clear" w:color="auto" w:fill="auto"/>
          </w:tcPr>
          <w:p w14:paraId="61073245" w14:textId="3D148D56" w:rsidR="00545FF4" w:rsidRPr="00DE25AD" w:rsidRDefault="00545FF4" w:rsidP="00545FF4">
            <w:pPr>
              <w:pStyle w:val="ASSADACCESStablecentre"/>
            </w:pPr>
            <w:r>
              <w:rPr>
                <w:bCs w:val="0"/>
                <w:color w:val="000000"/>
              </w:rPr>
              <w:t>3</w:t>
            </w:r>
            <w:r w:rsidRPr="002E5727">
              <w:rPr>
                <w:bCs w:val="0"/>
                <w:color w:val="000000"/>
              </w:rPr>
              <w:t>*</w:t>
            </w:r>
          </w:p>
        </w:tc>
        <w:tc>
          <w:tcPr>
            <w:tcW w:w="879" w:type="dxa"/>
            <w:shd w:val="clear" w:color="auto" w:fill="auto"/>
          </w:tcPr>
          <w:p w14:paraId="6C205AFA" w14:textId="587F0092" w:rsidR="00545FF4" w:rsidRPr="00DE25AD" w:rsidRDefault="00545FF4" w:rsidP="00545FF4">
            <w:pPr>
              <w:pStyle w:val="ASSADACCESStablecentre"/>
            </w:pPr>
            <w:r>
              <w:rPr>
                <w:bCs w:val="0"/>
                <w:color w:val="000000"/>
              </w:rPr>
              <w:t>4</w:t>
            </w:r>
            <w:r w:rsidRPr="002E5727">
              <w:rPr>
                <w:bCs w:val="0"/>
                <w:color w:val="000000"/>
              </w:rPr>
              <w:t>^</w:t>
            </w:r>
          </w:p>
        </w:tc>
      </w:tr>
      <w:tr w:rsidR="00545FF4" w:rsidRPr="00DE25AD" w14:paraId="2DA4E370" w14:textId="77777777" w:rsidTr="005F678B">
        <w:trPr>
          <w:trHeight w:val="247"/>
        </w:trPr>
        <w:tc>
          <w:tcPr>
            <w:tcW w:w="1517" w:type="dxa"/>
            <w:tcMar>
              <w:left w:w="57" w:type="dxa"/>
            </w:tcMar>
          </w:tcPr>
          <w:p w14:paraId="67B79EFE" w14:textId="77777777" w:rsidR="00545FF4" w:rsidRPr="00DE25AD" w:rsidRDefault="00545FF4" w:rsidP="00545FF4">
            <w:pPr>
              <w:pStyle w:val="ACCESSTableHeaderRow"/>
            </w:pPr>
            <w:r w:rsidRPr="00DE25AD">
              <w:t xml:space="preserve">Past </w:t>
            </w:r>
            <w:r>
              <w:t>month</w:t>
            </w:r>
          </w:p>
        </w:tc>
        <w:tc>
          <w:tcPr>
            <w:tcW w:w="1068" w:type="dxa"/>
            <w:shd w:val="clear" w:color="auto" w:fill="auto"/>
            <w:tcMar>
              <w:left w:w="57" w:type="dxa"/>
            </w:tcMar>
            <w:vAlign w:val="bottom"/>
          </w:tcPr>
          <w:p w14:paraId="0A5B7235" w14:textId="77777777" w:rsidR="00545FF4" w:rsidRPr="00DE25AD" w:rsidRDefault="00545FF4" w:rsidP="00545FF4">
            <w:pPr>
              <w:pStyle w:val="ASSAD2017ACCESSBody1"/>
            </w:pPr>
            <w:r w:rsidRPr="00DE25AD">
              <w:t>Male</w:t>
            </w:r>
          </w:p>
        </w:tc>
        <w:tc>
          <w:tcPr>
            <w:tcW w:w="878" w:type="dxa"/>
            <w:shd w:val="clear" w:color="auto" w:fill="auto"/>
          </w:tcPr>
          <w:p w14:paraId="71391F5C" w14:textId="1B45C333" w:rsidR="00545FF4" w:rsidRPr="00DE25AD" w:rsidRDefault="00545FF4" w:rsidP="00545FF4">
            <w:pPr>
              <w:pStyle w:val="ASSADACCESStablecentre"/>
            </w:pPr>
            <w:r w:rsidRPr="002E5727">
              <w:rPr>
                <w:bCs w:val="0"/>
                <w:color w:val="000000"/>
              </w:rPr>
              <w:t>2</w:t>
            </w:r>
          </w:p>
        </w:tc>
        <w:tc>
          <w:tcPr>
            <w:tcW w:w="879" w:type="dxa"/>
            <w:shd w:val="clear" w:color="auto" w:fill="auto"/>
          </w:tcPr>
          <w:p w14:paraId="377510E5" w14:textId="5E5E2D0E" w:rsidR="00545FF4" w:rsidRPr="00DE25AD" w:rsidRDefault="00545FF4" w:rsidP="00545FF4">
            <w:pPr>
              <w:pStyle w:val="ASSADACCESStablecentre"/>
            </w:pPr>
            <w:r w:rsidRPr="002E5727">
              <w:rPr>
                <w:bCs w:val="0"/>
                <w:color w:val="000000"/>
              </w:rPr>
              <w:t>2</w:t>
            </w:r>
          </w:p>
        </w:tc>
        <w:tc>
          <w:tcPr>
            <w:tcW w:w="879" w:type="dxa"/>
            <w:shd w:val="clear" w:color="auto" w:fill="auto"/>
          </w:tcPr>
          <w:p w14:paraId="2116006D" w14:textId="5DF34E65" w:rsidR="00545FF4" w:rsidRPr="00DE25AD" w:rsidRDefault="00545FF4" w:rsidP="00545FF4">
            <w:pPr>
              <w:pStyle w:val="ASSADACCESStablecentre"/>
            </w:pPr>
            <w:r w:rsidRPr="002E5727">
              <w:rPr>
                <w:bCs w:val="0"/>
                <w:color w:val="000000"/>
              </w:rPr>
              <w:t>2</w:t>
            </w:r>
          </w:p>
        </w:tc>
        <w:tc>
          <w:tcPr>
            <w:tcW w:w="879" w:type="dxa"/>
            <w:shd w:val="clear" w:color="auto" w:fill="auto"/>
          </w:tcPr>
          <w:p w14:paraId="641B2A44" w14:textId="5A137080" w:rsidR="00545FF4" w:rsidRPr="00DE25AD" w:rsidRDefault="00545FF4" w:rsidP="00545FF4">
            <w:pPr>
              <w:pStyle w:val="ASSADACCESStablecentre"/>
            </w:pPr>
            <w:r w:rsidRPr="002E5727">
              <w:rPr>
                <w:bCs w:val="0"/>
                <w:color w:val="000000"/>
              </w:rPr>
              <w:t>2</w:t>
            </w:r>
          </w:p>
        </w:tc>
        <w:tc>
          <w:tcPr>
            <w:tcW w:w="879" w:type="dxa"/>
            <w:shd w:val="clear" w:color="auto" w:fill="auto"/>
          </w:tcPr>
          <w:p w14:paraId="01315649" w14:textId="36CFC959" w:rsidR="00545FF4" w:rsidRPr="00DE25AD" w:rsidRDefault="00545FF4" w:rsidP="00545FF4">
            <w:pPr>
              <w:pStyle w:val="ASSADACCESStablecentre"/>
            </w:pPr>
            <w:r w:rsidRPr="002E5727">
              <w:rPr>
                <w:bCs w:val="0"/>
                <w:color w:val="000000"/>
              </w:rPr>
              <w:t>2</w:t>
            </w:r>
          </w:p>
        </w:tc>
        <w:tc>
          <w:tcPr>
            <w:tcW w:w="879" w:type="dxa"/>
            <w:shd w:val="clear" w:color="auto" w:fill="auto"/>
          </w:tcPr>
          <w:p w14:paraId="5CC7F15B" w14:textId="5C6C35EB" w:rsidR="00545FF4" w:rsidRPr="00DE25AD" w:rsidRDefault="00545FF4" w:rsidP="00545FF4">
            <w:pPr>
              <w:pStyle w:val="ASSADACCESStablecentre"/>
            </w:pPr>
            <w:r w:rsidRPr="002E5727">
              <w:rPr>
                <w:bCs w:val="0"/>
                <w:color w:val="000000"/>
              </w:rPr>
              <w:t>1*^</w:t>
            </w:r>
          </w:p>
        </w:tc>
        <w:tc>
          <w:tcPr>
            <w:tcW w:w="879" w:type="dxa"/>
            <w:shd w:val="clear" w:color="auto" w:fill="auto"/>
          </w:tcPr>
          <w:p w14:paraId="7D830ACB" w14:textId="3E5D695D" w:rsidR="00545FF4" w:rsidRPr="00DE25AD" w:rsidRDefault="00545FF4" w:rsidP="00545FF4">
            <w:pPr>
              <w:pStyle w:val="ASSADACCESStablecentre"/>
            </w:pPr>
            <w:r w:rsidRPr="002E5727">
              <w:rPr>
                <w:bCs w:val="0"/>
                <w:color w:val="000000"/>
              </w:rPr>
              <w:t>2*</w:t>
            </w:r>
          </w:p>
        </w:tc>
        <w:tc>
          <w:tcPr>
            <w:tcW w:w="879" w:type="dxa"/>
            <w:shd w:val="clear" w:color="auto" w:fill="auto"/>
          </w:tcPr>
          <w:p w14:paraId="27421824" w14:textId="209FEB54" w:rsidR="00545FF4" w:rsidRPr="00DE25AD" w:rsidRDefault="00545FF4" w:rsidP="00545FF4">
            <w:pPr>
              <w:pStyle w:val="ASSADACCESStablecentre"/>
            </w:pPr>
            <w:r w:rsidRPr="002E5727">
              <w:rPr>
                <w:bCs w:val="0"/>
                <w:color w:val="000000"/>
              </w:rPr>
              <w:t>3</w:t>
            </w:r>
          </w:p>
        </w:tc>
      </w:tr>
      <w:tr w:rsidR="00545FF4" w:rsidRPr="00DE25AD" w14:paraId="0795ADD4" w14:textId="77777777" w:rsidTr="005F678B">
        <w:trPr>
          <w:trHeight w:val="247"/>
        </w:trPr>
        <w:tc>
          <w:tcPr>
            <w:tcW w:w="1517" w:type="dxa"/>
            <w:tcMar>
              <w:left w:w="57" w:type="dxa"/>
            </w:tcMar>
          </w:tcPr>
          <w:p w14:paraId="29B608AB" w14:textId="77777777" w:rsidR="00545FF4" w:rsidRPr="00DE25AD" w:rsidRDefault="00545FF4" w:rsidP="00545FF4">
            <w:pPr>
              <w:pStyle w:val="ACCESSTableHeaderRow"/>
            </w:pPr>
          </w:p>
        </w:tc>
        <w:tc>
          <w:tcPr>
            <w:tcW w:w="1068" w:type="dxa"/>
            <w:shd w:val="clear" w:color="auto" w:fill="auto"/>
            <w:tcMar>
              <w:left w:w="57" w:type="dxa"/>
            </w:tcMar>
            <w:vAlign w:val="bottom"/>
          </w:tcPr>
          <w:p w14:paraId="47775ED0" w14:textId="77777777" w:rsidR="00545FF4" w:rsidRPr="00DE25AD" w:rsidRDefault="00545FF4" w:rsidP="00545FF4">
            <w:pPr>
              <w:pStyle w:val="ASSAD2017ACCESSBody1"/>
            </w:pPr>
            <w:r w:rsidRPr="00DE25AD">
              <w:t>Female</w:t>
            </w:r>
          </w:p>
        </w:tc>
        <w:tc>
          <w:tcPr>
            <w:tcW w:w="878" w:type="dxa"/>
            <w:shd w:val="clear" w:color="auto" w:fill="auto"/>
          </w:tcPr>
          <w:p w14:paraId="497D3178" w14:textId="3213C77D" w:rsidR="00545FF4" w:rsidRPr="00DE25AD" w:rsidRDefault="00545FF4" w:rsidP="00545FF4">
            <w:pPr>
              <w:pStyle w:val="ASSADACCESStablecentre"/>
            </w:pPr>
            <w:r w:rsidRPr="002E5727">
              <w:rPr>
                <w:bCs w:val="0"/>
                <w:color w:val="000000"/>
              </w:rPr>
              <w:t>1*</w:t>
            </w:r>
          </w:p>
        </w:tc>
        <w:tc>
          <w:tcPr>
            <w:tcW w:w="879" w:type="dxa"/>
            <w:shd w:val="clear" w:color="auto" w:fill="auto"/>
          </w:tcPr>
          <w:p w14:paraId="62DFB59D" w14:textId="3BD8D54F" w:rsidR="00545FF4" w:rsidRPr="00DE25AD" w:rsidRDefault="00545FF4" w:rsidP="00545FF4">
            <w:pPr>
              <w:pStyle w:val="ASSADACCESStablecentre"/>
            </w:pPr>
            <w:r w:rsidRPr="002E5727">
              <w:rPr>
                <w:bCs w:val="0"/>
                <w:color w:val="000000"/>
              </w:rPr>
              <w:t>1^</w:t>
            </w:r>
          </w:p>
        </w:tc>
        <w:tc>
          <w:tcPr>
            <w:tcW w:w="879" w:type="dxa"/>
            <w:shd w:val="clear" w:color="auto" w:fill="auto"/>
          </w:tcPr>
          <w:p w14:paraId="3B472CE4" w14:textId="087C1BCF" w:rsidR="00545FF4" w:rsidRPr="00DE25AD" w:rsidRDefault="00545FF4" w:rsidP="00545FF4">
            <w:pPr>
              <w:pStyle w:val="ASSADACCESStablecentre"/>
            </w:pPr>
            <w:r w:rsidRPr="002E5727">
              <w:rPr>
                <w:bCs w:val="0"/>
                <w:color w:val="000000"/>
              </w:rPr>
              <w:t>1^</w:t>
            </w:r>
          </w:p>
        </w:tc>
        <w:tc>
          <w:tcPr>
            <w:tcW w:w="879" w:type="dxa"/>
            <w:shd w:val="clear" w:color="auto" w:fill="auto"/>
          </w:tcPr>
          <w:p w14:paraId="3491ED09" w14:textId="1C437B17" w:rsidR="00545FF4" w:rsidRPr="00DE25AD" w:rsidRDefault="00545FF4" w:rsidP="00545FF4">
            <w:pPr>
              <w:pStyle w:val="ASSADACCESStablecentre"/>
            </w:pPr>
            <w:r w:rsidRPr="002E5727">
              <w:rPr>
                <w:bCs w:val="0"/>
                <w:color w:val="000000"/>
              </w:rPr>
              <w:t>1^</w:t>
            </w:r>
          </w:p>
        </w:tc>
        <w:tc>
          <w:tcPr>
            <w:tcW w:w="879" w:type="dxa"/>
            <w:shd w:val="clear" w:color="auto" w:fill="auto"/>
          </w:tcPr>
          <w:p w14:paraId="5D3F53AD" w14:textId="63D5DF3F" w:rsidR="00545FF4" w:rsidRPr="00DE25AD" w:rsidRDefault="00545FF4" w:rsidP="00545FF4">
            <w:pPr>
              <w:pStyle w:val="ASSADACCESStablecentre"/>
            </w:pPr>
            <w:r w:rsidRPr="002E5727">
              <w:rPr>
                <w:bCs w:val="0"/>
                <w:color w:val="000000"/>
              </w:rPr>
              <w:t>1^</w:t>
            </w:r>
          </w:p>
        </w:tc>
        <w:tc>
          <w:tcPr>
            <w:tcW w:w="879" w:type="dxa"/>
            <w:shd w:val="clear" w:color="auto" w:fill="auto"/>
          </w:tcPr>
          <w:p w14:paraId="6179F2C8" w14:textId="1EE24F14" w:rsidR="00545FF4" w:rsidRPr="00DE25AD" w:rsidRDefault="00545FF4" w:rsidP="00545FF4">
            <w:pPr>
              <w:pStyle w:val="ASSADACCESStablecentre"/>
            </w:pPr>
            <w:r w:rsidRPr="002E5727">
              <w:rPr>
                <w:bCs w:val="0"/>
                <w:color w:val="000000"/>
              </w:rPr>
              <w:t>1*</w:t>
            </w:r>
          </w:p>
        </w:tc>
        <w:tc>
          <w:tcPr>
            <w:tcW w:w="879" w:type="dxa"/>
            <w:shd w:val="clear" w:color="auto" w:fill="auto"/>
          </w:tcPr>
          <w:p w14:paraId="1E63C1D1" w14:textId="6B0067E9" w:rsidR="00545FF4" w:rsidRPr="00DE25AD" w:rsidRDefault="00545FF4" w:rsidP="00545FF4">
            <w:pPr>
              <w:pStyle w:val="ASSADACCESStablecentre"/>
            </w:pPr>
            <w:r w:rsidRPr="002E5727">
              <w:rPr>
                <w:bCs w:val="0"/>
                <w:color w:val="000000"/>
              </w:rPr>
              <w:t>1</w:t>
            </w:r>
            <w:r>
              <w:rPr>
                <w:bCs w:val="0"/>
                <w:color w:val="000000"/>
              </w:rPr>
              <w:t>*</w:t>
            </w:r>
          </w:p>
        </w:tc>
        <w:tc>
          <w:tcPr>
            <w:tcW w:w="879" w:type="dxa"/>
            <w:shd w:val="clear" w:color="auto" w:fill="auto"/>
          </w:tcPr>
          <w:p w14:paraId="740F3CA0" w14:textId="099F57F3" w:rsidR="00545FF4" w:rsidRPr="00DE25AD" w:rsidRDefault="00545FF4" w:rsidP="00545FF4">
            <w:pPr>
              <w:pStyle w:val="ASSADACCESStablecentre"/>
            </w:pPr>
            <w:r w:rsidRPr="002E5727">
              <w:rPr>
                <w:bCs w:val="0"/>
                <w:color w:val="000000"/>
              </w:rPr>
              <w:t>2^</w:t>
            </w:r>
          </w:p>
        </w:tc>
      </w:tr>
      <w:tr w:rsidR="00545FF4" w:rsidRPr="00DE25AD" w14:paraId="4F839314" w14:textId="77777777" w:rsidTr="005F678B">
        <w:trPr>
          <w:trHeight w:val="247"/>
        </w:trPr>
        <w:tc>
          <w:tcPr>
            <w:tcW w:w="1517" w:type="dxa"/>
            <w:tcMar>
              <w:left w:w="57" w:type="dxa"/>
            </w:tcMar>
          </w:tcPr>
          <w:p w14:paraId="143A607B" w14:textId="77777777" w:rsidR="00545FF4" w:rsidRPr="00DE25AD" w:rsidRDefault="00545FF4" w:rsidP="00545FF4">
            <w:pPr>
              <w:pStyle w:val="ACCESSTableHeaderRow"/>
            </w:pPr>
          </w:p>
        </w:tc>
        <w:tc>
          <w:tcPr>
            <w:tcW w:w="1068" w:type="dxa"/>
            <w:shd w:val="clear" w:color="auto" w:fill="auto"/>
            <w:tcMar>
              <w:left w:w="57" w:type="dxa"/>
            </w:tcMar>
            <w:vAlign w:val="bottom"/>
          </w:tcPr>
          <w:p w14:paraId="1E940695" w14:textId="77777777" w:rsidR="00545FF4" w:rsidRPr="00DE25AD" w:rsidRDefault="00545FF4" w:rsidP="00545FF4">
            <w:pPr>
              <w:pStyle w:val="ASSAD2017ACCESSBody1"/>
            </w:pPr>
            <w:r w:rsidRPr="00DE25AD">
              <w:t>Total</w:t>
            </w:r>
          </w:p>
        </w:tc>
        <w:tc>
          <w:tcPr>
            <w:tcW w:w="878" w:type="dxa"/>
            <w:shd w:val="clear" w:color="auto" w:fill="auto"/>
          </w:tcPr>
          <w:p w14:paraId="2FCD48F0" w14:textId="40FDB3F5" w:rsidR="00545FF4" w:rsidRPr="00DE25AD" w:rsidRDefault="00545FF4" w:rsidP="00545FF4">
            <w:pPr>
              <w:pStyle w:val="ASSADACCESStablecentre"/>
            </w:pPr>
            <w:r w:rsidRPr="002E5727">
              <w:rPr>
                <w:bCs w:val="0"/>
                <w:color w:val="000000"/>
              </w:rPr>
              <w:t>1</w:t>
            </w:r>
            <w:r>
              <w:rPr>
                <w:bCs w:val="0"/>
                <w:color w:val="000000"/>
              </w:rPr>
              <w:t>*</w:t>
            </w:r>
          </w:p>
        </w:tc>
        <w:tc>
          <w:tcPr>
            <w:tcW w:w="879" w:type="dxa"/>
            <w:shd w:val="clear" w:color="auto" w:fill="auto"/>
          </w:tcPr>
          <w:p w14:paraId="7173EB9D" w14:textId="5FED9E0F" w:rsidR="00545FF4" w:rsidRPr="00DE25AD" w:rsidRDefault="00545FF4" w:rsidP="00545FF4">
            <w:pPr>
              <w:pStyle w:val="ASSADACCESStablecentre"/>
            </w:pPr>
            <w:r>
              <w:rPr>
                <w:bCs w:val="0"/>
                <w:color w:val="000000"/>
              </w:rPr>
              <w:t>2^</w:t>
            </w:r>
          </w:p>
        </w:tc>
        <w:tc>
          <w:tcPr>
            <w:tcW w:w="879" w:type="dxa"/>
            <w:shd w:val="clear" w:color="auto" w:fill="auto"/>
          </w:tcPr>
          <w:p w14:paraId="0722CA5E" w14:textId="39D5A068" w:rsidR="00545FF4" w:rsidRPr="00DE25AD" w:rsidRDefault="00545FF4" w:rsidP="00545FF4">
            <w:pPr>
              <w:pStyle w:val="ASSADACCESStablecentre"/>
            </w:pPr>
            <w:r>
              <w:rPr>
                <w:bCs w:val="0"/>
                <w:color w:val="000000"/>
              </w:rPr>
              <w:t>2^</w:t>
            </w:r>
          </w:p>
        </w:tc>
        <w:tc>
          <w:tcPr>
            <w:tcW w:w="879" w:type="dxa"/>
            <w:shd w:val="clear" w:color="auto" w:fill="auto"/>
          </w:tcPr>
          <w:p w14:paraId="5CBA3404" w14:textId="53779264" w:rsidR="00545FF4" w:rsidRPr="00DE25AD" w:rsidRDefault="00545FF4" w:rsidP="00545FF4">
            <w:pPr>
              <w:pStyle w:val="ASSADACCESStablecentre"/>
            </w:pPr>
            <w:r>
              <w:rPr>
                <w:bCs w:val="0"/>
                <w:color w:val="000000"/>
              </w:rPr>
              <w:t>2^</w:t>
            </w:r>
          </w:p>
        </w:tc>
        <w:tc>
          <w:tcPr>
            <w:tcW w:w="879" w:type="dxa"/>
            <w:shd w:val="clear" w:color="auto" w:fill="auto"/>
          </w:tcPr>
          <w:p w14:paraId="6E6A5C4F" w14:textId="2D37F3A6" w:rsidR="00545FF4" w:rsidRPr="00DE25AD" w:rsidRDefault="00545FF4" w:rsidP="00545FF4">
            <w:pPr>
              <w:pStyle w:val="ASSADACCESStablecentre"/>
            </w:pPr>
            <w:r>
              <w:rPr>
                <w:bCs w:val="0"/>
                <w:color w:val="000000"/>
              </w:rPr>
              <w:t>2^</w:t>
            </w:r>
          </w:p>
        </w:tc>
        <w:tc>
          <w:tcPr>
            <w:tcW w:w="879" w:type="dxa"/>
            <w:shd w:val="clear" w:color="auto" w:fill="auto"/>
          </w:tcPr>
          <w:p w14:paraId="01644142" w14:textId="568B01AB" w:rsidR="00545FF4" w:rsidRPr="00DE25AD" w:rsidRDefault="00545FF4" w:rsidP="00545FF4">
            <w:pPr>
              <w:pStyle w:val="ASSADACCESStablecentre"/>
            </w:pPr>
            <w:r w:rsidRPr="002E5727">
              <w:rPr>
                <w:bCs w:val="0"/>
                <w:color w:val="000000"/>
              </w:rPr>
              <w:t>1*^</w:t>
            </w:r>
          </w:p>
        </w:tc>
        <w:tc>
          <w:tcPr>
            <w:tcW w:w="879" w:type="dxa"/>
            <w:shd w:val="clear" w:color="auto" w:fill="auto"/>
          </w:tcPr>
          <w:p w14:paraId="7E282C82" w14:textId="2DCBD936" w:rsidR="00545FF4" w:rsidRPr="00DE25AD" w:rsidRDefault="00545FF4" w:rsidP="00545FF4">
            <w:pPr>
              <w:pStyle w:val="ASSADACCESStablecentre"/>
            </w:pPr>
            <w:r w:rsidRPr="002E5727">
              <w:rPr>
                <w:bCs w:val="0"/>
                <w:color w:val="000000"/>
              </w:rPr>
              <w:t>1*</w:t>
            </w:r>
          </w:p>
        </w:tc>
        <w:tc>
          <w:tcPr>
            <w:tcW w:w="879" w:type="dxa"/>
            <w:shd w:val="clear" w:color="auto" w:fill="auto"/>
          </w:tcPr>
          <w:p w14:paraId="66406585" w14:textId="0058A92A" w:rsidR="00545FF4" w:rsidRPr="00DE25AD" w:rsidRDefault="00545FF4" w:rsidP="00545FF4">
            <w:pPr>
              <w:pStyle w:val="ASSADACCESStablecentre"/>
            </w:pPr>
            <w:r w:rsidRPr="002E5727">
              <w:rPr>
                <w:bCs w:val="0"/>
                <w:color w:val="000000"/>
              </w:rPr>
              <w:t>2</w:t>
            </w:r>
            <w:r>
              <w:rPr>
                <w:bCs w:val="0"/>
                <w:color w:val="000000"/>
              </w:rPr>
              <w:t>^</w:t>
            </w:r>
          </w:p>
        </w:tc>
      </w:tr>
    </w:tbl>
    <w:p w14:paraId="05AE5876" w14:textId="77777777" w:rsidR="00461EEA" w:rsidRDefault="00461EEA" w:rsidP="00461EEA">
      <w:pPr>
        <w:pStyle w:val="ASSAD2017CWTablenote1"/>
      </w:pPr>
      <w:r w:rsidRPr="002E5727">
        <w:t>* Significantly different than 2017, p&lt;.01; ^ Significantly different than 1996, p&lt;.01</w:t>
      </w:r>
      <w:r>
        <w:t>.</w:t>
      </w:r>
    </w:p>
    <w:p w14:paraId="4A2BE5EF" w14:textId="77777777" w:rsidR="00461EEA" w:rsidRDefault="00461EEA" w:rsidP="00461EEA">
      <w:pPr>
        <w:pStyle w:val="ASSAD2017CWTablenote1"/>
      </w:pPr>
    </w:p>
    <w:p w14:paraId="08F046F2" w14:textId="77777777" w:rsidR="00461EEA" w:rsidRDefault="00461EEA" w:rsidP="00461EEA">
      <w:pPr>
        <w:pStyle w:val="ASSAD2017CWTablenote1"/>
      </w:pPr>
    </w:p>
    <w:p w14:paraId="2276DE5E" w14:textId="77777777" w:rsidR="00461EEA" w:rsidRDefault="00461EEA" w:rsidP="00D7479A">
      <w:pPr>
        <w:pStyle w:val="ASSAD2017CWTablenote1"/>
      </w:pPr>
    </w:p>
    <w:p w14:paraId="518FE5B6" w14:textId="419AD188" w:rsidR="003A48EC" w:rsidRPr="0046446A" w:rsidRDefault="003A48EC" w:rsidP="003A48EC">
      <w:pPr>
        <w:pStyle w:val="ASSAD2017TableHeading"/>
      </w:pPr>
      <w:bookmarkStart w:id="89" w:name="_Toc44060505"/>
      <w:r w:rsidRPr="0046446A">
        <w:lastRenderedPageBreak/>
        <w:t xml:space="preserve">Table </w:t>
      </w:r>
      <w:r>
        <w:t>1</w:t>
      </w:r>
      <w:r w:rsidR="00FB25C1">
        <w:t>8</w:t>
      </w:r>
      <w:r w:rsidRPr="0046446A">
        <w:t xml:space="preserve"> </w:t>
      </w:r>
      <w:r>
        <w:t>Prevalence</w:t>
      </w:r>
      <w:r w:rsidRPr="0046446A">
        <w:t xml:space="preserve"> of </w:t>
      </w:r>
      <w:r>
        <w:t>amphetamine use</w:t>
      </w:r>
      <w:r w:rsidRPr="0046446A">
        <w:t xml:space="preserve"> among secondary students aged 12-1</w:t>
      </w:r>
      <w:r>
        <w:t>5, 16-17, &amp; 12-17</w:t>
      </w:r>
      <w:r w:rsidRPr="0046446A">
        <w:t xml:space="preserve"> in Australia, ASSAD 1996-201</w:t>
      </w:r>
      <w:r w:rsidR="00FB25C1">
        <w:t>4</w:t>
      </w:r>
      <w:bookmarkEnd w:id="89"/>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671"/>
        <w:gridCol w:w="1176"/>
        <w:gridCol w:w="967"/>
        <w:gridCol w:w="967"/>
        <w:gridCol w:w="967"/>
        <w:gridCol w:w="967"/>
        <w:gridCol w:w="967"/>
        <w:gridCol w:w="967"/>
        <w:gridCol w:w="967"/>
      </w:tblGrid>
      <w:tr w:rsidR="003A48EC" w:rsidRPr="00DE25AD" w14:paraId="06C389C2" w14:textId="77777777" w:rsidTr="00FB25C1">
        <w:trPr>
          <w:tblHeader/>
        </w:trPr>
        <w:tc>
          <w:tcPr>
            <w:tcW w:w="1671" w:type="dxa"/>
            <w:tcMar>
              <w:left w:w="57" w:type="dxa"/>
            </w:tcMar>
          </w:tcPr>
          <w:p w14:paraId="186C6963" w14:textId="77777777" w:rsidR="003A48EC" w:rsidRPr="00DE25AD" w:rsidRDefault="003A48EC"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176" w:type="dxa"/>
            <w:shd w:val="clear" w:color="auto" w:fill="auto"/>
            <w:tcMar>
              <w:left w:w="57" w:type="dxa"/>
            </w:tcMar>
            <w:vAlign w:val="center"/>
          </w:tcPr>
          <w:p w14:paraId="1213AE85" w14:textId="77777777" w:rsidR="003A48EC" w:rsidRPr="00DE25AD" w:rsidRDefault="003A48EC" w:rsidP="005F678B">
            <w:pPr>
              <w:pStyle w:val="ACCESSTableHeaderRow"/>
            </w:pPr>
          </w:p>
        </w:tc>
        <w:tc>
          <w:tcPr>
            <w:tcW w:w="967" w:type="dxa"/>
            <w:shd w:val="clear" w:color="auto" w:fill="auto"/>
            <w:vAlign w:val="bottom"/>
          </w:tcPr>
          <w:p w14:paraId="181AD699" w14:textId="77777777" w:rsidR="003A48EC" w:rsidRPr="00DE25AD" w:rsidRDefault="003A48EC" w:rsidP="005F678B">
            <w:pPr>
              <w:pStyle w:val="ACCESSTableHeaderRow"/>
              <w:jc w:val="center"/>
            </w:pPr>
            <w:r>
              <w:t>1996</w:t>
            </w:r>
          </w:p>
          <w:p w14:paraId="58A75A7C" w14:textId="77777777" w:rsidR="003A48EC" w:rsidRPr="00DE25AD" w:rsidRDefault="003A48EC" w:rsidP="005F678B">
            <w:pPr>
              <w:pStyle w:val="ACCESSTableHeaderRow"/>
              <w:jc w:val="center"/>
            </w:pPr>
            <w:r w:rsidRPr="00DE25AD">
              <w:t>(%)</w:t>
            </w:r>
          </w:p>
        </w:tc>
        <w:tc>
          <w:tcPr>
            <w:tcW w:w="967" w:type="dxa"/>
            <w:shd w:val="clear" w:color="auto" w:fill="auto"/>
            <w:vAlign w:val="bottom"/>
          </w:tcPr>
          <w:p w14:paraId="27473C03" w14:textId="77777777" w:rsidR="003A48EC" w:rsidRPr="00DE25AD" w:rsidRDefault="003A48EC" w:rsidP="005F678B">
            <w:pPr>
              <w:pStyle w:val="ACCESSTableHeaderRow"/>
              <w:jc w:val="center"/>
            </w:pPr>
            <w:r w:rsidRPr="00DE25AD">
              <w:t>1</w:t>
            </w:r>
            <w:r>
              <w:t>999</w:t>
            </w:r>
          </w:p>
          <w:p w14:paraId="72D60751" w14:textId="77777777" w:rsidR="003A48EC" w:rsidRPr="00DE25AD" w:rsidRDefault="003A48EC" w:rsidP="005F678B">
            <w:pPr>
              <w:pStyle w:val="ACCESSTableHeaderRow"/>
              <w:jc w:val="center"/>
            </w:pPr>
            <w:r w:rsidRPr="00DE25AD">
              <w:t>(%)</w:t>
            </w:r>
          </w:p>
        </w:tc>
        <w:tc>
          <w:tcPr>
            <w:tcW w:w="967" w:type="dxa"/>
            <w:shd w:val="clear" w:color="auto" w:fill="auto"/>
            <w:vAlign w:val="bottom"/>
          </w:tcPr>
          <w:p w14:paraId="17E3B287" w14:textId="77777777" w:rsidR="003A48EC" w:rsidRPr="00DE25AD" w:rsidRDefault="003A48EC" w:rsidP="005F678B">
            <w:pPr>
              <w:pStyle w:val="ACCESSTableHeaderRow"/>
              <w:jc w:val="center"/>
            </w:pPr>
            <w:r>
              <w:t>2002</w:t>
            </w:r>
          </w:p>
          <w:p w14:paraId="1544A183" w14:textId="77777777" w:rsidR="003A48EC" w:rsidRPr="00DE25AD" w:rsidRDefault="003A48EC" w:rsidP="005F678B">
            <w:pPr>
              <w:pStyle w:val="ACCESSTableHeaderRow"/>
              <w:jc w:val="center"/>
            </w:pPr>
            <w:r w:rsidRPr="00DE25AD">
              <w:t>(%)</w:t>
            </w:r>
          </w:p>
        </w:tc>
        <w:tc>
          <w:tcPr>
            <w:tcW w:w="967" w:type="dxa"/>
            <w:shd w:val="clear" w:color="auto" w:fill="auto"/>
            <w:vAlign w:val="bottom"/>
          </w:tcPr>
          <w:p w14:paraId="04F4E879" w14:textId="77777777" w:rsidR="003A48EC" w:rsidRPr="00DE25AD" w:rsidRDefault="003A48EC" w:rsidP="005F678B">
            <w:pPr>
              <w:pStyle w:val="ACCESSTableHeaderRow"/>
              <w:jc w:val="center"/>
            </w:pPr>
            <w:r>
              <w:t>200</w:t>
            </w:r>
            <w:r w:rsidRPr="00DE25AD">
              <w:t>5</w:t>
            </w:r>
          </w:p>
          <w:p w14:paraId="4287212E" w14:textId="77777777" w:rsidR="003A48EC" w:rsidRPr="00DE25AD" w:rsidRDefault="003A48EC" w:rsidP="005F678B">
            <w:pPr>
              <w:pStyle w:val="ACCESSTableHeaderRow"/>
              <w:jc w:val="center"/>
            </w:pPr>
            <w:r w:rsidRPr="00DE25AD">
              <w:t>(%)</w:t>
            </w:r>
          </w:p>
        </w:tc>
        <w:tc>
          <w:tcPr>
            <w:tcW w:w="967" w:type="dxa"/>
            <w:shd w:val="clear" w:color="auto" w:fill="auto"/>
            <w:vAlign w:val="bottom"/>
          </w:tcPr>
          <w:p w14:paraId="5510B687" w14:textId="77777777" w:rsidR="003A48EC" w:rsidRPr="00DE25AD" w:rsidRDefault="003A48EC" w:rsidP="005F678B">
            <w:pPr>
              <w:pStyle w:val="ACCESSTableHeaderRow"/>
              <w:jc w:val="center"/>
            </w:pPr>
            <w:r>
              <w:t>2008</w:t>
            </w:r>
          </w:p>
          <w:p w14:paraId="7D374A8E" w14:textId="77777777" w:rsidR="003A48EC" w:rsidRPr="00DE25AD" w:rsidRDefault="003A48EC" w:rsidP="005F678B">
            <w:pPr>
              <w:pStyle w:val="ACCESSTableHeaderRow"/>
              <w:jc w:val="center"/>
            </w:pPr>
            <w:r w:rsidRPr="00DE25AD">
              <w:t>(%)</w:t>
            </w:r>
          </w:p>
        </w:tc>
        <w:tc>
          <w:tcPr>
            <w:tcW w:w="967" w:type="dxa"/>
            <w:shd w:val="clear" w:color="auto" w:fill="auto"/>
            <w:vAlign w:val="bottom"/>
          </w:tcPr>
          <w:p w14:paraId="4D3430E8" w14:textId="77777777" w:rsidR="003A48EC" w:rsidRPr="00DE25AD" w:rsidRDefault="003A48EC" w:rsidP="005F678B">
            <w:pPr>
              <w:pStyle w:val="ACCESSTableHeaderRow"/>
              <w:jc w:val="center"/>
            </w:pPr>
            <w:r>
              <w:t>2011</w:t>
            </w:r>
          </w:p>
          <w:p w14:paraId="66450FEB" w14:textId="77777777" w:rsidR="003A48EC" w:rsidRPr="00DE25AD" w:rsidRDefault="003A48EC" w:rsidP="005F678B">
            <w:pPr>
              <w:pStyle w:val="ACCESSTableHeaderRow"/>
              <w:jc w:val="center"/>
            </w:pPr>
            <w:r w:rsidRPr="00DE25AD">
              <w:t>(%)</w:t>
            </w:r>
          </w:p>
        </w:tc>
        <w:tc>
          <w:tcPr>
            <w:tcW w:w="967" w:type="dxa"/>
            <w:shd w:val="clear" w:color="auto" w:fill="auto"/>
            <w:vAlign w:val="bottom"/>
          </w:tcPr>
          <w:p w14:paraId="028089D5" w14:textId="77777777" w:rsidR="003A48EC" w:rsidRDefault="003A48EC" w:rsidP="005F678B">
            <w:pPr>
              <w:pStyle w:val="ACCESSTableHeaderRow"/>
              <w:jc w:val="center"/>
            </w:pPr>
            <w:r>
              <w:t>2014</w:t>
            </w:r>
          </w:p>
          <w:p w14:paraId="18347398" w14:textId="77777777" w:rsidR="003A48EC" w:rsidRPr="00DE25AD" w:rsidRDefault="003A48EC" w:rsidP="005F678B">
            <w:pPr>
              <w:pStyle w:val="ACCESSTableHeaderRow"/>
              <w:jc w:val="center"/>
            </w:pPr>
            <w:r>
              <w:t>(%)</w:t>
            </w:r>
          </w:p>
        </w:tc>
      </w:tr>
      <w:tr w:rsidR="003A48EC" w:rsidRPr="00DE25AD" w14:paraId="37BE5F3F" w14:textId="77777777" w:rsidTr="00FB25C1">
        <w:trPr>
          <w:tblHeader/>
        </w:trPr>
        <w:tc>
          <w:tcPr>
            <w:tcW w:w="1671" w:type="dxa"/>
            <w:tcMar>
              <w:left w:w="57" w:type="dxa"/>
            </w:tcMar>
          </w:tcPr>
          <w:p w14:paraId="1688996B" w14:textId="77777777" w:rsidR="003A48EC" w:rsidRPr="00DE25AD" w:rsidRDefault="003A48EC" w:rsidP="005F678B">
            <w:pPr>
              <w:pStyle w:val="ACCESSTableHeaderRow"/>
            </w:pPr>
            <w:r>
              <w:t>Aged 12-15</w:t>
            </w:r>
          </w:p>
        </w:tc>
        <w:tc>
          <w:tcPr>
            <w:tcW w:w="1176" w:type="dxa"/>
            <w:shd w:val="clear" w:color="auto" w:fill="auto"/>
            <w:tcMar>
              <w:left w:w="57" w:type="dxa"/>
            </w:tcMar>
            <w:vAlign w:val="center"/>
          </w:tcPr>
          <w:p w14:paraId="11724B5B" w14:textId="77777777" w:rsidR="003A48EC" w:rsidRPr="00DE25AD" w:rsidRDefault="003A48EC" w:rsidP="005F678B">
            <w:pPr>
              <w:pStyle w:val="ACCESSTableHeaderRow"/>
            </w:pPr>
          </w:p>
        </w:tc>
        <w:tc>
          <w:tcPr>
            <w:tcW w:w="967" w:type="dxa"/>
            <w:shd w:val="clear" w:color="auto" w:fill="auto"/>
            <w:vAlign w:val="bottom"/>
          </w:tcPr>
          <w:p w14:paraId="68C19F59" w14:textId="77777777" w:rsidR="003A48EC" w:rsidRPr="00DE25AD" w:rsidRDefault="003A48EC" w:rsidP="005F678B">
            <w:pPr>
              <w:pStyle w:val="ACCESSTableHeaderRow"/>
            </w:pPr>
          </w:p>
        </w:tc>
        <w:tc>
          <w:tcPr>
            <w:tcW w:w="967" w:type="dxa"/>
            <w:shd w:val="clear" w:color="auto" w:fill="auto"/>
            <w:vAlign w:val="bottom"/>
          </w:tcPr>
          <w:p w14:paraId="670B097F" w14:textId="77777777" w:rsidR="003A48EC" w:rsidRPr="00DE25AD" w:rsidRDefault="003A48EC" w:rsidP="005F678B">
            <w:pPr>
              <w:pStyle w:val="ACCESSTableHeaderRow"/>
            </w:pPr>
          </w:p>
        </w:tc>
        <w:tc>
          <w:tcPr>
            <w:tcW w:w="967" w:type="dxa"/>
            <w:shd w:val="clear" w:color="auto" w:fill="auto"/>
            <w:vAlign w:val="bottom"/>
          </w:tcPr>
          <w:p w14:paraId="2D784A1E" w14:textId="77777777" w:rsidR="003A48EC" w:rsidRPr="00DE25AD" w:rsidRDefault="003A48EC" w:rsidP="005F678B">
            <w:pPr>
              <w:pStyle w:val="ACCESSTableHeaderRow"/>
            </w:pPr>
          </w:p>
        </w:tc>
        <w:tc>
          <w:tcPr>
            <w:tcW w:w="967" w:type="dxa"/>
            <w:shd w:val="clear" w:color="auto" w:fill="auto"/>
            <w:vAlign w:val="bottom"/>
          </w:tcPr>
          <w:p w14:paraId="7AC039D6" w14:textId="77777777" w:rsidR="003A48EC" w:rsidRPr="00DE25AD" w:rsidRDefault="003A48EC" w:rsidP="005F678B">
            <w:pPr>
              <w:pStyle w:val="ACCESSTableHeaderRow"/>
            </w:pPr>
          </w:p>
        </w:tc>
        <w:tc>
          <w:tcPr>
            <w:tcW w:w="967" w:type="dxa"/>
            <w:shd w:val="clear" w:color="auto" w:fill="auto"/>
            <w:vAlign w:val="bottom"/>
          </w:tcPr>
          <w:p w14:paraId="3B77B7E2" w14:textId="77777777" w:rsidR="003A48EC" w:rsidRPr="00DE25AD" w:rsidRDefault="003A48EC" w:rsidP="005F678B">
            <w:pPr>
              <w:pStyle w:val="ACCESSTableHeaderRow"/>
            </w:pPr>
          </w:p>
        </w:tc>
        <w:tc>
          <w:tcPr>
            <w:tcW w:w="967" w:type="dxa"/>
            <w:shd w:val="clear" w:color="auto" w:fill="auto"/>
            <w:vAlign w:val="bottom"/>
          </w:tcPr>
          <w:p w14:paraId="7AD63DBA" w14:textId="77777777" w:rsidR="003A48EC" w:rsidRPr="00DE25AD" w:rsidRDefault="003A48EC" w:rsidP="005F678B">
            <w:pPr>
              <w:pStyle w:val="ACCESSTableHeaderRow"/>
            </w:pPr>
          </w:p>
        </w:tc>
        <w:tc>
          <w:tcPr>
            <w:tcW w:w="967" w:type="dxa"/>
            <w:shd w:val="clear" w:color="auto" w:fill="auto"/>
            <w:vAlign w:val="bottom"/>
          </w:tcPr>
          <w:p w14:paraId="080B069A" w14:textId="77777777" w:rsidR="003A48EC" w:rsidRPr="00DE25AD" w:rsidRDefault="003A48EC" w:rsidP="005F678B">
            <w:pPr>
              <w:pStyle w:val="ACCESSTableHeaderRow"/>
            </w:pPr>
          </w:p>
        </w:tc>
      </w:tr>
      <w:tr w:rsidR="003A48EC" w:rsidRPr="00DE25AD" w14:paraId="0AA242F4" w14:textId="77777777" w:rsidTr="00FB25C1">
        <w:tc>
          <w:tcPr>
            <w:tcW w:w="1671" w:type="dxa"/>
            <w:tcMar>
              <w:left w:w="57" w:type="dxa"/>
            </w:tcMar>
          </w:tcPr>
          <w:p w14:paraId="1D58D55F" w14:textId="77777777" w:rsidR="003A48EC" w:rsidRDefault="003A48EC" w:rsidP="005F678B">
            <w:pPr>
              <w:pStyle w:val="ACCESSTableHeaderRow"/>
            </w:pPr>
            <w:r w:rsidRPr="00DE25AD">
              <w:t>Recency</w:t>
            </w:r>
          </w:p>
        </w:tc>
        <w:tc>
          <w:tcPr>
            <w:tcW w:w="1176" w:type="dxa"/>
            <w:shd w:val="clear" w:color="auto" w:fill="auto"/>
            <w:tcMar>
              <w:left w:w="57" w:type="dxa"/>
            </w:tcMar>
            <w:vAlign w:val="center"/>
          </w:tcPr>
          <w:p w14:paraId="73FE5D0C" w14:textId="77777777" w:rsidR="003A48EC" w:rsidRPr="00DE25AD" w:rsidRDefault="003A48EC" w:rsidP="005F678B">
            <w:pPr>
              <w:pStyle w:val="ASSAD2017ACCESSBody1"/>
            </w:pPr>
            <w:r w:rsidRPr="005C5B03">
              <w:rPr>
                <w:b/>
                <w:bCs w:val="0"/>
              </w:rPr>
              <w:t>Sex</w:t>
            </w:r>
          </w:p>
        </w:tc>
        <w:tc>
          <w:tcPr>
            <w:tcW w:w="967" w:type="dxa"/>
            <w:shd w:val="clear" w:color="auto" w:fill="auto"/>
          </w:tcPr>
          <w:p w14:paraId="004496C4" w14:textId="77777777" w:rsidR="003A48EC" w:rsidRPr="00DE25AD" w:rsidRDefault="003A48EC" w:rsidP="005F678B">
            <w:pPr>
              <w:pStyle w:val="ASSADACCESStablecentre"/>
            </w:pPr>
          </w:p>
        </w:tc>
        <w:tc>
          <w:tcPr>
            <w:tcW w:w="967" w:type="dxa"/>
            <w:shd w:val="clear" w:color="auto" w:fill="auto"/>
          </w:tcPr>
          <w:p w14:paraId="625884FD" w14:textId="77777777" w:rsidR="003A48EC" w:rsidRPr="00DE25AD" w:rsidRDefault="003A48EC" w:rsidP="005F678B">
            <w:pPr>
              <w:pStyle w:val="ASSADACCESStablecentre"/>
            </w:pPr>
          </w:p>
        </w:tc>
        <w:tc>
          <w:tcPr>
            <w:tcW w:w="967" w:type="dxa"/>
            <w:shd w:val="clear" w:color="auto" w:fill="auto"/>
          </w:tcPr>
          <w:p w14:paraId="78F2C90E" w14:textId="77777777" w:rsidR="003A48EC" w:rsidRPr="00DE25AD" w:rsidRDefault="003A48EC" w:rsidP="005F678B">
            <w:pPr>
              <w:pStyle w:val="ASSADACCESStablecentre"/>
            </w:pPr>
          </w:p>
        </w:tc>
        <w:tc>
          <w:tcPr>
            <w:tcW w:w="967" w:type="dxa"/>
            <w:shd w:val="clear" w:color="auto" w:fill="auto"/>
          </w:tcPr>
          <w:p w14:paraId="151822F0" w14:textId="77777777" w:rsidR="003A48EC" w:rsidRPr="00DE25AD" w:rsidRDefault="003A48EC" w:rsidP="005F678B">
            <w:pPr>
              <w:pStyle w:val="ASSADACCESStablecentre"/>
            </w:pPr>
          </w:p>
        </w:tc>
        <w:tc>
          <w:tcPr>
            <w:tcW w:w="967" w:type="dxa"/>
            <w:shd w:val="clear" w:color="auto" w:fill="auto"/>
          </w:tcPr>
          <w:p w14:paraId="5A01069C" w14:textId="77777777" w:rsidR="003A48EC" w:rsidRPr="00DE25AD" w:rsidRDefault="003A48EC" w:rsidP="005F678B">
            <w:pPr>
              <w:pStyle w:val="ASSADACCESStablecentre"/>
            </w:pPr>
          </w:p>
        </w:tc>
        <w:tc>
          <w:tcPr>
            <w:tcW w:w="967" w:type="dxa"/>
            <w:shd w:val="clear" w:color="auto" w:fill="auto"/>
          </w:tcPr>
          <w:p w14:paraId="74677C10" w14:textId="77777777" w:rsidR="003A48EC" w:rsidRPr="00DE25AD" w:rsidRDefault="003A48EC" w:rsidP="005F678B">
            <w:pPr>
              <w:pStyle w:val="ASSADACCESStablecentre"/>
            </w:pPr>
          </w:p>
        </w:tc>
        <w:tc>
          <w:tcPr>
            <w:tcW w:w="967" w:type="dxa"/>
            <w:shd w:val="clear" w:color="auto" w:fill="auto"/>
          </w:tcPr>
          <w:p w14:paraId="410F7982" w14:textId="77777777" w:rsidR="003A48EC" w:rsidRPr="00DE25AD" w:rsidRDefault="003A48EC" w:rsidP="005F678B">
            <w:pPr>
              <w:pStyle w:val="ASSADACCESStablecentre"/>
            </w:pPr>
          </w:p>
        </w:tc>
      </w:tr>
      <w:tr w:rsidR="00545FF4" w:rsidRPr="00DE25AD" w14:paraId="67B512EC" w14:textId="77777777" w:rsidTr="00545FF4">
        <w:tc>
          <w:tcPr>
            <w:tcW w:w="1671" w:type="dxa"/>
            <w:tcMar>
              <w:left w:w="57" w:type="dxa"/>
            </w:tcMar>
          </w:tcPr>
          <w:p w14:paraId="0DEF53D9" w14:textId="77777777" w:rsidR="00545FF4" w:rsidRPr="00DE25AD" w:rsidRDefault="00545FF4" w:rsidP="00545FF4">
            <w:pPr>
              <w:pStyle w:val="ACCESSTableHeaderRow"/>
            </w:pPr>
            <w:r>
              <w:t>Lifetime</w:t>
            </w:r>
          </w:p>
        </w:tc>
        <w:tc>
          <w:tcPr>
            <w:tcW w:w="1176" w:type="dxa"/>
            <w:shd w:val="clear" w:color="auto" w:fill="auto"/>
            <w:tcMar>
              <w:left w:w="57" w:type="dxa"/>
            </w:tcMar>
            <w:vAlign w:val="bottom"/>
          </w:tcPr>
          <w:p w14:paraId="31707111" w14:textId="77777777" w:rsidR="00545FF4" w:rsidRPr="00DE25AD" w:rsidRDefault="00545FF4" w:rsidP="00545FF4">
            <w:pPr>
              <w:pStyle w:val="ASSAD2017ACCESSBody1"/>
            </w:pPr>
            <w:r w:rsidRPr="00DE25AD">
              <w:t>Male</w:t>
            </w:r>
          </w:p>
        </w:tc>
        <w:tc>
          <w:tcPr>
            <w:tcW w:w="967" w:type="dxa"/>
            <w:shd w:val="clear" w:color="auto" w:fill="auto"/>
          </w:tcPr>
          <w:p w14:paraId="41AE6CB9" w14:textId="79C7B0CF" w:rsidR="00545FF4" w:rsidRPr="00DE25AD" w:rsidRDefault="00545FF4" w:rsidP="00545FF4">
            <w:pPr>
              <w:pStyle w:val="ASSADACCESStablecentre"/>
            </w:pPr>
            <w:r w:rsidRPr="002E5727">
              <w:rPr>
                <w:bCs w:val="0"/>
                <w:color w:val="000000"/>
              </w:rPr>
              <w:t>6*</w:t>
            </w:r>
          </w:p>
        </w:tc>
        <w:tc>
          <w:tcPr>
            <w:tcW w:w="967" w:type="dxa"/>
            <w:shd w:val="clear" w:color="auto" w:fill="auto"/>
          </w:tcPr>
          <w:p w14:paraId="5B8DBCFD" w14:textId="7CD6E3A4" w:rsidR="00545FF4" w:rsidRPr="00DE25AD" w:rsidRDefault="00545FF4" w:rsidP="00545FF4">
            <w:pPr>
              <w:pStyle w:val="ASSADACCESStablecentre"/>
            </w:pPr>
            <w:r w:rsidRPr="002E5727">
              <w:rPr>
                <w:bCs w:val="0"/>
                <w:color w:val="000000"/>
              </w:rPr>
              <w:t>6*</w:t>
            </w:r>
          </w:p>
        </w:tc>
        <w:tc>
          <w:tcPr>
            <w:tcW w:w="967" w:type="dxa"/>
            <w:shd w:val="clear" w:color="auto" w:fill="auto"/>
          </w:tcPr>
          <w:p w14:paraId="67981032" w14:textId="5AE800E3" w:rsidR="00545FF4" w:rsidRPr="00DE25AD" w:rsidRDefault="00545FF4" w:rsidP="00545FF4">
            <w:pPr>
              <w:pStyle w:val="ASSADACCESStablecentre"/>
            </w:pPr>
            <w:r w:rsidRPr="002E5727">
              <w:rPr>
                <w:bCs w:val="0"/>
                <w:color w:val="000000"/>
              </w:rPr>
              <w:t>6*</w:t>
            </w:r>
          </w:p>
        </w:tc>
        <w:tc>
          <w:tcPr>
            <w:tcW w:w="967" w:type="dxa"/>
            <w:shd w:val="clear" w:color="auto" w:fill="auto"/>
          </w:tcPr>
          <w:p w14:paraId="4FB249A5" w14:textId="1176FD7A" w:rsidR="00545FF4" w:rsidRPr="00DE25AD" w:rsidRDefault="00545FF4" w:rsidP="00545FF4">
            <w:pPr>
              <w:pStyle w:val="ASSADACCESStablecentre"/>
            </w:pPr>
            <w:r w:rsidRPr="002E5727">
              <w:rPr>
                <w:bCs w:val="0"/>
                <w:color w:val="000000"/>
              </w:rPr>
              <w:t>5*</w:t>
            </w:r>
          </w:p>
        </w:tc>
        <w:tc>
          <w:tcPr>
            <w:tcW w:w="967" w:type="dxa"/>
            <w:shd w:val="clear" w:color="auto" w:fill="auto"/>
          </w:tcPr>
          <w:p w14:paraId="05C025F9" w14:textId="1CE6F236"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377D6B91" w14:textId="62E6C0A1"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619476A9" w14:textId="4978D779" w:rsidR="00545FF4" w:rsidRPr="00DE25AD" w:rsidRDefault="00545FF4" w:rsidP="00545FF4">
            <w:pPr>
              <w:pStyle w:val="ASSADACCESStablecentre"/>
            </w:pPr>
            <w:r w:rsidRPr="002E5727">
              <w:rPr>
                <w:bCs w:val="0"/>
                <w:color w:val="000000"/>
              </w:rPr>
              <w:t>2^</w:t>
            </w:r>
          </w:p>
        </w:tc>
      </w:tr>
      <w:tr w:rsidR="00545FF4" w:rsidRPr="00DE25AD" w14:paraId="68DC588A" w14:textId="77777777" w:rsidTr="00545FF4">
        <w:tc>
          <w:tcPr>
            <w:tcW w:w="1671" w:type="dxa"/>
            <w:tcMar>
              <w:left w:w="57" w:type="dxa"/>
            </w:tcMar>
          </w:tcPr>
          <w:p w14:paraId="28A3C5B2" w14:textId="77777777" w:rsidR="00545FF4" w:rsidRPr="00DE25AD" w:rsidRDefault="00545FF4" w:rsidP="00545FF4">
            <w:pPr>
              <w:pStyle w:val="ACCESSTableHeaderRow"/>
            </w:pPr>
          </w:p>
        </w:tc>
        <w:tc>
          <w:tcPr>
            <w:tcW w:w="1176" w:type="dxa"/>
            <w:shd w:val="clear" w:color="auto" w:fill="auto"/>
            <w:tcMar>
              <w:left w:w="57" w:type="dxa"/>
            </w:tcMar>
            <w:vAlign w:val="bottom"/>
          </w:tcPr>
          <w:p w14:paraId="2DE40EF6" w14:textId="77777777" w:rsidR="00545FF4" w:rsidRPr="00DE25AD" w:rsidRDefault="00545FF4" w:rsidP="00545FF4">
            <w:pPr>
              <w:pStyle w:val="ASSAD2017ACCESSBody1"/>
            </w:pPr>
            <w:r w:rsidRPr="00DE25AD">
              <w:t>Female</w:t>
            </w:r>
          </w:p>
        </w:tc>
        <w:tc>
          <w:tcPr>
            <w:tcW w:w="967" w:type="dxa"/>
            <w:shd w:val="clear" w:color="auto" w:fill="auto"/>
          </w:tcPr>
          <w:p w14:paraId="211ED048" w14:textId="3BEF27E1" w:rsidR="00545FF4" w:rsidRPr="00DE25AD" w:rsidRDefault="00545FF4" w:rsidP="00545FF4">
            <w:pPr>
              <w:pStyle w:val="ASSADACCESStablecentre"/>
            </w:pPr>
            <w:r w:rsidRPr="002E5727">
              <w:rPr>
                <w:bCs w:val="0"/>
                <w:color w:val="000000"/>
              </w:rPr>
              <w:t>4*</w:t>
            </w:r>
          </w:p>
        </w:tc>
        <w:tc>
          <w:tcPr>
            <w:tcW w:w="967" w:type="dxa"/>
            <w:shd w:val="clear" w:color="auto" w:fill="auto"/>
          </w:tcPr>
          <w:p w14:paraId="362916A0" w14:textId="60D9C44B" w:rsidR="00545FF4" w:rsidRPr="00DE25AD" w:rsidRDefault="00545FF4" w:rsidP="00545FF4">
            <w:pPr>
              <w:pStyle w:val="ASSADACCESStablecentre"/>
            </w:pPr>
            <w:r w:rsidRPr="002E5727">
              <w:rPr>
                <w:bCs w:val="0"/>
                <w:color w:val="000000"/>
              </w:rPr>
              <w:t>5*</w:t>
            </w:r>
            <w:r>
              <w:rPr>
                <w:bCs w:val="0"/>
                <w:color w:val="000000"/>
              </w:rPr>
              <w:t>^</w:t>
            </w:r>
          </w:p>
        </w:tc>
        <w:tc>
          <w:tcPr>
            <w:tcW w:w="967" w:type="dxa"/>
            <w:shd w:val="clear" w:color="auto" w:fill="auto"/>
          </w:tcPr>
          <w:p w14:paraId="6155C201" w14:textId="1D4C5E1F" w:rsidR="00545FF4" w:rsidRPr="00DE25AD" w:rsidRDefault="00545FF4" w:rsidP="00545FF4">
            <w:pPr>
              <w:pStyle w:val="ASSADACCESStablecentre"/>
            </w:pPr>
            <w:r w:rsidRPr="002E5727">
              <w:rPr>
                <w:bCs w:val="0"/>
                <w:color w:val="000000"/>
              </w:rPr>
              <w:t>5*</w:t>
            </w:r>
          </w:p>
        </w:tc>
        <w:tc>
          <w:tcPr>
            <w:tcW w:w="967" w:type="dxa"/>
            <w:shd w:val="clear" w:color="auto" w:fill="auto"/>
          </w:tcPr>
          <w:p w14:paraId="32007DF3" w14:textId="15C37BD1" w:rsidR="00545FF4" w:rsidRPr="00DE25AD" w:rsidRDefault="00545FF4" w:rsidP="00545FF4">
            <w:pPr>
              <w:pStyle w:val="ASSADACCESStablecentre"/>
            </w:pPr>
            <w:r w:rsidRPr="002E5727">
              <w:rPr>
                <w:bCs w:val="0"/>
                <w:color w:val="000000"/>
              </w:rPr>
              <w:t>4*</w:t>
            </w:r>
          </w:p>
        </w:tc>
        <w:tc>
          <w:tcPr>
            <w:tcW w:w="967" w:type="dxa"/>
            <w:shd w:val="clear" w:color="auto" w:fill="auto"/>
          </w:tcPr>
          <w:p w14:paraId="57ECA818" w14:textId="0771CF61"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2CF9923D" w14:textId="342D7689"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7D6BE8C0" w14:textId="4F292562" w:rsidR="00545FF4" w:rsidRPr="00DE25AD" w:rsidRDefault="00545FF4" w:rsidP="00545FF4">
            <w:pPr>
              <w:pStyle w:val="ASSADACCESStablecentre"/>
            </w:pPr>
            <w:r w:rsidRPr="002E5727">
              <w:rPr>
                <w:bCs w:val="0"/>
                <w:color w:val="000000"/>
              </w:rPr>
              <w:t>2^</w:t>
            </w:r>
          </w:p>
        </w:tc>
      </w:tr>
      <w:tr w:rsidR="00545FF4" w:rsidRPr="00DE25AD" w14:paraId="3DA591DF" w14:textId="77777777" w:rsidTr="00545FF4">
        <w:tc>
          <w:tcPr>
            <w:tcW w:w="1671" w:type="dxa"/>
            <w:tcMar>
              <w:left w:w="57" w:type="dxa"/>
            </w:tcMar>
          </w:tcPr>
          <w:p w14:paraId="683D9EEA" w14:textId="77777777" w:rsidR="00545FF4" w:rsidRPr="00DE25AD" w:rsidRDefault="00545FF4" w:rsidP="00545FF4">
            <w:pPr>
              <w:pStyle w:val="ACCESSTableHeaderRow"/>
            </w:pPr>
          </w:p>
        </w:tc>
        <w:tc>
          <w:tcPr>
            <w:tcW w:w="1176" w:type="dxa"/>
            <w:shd w:val="clear" w:color="auto" w:fill="auto"/>
            <w:tcMar>
              <w:left w:w="57" w:type="dxa"/>
            </w:tcMar>
            <w:vAlign w:val="bottom"/>
          </w:tcPr>
          <w:p w14:paraId="1F066FB8" w14:textId="77777777" w:rsidR="00545FF4" w:rsidRPr="00DE25AD" w:rsidRDefault="00545FF4" w:rsidP="00545FF4">
            <w:pPr>
              <w:pStyle w:val="ASSAD2017ACCESSBody1"/>
            </w:pPr>
            <w:r w:rsidRPr="00DE25AD">
              <w:t>Total</w:t>
            </w:r>
          </w:p>
        </w:tc>
        <w:tc>
          <w:tcPr>
            <w:tcW w:w="967" w:type="dxa"/>
            <w:shd w:val="clear" w:color="auto" w:fill="auto"/>
          </w:tcPr>
          <w:p w14:paraId="54F8B138" w14:textId="788C029B" w:rsidR="00545FF4" w:rsidRPr="00DE25AD" w:rsidRDefault="00545FF4" w:rsidP="00545FF4">
            <w:pPr>
              <w:pStyle w:val="ASSADACCESStablecentre"/>
            </w:pPr>
            <w:r w:rsidRPr="002E5727">
              <w:rPr>
                <w:bCs w:val="0"/>
                <w:color w:val="000000"/>
              </w:rPr>
              <w:t>5*</w:t>
            </w:r>
          </w:p>
        </w:tc>
        <w:tc>
          <w:tcPr>
            <w:tcW w:w="967" w:type="dxa"/>
            <w:shd w:val="clear" w:color="auto" w:fill="auto"/>
          </w:tcPr>
          <w:p w14:paraId="63B3A734" w14:textId="2E4CE4A1" w:rsidR="00545FF4" w:rsidRPr="00DE25AD" w:rsidRDefault="00545FF4" w:rsidP="00545FF4">
            <w:pPr>
              <w:pStyle w:val="ASSADACCESStablecentre"/>
            </w:pPr>
            <w:r w:rsidRPr="002E5727">
              <w:rPr>
                <w:bCs w:val="0"/>
                <w:color w:val="000000"/>
              </w:rPr>
              <w:t>6*</w:t>
            </w:r>
            <w:r>
              <w:rPr>
                <w:bCs w:val="0"/>
                <w:color w:val="000000"/>
              </w:rPr>
              <w:t>^</w:t>
            </w:r>
          </w:p>
        </w:tc>
        <w:tc>
          <w:tcPr>
            <w:tcW w:w="967" w:type="dxa"/>
            <w:shd w:val="clear" w:color="auto" w:fill="auto"/>
          </w:tcPr>
          <w:p w14:paraId="7E226B60" w14:textId="56EBB2C1" w:rsidR="00545FF4" w:rsidRPr="00DE25AD" w:rsidRDefault="00545FF4" w:rsidP="00545FF4">
            <w:pPr>
              <w:pStyle w:val="ASSADACCESStablecentre"/>
            </w:pPr>
            <w:r w:rsidRPr="002E5727">
              <w:rPr>
                <w:bCs w:val="0"/>
                <w:color w:val="000000"/>
              </w:rPr>
              <w:t>5*</w:t>
            </w:r>
          </w:p>
        </w:tc>
        <w:tc>
          <w:tcPr>
            <w:tcW w:w="967" w:type="dxa"/>
            <w:shd w:val="clear" w:color="auto" w:fill="auto"/>
          </w:tcPr>
          <w:p w14:paraId="097E3AE3" w14:textId="2B356DC8" w:rsidR="00545FF4" w:rsidRPr="00DE25AD" w:rsidRDefault="00545FF4" w:rsidP="00545FF4">
            <w:pPr>
              <w:pStyle w:val="ASSADACCESStablecentre"/>
            </w:pPr>
            <w:r w:rsidRPr="002E5727">
              <w:rPr>
                <w:bCs w:val="0"/>
                <w:color w:val="000000"/>
              </w:rPr>
              <w:t>4*</w:t>
            </w:r>
          </w:p>
        </w:tc>
        <w:tc>
          <w:tcPr>
            <w:tcW w:w="967" w:type="dxa"/>
            <w:shd w:val="clear" w:color="auto" w:fill="auto"/>
          </w:tcPr>
          <w:p w14:paraId="4AA5D76D" w14:textId="3BC15910"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57465CF1" w14:textId="038298A0"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41687C6B" w14:textId="4425F57C" w:rsidR="00545FF4" w:rsidRPr="00DE25AD" w:rsidRDefault="00545FF4" w:rsidP="00545FF4">
            <w:pPr>
              <w:pStyle w:val="ASSADACCESStablecentre"/>
            </w:pPr>
            <w:r w:rsidRPr="002E5727">
              <w:rPr>
                <w:bCs w:val="0"/>
                <w:color w:val="000000"/>
              </w:rPr>
              <w:t>2^</w:t>
            </w:r>
          </w:p>
        </w:tc>
      </w:tr>
      <w:tr w:rsidR="00545FF4" w:rsidRPr="00DE25AD" w14:paraId="4FFDCD6C" w14:textId="77777777" w:rsidTr="00545FF4">
        <w:tc>
          <w:tcPr>
            <w:tcW w:w="1671" w:type="dxa"/>
            <w:tcMar>
              <w:left w:w="57" w:type="dxa"/>
            </w:tcMar>
          </w:tcPr>
          <w:p w14:paraId="3052DD3D" w14:textId="77777777" w:rsidR="00545FF4" w:rsidRPr="00DE25AD" w:rsidRDefault="00545FF4" w:rsidP="00545FF4">
            <w:pPr>
              <w:pStyle w:val="ACCESSTableHeaderRow"/>
            </w:pPr>
            <w:r w:rsidRPr="00DE25AD">
              <w:t xml:space="preserve">Past </w:t>
            </w:r>
            <w:r>
              <w:t>month</w:t>
            </w:r>
          </w:p>
        </w:tc>
        <w:tc>
          <w:tcPr>
            <w:tcW w:w="1176" w:type="dxa"/>
            <w:shd w:val="clear" w:color="auto" w:fill="auto"/>
            <w:tcMar>
              <w:left w:w="57" w:type="dxa"/>
            </w:tcMar>
            <w:vAlign w:val="bottom"/>
          </w:tcPr>
          <w:p w14:paraId="75FE2BF2" w14:textId="77777777" w:rsidR="00545FF4" w:rsidRPr="00DE25AD" w:rsidRDefault="00545FF4" w:rsidP="00545FF4">
            <w:pPr>
              <w:pStyle w:val="ASSAD2017ACCESSBody1"/>
            </w:pPr>
            <w:r w:rsidRPr="00DE25AD">
              <w:t>Male</w:t>
            </w:r>
          </w:p>
        </w:tc>
        <w:tc>
          <w:tcPr>
            <w:tcW w:w="967" w:type="dxa"/>
            <w:shd w:val="clear" w:color="auto" w:fill="auto"/>
          </w:tcPr>
          <w:p w14:paraId="32E8EB5C" w14:textId="7F477B32" w:rsidR="00545FF4" w:rsidRPr="00DE25AD" w:rsidRDefault="00545FF4" w:rsidP="00545FF4">
            <w:pPr>
              <w:pStyle w:val="ASSADACCESStablecentre"/>
            </w:pPr>
            <w:r w:rsidRPr="002E5727">
              <w:rPr>
                <w:bCs w:val="0"/>
                <w:color w:val="000000"/>
              </w:rPr>
              <w:t>3*</w:t>
            </w:r>
          </w:p>
        </w:tc>
        <w:tc>
          <w:tcPr>
            <w:tcW w:w="967" w:type="dxa"/>
            <w:shd w:val="clear" w:color="auto" w:fill="auto"/>
          </w:tcPr>
          <w:p w14:paraId="2C99F96C" w14:textId="744E359B" w:rsidR="00545FF4" w:rsidRPr="00DE25AD" w:rsidRDefault="00545FF4" w:rsidP="00545FF4">
            <w:pPr>
              <w:pStyle w:val="ASSADACCESStablecentre"/>
            </w:pPr>
            <w:r w:rsidRPr="002E5727">
              <w:rPr>
                <w:bCs w:val="0"/>
                <w:color w:val="000000"/>
              </w:rPr>
              <w:t>3*</w:t>
            </w:r>
          </w:p>
        </w:tc>
        <w:tc>
          <w:tcPr>
            <w:tcW w:w="967" w:type="dxa"/>
            <w:shd w:val="clear" w:color="auto" w:fill="auto"/>
          </w:tcPr>
          <w:p w14:paraId="2A026546" w14:textId="776B72AB" w:rsidR="00545FF4" w:rsidRPr="00DE25AD" w:rsidRDefault="00545FF4" w:rsidP="00545FF4">
            <w:pPr>
              <w:pStyle w:val="ASSADACCESStablecentre"/>
            </w:pPr>
            <w:r w:rsidRPr="002E5727">
              <w:rPr>
                <w:bCs w:val="0"/>
                <w:color w:val="000000"/>
              </w:rPr>
              <w:t>3*</w:t>
            </w:r>
          </w:p>
        </w:tc>
        <w:tc>
          <w:tcPr>
            <w:tcW w:w="967" w:type="dxa"/>
            <w:shd w:val="clear" w:color="auto" w:fill="auto"/>
          </w:tcPr>
          <w:p w14:paraId="38F3FB62" w14:textId="701AF198" w:rsidR="00545FF4" w:rsidRPr="00DE25AD" w:rsidRDefault="00545FF4" w:rsidP="00545FF4">
            <w:pPr>
              <w:pStyle w:val="ASSADACCESStablecentre"/>
            </w:pPr>
            <w:r w:rsidRPr="002E5727">
              <w:rPr>
                <w:bCs w:val="0"/>
                <w:color w:val="000000"/>
              </w:rPr>
              <w:t>3*</w:t>
            </w:r>
          </w:p>
        </w:tc>
        <w:tc>
          <w:tcPr>
            <w:tcW w:w="967" w:type="dxa"/>
            <w:shd w:val="clear" w:color="auto" w:fill="auto"/>
          </w:tcPr>
          <w:p w14:paraId="02FFA6FD" w14:textId="54B34E93"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24B5D6DC" w14:textId="7DDA4F11"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6F006A12" w14:textId="3B182E12" w:rsidR="00545FF4" w:rsidRPr="00DE25AD" w:rsidRDefault="00545FF4" w:rsidP="00545FF4">
            <w:pPr>
              <w:pStyle w:val="ASSADACCESStablecentre"/>
            </w:pPr>
            <w:r w:rsidRPr="002E5727">
              <w:rPr>
                <w:bCs w:val="0"/>
                <w:color w:val="000000"/>
              </w:rPr>
              <w:t>1^</w:t>
            </w:r>
          </w:p>
        </w:tc>
      </w:tr>
      <w:tr w:rsidR="00545FF4" w:rsidRPr="00DE25AD" w14:paraId="79FBC8D6" w14:textId="77777777" w:rsidTr="00545FF4">
        <w:tc>
          <w:tcPr>
            <w:tcW w:w="1671" w:type="dxa"/>
            <w:tcMar>
              <w:left w:w="57" w:type="dxa"/>
            </w:tcMar>
          </w:tcPr>
          <w:p w14:paraId="56BE88AB" w14:textId="77777777" w:rsidR="00545FF4" w:rsidRPr="00DE25AD" w:rsidRDefault="00545FF4" w:rsidP="00545FF4">
            <w:pPr>
              <w:pStyle w:val="ACCESSTableHeaderRow"/>
            </w:pPr>
          </w:p>
        </w:tc>
        <w:tc>
          <w:tcPr>
            <w:tcW w:w="1176" w:type="dxa"/>
            <w:shd w:val="clear" w:color="auto" w:fill="auto"/>
            <w:tcMar>
              <w:left w:w="57" w:type="dxa"/>
            </w:tcMar>
            <w:vAlign w:val="bottom"/>
          </w:tcPr>
          <w:p w14:paraId="668DD931" w14:textId="77777777" w:rsidR="00545FF4" w:rsidRPr="00DE25AD" w:rsidRDefault="00545FF4" w:rsidP="00545FF4">
            <w:pPr>
              <w:pStyle w:val="ASSAD2017ACCESSBody1"/>
            </w:pPr>
            <w:r w:rsidRPr="00DE25AD">
              <w:t>Female</w:t>
            </w:r>
          </w:p>
        </w:tc>
        <w:tc>
          <w:tcPr>
            <w:tcW w:w="967" w:type="dxa"/>
            <w:shd w:val="clear" w:color="auto" w:fill="auto"/>
          </w:tcPr>
          <w:p w14:paraId="6AD21B2B" w14:textId="29AC3BC9" w:rsidR="00545FF4" w:rsidRPr="00DE25AD" w:rsidRDefault="00545FF4" w:rsidP="00545FF4">
            <w:pPr>
              <w:pStyle w:val="ASSADACCESStablecentre"/>
            </w:pPr>
            <w:r w:rsidRPr="002E5727">
              <w:rPr>
                <w:bCs w:val="0"/>
                <w:color w:val="000000"/>
              </w:rPr>
              <w:t>1</w:t>
            </w:r>
          </w:p>
        </w:tc>
        <w:tc>
          <w:tcPr>
            <w:tcW w:w="967" w:type="dxa"/>
            <w:shd w:val="clear" w:color="auto" w:fill="auto"/>
          </w:tcPr>
          <w:p w14:paraId="19692FD1" w14:textId="4F7E604A" w:rsidR="00545FF4" w:rsidRPr="00DE25AD" w:rsidRDefault="00545FF4" w:rsidP="00545FF4">
            <w:pPr>
              <w:pStyle w:val="ASSADACCESStablecentre"/>
            </w:pPr>
            <w:r w:rsidRPr="002E5727">
              <w:rPr>
                <w:bCs w:val="0"/>
                <w:color w:val="000000"/>
              </w:rPr>
              <w:t>2*^</w:t>
            </w:r>
          </w:p>
        </w:tc>
        <w:tc>
          <w:tcPr>
            <w:tcW w:w="967" w:type="dxa"/>
            <w:shd w:val="clear" w:color="auto" w:fill="auto"/>
          </w:tcPr>
          <w:p w14:paraId="735C2DAE" w14:textId="3E40E1A8" w:rsidR="00545FF4" w:rsidRPr="00DE25AD" w:rsidRDefault="00545FF4" w:rsidP="00545FF4">
            <w:pPr>
              <w:pStyle w:val="ASSADACCESStablecentre"/>
            </w:pPr>
            <w:r w:rsidRPr="002E5727">
              <w:rPr>
                <w:bCs w:val="0"/>
                <w:color w:val="000000"/>
              </w:rPr>
              <w:t>2*</w:t>
            </w:r>
          </w:p>
        </w:tc>
        <w:tc>
          <w:tcPr>
            <w:tcW w:w="967" w:type="dxa"/>
            <w:shd w:val="clear" w:color="auto" w:fill="auto"/>
          </w:tcPr>
          <w:p w14:paraId="3251545D" w14:textId="5A1DBDA6" w:rsidR="00545FF4" w:rsidRPr="00DE25AD" w:rsidRDefault="00545FF4" w:rsidP="00545FF4">
            <w:pPr>
              <w:pStyle w:val="ASSADACCESStablecentre"/>
            </w:pPr>
            <w:r w:rsidRPr="002E5727">
              <w:rPr>
                <w:bCs w:val="0"/>
                <w:color w:val="000000"/>
              </w:rPr>
              <w:t>2*</w:t>
            </w:r>
          </w:p>
        </w:tc>
        <w:tc>
          <w:tcPr>
            <w:tcW w:w="967" w:type="dxa"/>
            <w:shd w:val="clear" w:color="auto" w:fill="auto"/>
          </w:tcPr>
          <w:p w14:paraId="751E39D7" w14:textId="42017E6B"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239DE6F1" w14:textId="4E5BA50A" w:rsidR="00545FF4" w:rsidRPr="00DE25AD" w:rsidRDefault="00545FF4" w:rsidP="00545FF4">
            <w:pPr>
              <w:pStyle w:val="ASSADACCESStablecentre"/>
            </w:pPr>
            <w:r w:rsidRPr="002E5727">
              <w:rPr>
                <w:bCs w:val="0"/>
                <w:color w:val="000000"/>
              </w:rPr>
              <w:t>1</w:t>
            </w:r>
            <w:r>
              <w:rPr>
                <w:bCs w:val="0"/>
                <w:color w:val="000000"/>
              </w:rPr>
              <w:t>^</w:t>
            </w:r>
          </w:p>
        </w:tc>
        <w:tc>
          <w:tcPr>
            <w:tcW w:w="967" w:type="dxa"/>
            <w:shd w:val="clear" w:color="auto" w:fill="auto"/>
            <w:vAlign w:val="bottom"/>
          </w:tcPr>
          <w:p w14:paraId="7BB16C83" w14:textId="2CD74621" w:rsidR="00545FF4" w:rsidRPr="00DE25AD" w:rsidRDefault="00545FF4" w:rsidP="00545FF4">
            <w:pPr>
              <w:pStyle w:val="ASSADACCESStablecentre"/>
            </w:pPr>
            <w:r w:rsidRPr="002E5727">
              <w:rPr>
                <w:bCs w:val="0"/>
                <w:color w:val="000000"/>
              </w:rPr>
              <w:t>1</w:t>
            </w:r>
          </w:p>
        </w:tc>
      </w:tr>
      <w:tr w:rsidR="00545FF4" w:rsidRPr="00DE25AD" w14:paraId="19B948A2" w14:textId="77777777" w:rsidTr="00545FF4">
        <w:tc>
          <w:tcPr>
            <w:tcW w:w="1671" w:type="dxa"/>
            <w:tcMar>
              <w:left w:w="57" w:type="dxa"/>
            </w:tcMar>
          </w:tcPr>
          <w:p w14:paraId="4B54B2FA" w14:textId="77777777" w:rsidR="00545FF4" w:rsidRPr="00DE25AD" w:rsidRDefault="00545FF4" w:rsidP="00545FF4">
            <w:pPr>
              <w:pStyle w:val="ACCESSTableHeaderRow"/>
            </w:pPr>
          </w:p>
        </w:tc>
        <w:tc>
          <w:tcPr>
            <w:tcW w:w="1176" w:type="dxa"/>
            <w:shd w:val="clear" w:color="auto" w:fill="auto"/>
            <w:tcMar>
              <w:left w:w="57" w:type="dxa"/>
            </w:tcMar>
            <w:vAlign w:val="bottom"/>
          </w:tcPr>
          <w:p w14:paraId="0B62F6C4" w14:textId="77777777" w:rsidR="00545FF4" w:rsidRPr="00DE25AD" w:rsidRDefault="00545FF4" w:rsidP="00545FF4">
            <w:pPr>
              <w:pStyle w:val="ASSAD2017ACCESSBody1"/>
            </w:pPr>
            <w:r w:rsidRPr="00DE25AD">
              <w:t>Total</w:t>
            </w:r>
          </w:p>
        </w:tc>
        <w:tc>
          <w:tcPr>
            <w:tcW w:w="967" w:type="dxa"/>
            <w:shd w:val="clear" w:color="auto" w:fill="auto"/>
          </w:tcPr>
          <w:p w14:paraId="6EA17DCA" w14:textId="59AA1D21" w:rsidR="00545FF4" w:rsidRPr="00DE25AD" w:rsidRDefault="00545FF4" w:rsidP="00545FF4">
            <w:pPr>
              <w:pStyle w:val="ASSADACCESStablecentre"/>
            </w:pPr>
            <w:r w:rsidRPr="002E5727">
              <w:rPr>
                <w:bCs w:val="0"/>
                <w:color w:val="000000"/>
              </w:rPr>
              <w:t>2*</w:t>
            </w:r>
          </w:p>
        </w:tc>
        <w:tc>
          <w:tcPr>
            <w:tcW w:w="967" w:type="dxa"/>
            <w:shd w:val="clear" w:color="auto" w:fill="auto"/>
          </w:tcPr>
          <w:p w14:paraId="44639E40" w14:textId="6E2C5D37" w:rsidR="00545FF4" w:rsidRPr="00DE25AD" w:rsidRDefault="00545FF4" w:rsidP="00545FF4">
            <w:pPr>
              <w:pStyle w:val="ASSADACCESStablecentre"/>
            </w:pPr>
            <w:r w:rsidRPr="002E5727">
              <w:rPr>
                <w:bCs w:val="0"/>
                <w:color w:val="000000"/>
              </w:rPr>
              <w:t>2*</w:t>
            </w:r>
            <w:r>
              <w:rPr>
                <w:bCs w:val="0"/>
                <w:color w:val="000000"/>
              </w:rPr>
              <w:t>^</w:t>
            </w:r>
          </w:p>
        </w:tc>
        <w:tc>
          <w:tcPr>
            <w:tcW w:w="967" w:type="dxa"/>
            <w:shd w:val="clear" w:color="auto" w:fill="auto"/>
          </w:tcPr>
          <w:p w14:paraId="3CBADE6F" w14:textId="37010C34" w:rsidR="00545FF4" w:rsidRPr="00DE25AD" w:rsidRDefault="00545FF4" w:rsidP="00545FF4">
            <w:pPr>
              <w:pStyle w:val="ASSADACCESStablecentre"/>
            </w:pPr>
            <w:r w:rsidRPr="002E5727">
              <w:rPr>
                <w:bCs w:val="0"/>
                <w:color w:val="000000"/>
              </w:rPr>
              <w:t>2*</w:t>
            </w:r>
          </w:p>
        </w:tc>
        <w:tc>
          <w:tcPr>
            <w:tcW w:w="967" w:type="dxa"/>
            <w:shd w:val="clear" w:color="auto" w:fill="auto"/>
          </w:tcPr>
          <w:p w14:paraId="67F4125A" w14:textId="3E3DFF3B" w:rsidR="00545FF4" w:rsidRPr="00DE25AD" w:rsidRDefault="00545FF4" w:rsidP="00545FF4">
            <w:pPr>
              <w:pStyle w:val="ASSADACCESStablecentre"/>
            </w:pPr>
            <w:r w:rsidRPr="002E5727">
              <w:rPr>
                <w:bCs w:val="0"/>
                <w:color w:val="000000"/>
              </w:rPr>
              <w:t>2*</w:t>
            </w:r>
          </w:p>
        </w:tc>
        <w:tc>
          <w:tcPr>
            <w:tcW w:w="967" w:type="dxa"/>
            <w:shd w:val="clear" w:color="auto" w:fill="auto"/>
          </w:tcPr>
          <w:p w14:paraId="1970F238" w14:textId="6B755A31"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1D091AEC" w14:textId="1011E8E3"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015A9BA4" w14:textId="1A201346" w:rsidR="00545FF4" w:rsidRPr="00DE25AD" w:rsidRDefault="00545FF4" w:rsidP="00545FF4">
            <w:pPr>
              <w:pStyle w:val="ASSADACCESStablecentre"/>
            </w:pPr>
            <w:r w:rsidRPr="002E5727">
              <w:rPr>
                <w:bCs w:val="0"/>
                <w:color w:val="000000"/>
              </w:rPr>
              <w:t>1^</w:t>
            </w:r>
          </w:p>
        </w:tc>
      </w:tr>
      <w:tr w:rsidR="00545FF4" w:rsidRPr="00DE25AD" w14:paraId="39DA3FA4" w14:textId="77777777" w:rsidTr="00FB25C1">
        <w:tc>
          <w:tcPr>
            <w:tcW w:w="1671" w:type="dxa"/>
            <w:tcMar>
              <w:left w:w="57" w:type="dxa"/>
            </w:tcMar>
          </w:tcPr>
          <w:p w14:paraId="74242941" w14:textId="77777777" w:rsidR="00545FF4" w:rsidRDefault="00545FF4" w:rsidP="00545FF4">
            <w:pPr>
              <w:pStyle w:val="ACCESSTableHeaderRow"/>
            </w:pPr>
            <w:r>
              <w:t>Aged 16-17</w:t>
            </w:r>
          </w:p>
        </w:tc>
        <w:tc>
          <w:tcPr>
            <w:tcW w:w="1176" w:type="dxa"/>
            <w:shd w:val="clear" w:color="auto" w:fill="auto"/>
            <w:tcMar>
              <w:left w:w="57" w:type="dxa"/>
            </w:tcMar>
            <w:vAlign w:val="center"/>
          </w:tcPr>
          <w:p w14:paraId="2A4FA63A" w14:textId="77777777" w:rsidR="00545FF4" w:rsidRPr="00DE25AD" w:rsidRDefault="00545FF4" w:rsidP="00545FF4">
            <w:pPr>
              <w:pStyle w:val="ASSAD2017ACCESSBody1"/>
            </w:pPr>
          </w:p>
        </w:tc>
        <w:tc>
          <w:tcPr>
            <w:tcW w:w="967" w:type="dxa"/>
            <w:shd w:val="clear" w:color="auto" w:fill="auto"/>
            <w:vAlign w:val="bottom"/>
          </w:tcPr>
          <w:p w14:paraId="4CA8C7D3" w14:textId="77777777" w:rsidR="00545FF4" w:rsidRPr="00DE25AD" w:rsidRDefault="00545FF4" w:rsidP="00545FF4">
            <w:pPr>
              <w:pStyle w:val="ASSADACCESStablecentre"/>
            </w:pPr>
          </w:p>
        </w:tc>
        <w:tc>
          <w:tcPr>
            <w:tcW w:w="967" w:type="dxa"/>
            <w:shd w:val="clear" w:color="auto" w:fill="auto"/>
            <w:vAlign w:val="bottom"/>
          </w:tcPr>
          <w:p w14:paraId="0206D1CF" w14:textId="77777777" w:rsidR="00545FF4" w:rsidRPr="00DE25AD" w:rsidRDefault="00545FF4" w:rsidP="00545FF4">
            <w:pPr>
              <w:pStyle w:val="ASSADACCESStablecentre"/>
            </w:pPr>
          </w:p>
        </w:tc>
        <w:tc>
          <w:tcPr>
            <w:tcW w:w="967" w:type="dxa"/>
            <w:shd w:val="clear" w:color="auto" w:fill="auto"/>
            <w:vAlign w:val="bottom"/>
          </w:tcPr>
          <w:p w14:paraId="5AAB91BE" w14:textId="77777777" w:rsidR="00545FF4" w:rsidRPr="00DE25AD" w:rsidRDefault="00545FF4" w:rsidP="00545FF4">
            <w:pPr>
              <w:pStyle w:val="ASSADACCESStablecentre"/>
            </w:pPr>
          </w:p>
        </w:tc>
        <w:tc>
          <w:tcPr>
            <w:tcW w:w="967" w:type="dxa"/>
            <w:shd w:val="clear" w:color="auto" w:fill="auto"/>
            <w:vAlign w:val="bottom"/>
          </w:tcPr>
          <w:p w14:paraId="030311ED" w14:textId="77777777" w:rsidR="00545FF4" w:rsidRPr="00DE25AD" w:rsidRDefault="00545FF4" w:rsidP="00545FF4">
            <w:pPr>
              <w:pStyle w:val="ASSADACCESStablecentre"/>
            </w:pPr>
          </w:p>
        </w:tc>
        <w:tc>
          <w:tcPr>
            <w:tcW w:w="967" w:type="dxa"/>
            <w:shd w:val="clear" w:color="auto" w:fill="auto"/>
            <w:vAlign w:val="bottom"/>
          </w:tcPr>
          <w:p w14:paraId="27D36ACB" w14:textId="77777777" w:rsidR="00545FF4" w:rsidRPr="00DE25AD" w:rsidRDefault="00545FF4" w:rsidP="00545FF4">
            <w:pPr>
              <w:pStyle w:val="ASSADACCESStablecentre"/>
            </w:pPr>
          </w:p>
        </w:tc>
        <w:tc>
          <w:tcPr>
            <w:tcW w:w="967" w:type="dxa"/>
            <w:shd w:val="clear" w:color="auto" w:fill="auto"/>
            <w:vAlign w:val="bottom"/>
          </w:tcPr>
          <w:p w14:paraId="74B4C257" w14:textId="77777777" w:rsidR="00545FF4" w:rsidRPr="00DE25AD" w:rsidRDefault="00545FF4" w:rsidP="00545FF4">
            <w:pPr>
              <w:pStyle w:val="ASSADACCESStablecentre"/>
            </w:pPr>
          </w:p>
        </w:tc>
        <w:tc>
          <w:tcPr>
            <w:tcW w:w="967" w:type="dxa"/>
            <w:shd w:val="clear" w:color="auto" w:fill="auto"/>
            <w:vAlign w:val="bottom"/>
          </w:tcPr>
          <w:p w14:paraId="55907738" w14:textId="77777777" w:rsidR="00545FF4" w:rsidRPr="00DE25AD" w:rsidRDefault="00545FF4" w:rsidP="00545FF4">
            <w:pPr>
              <w:pStyle w:val="ASSADACCESStablecentre"/>
            </w:pPr>
          </w:p>
        </w:tc>
      </w:tr>
      <w:tr w:rsidR="00545FF4" w:rsidRPr="00DE25AD" w14:paraId="14FFA159" w14:textId="77777777" w:rsidTr="00FB25C1">
        <w:tc>
          <w:tcPr>
            <w:tcW w:w="1671" w:type="dxa"/>
            <w:tcMar>
              <w:left w:w="57" w:type="dxa"/>
            </w:tcMar>
          </w:tcPr>
          <w:p w14:paraId="04C84E79" w14:textId="77777777" w:rsidR="00545FF4" w:rsidRDefault="00545FF4" w:rsidP="00545FF4">
            <w:pPr>
              <w:pStyle w:val="ACCESSTableHeaderRow"/>
            </w:pPr>
            <w:r w:rsidRPr="00DE25AD">
              <w:t>Recency</w:t>
            </w:r>
          </w:p>
        </w:tc>
        <w:tc>
          <w:tcPr>
            <w:tcW w:w="1176" w:type="dxa"/>
            <w:shd w:val="clear" w:color="auto" w:fill="auto"/>
            <w:tcMar>
              <w:left w:w="57" w:type="dxa"/>
            </w:tcMar>
            <w:vAlign w:val="center"/>
          </w:tcPr>
          <w:p w14:paraId="13772DE9" w14:textId="77777777" w:rsidR="00545FF4" w:rsidRPr="00DE25AD" w:rsidRDefault="00545FF4" w:rsidP="00545FF4">
            <w:pPr>
              <w:pStyle w:val="ASSAD2017ACCESSBody1"/>
            </w:pPr>
            <w:r w:rsidRPr="005C5B03">
              <w:rPr>
                <w:b/>
                <w:bCs w:val="0"/>
              </w:rPr>
              <w:t>Sex</w:t>
            </w:r>
          </w:p>
        </w:tc>
        <w:tc>
          <w:tcPr>
            <w:tcW w:w="967" w:type="dxa"/>
            <w:shd w:val="clear" w:color="auto" w:fill="auto"/>
            <w:vAlign w:val="bottom"/>
          </w:tcPr>
          <w:p w14:paraId="5E28EEBA" w14:textId="77777777" w:rsidR="00545FF4" w:rsidRPr="00DE25AD" w:rsidRDefault="00545FF4" w:rsidP="00545FF4">
            <w:pPr>
              <w:pStyle w:val="ASSADACCESStablecentre"/>
            </w:pPr>
          </w:p>
        </w:tc>
        <w:tc>
          <w:tcPr>
            <w:tcW w:w="967" w:type="dxa"/>
            <w:shd w:val="clear" w:color="auto" w:fill="auto"/>
            <w:vAlign w:val="bottom"/>
          </w:tcPr>
          <w:p w14:paraId="635B406B" w14:textId="77777777" w:rsidR="00545FF4" w:rsidRPr="00DE25AD" w:rsidRDefault="00545FF4" w:rsidP="00545FF4">
            <w:pPr>
              <w:pStyle w:val="ASSADACCESStablecentre"/>
            </w:pPr>
          </w:p>
        </w:tc>
        <w:tc>
          <w:tcPr>
            <w:tcW w:w="967" w:type="dxa"/>
            <w:shd w:val="clear" w:color="auto" w:fill="auto"/>
            <w:vAlign w:val="bottom"/>
          </w:tcPr>
          <w:p w14:paraId="3EC32376" w14:textId="77777777" w:rsidR="00545FF4" w:rsidRPr="00DE25AD" w:rsidRDefault="00545FF4" w:rsidP="00545FF4">
            <w:pPr>
              <w:pStyle w:val="ASSADACCESStablecentre"/>
            </w:pPr>
          </w:p>
        </w:tc>
        <w:tc>
          <w:tcPr>
            <w:tcW w:w="967" w:type="dxa"/>
            <w:shd w:val="clear" w:color="auto" w:fill="auto"/>
            <w:vAlign w:val="bottom"/>
          </w:tcPr>
          <w:p w14:paraId="5F34307F" w14:textId="77777777" w:rsidR="00545FF4" w:rsidRPr="00DE25AD" w:rsidRDefault="00545FF4" w:rsidP="00545FF4">
            <w:pPr>
              <w:pStyle w:val="ASSADACCESStablecentre"/>
            </w:pPr>
          </w:p>
        </w:tc>
        <w:tc>
          <w:tcPr>
            <w:tcW w:w="967" w:type="dxa"/>
            <w:shd w:val="clear" w:color="auto" w:fill="auto"/>
            <w:vAlign w:val="bottom"/>
          </w:tcPr>
          <w:p w14:paraId="70354EAD" w14:textId="77777777" w:rsidR="00545FF4" w:rsidRPr="00DE25AD" w:rsidRDefault="00545FF4" w:rsidP="00545FF4">
            <w:pPr>
              <w:pStyle w:val="ASSADACCESStablecentre"/>
            </w:pPr>
          </w:p>
        </w:tc>
        <w:tc>
          <w:tcPr>
            <w:tcW w:w="967" w:type="dxa"/>
            <w:shd w:val="clear" w:color="auto" w:fill="auto"/>
            <w:vAlign w:val="bottom"/>
          </w:tcPr>
          <w:p w14:paraId="48183B2F" w14:textId="77777777" w:rsidR="00545FF4" w:rsidRPr="00DE25AD" w:rsidRDefault="00545FF4" w:rsidP="00545FF4">
            <w:pPr>
              <w:pStyle w:val="ASSADACCESStablecentre"/>
            </w:pPr>
          </w:p>
        </w:tc>
        <w:tc>
          <w:tcPr>
            <w:tcW w:w="967" w:type="dxa"/>
            <w:shd w:val="clear" w:color="auto" w:fill="auto"/>
            <w:vAlign w:val="bottom"/>
          </w:tcPr>
          <w:p w14:paraId="64A3491F" w14:textId="77777777" w:rsidR="00545FF4" w:rsidRPr="00DE25AD" w:rsidRDefault="00545FF4" w:rsidP="00545FF4">
            <w:pPr>
              <w:pStyle w:val="ASSADACCESStablecentre"/>
            </w:pPr>
          </w:p>
        </w:tc>
      </w:tr>
      <w:tr w:rsidR="00545FF4" w:rsidRPr="00DE25AD" w14:paraId="4840E0A7" w14:textId="77777777" w:rsidTr="00545FF4">
        <w:tc>
          <w:tcPr>
            <w:tcW w:w="1671" w:type="dxa"/>
            <w:tcMar>
              <w:left w:w="57" w:type="dxa"/>
            </w:tcMar>
          </w:tcPr>
          <w:p w14:paraId="2DDD91F9" w14:textId="77777777" w:rsidR="00545FF4" w:rsidRPr="00DE25AD" w:rsidRDefault="00545FF4" w:rsidP="00545FF4">
            <w:pPr>
              <w:pStyle w:val="ACCESSTableHeaderRow"/>
            </w:pPr>
            <w:r>
              <w:t>Lifetime</w:t>
            </w:r>
          </w:p>
        </w:tc>
        <w:tc>
          <w:tcPr>
            <w:tcW w:w="1176" w:type="dxa"/>
            <w:shd w:val="clear" w:color="auto" w:fill="auto"/>
            <w:tcMar>
              <w:left w:w="57" w:type="dxa"/>
            </w:tcMar>
            <w:vAlign w:val="bottom"/>
          </w:tcPr>
          <w:p w14:paraId="2835D19A" w14:textId="77777777" w:rsidR="00545FF4" w:rsidRPr="00DE25AD" w:rsidRDefault="00545FF4" w:rsidP="00545FF4">
            <w:pPr>
              <w:pStyle w:val="ASSAD2017ACCESSBody1"/>
            </w:pPr>
            <w:r w:rsidRPr="00DE25AD">
              <w:t>Male</w:t>
            </w:r>
          </w:p>
        </w:tc>
        <w:tc>
          <w:tcPr>
            <w:tcW w:w="967" w:type="dxa"/>
            <w:shd w:val="clear" w:color="auto" w:fill="auto"/>
          </w:tcPr>
          <w:p w14:paraId="33B6DA1C" w14:textId="4C430657" w:rsidR="00545FF4" w:rsidRPr="00DE25AD" w:rsidRDefault="00545FF4" w:rsidP="00545FF4">
            <w:pPr>
              <w:pStyle w:val="ASSADACCESStablecentre"/>
            </w:pPr>
            <w:r>
              <w:rPr>
                <w:bCs w:val="0"/>
                <w:color w:val="000000"/>
              </w:rPr>
              <w:t>9</w:t>
            </w:r>
            <w:r w:rsidRPr="002E5727">
              <w:rPr>
                <w:bCs w:val="0"/>
                <w:color w:val="000000"/>
              </w:rPr>
              <w:t>*</w:t>
            </w:r>
          </w:p>
        </w:tc>
        <w:tc>
          <w:tcPr>
            <w:tcW w:w="967" w:type="dxa"/>
            <w:shd w:val="clear" w:color="auto" w:fill="auto"/>
          </w:tcPr>
          <w:p w14:paraId="08DA43DC" w14:textId="425702AF" w:rsidR="00545FF4" w:rsidRPr="00DE25AD" w:rsidRDefault="00545FF4" w:rsidP="00545FF4">
            <w:pPr>
              <w:pStyle w:val="ASSADACCESStablecentre"/>
            </w:pPr>
            <w:r w:rsidRPr="002E5727">
              <w:rPr>
                <w:bCs w:val="0"/>
                <w:color w:val="000000"/>
              </w:rPr>
              <w:t>12*^</w:t>
            </w:r>
          </w:p>
        </w:tc>
        <w:tc>
          <w:tcPr>
            <w:tcW w:w="967" w:type="dxa"/>
            <w:shd w:val="clear" w:color="auto" w:fill="auto"/>
          </w:tcPr>
          <w:p w14:paraId="386A00AD" w14:textId="1F0ECD91" w:rsidR="00545FF4" w:rsidRPr="00DE25AD" w:rsidRDefault="00545FF4" w:rsidP="00545FF4">
            <w:pPr>
              <w:pStyle w:val="ASSADACCESStablecentre"/>
            </w:pPr>
            <w:r w:rsidRPr="002E5727">
              <w:rPr>
                <w:bCs w:val="0"/>
                <w:color w:val="000000"/>
              </w:rPr>
              <w:t>10*</w:t>
            </w:r>
          </w:p>
        </w:tc>
        <w:tc>
          <w:tcPr>
            <w:tcW w:w="967" w:type="dxa"/>
            <w:shd w:val="clear" w:color="auto" w:fill="auto"/>
          </w:tcPr>
          <w:p w14:paraId="55A8B7B3" w14:textId="15F0ECED" w:rsidR="00545FF4" w:rsidRPr="00DE25AD" w:rsidRDefault="00545FF4" w:rsidP="00545FF4">
            <w:pPr>
              <w:pStyle w:val="ASSADACCESStablecentre"/>
            </w:pPr>
            <w:r w:rsidRPr="002E5727">
              <w:rPr>
                <w:bCs w:val="0"/>
                <w:color w:val="000000"/>
              </w:rPr>
              <w:t>8*</w:t>
            </w:r>
          </w:p>
        </w:tc>
        <w:tc>
          <w:tcPr>
            <w:tcW w:w="967" w:type="dxa"/>
            <w:shd w:val="clear" w:color="auto" w:fill="auto"/>
          </w:tcPr>
          <w:p w14:paraId="449C3979" w14:textId="56BDEAE1" w:rsidR="00545FF4" w:rsidRPr="00DE25AD" w:rsidRDefault="00545FF4" w:rsidP="00545FF4">
            <w:pPr>
              <w:pStyle w:val="ASSADACCESStablecentre"/>
            </w:pPr>
            <w:r w:rsidRPr="002E5727">
              <w:rPr>
                <w:bCs w:val="0"/>
                <w:color w:val="000000"/>
              </w:rPr>
              <w:t>7^</w:t>
            </w:r>
          </w:p>
        </w:tc>
        <w:tc>
          <w:tcPr>
            <w:tcW w:w="967" w:type="dxa"/>
            <w:shd w:val="clear" w:color="auto" w:fill="auto"/>
            <w:vAlign w:val="bottom"/>
          </w:tcPr>
          <w:p w14:paraId="3855C2EE" w14:textId="4EE8AF13" w:rsidR="00545FF4" w:rsidRPr="00DE25AD" w:rsidRDefault="00545FF4" w:rsidP="00545FF4">
            <w:pPr>
              <w:pStyle w:val="ASSADACCESStablecentre"/>
            </w:pPr>
            <w:r w:rsidRPr="002E5727">
              <w:rPr>
                <w:bCs w:val="0"/>
                <w:color w:val="000000"/>
              </w:rPr>
              <w:t>5^</w:t>
            </w:r>
          </w:p>
        </w:tc>
        <w:tc>
          <w:tcPr>
            <w:tcW w:w="967" w:type="dxa"/>
            <w:shd w:val="clear" w:color="auto" w:fill="auto"/>
            <w:vAlign w:val="bottom"/>
          </w:tcPr>
          <w:p w14:paraId="4D23F47C" w14:textId="4F9156F9" w:rsidR="00545FF4" w:rsidRPr="00DE25AD" w:rsidRDefault="00545FF4" w:rsidP="00545FF4">
            <w:pPr>
              <w:pStyle w:val="ASSADACCESStablecentre"/>
            </w:pPr>
            <w:r w:rsidRPr="002E5727">
              <w:rPr>
                <w:bCs w:val="0"/>
                <w:color w:val="000000"/>
              </w:rPr>
              <w:t>5^</w:t>
            </w:r>
          </w:p>
        </w:tc>
      </w:tr>
      <w:tr w:rsidR="00545FF4" w:rsidRPr="00DE25AD" w14:paraId="2514CE4C" w14:textId="77777777" w:rsidTr="00545FF4">
        <w:tc>
          <w:tcPr>
            <w:tcW w:w="1671" w:type="dxa"/>
            <w:tcMar>
              <w:left w:w="57" w:type="dxa"/>
            </w:tcMar>
          </w:tcPr>
          <w:p w14:paraId="7BF750B0" w14:textId="77777777" w:rsidR="00545FF4" w:rsidRPr="00DE25AD" w:rsidRDefault="00545FF4" w:rsidP="00545FF4">
            <w:pPr>
              <w:pStyle w:val="ACCESSTableHeaderRow"/>
            </w:pPr>
          </w:p>
        </w:tc>
        <w:tc>
          <w:tcPr>
            <w:tcW w:w="1176" w:type="dxa"/>
            <w:shd w:val="clear" w:color="auto" w:fill="auto"/>
            <w:tcMar>
              <w:left w:w="57" w:type="dxa"/>
            </w:tcMar>
            <w:vAlign w:val="bottom"/>
          </w:tcPr>
          <w:p w14:paraId="59DF70F6" w14:textId="77777777" w:rsidR="00545FF4" w:rsidRPr="00DE25AD" w:rsidRDefault="00545FF4" w:rsidP="00545FF4">
            <w:pPr>
              <w:pStyle w:val="ASSAD2017ACCESSBody1"/>
            </w:pPr>
            <w:r w:rsidRPr="00DE25AD">
              <w:t>Female</w:t>
            </w:r>
          </w:p>
        </w:tc>
        <w:tc>
          <w:tcPr>
            <w:tcW w:w="967" w:type="dxa"/>
            <w:shd w:val="clear" w:color="auto" w:fill="auto"/>
          </w:tcPr>
          <w:p w14:paraId="6BFD857A" w14:textId="15C27DF4" w:rsidR="00545FF4" w:rsidRPr="00DE25AD" w:rsidRDefault="00545FF4" w:rsidP="00545FF4">
            <w:pPr>
              <w:pStyle w:val="ASSADACCESStablecentre"/>
            </w:pPr>
            <w:r w:rsidRPr="002E5727">
              <w:rPr>
                <w:bCs w:val="0"/>
                <w:color w:val="000000"/>
              </w:rPr>
              <w:t>8*</w:t>
            </w:r>
          </w:p>
        </w:tc>
        <w:tc>
          <w:tcPr>
            <w:tcW w:w="967" w:type="dxa"/>
            <w:shd w:val="clear" w:color="auto" w:fill="auto"/>
          </w:tcPr>
          <w:p w14:paraId="77F679AD" w14:textId="6166B7E8" w:rsidR="00545FF4" w:rsidRPr="00DE25AD" w:rsidRDefault="00545FF4" w:rsidP="00545FF4">
            <w:pPr>
              <w:pStyle w:val="ASSADACCESStablecentre"/>
            </w:pPr>
            <w:r w:rsidRPr="002E5727">
              <w:rPr>
                <w:bCs w:val="0"/>
                <w:color w:val="000000"/>
              </w:rPr>
              <w:t>10*</w:t>
            </w:r>
          </w:p>
        </w:tc>
        <w:tc>
          <w:tcPr>
            <w:tcW w:w="967" w:type="dxa"/>
            <w:shd w:val="clear" w:color="auto" w:fill="auto"/>
          </w:tcPr>
          <w:p w14:paraId="45A6D277" w14:textId="3CAA16F3" w:rsidR="00545FF4" w:rsidRPr="00DE25AD" w:rsidRDefault="00545FF4" w:rsidP="00545FF4">
            <w:pPr>
              <w:pStyle w:val="ASSADACCESStablecentre"/>
            </w:pPr>
            <w:r w:rsidRPr="002E5727">
              <w:rPr>
                <w:bCs w:val="0"/>
                <w:color w:val="000000"/>
              </w:rPr>
              <w:t>11*</w:t>
            </w:r>
          </w:p>
        </w:tc>
        <w:tc>
          <w:tcPr>
            <w:tcW w:w="967" w:type="dxa"/>
            <w:shd w:val="clear" w:color="auto" w:fill="auto"/>
          </w:tcPr>
          <w:p w14:paraId="2BE4F95F" w14:textId="643F2FAF" w:rsidR="00545FF4" w:rsidRPr="00DE25AD" w:rsidRDefault="00545FF4" w:rsidP="00545FF4">
            <w:pPr>
              <w:pStyle w:val="ASSADACCESStablecentre"/>
            </w:pPr>
            <w:r w:rsidRPr="002E5727">
              <w:rPr>
                <w:bCs w:val="0"/>
                <w:color w:val="000000"/>
              </w:rPr>
              <w:t>7*</w:t>
            </w:r>
          </w:p>
        </w:tc>
        <w:tc>
          <w:tcPr>
            <w:tcW w:w="967" w:type="dxa"/>
            <w:shd w:val="clear" w:color="auto" w:fill="auto"/>
          </w:tcPr>
          <w:p w14:paraId="0A3F78B2" w14:textId="67152A62" w:rsidR="00545FF4" w:rsidRPr="00DE25AD" w:rsidRDefault="00545FF4" w:rsidP="00545FF4">
            <w:pPr>
              <w:pStyle w:val="ASSADACCESStablecentre"/>
            </w:pPr>
            <w:r w:rsidRPr="002E5727">
              <w:rPr>
                <w:bCs w:val="0"/>
                <w:color w:val="000000"/>
              </w:rPr>
              <w:t>6*</w:t>
            </w:r>
          </w:p>
        </w:tc>
        <w:tc>
          <w:tcPr>
            <w:tcW w:w="967" w:type="dxa"/>
            <w:shd w:val="clear" w:color="auto" w:fill="auto"/>
            <w:vAlign w:val="bottom"/>
          </w:tcPr>
          <w:p w14:paraId="40060D92" w14:textId="3207DB54" w:rsidR="00545FF4" w:rsidRPr="00DE25AD" w:rsidRDefault="00545FF4" w:rsidP="00545FF4">
            <w:pPr>
              <w:pStyle w:val="ASSADACCESStablecentre"/>
            </w:pPr>
            <w:r w:rsidRPr="002E5727">
              <w:rPr>
                <w:bCs w:val="0"/>
                <w:color w:val="000000"/>
              </w:rPr>
              <w:t>4*^</w:t>
            </w:r>
          </w:p>
        </w:tc>
        <w:tc>
          <w:tcPr>
            <w:tcW w:w="967" w:type="dxa"/>
            <w:shd w:val="clear" w:color="auto" w:fill="auto"/>
            <w:vAlign w:val="bottom"/>
          </w:tcPr>
          <w:p w14:paraId="434369C3" w14:textId="7275E44E" w:rsidR="00545FF4" w:rsidRPr="00DE25AD" w:rsidRDefault="00545FF4" w:rsidP="00545FF4">
            <w:pPr>
              <w:pStyle w:val="ASSADACCESStablecentre"/>
            </w:pPr>
            <w:r w:rsidRPr="002E5727">
              <w:rPr>
                <w:bCs w:val="0"/>
                <w:color w:val="000000"/>
              </w:rPr>
              <w:t>2^</w:t>
            </w:r>
          </w:p>
        </w:tc>
      </w:tr>
      <w:tr w:rsidR="00545FF4" w:rsidRPr="00DE25AD" w14:paraId="51D6BDEC" w14:textId="77777777" w:rsidTr="00545FF4">
        <w:trPr>
          <w:trHeight w:val="247"/>
        </w:trPr>
        <w:tc>
          <w:tcPr>
            <w:tcW w:w="1671" w:type="dxa"/>
            <w:tcMar>
              <w:left w:w="57" w:type="dxa"/>
            </w:tcMar>
          </w:tcPr>
          <w:p w14:paraId="2A3AFB9F" w14:textId="77777777" w:rsidR="00545FF4" w:rsidRPr="00DE25AD" w:rsidRDefault="00545FF4" w:rsidP="00545FF4">
            <w:pPr>
              <w:pStyle w:val="ACCESSTableHeaderRow"/>
            </w:pPr>
          </w:p>
        </w:tc>
        <w:tc>
          <w:tcPr>
            <w:tcW w:w="1176" w:type="dxa"/>
            <w:shd w:val="clear" w:color="auto" w:fill="auto"/>
            <w:tcMar>
              <w:left w:w="57" w:type="dxa"/>
            </w:tcMar>
            <w:vAlign w:val="bottom"/>
          </w:tcPr>
          <w:p w14:paraId="33D3DD93" w14:textId="77777777" w:rsidR="00545FF4" w:rsidRPr="00DE25AD" w:rsidRDefault="00545FF4" w:rsidP="00545FF4">
            <w:pPr>
              <w:pStyle w:val="ASSAD2017ACCESSBody1"/>
            </w:pPr>
            <w:r w:rsidRPr="00DE25AD">
              <w:t>Total</w:t>
            </w:r>
          </w:p>
        </w:tc>
        <w:tc>
          <w:tcPr>
            <w:tcW w:w="967" w:type="dxa"/>
            <w:shd w:val="clear" w:color="auto" w:fill="auto"/>
          </w:tcPr>
          <w:p w14:paraId="61E82FEF" w14:textId="2FC4666B" w:rsidR="00545FF4" w:rsidRPr="00DE25AD" w:rsidRDefault="00545FF4" w:rsidP="00545FF4">
            <w:pPr>
              <w:pStyle w:val="ASSADACCESStablecentre"/>
            </w:pPr>
            <w:r w:rsidRPr="002E5727">
              <w:rPr>
                <w:bCs w:val="0"/>
                <w:color w:val="000000"/>
              </w:rPr>
              <w:t>9*</w:t>
            </w:r>
          </w:p>
        </w:tc>
        <w:tc>
          <w:tcPr>
            <w:tcW w:w="967" w:type="dxa"/>
            <w:shd w:val="clear" w:color="auto" w:fill="auto"/>
          </w:tcPr>
          <w:p w14:paraId="2383D45E" w14:textId="1C99E7DF" w:rsidR="00545FF4" w:rsidRPr="00DE25AD" w:rsidRDefault="00545FF4" w:rsidP="00545FF4">
            <w:pPr>
              <w:pStyle w:val="ASSADACCESStablecentre"/>
            </w:pPr>
            <w:r w:rsidRPr="002E5727">
              <w:rPr>
                <w:bCs w:val="0"/>
                <w:color w:val="000000"/>
              </w:rPr>
              <w:t>11*^</w:t>
            </w:r>
          </w:p>
        </w:tc>
        <w:tc>
          <w:tcPr>
            <w:tcW w:w="967" w:type="dxa"/>
            <w:shd w:val="clear" w:color="auto" w:fill="auto"/>
          </w:tcPr>
          <w:p w14:paraId="1376ED3F" w14:textId="5761170C" w:rsidR="00545FF4" w:rsidRPr="00DE25AD" w:rsidRDefault="00545FF4" w:rsidP="00545FF4">
            <w:pPr>
              <w:pStyle w:val="ASSADACCESStablecentre"/>
            </w:pPr>
            <w:r w:rsidRPr="002E5727">
              <w:rPr>
                <w:bCs w:val="0"/>
                <w:color w:val="000000"/>
              </w:rPr>
              <w:t>10*</w:t>
            </w:r>
          </w:p>
        </w:tc>
        <w:tc>
          <w:tcPr>
            <w:tcW w:w="967" w:type="dxa"/>
            <w:shd w:val="clear" w:color="auto" w:fill="auto"/>
          </w:tcPr>
          <w:p w14:paraId="54784E38" w14:textId="42BE1AAD" w:rsidR="00545FF4" w:rsidRPr="00DE25AD" w:rsidRDefault="00545FF4" w:rsidP="00545FF4">
            <w:pPr>
              <w:pStyle w:val="ASSADACCESStablecentre"/>
            </w:pPr>
            <w:r w:rsidRPr="002E5727">
              <w:rPr>
                <w:bCs w:val="0"/>
                <w:color w:val="000000"/>
              </w:rPr>
              <w:t>8*</w:t>
            </w:r>
          </w:p>
        </w:tc>
        <w:tc>
          <w:tcPr>
            <w:tcW w:w="967" w:type="dxa"/>
            <w:shd w:val="clear" w:color="auto" w:fill="auto"/>
          </w:tcPr>
          <w:p w14:paraId="265DAD5C" w14:textId="1212273B" w:rsidR="00545FF4" w:rsidRPr="00DE25AD" w:rsidRDefault="00545FF4" w:rsidP="00545FF4">
            <w:pPr>
              <w:pStyle w:val="ASSADACCESStablecentre"/>
            </w:pPr>
            <w:r w:rsidRPr="002E5727">
              <w:rPr>
                <w:bCs w:val="0"/>
                <w:color w:val="000000"/>
              </w:rPr>
              <w:t>6*^</w:t>
            </w:r>
          </w:p>
        </w:tc>
        <w:tc>
          <w:tcPr>
            <w:tcW w:w="967" w:type="dxa"/>
            <w:shd w:val="clear" w:color="auto" w:fill="auto"/>
            <w:vAlign w:val="bottom"/>
          </w:tcPr>
          <w:p w14:paraId="72D0754A" w14:textId="5D77C7BE" w:rsidR="00545FF4" w:rsidRPr="00DE25AD" w:rsidRDefault="00545FF4" w:rsidP="00545FF4">
            <w:pPr>
              <w:pStyle w:val="ASSADACCESStablecentre"/>
            </w:pPr>
            <w:r w:rsidRPr="002E5727">
              <w:rPr>
                <w:bCs w:val="0"/>
                <w:color w:val="000000"/>
              </w:rPr>
              <w:t>5^</w:t>
            </w:r>
          </w:p>
        </w:tc>
        <w:tc>
          <w:tcPr>
            <w:tcW w:w="967" w:type="dxa"/>
            <w:shd w:val="clear" w:color="auto" w:fill="auto"/>
            <w:vAlign w:val="bottom"/>
          </w:tcPr>
          <w:p w14:paraId="4230940A" w14:textId="57369E89" w:rsidR="00545FF4" w:rsidRPr="00DE25AD" w:rsidRDefault="00545FF4" w:rsidP="00545FF4">
            <w:pPr>
              <w:pStyle w:val="ASSADACCESStablecentre"/>
            </w:pPr>
            <w:r w:rsidRPr="002E5727">
              <w:rPr>
                <w:bCs w:val="0"/>
                <w:color w:val="000000"/>
              </w:rPr>
              <w:t>4^</w:t>
            </w:r>
          </w:p>
        </w:tc>
      </w:tr>
      <w:tr w:rsidR="00545FF4" w:rsidRPr="00DE25AD" w14:paraId="235C6FAA" w14:textId="77777777" w:rsidTr="00545FF4">
        <w:trPr>
          <w:trHeight w:val="247"/>
        </w:trPr>
        <w:tc>
          <w:tcPr>
            <w:tcW w:w="1671" w:type="dxa"/>
            <w:tcMar>
              <w:left w:w="57" w:type="dxa"/>
            </w:tcMar>
          </w:tcPr>
          <w:p w14:paraId="514CACE4" w14:textId="77777777" w:rsidR="00545FF4" w:rsidRPr="00DE25AD" w:rsidRDefault="00545FF4" w:rsidP="00545FF4">
            <w:pPr>
              <w:pStyle w:val="ACCESSTableHeaderRow"/>
            </w:pPr>
            <w:r w:rsidRPr="00DE25AD">
              <w:t xml:space="preserve">Past </w:t>
            </w:r>
            <w:r>
              <w:t>month</w:t>
            </w:r>
          </w:p>
        </w:tc>
        <w:tc>
          <w:tcPr>
            <w:tcW w:w="1176" w:type="dxa"/>
            <w:shd w:val="clear" w:color="auto" w:fill="auto"/>
            <w:tcMar>
              <w:left w:w="57" w:type="dxa"/>
            </w:tcMar>
            <w:vAlign w:val="bottom"/>
          </w:tcPr>
          <w:p w14:paraId="059183BE" w14:textId="77777777" w:rsidR="00545FF4" w:rsidRPr="00DE25AD" w:rsidRDefault="00545FF4" w:rsidP="00545FF4">
            <w:pPr>
              <w:pStyle w:val="ASSAD2017ACCESSBody1"/>
            </w:pPr>
            <w:r w:rsidRPr="00DE25AD">
              <w:t>Male</w:t>
            </w:r>
          </w:p>
        </w:tc>
        <w:tc>
          <w:tcPr>
            <w:tcW w:w="967" w:type="dxa"/>
            <w:shd w:val="clear" w:color="auto" w:fill="auto"/>
          </w:tcPr>
          <w:p w14:paraId="3A77CC7E" w14:textId="656CD7CB" w:rsidR="00545FF4" w:rsidRPr="00DE25AD" w:rsidRDefault="00545FF4" w:rsidP="00545FF4">
            <w:pPr>
              <w:pStyle w:val="ASSADACCESStablecentre"/>
            </w:pPr>
            <w:r>
              <w:rPr>
                <w:bCs w:val="0"/>
                <w:color w:val="000000"/>
              </w:rPr>
              <w:t>3</w:t>
            </w:r>
          </w:p>
        </w:tc>
        <w:tc>
          <w:tcPr>
            <w:tcW w:w="967" w:type="dxa"/>
            <w:shd w:val="clear" w:color="auto" w:fill="auto"/>
          </w:tcPr>
          <w:p w14:paraId="20ECC7A8" w14:textId="1B9F6169" w:rsidR="00545FF4" w:rsidRPr="00DE25AD" w:rsidRDefault="00545FF4" w:rsidP="00545FF4">
            <w:pPr>
              <w:pStyle w:val="ASSADACCESStablecentre"/>
            </w:pPr>
            <w:r w:rsidRPr="002E5727">
              <w:rPr>
                <w:bCs w:val="0"/>
                <w:color w:val="000000"/>
              </w:rPr>
              <w:t xml:space="preserve">  5</w:t>
            </w:r>
            <w:r>
              <w:rPr>
                <w:bCs w:val="0"/>
                <w:color w:val="000000"/>
              </w:rPr>
              <w:t>*</w:t>
            </w:r>
          </w:p>
        </w:tc>
        <w:tc>
          <w:tcPr>
            <w:tcW w:w="967" w:type="dxa"/>
            <w:shd w:val="clear" w:color="auto" w:fill="auto"/>
          </w:tcPr>
          <w:p w14:paraId="36B42F41" w14:textId="4C68CABE" w:rsidR="00545FF4" w:rsidRPr="00DE25AD" w:rsidRDefault="00545FF4" w:rsidP="00545FF4">
            <w:pPr>
              <w:pStyle w:val="ASSADACCESStablecentre"/>
            </w:pPr>
            <w:r w:rsidRPr="002E5727">
              <w:rPr>
                <w:bCs w:val="0"/>
                <w:color w:val="000000"/>
              </w:rPr>
              <w:t xml:space="preserve">  3</w:t>
            </w:r>
          </w:p>
        </w:tc>
        <w:tc>
          <w:tcPr>
            <w:tcW w:w="967" w:type="dxa"/>
            <w:shd w:val="clear" w:color="auto" w:fill="auto"/>
          </w:tcPr>
          <w:p w14:paraId="3985A56F" w14:textId="6B36AD71" w:rsidR="00545FF4" w:rsidRPr="00DE25AD" w:rsidRDefault="00545FF4" w:rsidP="00545FF4">
            <w:pPr>
              <w:pStyle w:val="ASSADACCESStablecentre"/>
            </w:pPr>
            <w:r w:rsidRPr="002E5727">
              <w:rPr>
                <w:bCs w:val="0"/>
                <w:color w:val="000000"/>
              </w:rPr>
              <w:t>3</w:t>
            </w:r>
          </w:p>
        </w:tc>
        <w:tc>
          <w:tcPr>
            <w:tcW w:w="967" w:type="dxa"/>
            <w:shd w:val="clear" w:color="auto" w:fill="auto"/>
          </w:tcPr>
          <w:p w14:paraId="57285E7A" w14:textId="2BA8C0C3"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42BD4F47" w14:textId="03F7C44C"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73973247" w14:textId="533247B6" w:rsidR="00545FF4" w:rsidRPr="00DE25AD" w:rsidRDefault="00545FF4" w:rsidP="00545FF4">
            <w:pPr>
              <w:pStyle w:val="ASSADACCESStablecentre"/>
            </w:pPr>
            <w:r w:rsidRPr="002E5727">
              <w:rPr>
                <w:bCs w:val="0"/>
                <w:color w:val="000000"/>
              </w:rPr>
              <w:t>3</w:t>
            </w:r>
          </w:p>
        </w:tc>
      </w:tr>
      <w:tr w:rsidR="00545FF4" w:rsidRPr="00DE25AD" w14:paraId="5E303550" w14:textId="77777777" w:rsidTr="00545FF4">
        <w:trPr>
          <w:trHeight w:val="247"/>
        </w:trPr>
        <w:tc>
          <w:tcPr>
            <w:tcW w:w="1671" w:type="dxa"/>
            <w:tcMar>
              <w:left w:w="57" w:type="dxa"/>
            </w:tcMar>
          </w:tcPr>
          <w:p w14:paraId="2C34A33A" w14:textId="77777777" w:rsidR="00545FF4" w:rsidRPr="00DE25AD" w:rsidRDefault="00545FF4" w:rsidP="00545FF4">
            <w:pPr>
              <w:pStyle w:val="ACCESSTableHeaderRow"/>
            </w:pPr>
          </w:p>
        </w:tc>
        <w:tc>
          <w:tcPr>
            <w:tcW w:w="1176" w:type="dxa"/>
            <w:shd w:val="clear" w:color="auto" w:fill="auto"/>
            <w:tcMar>
              <w:left w:w="57" w:type="dxa"/>
            </w:tcMar>
            <w:vAlign w:val="bottom"/>
          </w:tcPr>
          <w:p w14:paraId="7A66B312" w14:textId="77777777" w:rsidR="00545FF4" w:rsidRPr="00DE25AD" w:rsidRDefault="00545FF4" w:rsidP="00545FF4">
            <w:pPr>
              <w:pStyle w:val="ASSAD2017ACCESSBody1"/>
            </w:pPr>
            <w:r w:rsidRPr="00DE25AD">
              <w:t>Female</w:t>
            </w:r>
          </w:p>
        </w:tc>
        <w:tc>
          <w:tcPr>
            <w:tcW w:w="967" w:type="dxa"/>
            <w:shd w:val="clear" w:color="auto" w:fill="auto"/>
          </w:tcPr>
          <w:p w14:paraId="50F0B2EC" w14:textId="4AF6027C" w:rsidR="00545FF4" w:rsidRPr="00DE25AD" w:rsidRDefault="00545FF4" w:rsidP="00545FF4">
            <w:pPr>
              <w:pStyle w:val="ASSADACCESStablecentre"/>
            </w:pPr>
            <w:r w:rsidRPr="002E5727">
              <w:rPr>
                <w:bCs w:val="0"/>
                <w:color w:val="000000"/>
              </w:rPr>
              <w:t>2*</w:t>
            </w:r>
          </w:p>
        </w:tc>
        <w:tc>
          <w:tcPr>
            <w:tcW w:w="967" w:type="dxa"/>
            <w:shd w:val="clear" w:color="auto" w:fill="auto"/>
          </w:tcPr>
          <w:p w14:paraId="3D0CEB77" w14:textId="5ACA2211" w:rsidR="00545FF4" w:rsidRPr="00DE25AD" w:rsidRDefault="00545FF4" w:rsidP="00545FF4">
            <w:pPr>
              <w:pStyle w:val="ASSADACCESStablecentre"/>
            </w:pPr>
            <w:r w:rsidRPr="002E5727">
              <w:rPr>
                <w:bCs w:val="0"/>
                <w:color w:val="000000"/>
              </w:rPr>
              <w:t xml:space="preserve">  3*</w:t>
            </w:r>
          </w:p>
        </w:tc>
        <w:tc>
          <w:tcPr>
            <w:tcW w:w="967" w:type="dxa"/>
            <w:shd w:val="clear" w:color="auto" w:fill="auto"/>
          </w:tcPr>
          <w:p w14:paraId="33B20501" w14:textId="1789C9E8" w:rsidR="00545FF4" w:rsidRPr="00DE25AD" w:rsidRDefault="00545FF4" w:rsidP="00545FF4">
            <w:pPr>
              <w:pStyle w:val="ASSADACCESStablecentre"/>
            </w:pPr>
            <w:r w:rsidRPr="002E5727">
              <w:rPr>
                <w:bCs w:val="0"/>
                <w:color w:val="000000"/>
              </w:rPr>
              <w:t xml:space="preserve">  3*</w:t>
            </w:r>
            <w:r>
              <w:rPr>
                <w:bCs w:val="0"/>
                <w:color w:val="000000"/>
              </w:rPr>
              <w:t>^</w:t>
            </w:r>
          </w:p>
        </w:tc>
        <w:tc>
          <w:tcPr>
            <w:tcW w:w="967" w:type="dxa"/>
            <w:shd w:val="clear" w:color="auto" w:fill="auto"/>
          </w:tcPr>
          <w:p w14:paraId="4F76C9DC" w14:textId="1C139A0E" w:rsidR="00545FF4" w:rsidRPr="00DE25AD" w:rsidRDefault="00545FF4" w:rsidP="00545FF4">
            <w:pPr>
              <w:pStyle w:val="ASSADACCESStablecentre"/>
            </w:pPr>
            <w:r w:rsidRPr="002E5727">
              <w:rPr>
                <w:bCs w:val="0"/>
                <w:color w:val="000000"/>
              </w:rPr>
              <w:t>2*</w:t>
            </w:r>
          </w:p>
        </w:tc>
        <w:tc>
          <w:tcPr>
            <w:tcW w:w="967" w:type="dxa"/>
            <w:shd w:val="clear" w:color="auto" w:fill="auto"/>
          </w:tcPr>
          <w:p w14:paraId="1B2AD63D" w14:textId="3709DD95"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5569A96A" w14:textId="10867672"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51953DBE" w14:textId="117ABAAD" w:rsidR="00545FF4" w:rsidRPr="00DE25AD" w:rsidRDefault="00545FF4" w:rsidP="00545FF4">
            <w:pPr>
              <w:pStyle w:val="ASSADACCESStablecentre"/>
            </w:pPr>
            <w:r w:rsidRPr="002E5727">
              <w:rPr>
                <w:bCs w:val="0"/>
                <w:color w:val="000000"/>
              </w:rPr>
              <w:t>1^</w:t>
            </w:r>
          </w:p>
        </w:tc>
      </w:tr>
      <w:tr w:rsidR="00545FF4" w:rsidRPr="00DE25AD" w14:paraId="19C0EA37" w14:textId="77777777" w:rsidTr="00545FF4">
        <w:trPr>
          <w:trHeight w:val="247"/>
        </w:trPr>
        <w:tc>
          <w:tcPr>
            <w:tcW w:w="1671" w:type="dxa"/>
            <w:tcMar>
              <w:left w:w="57" w:type="dxa"/>
            </w:tcMar>
          </w:tcPr>
          <w:p w14:paraId="7A7A272F" w14:textId="77777777" w:rsidR="00545FF4" w:rsidRPr="00DE25AD" w:rsidRDefault="00545FF4" w:rsidP="00545FF4">
            <w:pPr>
              <w:pStyle w:val="ACCESSTableHeaderRow"/>
            </w:pPr>
          </w:p>
        </w:tc>
        <w:tc>
          <w:tcPr>
            <w:tcW w:w="1176" w:type="dxa"/>
            <w:shd w:val="clear" w:color="auto" w:fill="auto"/>
            <w:tcMar>
              <w:left w:w="57" w:type="dxa"/>
            </w:tcMar>
            <w:vAlign w:val="bottom"/>
          </w:tcPr>
          <w:p w14:paraId="3B3E3035" w14:textId="77777777" w:rsidR="00545FF4" w:rsidRPr="00DE25AD" w:rsidRDefault="00545FF4" w:rsidP="00545FF4">
            <w:pPr>
              <w:pStyle w:val="ASSAD2017ACCESSBody1"/>
            </w:pPr>
            <w:r w:rsidRPr="00DE25AD">
              <w:t>Total</w:t>
            </w:r>
          </w:p>
        </w:tc>
        <w:tc>
          <w:tcPr>
            <w:tcW w:w="967" w:type="dxa"/>
            <w:shd w:val="clear" w:color="auto" w:fill="auto"/>
          </w:tcPr>
          <w:p w14:paraId="5BCC3E17" w14:textId="2C58285C" w:rsidR="00545FF4" w:rsidRPr="00DE25AD" w:rsidRDefault="00545FF4" w:rsidP="00545FF4">
            <w:pPr>
              <w:pStyle w:val="ASSADACCESStablecentre"/>
            </w:pPr>
            <w:r w:rsidRPr="002E5727">
              <w:rPr>
                <w:bCs w:val="0"/>
                <w:color w:val="000000"/>
              </w:rPr>
              <w:t>3*</w:t>
            </w:r>
          </w:p>
        </w:tc>
        <w:tc>
          <w:tcPr>
            <w:tcW w:w="967" w:type="dxa"/>
            <w:shd w:val="clear" w:color="auto" w:fill="auto"/>
          </w:tcPr>
          <w:p w14:paraId="4576D438" w14:textId="4D111D06" w:rsidR="00545FF4" w:rsidRPr="00DE25AD" w:rsidRDefault="00545FF4" w:rsidP="00545FF4">
            <w:pPr>
              <w:pStyle w:val="ASSADACCESStablecentre"/>
            </w:pPr>
            <w:r w:rsidRPr="002E5727">
              <w:rPr>
                <w:bCs w:val="0"/>
                <w:color w:val="000000"/>
              </w:rPr>
              <w:t xml:space="preserve">  4*</w:t>
            </w:r>
            <w:r>
              <w:rPr>
                <w:bCs w:val="0"/>
                <w:color w:val="000000"/>
              </w:rPr>
              <w:t>^</w:t>
            </w:r>
          </w:p>
        </w:tc>
        <w:tc>
          <w:tcPr>
            <w:tcW w:w="967" w:type="dxa"/>
            <w:shd w:val="clear" w:color="auto" w:fill="auto"/>
          </w:tcPr>
          <w:p w14:paraId="7AB83657" w14:textId="24935396" w:rsidR="00545FF4" w:rsidRPr="00DE25AD" w:rsidRDefault="00545FF4" w:rsidP="00545FF4">
            <w:pPr>
              <w:pStyle w:val="ASSADACCESStablecentre"/>
            </w:pPr>
            <w:r w:rsidRPr="002E5727">
              <w:rPr>
                <w:bCs w:val="0"/>
                <w:color w:val="000000"/>
              </w:rPr>
              <w:t xml:space="preserve">  3*</w:t>
            </w:r>
          </w:p>
        </w:tc>
        <w:tc>
          <w:tcPr>
            <w:tcW w:w="967" w:type="dxa"/>
            <w:shd w:val="clear" w:color="auto" w:fill="auto"/>
          </w:tcPr>
          <w:p w14:paraId="0809AB2F" w14:textId="42FA6441" w:rsidR="00545FF4" w:rsidRPr="00DE25AD" w:rsidRDefault="00545FF4" w:rsidP="00545FF4">
            <w:pPr>
              <w:pStyle w:val="ASSADACCESStablecentre"/>
            </w:pPr>
            <w:r w:rsidRPr="002E5727">
              <w:rPr>
                <w:bCs w:val="0"/>
                <w:color w:val="000000"/>
              </w:rPr>
              <w:t>3*</w:t>
            </w:r>
          </w:p>
        </w:tc>
        <w:tc>
          <w:tcPr>
            <w:tcW w:w="967" w:type="dxa"/>
            <w:shd w:val="clear" w:color="auto" w:fill="auto"/>
          </w:tcPr>
          <w:p w14:paraId="75F8DC0C" w14:textId="1AE4E563"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671EBE7B" w14:textId="5A40BD49"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217E53EB" w14:textId="00AA8DD0" w:rsidR="00545FF4" w:rsidRPr="00DE25AD" w:rsidRDefault="00545FF4" w:rsidP="00545FF4">
            <w:pPr>
              <w:pStyle w:val="ASSADACCESStablecentre"/>
            </w:pPr>
            <w:r w:rsidRPr="002E5727">
              <w:rPr>
                <w:bCs w:val="0"/>
                <w:color w:val="000000"/>
              </w:rPr>
              <w:t>2^</w:t>
            </w:r>
          </w:p>
        </w:tc>
      </w:tr>
      <w:tr w:rsidR="00545FF4" w:rsidRPr="00DE25AD" w14:paraId="7440DB4E" w14:textId="77777777" w:rsidTr="00FB25C1">
        <w:tc>
          <w:tcPr>
            <w:tcW w:w="1671" w:type="dxa"/>
            <w:tcMar>
              <w:left w:w="57" w:type="dxa"/>
            </w:tcMar>
          </w:tcPr>
          <w:p w14:paraId="18E602D2" w14:textId="77777777" w:rsidR="00545FF4" w:rsidRDefault="00545FF4" w:rsidP="00545FF4">
            <w:pPr>
              <w:pStyle w:val="ACCESSTableHeaderRow"/>
            </w:pPr>
            <w:r>
              <w:t>Aged 12-17</w:t>
            </w:r>
          </w:p>
        </w:tc>
        <w:tc>
          <w:tcPr>
            <w:tcW w:w="1176" w:type="dxa"/>
            <w:shd w:val="clear" w:color="auto" w:fill="auto"/>
            <w:tcMar>
              <w:left w:w="57" w:type="dxa"/>
            </w:tcMar>
            <w:vAlign w:val="center"/>
          </w:tcPr>
          <w:p w14:paraId="4B06E6AA" w14:textId="77777777" w:rsidR="00545FF4" w:rsidRPr="00DE25AD" w:rsidRDefault="00545FF4" w:rsidP="00545FF4">
            <w:pPr>
              <w:pStyle w:val="ASSAD2017ACCESSBody1"/>
            </w:pPr>
          </w:p>
        </w:tc>
        <w:tc>
          <w:tcPr>
            <w:tcW w:w="967" w:type="dxa"/>
            <w:shd w:val="clear" w:color="auto" w:fill="auto"/>
            <w:vAlign w:val="bottom"/>
          </w:tcPr>
          <w:p w14:paraId="62CBE052" w14:textId="77777777" w:rsidR="00545FF4" w:rsidRPr="00DE25AD" w:rsidRDefault="00545FF4" w:rsidP="00545FF4">
            <w:pPr>
              <w:pStyle w:val="ASSADACCESStablecentre"/>
            </w:pPr>
          </w:p>
        </w:tc>
        <w:tc>
          <w:tcPr>
            <w:tcW w:w="967" w:type="dxa"/>
            <w:shd w:val="clear" w:color="auto" w:fill="auto"/>
            <w:vAlign w:val="bottom"/>
          </w:tcPr>
          <w:p w14:paraId="42699E74" w14:textId="77777777" w:rsidR="00545FF4" w:rsidRPr="00DE25AD" w:rsidRDefault="00545FF4" w:rsidP="00545FF4">
            <w:pPr>
              <w:pStyle w:val="ASSADACCESStablecentre"/>
            </w:pPr>
          </w:p>
        </w:tc>
        <w:tc>
          <w:tcPr>
            <w:tcW w:w="967" w:type="dxa"/>
            <w:shd w:val="clear" w:color="auto" w:fill="auto"/>
            <w:vAlign w:val="bottom"/>
          </w:tcPr>
          <w:p w14:paraId="68F09ADC" w14:textId="77777777" w:rsidR="00545FF4" w:rsidRPr="00DE25AD" w:rsidRDefault="00545FF4" w:rsidP="00545FF4">
            <w:pPr>
              <w:pStyle w:val="ASSADACCESStablecentre"/>
            </w:pPr>
          </w:p>
        </w:tc>
        <w:tc>
          <w:tcPr>
            <w:tcW w:w="967" w:type="dxa"/>
            <w:shd w:val="clear" w:color="auto" w:fill="auto"/>
            <w:vAlign w:val="bottom"/>
          </w:tcPr>
          <w:p w14:paraId="7171D824" w14:textId="77777777" w:rsidR="00545FF4" w:rsidRPr="00DE25AD" w:rsidRDefault="00545FF4" w:rsidP="00545FF4">
            <w:pPr>
              <w:pStyle w:val="ASSADACCESStablecentre"/>
            </w:pPr>
          </w:p>
        </w:tc>
        <w:tc>
          <w:tcPr>
            <w:tcW w:w="967" w:type="dxa"/>
            <w:shd w:val="clear" w:color="auto" w:fill="auto"/>
            <w:vAlign w:val="bottom"/>
          </w:tcPr>
          <w:p w14:paraId="377DBE56" w14:textId="77777777" w:rsidR="00545FF4" w:rsidRPr="00DE25AD" w:rsidRDefault="00545FF4" w:rsidP="00545FF4">
            <w:pPr>
              <w:pStyle w:val="ASSADACCESStablecentre"/>
            </w:pPr>
          </w:p>
        </w:tc>
        <w:tc>
          <w:tcPr>
            <w:tcW w:w="967" w:type="dxa"/>
            <w:shd w:val="clear" w:color="auto" w:fill="auto"/>
            <w:vAlign w:val="bottom"/>
          </w:tcPr>
          <w:p w14:paraId="6DFBBA63" w14:textId="77777777" w:rsidR="00545FF4" w:rsidRPr="00DE25AD" w:rsidRDefault="00545FF4" w:rsidP="00545FF4">
            <w:pPr>
              <w:pStyle w:val="ASSADACCESStablecentre"/>
            </w:pPr>
          </w:p>
        </w:tc>
        <w:tc>
          <w:tcPr>
            <w:tcW w:w="967" w:type="dxa"/>
            <w:shd w:val="clear" w:color="auto" w:fill="auto"/>
            <w:vAlign w:val="bottom"/>
          </w:tcPr>
          <w:p w14:paraId="6D2A5D4D" w14:textId="77777777" w:rsidR="00545FF4" w:rsidRPr="00DE25AD" w:rsidRDefault="00545FF4" w:rsidP="00545FF4">
            <w:pPr>
              <w:pStyle w:val="ASSADACCESStablecentre"/>
            </w:pPr>
          </w:p>
        </w:tc>
      </w:tr>
      <w:tr w:rsidR="00545FF4" w:rsidRPr="00DE25AD" w14:paraId="2312FBD3" w14:textId="77777777" w:rsidTr="00FB25C1">
        <w:tc>
          <w:tcPr>
            <w:tcW w:w="1671" w:type="dxa"/>
            <w:tcMar>
              <w:left w:w="57" w:type="dxa"/>
            </w:tcMar>
          </w:tcPr>
          <w:p w14:paraId="772A22B0" w14:textId="77777777" w:rsidR="00545FF4" w:rsidRDefault="00545FF4" w:rsidP="00545FF4">
            <w:pPr>
              <w:pStyle w:val="ACCESSTableHeaderRow"/>
            </w:pPr>
            <w:r w:rsidRPr="00DE25AD">
              <w:t>Recency</w:t>
            </w:r>
          </w:p>
        </w:tc>
        <w:tc>
          <w:tcPr>
            <w:tcW w:w="1176" w:type="dxa"/>
            <w:shd w:val="clear" w:color="auto" w:fill="auto"/>
            <w:tcMar>
              <w:left w:w="57" w:type="dxa"/>
            </w:tcMar>
            <w:vAlign w:val="center"/>
          </w:tcPr>
          <w:p w14:paraId="2681B4BF" w14:textId="77777777" w:rsidR="00545FF4" w:rsidRPr="00DE25AD" w:rsidRDefault="00545FF4" w:rsidP="00545FF4">
            <w:pPr>
              <w:pStyle w:val="ASSAD2017ACCESSBody1"/>
            </w:pPr>
            <w:r w:rsidRPr="005C5B03">
              <w:rPr>
                <w:b/>
                <w:bCs w:val="0"/>
              </w:rPr>
              <w:t>Sex</w:t>
            </w:r>
          </w:p>
        </w:tc>
        <w:tc>
          <w:tcPr>
            <w:tcW w:w="967" w:type="dxa"/>
            <w:shd w:val="clear" w:color="auto" w:fill="auto"/>
            <w:vAlign w:val="bottom"/>
          </w:tcPr>
          <w:p w14:paraId="58FFD223" w14:textId="77777777" w:rsidR="00545FF4" w:rsidRPr="00DE25AD" w:rsidRDefault="00545FF4" w:rsidP="00545FF4">
            <w:pPr>
              <w:pStyle w:val="ASSADACCESStablecentre"/>
            </w:pPr>
          </w:p>
        </w:tc>
        <w:tc>
          <w:tcPr>
            <w:tcW w:w="967" w:type="dxa"/>
            <w:shd w:val="clear" w:color="auto" w:fill="auto"/>
            <w:vAlign w:val="bottom"/>
          </w:tcPr>
          <w:p w14:paraId="692D5EE1" w14:textId="77777777" w:rsidR="00545FF4" w:rsidRPr="00DE25AD" w:rsidRDefault="00545FF4" w:rsidP="00545FF4">
            <w:pPr>
              <w:pStyle w:val="ASSADACCESStablecentre"/>
            </w:pPr>
          </w:p>
        </w:tc>
        <w:tc>
          <w:tcPr>
            <w:tcW w:w="967" w:type="dxa"/>
            <w:shd w:val="clear" w:color="auto" w:fill="auto"/>
            <w:vAlign w:val="bottom"/>
          </w:tcPr>
          <w:p w14:paraId="0C9DD999" w14:textId="77777777" w:rsidR="00545FF4" w:rsidRPr="00DE25AD" w:rsidRDefault="00545FF4" w:rsidP="00545FF4">
            <w:pPr>
              <w:pStyle w:val="ASSADACCESStablecentre"/>
            </w:pPr>
          </w:p>
        </w:tc>
        <w:tc>
          <w:tcPr>
            <w:tcW w:w="967" w:type="dxa"/>
            <w:shd w:val="clear" w:color="auto" w:fill="auto"/>
            <w:vAlign w:val="bottom"/>
          </w:tcPr>
          <w:p w14:paraId="1EB17FBA" w14:textId="77777777" w:rsidR="00545FF4" w:rsidRPr="00DE25AD" w:rsidRDefault="00545FF4" w:rsidP="00545FF4">
            <w:pPr>
              <w:pStyle w:val="ASSADACCESStablecentre"/>
            </w:pPr>
          </w:p>
        </w:tc>
        <w:tc>
          <w:tcPr>
            <w:tcW w:w="967" w:type="dxa"/>
            <w:shd w:val="clear" w:color="auto" w:fill="auto"/>
            <w:vAlign w:val="bottom"/>
          </w:tcPr>
          <w:p w14:paraId="1A7DBE71" w14:textId="77777777" w:rsidR="00545FF4" w:rsidRPr="00DE25AD" w:rsidRDefault="00545FF4" w:rsidP="00545FF4">
            <w:pPr>
              <w:pStyle w:val="ASSADACCESStablecentre"/>
            </w:pPr>
          </w:p>
        </w:tc>
        <w:tc>
          <w:tcPr>
            <w:tcW w:w="967" w:type="dxa"/>
            <w:shd w:val="clear" w:color="auto" w:fill="auto"/>
            <w:vAlign w:val="bottom"/>
          </w:tcPr>
          <w:p w14:paraId="64FFAD8B" w14:textId="77777777" w:rsidR="00545FF4" w:rsidRPr="00DE25AD" w:rsidRDefault="00545FF4" w:rsidP="00545FF4">
            <w:pPr>
              <w:pStyle w:val="ASSADACCESStablecentre"/>
            </w:pPr>
          </w:p>
        </w:tc>
        <w:tc>
          <w:tcPr>
            <w:tcW w:w="967" w:type="dxa"/>
            <w:shd w:val="clear" w:color="auto" w:fill="auto"/>
            <w:vAlign w:val="bottom"/>
          </w:tcPr>
          <w:p w14:paraId="3FB1AC0D" w14:textId="77777777" w:rsidR="00545FF4" w:rsidRPr="00DE25AD" w:rsidRDefault="00545FF4" w:rsidP="00545FF4">
            <w:pPr>
              <w:pStyle w:val="ASSADACCESStablecentre"/>
            </w:pPr>
          </w:p>
        </w:tc>
      </w:tr>
      <w:tr w:rsidR="00545FF4" w:rsidRPr="00DE25AD" w14:paraId="18394C43" w14:textId="77777777" w:rsidTr="00545FF4">
        <w:tc>
          <w:tcPr>
            <w:tcW w:w="1671" w:type="dxa"/>
            <w:tcMar>
              <w:left w:w="57" w:type="dxa"/>
            </w:tcMar>
          </w:tcPr>
          <w:p w14:paraId="2A5393A3" w14:textId="77777777" w:rsidR="00545FF4" w:rsidRPr="00DE25AD" w:rsidRDefault="00545FF4" w:rsidP="00545FF4">
            <w:pPr>
              <w:pStyle w:val="ACCESSTableHeaderRow"/>
            </w:pPr>
            <w:r>
              <w:t>Lifetime</w:t>
            </w:r>
          </w:p>
        </w:tc>
        <w:tc>
          <w:tcPr>
            <w:tcW w:w="1176" w:type="dxa"/>
            <w:shd w:val="clear" w:color="auto" w:fill="auto"/>
            <w:tcMar>
              <w:left w:w="57" w:type="dxa"/>
            </w:tcMar>
            <w:vAlign w:val="bottom"/>
          </w:tcPr>
          <w:p w14:paraId="6353A0B7" w14:textId="77777777" w:rsidR="00545FF4" w:rsidRPr="00DE25AD" w:rsidRDefault="00545FF4" w:rsidP="00545FF4">
            <w:pPr>
              <w:pStyle w:val="ASSAD2017ACCESSBody1"/>
            </w:pPr>
            <w:r w:rsidRPr="00DE25AD">
              <w:t>Male</w:t>
            </w:r>
          </w:p>
        </w:tc>
        <w:tc>
          <w:tcPr>
            <w:tcW w:w="967" w:type="dxa"/>
            <w:shd w:val="clear" w:color="auto" w:fill="auto"/>
          </w:tcPr>
          <w:p w14:paraId="1A4977C8" w14:textId="19684C85" w:rsidR="00545FF4" w:rsidRPr="00DE25AD" w:rsidRDefault="00545FF4" w:rsidP="00545FF4">
            <w:pPr>
              <w:pStyle w:val="ASSADACCESStablecentre"/>
            </w:pPr>
            <w:r w:rsidRPr="002E5727">
              <w:rPr>
                <w:bCs w:val="0"/>
                <w:color w:val="000000"/>
              </w:rPr>
              <w:t>7*</w:t>
            </w:r>
          </w:p>
        </w:tc>
        <w:tc>
          <w:tcPr>
            <w:tcW w:w="967" w:type="dxa"/>
            <w:shd w:val="clear" w:color="auto" w:fill="auto"/>
          </w:tcPr>
          <w:p w14:paraId="0F84EB55" w14:textId="514C5CD0" w:rsidR="00545FF4" w:rsidRPr="00DE25AD" w:rsidRDefault="00545FF4" w:rsidP="00545FF4">
            <w:pPr>
              <w:pStyle w:val="ASSADACCESStablecentre"/>
            </w:pPr>
            <w:r w:rsidRPr="002E5727">
              <w:rPr>
                <w:bCs w:val="0"/>
                <w:color w:val="000000"/>
              </w:rPr>
              <w:t>8*</w:t>
            </w:r>
          </w:p>
        </w:tc>
        <w:tc>
          <w:tcPr>
            <w:tcW w:w="967" w:type="dxa"/>
            <w:shd w:val="clear" w:color="auto" w:fill="auto"/>
          </w:tcPr>
          <w:p w14:paraId="7944CDC7" w14:textId="799170E0" w:rsidR="00545FF4" w:rsidRPr="00DE25AD" w:rsidRDefault="00545FF4" w:rsidP="00545FF4">
            <w:pPr>
              <w:pStyle w:val="ASSADACCESStablecentre"/>
            </w:pPr>
            <w:r w:rsidRPr="002E5727">
              <w:rPr>
                <w:bCs w:val="0"/>
                <w:color w:val="000000"/>
              </w:rPr>
              <w:t>7*</w:t>
            </w:r>
          </w:p>
        </w:tc>
        <w:tc>
          <w:tcPr>
            <w:tcW w:w="967" w:type="dxa"/>
            <w:shd w:val="clear" w:color="auto" w:fill="auto"/>
          </w:tcPr>
          <w:p w14:paraId="5F974A72" w14:textId="5BA42EFE" w:rsidR="00545FF4" w:rsidRPr="00DE25AD" w:rsidRDefault="00545FF4" w:rsidP="00545FF4">
            <w:pPr>
              <w:pStyle w:val="ASSADACCESStablecentre"/>
            </w:pPr>
            <w:r w:rsidRPr="002E5727">
              <w:rPr>
                <w:bCs w:val="0"/>
                <w:color w:val="000000"/>
              </w:rPr>
              <w:t>6*</w:t>
            </w:r>
          </w:p>
        </w:tc>
        <w:tc>
          <w:tcPr>
            <w:tcW w:w="967" w:type="dxa"/>
            <w:shd w:val="clear" w:color="auto" w:fill="auto"/>
          </w:tcPr>
          <w:p w14:paraId="4A0FDAB2" w14:textId="44ABBC96" w:rsidR="00545FF4" w:rsidRPr="00DE25AD" w:rsidRDefault="00545FF4" w:rsidP="00545FF4">
            <w:pPr>
              <w:pStyle w:val="ASSADACCESStablecentre"/>
            </w:pPr>
            <w:r w:rsidRPr="002E5727">
              <w:rPr>
                <w:bCs w:val="0"/>
                <w:color w:val="000000"/>
              </w:rPr>
              <w:t>4*^</w:t>
            </w:r>
          </w:p>
        </w:tc>
        <w:tc>
          <w:tcPr>
            <w:tcW w:w="967" w:type="dxa"/>
            <w:shd w:val="clear" w:color="auto" w:fill="auto"/>
            <w:vAlign w:val="bottom"/>
          </w:tcPr>
          <w:p w14:paraId="5D45ABFD" w14:textId="0B6E9911"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54E3F422" w14:textId="2CF2DB19" w:rsidR="00545FF4" w:rsidRPr="00DE25AD" w:rsidRDefault="00545FF4" w:rsidP="00545FF4">
            <w:pPr>
              <w:pStyle w:val="ASSADACCESStablecentre"/>
            </w:pPr>
            <w:r w:rsidRPr="002E5727">
              <w:rPr>
                <w:bCs w:val="0"/>
                <w:color w:val="000000"/>
              </w:rPr>
              <w:t>3^</w:t>
            </w:r>
          </w:p>
        </w:tc>
      </w:tr>
      <w:tr w:rsidR="00545FF4" w:rsidRPr="00DE25AD" w14:paraId="33DF5356" w14:textId="77777777" w:rsidTr="00545FF4">
        <w:tc>
          <w:tcPr>
            <w:tcW w:w="1671" w:type="dxa"/>
            <w:tcMar>
              <w:left w:w="57" w:type="dxa"/>
            </w:tcMar>
          </w:tcPr>
          <w:p w14:paraId="692F5864" w14:textId="77777777" w:rsidR="00545FF4" w:rsidRPr="00DE25AD" w:rsidRDefault="00545FF4" w:rsidP="00545FF4">
            <w:pPr>
              <w:pStyle w:val="ACCESSTableHeaderRow"/>
            </w:pPr>
          </w:p>
        </w:tc>
        <w:tc>
          <w:tcPr>
            <w:tcW w:w="1176" w:type="dxa"/>
            <w:shd w:val="clear" w:color="auto" w:fill="auto"/>
            <w:tcMar>
              <w:left w:w="57" w:type="dxa"/>
            </w:tcMar>
            <w:vAlign w:val="bottom"/>
          </w:tcPr>
          <w:p w14:paraId="585EDB0E" w14:textId="77777777" w:rsidR="00545FF4" w:rsidRPr="00DE25AD" w:rsidRDefault="00545FF4" w:rsidP="00545FF4">
            <w:pPr>
              <w:pStyle w:val="ASSAD2017ACCESSBody1"/>
            </w:pPr>
            <w:r w:rsidRPr="00DE25AD">
              <w:t>Female</w:t>
            </w:r>
          </w:p>
        </w:tc>
        <w:tc>
          <w:tcPr>
            <w:tcW w:w="967" w:type="dxa"/>
            <w:shd w:val="clear" w:color="auto" w:fill="auto"/>
          </w:tcPr>
          <w:p w14:paraId="4A06830C" w14:textId="7BCC1137" w:rsidR="00545FF4" w:rsidRPr="00DE25AD" w:rsidRDefault="00545FF4" w:rsidP="00545FF4">
            <w:pPr>
              <w:pStyle w:val="ASSADACCESStablecentre"/>
            </w:pPr>
            <w:r w:rsidRPr="002E5727">
              <w:rPr>
                <w:bCs w:val="0"/>
                <w:color w:val="000000"/>
              </w:rPr>
              <w:t>5*</w:t>
            </w:r>
          </w:p>
        </w:tc>
        <w:tc>
          <w:tcPr>
            <w:tcW w:w="967" w:type="dxa"/>
            <w:shd w:val="clear" w:color="auto" w:fill="auto"/>
          </w:tcPr>
          <w:p w14:paraId="76DE50D4" w14:textId="5EBD6197" w:rsidR="00545FF4" w:rsidRPr="00DE25AD" w:rsidRDefault="00545FF4" w:rsidP="00545FF4">
            <w:pPr>
              <w:pStyle w:val="ASSADACCESStablecentre"/>
            </w:pPr>
            <w:r>
              <w:rPr>
                <w:bCs w:val="0"/>
                <w:color w:val="000000"/>
              </w:rPr>
              <w:t>6</w:t>
            </w:r>
            <w:r w:rsidRPr="002E5727">
              <w:rPr>
                <w:bCs w:val="0"/>
                <w:color w:val="000000"/>
              </w:rPr>
              <w:t>*^</w:t>
            </w:r>
          </w:p>
        </w:tc>
        <w:tc>
          <w:tcPr>
            <w:tcW w:w="967" w:type="dxa"/>
            <w:shd w:val="clear" w:color="auto" w:fill="auto"/>
          </w:tcPr>
          <w:p w14:paraId="49CFBD51" w14:textId="2255CC60" w:rsidR="00545FF4" w:rsidRPr="00DE25AD" w:rsidRDefault="00545FF4" w:rsidP="00545FF4">
            <w:pPr>
              <w:pStyle w:val="ASSADACCESStablecentre"/>
            </w:pPr>
            <w:r w:rsidRPr="002E5727">
              <w:rPr>
                <w:bCs w:val="0"/>
                <w:color w:val="000000"/>
              </w:rPr>
              <w:t>6*</w:t>
            </w:r>
            <w:r>
              <w:rPr>
                <w:bCs w:val="0"/>
                <w:color w:val="000000"/>
              </w:rPr>
              <w:t>^</w:t>
            </w:r>
          </w:p>
        </w:tc>
        <w:tc>
          <w:tcPr>
            <w:tcW w:w="967" w:type="dxa"/>
            <w:shd w:val="clear" w:color="auto" w:fill="auto"/>
          </w:tcPr>
          <w:p w14:paraId="419EA045" w14:textId="508E55A4" w:rsidR="00545FF4" w:rsidRPr="00DE25AD" w:rsidRDefault="00545FF4" w:rsidP="00545FF4">
            <w:pPr>
              <w:pStyle w:val="ASSADACCESStablecentre"/>
            </w:pPr>
            <w:r w:rsidRPr="002E5727">
              <w:rPr>
                <w:bCs w:val="0"/>
                <w:color w:val="000000"/>
              </w:rPr>
              <w:t>5*</w:t>
            </w:r>
          </w:p>
        </w:tc>
        <w:tc>
          <w:tcPr>
            <w:tcW w:w="967" w:type="dxa"/>
            <w:shd w:val="clear" w:color="auto" w:fill="auto"/>
          </w:tcPr>
          <w:p w14:paraId="7D775AB8" w14:textId="7F785B73" w:rsidR="00545FF4" w:rsidRPr="00DE25AD" w:rsidRDefault="00545FF4" w:rsidP="00545FF4">
            <w:pPr>
              <w:pStyle w:val="ASSADACCESStablecentre"/>
            </w:pPr>
            <w:r w:rsidRPr="002E5727">
              <w:rPr>
                <w:bCs w:val="0"/>
                <w:color w:val="000000"/>
              </w:rPr>
              <w:t>4*</w:t>
            </w:r>
            <w:r>
              <w:rPr>
                <w:bCs w:val="0"/>
                <w:color w:val="000000"/>
              </w:rPr>
              <w:t>^</w:t>
            </w:r>
          </w:p>
        </w:tc>
        <w:tc>
          <w:tcPr>
            <w:tcW w:w="967" w:type="dxa"/>
            <w:shd w:val="clear" w:color="auto" w:fill="auto"/>
            <w:vAlign w:val="bottom"/>
          </w:tcPr>
          <w:p w14:paraId="66E03502" w14:textId="47595A0A"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425E8AC8" w14:textId="49E016DC" w:rsidR="00545FF4" w:rsidRPr="00DE25AD" w:rsidRDefault="00545FF4" w:rsidP="00545FF4">
            <w:pPr>
              <w:pStyle w:val="ASSADACCESStablecentre"/>
            </w:pPr>
            <w:r w:rsidRPr="002E5727">
              <w:rPr>
                <w:bCs w:val="0"/>
                <w:color w:val="000000"/>
              </w:rPr>
              <w:t>2^</w:t>
            </w:r>
          </w:p>
        </w:tc>
      </w:tr>
      <w:tr w:rsidR="00545FF4" w:rsidRPr="00DE25AD" w14:paraId="1F2EDF49" w14:textId="77777777" w:rsidTr="00545FF4">
        <w:trPr>
          <w:trHeight w:val="247"/>
        </w:trPr>
        <w:tc>
          <w:tcPr>
            <w:tcW w:w="1671" w:type="dxa"/>
            <w:tcMar>
              <w:left w:w="57" w:type="dxa"/>
            </w:tcMar>
          </w:tcPr>
          <w:p w14:paraId="198CC8BC" w14:textId="77777777" w:rsidR="00545FF4" w:rsidRPr="00DE25AD" w:rsidRDefault="00545FF4" w:rsidP="00545FF4">
            <w:pPr>
              <w:pStyle w:val="ACCESSTableHeaderRow"/>
            </w:pPr>
          </w:p>
        </w:tc>
        <w:tc>
          <w:tcPr>
            <w:tcW w:w="1176" w:type="dxa"/>
            <w:shd w:val="clear" w:color="auto" w:fill="auto"/>
            <w:tcMar>
              <w:left w:w="57" w:type="dxa"/>
            </w:tcMar>
            <w:vAlign w:val="bottom"/>
          </w:tcPr>
          <w:p w14:paraId="48FD9A81" w14:textId="77777777" w:rsidR="00545FF4" w:rsidRPr="00DE25AD" w:rsidRDefault="00545FF4" w:rsidP="00545FF4">
            <w:pPr>
              <w:pStyle w:val="ASSAD2017ACCESSBody1"/>
            </w:pPr>
            <w:r w:rsidRPr="00DE25AD">
              <w:t>Total</w:t>
            </w:r>
          </w:p>
        </w:tc>
        <w:tc>
          <w:tcPr>
            <w:tcW w:w="967" w:type="dxa"/>
            <w:shd w:val="clear" w:color="auto" w:fill="auto"/>
          </w:tcPr>
          <w:p w14:paraId="441D2845" w14:textId="34D9DEF9" w:rsidR="00545FF4" w:rsidRPr="00DE25AD" w:rsidRDefault="00545FF4" w:rsidP="00545FF4">
            <w:pPr>
              <w:pStyle w:val="ASSADACCESStablecentre"/>
            </w:pPr>
            <w:r w:rsidRPr="002E5727">
              <w:rPr>
                <w:bCs w:val="0"/>
                <w:color w:val="000000"/>
              </w:rPr>
              <w:t>6*</w:t>
            </w:r>
          </w:p>
        </w:tc>
        <w:tc>
          <w:tcPr>
            <w:tcW w:w="967" w:type="dxa"/>
            <w:shd w:val="clear" w:color="auto" w:fill="auto"/>
          </w:tcPr>
          <w:p w14:paraId="2D9EBE01" w14:textId="254BC343" w:rsidR="00545FF4" w:rsidRPr="00DE25AD" w:rsidRDefault="00545FF4" w:rsidP="00545FF4">
            <w:pPr>
              <w:pStyle w:val="ASSADACCESStablecentre"/>
            </w:pPr>
            <w:r w:rsidRPr="002E5727">
              <w:rPr>
                <w:bCs w:val="0"/>
                <w:color w:val="000000"/>
              </w:rPr>
              <w:t>7*</w:t>
            </w:r>
            <w:r>
              <w:rPr>
                <w:bCs w:val="0"/>
                <w:color w:val="000000"/>
              </w:rPr>
              <w:t>^</w:t>
            </w:r>
          </w:p>
        </w:tc>
        <w:tc>
          <w:tcPr>
            <w:tcW w:w="967" w:type="dxa"/>
            <w:shd w:val="clear" w:color="auto" w:fill="auto"/>
          </w:tcPr>
          <w:p w14:paraId="3DEBE529" w14:textId="668E9BC8" w:rsidR="00545FF4" w:rsidRPr="00DE25AD" w:rsidRDefault="00545FF4" w:rsidP="00545FF4">
            <w:pPr>
              <w:pStyle w:val="ASSADACCESStablecentre"/>
            </w:pPr>
            <w:r w:rsidRPr="002E5727">
              <w:rPr>
                <w:bCs w:val="0"/>
                <w:color w:val="000000"/>
              </w:rPr>
              <w:t>7*</w:t>
            </w:r>
          </w:p>
        </w:tc>
        <w:tc>
          <w:tcPr>
            <w:tcW w:w="967" w:type="dxa"/>
            <w:shd w:val="clear" w:color="auto" w:fill="auto"/>
          </w:tcPr>
          <w:p w14:paraId="1DC32399" w14:textId="07FB3B93" w:rsidR="00545FF4" w:rsidRPr="00DE25AD" w:rsidRDefault="00545FF4" w:rsidP="00545FF4">
            <w:pPr>
              <w:pStyle w:val="ASSADACCESStablecentre"/>
            </w:pPr>
            <w:r w:rsidRPr="002E5727">
              <w:rPr>
                <w:bCs w:val="0"/>
                <w:color w:val="000000"/>
              </w:rPr>
              <w:t>5*</w:t>
            </w:r>
          </w:p>
        </w:tc>
        <w:tc>
          <w:tcPr>
            <w:tcW w:w="967" w:type="dxa"/>
            <w:shd w:val="clear" w:color="auto" w:fill="auto"/>
          </w:tcPr>
          <w:p w14:paraId="623965EB" w14:textId="4C2929CE" w:rsidR="00545FF4" w:rsidRPr="00DE25AD" w:rsidRDefault="00545FF4" w:rsidP="00545FF4">
            <w:pPr>
              <w:pStyle w:val="ASSADACCESStablecentre"/>
            </w:pPr>
            <w:r w:rsidRPr="002E5727">
              <w:rPr>
                <w:bCs w:val="0"/>
                <w:color w:val="000000"/>
              </w:rPr>
              <w:t>4*^</w:t>
            </w:r>
          </w:p>
        </w:tc>
        <w:tc>
          <w:tcPr>
            <w:tcW w:w="967" w:type="dxa"/>
            <w:shd w:val="clear" w:color="auto" w:fill="auto"/>
            <w:vAlign w:val="bottom"/>
          </w:tcPr>
          <w:p w14:paraId="4F07D132" w14:textId="62358E8A" w:rsidR="00545FF4" w:rsidRPr="00DE25AD" w:rsidRDefault="00545FF4" w:rsidP="00545FF4">
            <w:pPr>
              <w:pStyle w:val="ASSADACCESStablecentre"/>
            </w:pPr>
            <w:r w:rsidRPr="002E5727">
              <w:rPr>
                <w:bCs w:val="0"/>
                <w:color w:val="000000"/>
              </w:rPr>
              <w:t>3^</w:t>
            </w:r>
          </w:p>
        </w:tc>
        <w:tc>
          <w:tcPr>
            <w:tcW w:w="967" w:type="dxa"/>
            <w:shd w:val="clear" w:color="auto" w:fill="auto"/>
            <w:vAlign w:val="bottom"/>
          </w:tcPr>
          <w:p w14:paraId="79F1496C" w14:textId="3BAA21A5" w:rsidR="00545FF4" w:rsidRPr="00DE25AD" w:rsidRDefault="00545FF4" w:rsidP="00545FF4">
            <w:pPr>
              <w:pStyle w:val="ASSADACCESStablecentre"/>
            </w:pPr>
            <w:r w:rsidRPr="002E5727">
              <w:rPr>
                <w:bCs w:val="0"/>
                <w:color w:val="000000"/>
              </w:rPr>
              <w:t>2^</w:t>
            </w:r>
          </w:p>
        </w:tc>
      </w:tr>
      <w:tr w:rsidR="00545FF4" w:rsidRPr="00DE25AD" w14:paraId="47C2FD0D" w14:textId="77777777" w:rsidTr="00545FF4">
        <w:trPr>
          <w:trHeight w:val="247"/>
        </w:trPr>
        <w:tc>
          <w:tcPr>
            <w:tcW w:w="1671" w:type="dxa"/>
            <w:tcMar>
              <w:left w:w="57" w:type="dxa"/>
            </w:tcMar>
          </w:tcPr>
          <w:p w14:paraId="3E523B0A" w14:textId="77777777" w:rsidR="00545FF4" w:rsidRPr="00DE25AD" w:rsidRDefault="00545FF4" w:rsidP="00545FF4">
            <w:pPr>
              <w:pStyle w:val="ACCESSTableHeaderRow"/>
            </w:pPr>
            <w:r w:rsidRPr="00DE25AD">
              <w:t xml:space="preserve">Past </w:t>
            </w:r>
            <w:r>
              <w:t>month</w:t>
            </w:r>
          </w:p>
        </w:tc>
        <w:tc>
          <w:tcPr>
            <w:tcW w:w="1176" w:type="dxa"/>
            <w:shd w:val="clear" w:color="auto" w:fill="auto"/>
            <w:tcMar>
              <w:left w:w="57" w:type="dxa"/>
            </w:tcMar>
            <w:vAlign w:val="bottom"/>
          </w:tcPr>
          <w:p w14:paraId="73AFC074" w14:textId="77777777" w:rsidR="00545FF4" w:rsidRPr="00DE25AD" w:rsidRDefault="00545FF4" w:rsidP="00545FF4">
            <w:pPr>
              <w:pStyle w:val="ASSAD2017ACCESSBody1"/>
            </w:pPr>
            <w:r w:rsidRPr="00DE25AD">
              <w:t>Male</w:t>
            </w:r>
          </w:p>
        </w:tc>
        <w:tc>
          <w:tcPr>
            <w:tcW w:w="967" w:type="dxa"/>
            <w:shd w:val="clear" w:color="auto" w:fill="auto"/>
          </w:tcPr>
          <w:p w14:paraId="38770978" w14:textId="08D984CC" w:rsidR="00545FF4" w:rsidRPr="00DE25AD" w:rsidRDefault="00545FF4" w:rsidP="00545FF4">
            <w:pPr>
              <w:pStyle w:val="ASSADACCESStablecentre"/>
            </w:pPr>
            <w:r w:rsidRPr="002E5727">
              <w:rPr>
                <w:bCs w:val="0"/>
                <w:color w:val="000000"/>
              </w:rPr>
              <w:t>3*</w:t>
            </w:r>
          </w:p>
        </w:tc>
        <w:tc>
          <w:tcPr>
            <w:tcW w:w="967" w:type="dxa"/>
            <w:shd w:val="clear" w:color="auto" w:fill="auto"/>
          </w:tcPr>
          <w:p w14:paraId="49B306A7" w14:textId="1BC82F06" w:rsidR="00545FF4" w:rsidRPr="00DE25AD" w:rsidRDefault="00545FF4" w:rsidP="00545FF4">
            <w:pPr>
              <w:pStyle w:val="ASSADACCESStablecentre"/>
            </w:pPr>
            <w:r w:rsidRPr="002E5727">
              <w:rPr>
                <w:bCs w:val="0"/>
                <w:color w:val="000000"/>
              </w:rPr>
              <w:t>3*</w:t>
            </w:r>
          </w:p>
        </w:tc>
        <w:tc>
          <w:tcPr>
            <w:tcW w:w="967" w:type="dxa"/>
            <w:shd w:val="clear" w:color="auto" w:fill="auto"/>
          </w:tcPr>
          <w:p w14:paraId="74130823" w14:textId="69C0B366" w:rsidR="00545FF4" w:rsidRPr="00DE25AD" w:rsidRDefault="00545FF4" w:rsidP="00545FF4">
            <w:pPr>
              <w:pStyle w:val="ASSADACCESStablecentre"/>
            </w:pPr>
            <w:r w:rsidRPr="002E5727">
              <w:rPr>
                <w:bCs w:val="0"/>
                <w:color w:val="000000"/>
              </w:rPr>
              <w:t>3*</w:t>
            </w:r>
          </w:p>
        </w:tc>
        <w:tc>
          <w:tcPr>
            <w:tcW w:w="967" w:type="dxa"/>
            <w:shd w:val="clear" w:color="auto" w:fill="auto"/>
          </w:tcPr>
          <w:p w14:paraId="192C0DE5" w14:textId="20AF2F11" w:rsidR="00545FF4" w:rsidRPr="00DE25AD" w:rsidRDefault="00545FF4" w:rsidP="00545FF4">
            <w:pPr>
              <w:pStyle w:val="ASSADACCESStablecentre"/>
            </w:pPr>
            <w:r w:rsidRPr="002E5727">
              <w:rPr>
                <w:bCs w:val="0"/>
                <w:color w:val="000000"/>
              </w:rPr>
              <w:t>3*</w:t>
            </w:r>
          </w:p>
        </w:tc>
        <w:tc>
          <w:tcPr>
            <w:tcW w:w="967" w:type="dxa"/>
            <w:shd w:val="clear" w:color="auto" w:fill="auto"/>
          </w:tcPr>
          <w:p w14:paraId="4A1DC250" w14:textId="7BAD5EF0" w:rsidR="00545FF4" w:rsidRPr="00DE25AD" w:rsidRDefault="00545FF4" w:rsidP="00545FF4">
            <w:pPr>
              <w:pStyle w:val="ASSADACCESStablecentre"/>
            </w:pPr>
            <w:r w:rsidRPr="002E5727">
              <w:rPr>
                <w:bCs w:val="0"/>
                <w:color w:val="000000"/>
              </w:rPr>
              <w:t>2^</w:t>
            </w:r>
          </w:p>
        </w:tc>
        <w:tc>
          <w:tcPr>
            <w:tcW w:w="967" w:type="dxa"/>
            <w:shd w:val="clear" w:color="auto" w:fill="auto"/>
            <w:vAlign w:val="bottom"/>
          </w:tcPr>
          <w:p w14:paraId="72B452C6" w14:textId="45200D21"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0AD85C5C" w14:textId="79A49336" w:rsidR="00545FF4" w:rsidRPr="00DE25AD" w:rsidRDefault="00545FF4" w:rsidP="00545FF4">
            <w:pPr>
              <w:pStyle w:val="ASSADACCESStablecentre"/>
            </w:pPr>
            <w:r w:rsidRPr="002E5727">
              <w:rPr>
                <w:bCs w:val="0"/>
                <w:color w:val="000000"/>
              </w:rPr>
              <w:t>1^</w:t>
            </w:r>
          </w:p>
        </w:tc>
      </w:tr>
      <w:tr w:rsidR="00545FF4" w:rsidRPr="00DE25AD" w14:paraId="5398BC88" w14:textId="77777777" w:rsidTr="00545FF4">
        <w:trPr>
          <w:trHeight w:val="247"/>
        </w:trPr>
        <w:tc>
          <w:tcPr>
            <w:tcW w:w="1671" w:type="dxa"/>
            <w:tcMar>
              <w:left w:w="57" w:type="dxa"/>
            </w:tcMar>
          </w:tcPr>
          <w:p w14:paraId="1E72BE68" w14:textId="77777777" w:rsidR="00545FF4" w:rsidRPr="00DE25AD" w:rsidRDefault="00545FF4" w:rsidP="00545FF4">
            <w:pPr>
              <w:pStyle w:val="ACCESSTableHeaderRow"/>
            </w:pPr>
          </w:p>
        </w:tc>
        <w:tc>
          <w:tcPr>
            <w:tcW w:w="1176" w:type="dxa"/>
            <w:shd w:val="clear" w:color="auto" w:fill="auto"/>
            <w:tcMar>
              <w:left w:w="57" w:type="dxa"/>
            </w:tcMar>
            <w:vAlign w:val="bottom"/>
          </w:tcPr>
          <w:p w14:paraId="32FF57BA" w14:textId="77777777" w:rsidR="00545FF4" w:rsidRPr="00DE25AD" w:rsidRDefault="00545FF4" w:rsidP="00545FF4">
            <w:pPr>
              <w:pStyle w:val="ASSAD2017ACCESSBody1"/>
            </w:pPr>
            <w:r w:rsidRPr="00DE25AD">
              <w:t>Female</w:t>
            </w:r>
          </w:p>
        </w:tc>
        <w:tc>
          <w:tcPr>
            <w:tcW w:w="967" w:type="dxa"/>
            <w:shd w:val="clear" w:color="auto" w:fill="auto"/>
          </w:tcPr>
          <w:p w14:paraId="08D53A0A" w14:textId="39B071DC" w:rsidR="00545FF4" w:rsidRPr="00DE25AD" w:rsidRDefault="00545FF4" w:rsidP="00545FF4">
            <w:pPr>
              <w:pStyle w:val="ASSADACCESStablecentre"/>
            </w:pPr>
            <w:r>
              <w:rPr>
                <w:bCs w:val="0"/>
                <w:color w:val="000000"/>
              </w:rPr>
              <w:t>1</w:t>
            </w:r>
            <w:r w:rsidRPr="002E5727">
              <w:rPr>
                <w:bCs w:val="0"/>
                <w:color w:val="000000"/>
              </w:rPr>
              <w:t>*</w:t>
            </w:r>
          </w:p>
        </w:tc>
        <w:tc>
          <w:tcPr>
            <w:tcW w:w="967" w:type="dxa"/>
            <w:shd w:val="clear" w:color="auto" w:fill="auto"/>
          </w:tcPr>
          <w:p w14:paraId="77203F56" w14:textId="410CC67C" w:rsidR="00545FF4" w:rsidRPr="00DE25AD" w:rsidRDefault="00545FF4" w:rsidP="00545FF4">
            <w:pPr>
              <w:pStyle w:val="ASSADACCESStablecentre"/>
            </w:pPr>
            <w:r w:rsidRPr="002E5727">
              <w:rPr>
                <w:bCs w:val="0"/>
                <w:color w:val="000000"/>
              </w:rPr>
              <w:t>2*</w:t>
            </w:r>
            <w:r>
              <w:rPr>
                <w:bCs w:val="0"/>
                <w:color w:val="000000"/>
              </w:rPr>
              <w:t>^</w:t>
            </w:r>
          </w:p>
        </w:tc>
        <w:tc>
          <w:tcPr>
            <w:tcW w:w="967" w:type="dxa"/>
            <w:shd w:val="clear" w:color="auto" w:fill="auto"/>
          </w:tcPr>
          <w:p w14:paraId="2B2ABECE" w14:textId="22275A6A" w:rsidR="00545FF4" w:rsidRPr="00DE25AD" w:rsidRDefault="00545FF4" w:rsidP="00545FF4">
            <w:pPr>
              <w:pStyle w:val="ASSADACCESStablecentre"/>
            </w:pPr>
            <w:r w:rsidRPr="002E5727">
              <w:rPr>
                <w:bCs w:val="0"/>
                <w:color w:val="000000"/>
              </w:rPr>
              <w:t>2*</w:t>
            </w:r>
            <w:r>
              <w:rPr>
                <w:bCs w:val="0"/>
                <w:color w:val="000000"/>
              </w:rPr>
              <w:t>^</w:t>
            </w:r>
          </w:p>
        </w:tc>
        <w:tc>
          <w:tcPr>
            <w:tcW w:w="967" w:type="dxa"/>
            <w:shd w:val="clear" w:color="auto" w:fill="auto"/>
          </w:tcPr>
          <w:p w14:paraId="21E6A25B" w14:textId="5AC46667" w:rsidR="00545FF4" w:rsidRPr="00DE25AD" w:rsidRDefault="00545FF4" w:rsidP="00545FF4">
            <w:pPr>
              <w:pStyle w:val="ASSADACCESStablecentre"/>
            </w:pPr>
            <w:r w:rsidRPr="002E5727">
              <w:rPr>
                <w:bCs w:val="0"/>
                <w:color w:val="000000"/>
              </w:rPr>
              <w:t>2*</w:t>
            </w:r>
          </w:p>
        </w:tc>
        <w:tc>
          <w:tcPr>
            <w:tcW w:w="967" w:type="dxa"/>
            <w:shd w:val="clear" w:color="auto" w:fill="auto"/>
          </w:tcPr>
          <w:p w14:paraId="27EF3568" w14:textId="3B996BB7"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1EE0A10A" w14:textId="07C60D59"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2A8EB056" w14:textId="53FAB5D8" w:rsidR="00545FF4" w:rsidRPr="00DE25AD" w:rsidRDefault="00545FF4" w:rsidP="00545FF4">
            <w:pPr>
              <w:pStyle w:val="ASSADACCESStablecentre"/>
            </w:pPr>
            <w:r w:rsidRPr="002E5727">
              <w:rPr>
                <w:bCs w:val="0"/>
                <w:color w:val="000000"/>
              </w:rPr>
              <w:t>1^</w:t>
            </w:r>
          </w:p>
        </w:tc>
      </w:tr>
      <w:tr w:rsidR="00545FF4" w:rsidRPr="00DE25AD" w14:paraId="474493FD" w14:textId="77777777" w:rsidTr="00545FF4">
        <w:trPr>
          <w:trHeight w:val="247"/>
        </w:trPr>
        <w:tc>
          <w:tcPr>
            <w:tcW w:w="1671" w:type="dxa"/>
            <w:tcMar>
              <w:left w:w="57" w:type="dxa"/>
            </w:tcMar>
          </w:tcPr>
          <w:p w14:paraId="25857CC2" w14:textId="77777777" w:rsidR="00545FF4" w:rsidRPr="00DE25AD" w:rsidRDefault="00545FF4" w:rsidP="00545FF4">
            <w:pPr>
              <w:pStyle w:val="ACCESSTableHeaderRow"/>
            </w:pPr>
          </w:p>
        </w:tc>
        <w:tc>
          <w:tcPr>
            <w:tcW w:w="1176" w:type="dxa"/>
            <w:shd w:val="clear" w:color="auto" w:fill="auto"/>
            <w:tcMar>
              <w:left w:w="57" w:type="dxa"/>
            </w:tcMar>
            <w:vAlign w:val="bottom"/>
          </w:tcPr>
          <w:p w14:paraId="0D0FDFAB" w14:textId="77777777" w:rsidR="00545FF4" w:rsidRPr="00DE25AD" w:rsidRDefault="00545FF4" w:rsidP="00545FF4">
            <w:pPr>
              <w:pStyle w:val="ASSAD2017ACCESSBody1"/>
            </w:pPr>
            <w:r w:rsidRPr="00DE25AD">
              <w:t>Total</w:t>
            </w:r>
          </w:p>
        </w:tc>
        <w:tc>
          <w:tcPr>
            <w:tcW w:w="967" w:type="dxa"/>
            <w:shd w:val="clear" w:color="auto" w:fill="auto"/>
          </w:tcPr>
          <w:p w14:paraId="350457A6" w14:textId="541F073E" w:rsidR="00545FF4" w:rsidRPr="00DE25AD" w:rsidRDefault="00545FF4" w:rsidP="00545FF4">
            <w:pPr>
              <w:pStyle w:val="ASSADACCESStablecentre"/>
            </w:pPr>
            <w:r w:rsidRPr="002E5727">
              <w:rPr>
                <w:bCs w:val="0"/>
                <w:color w:val="000000"/>
              </w:rPr>
              <w:t>2*</w:t>
            </w:r>
          </w:p>
        </w:tc>
        <w:tc>
          <w:tcPr>
            <w:tcW w:w="967" w:type="dxa"/>
            <w:shd w:val="clear" w:color="auto" w:fill="auto"/>
          </w:tcPr>
          <w:p w14:paraId="02A33B73" w14:textId="4565C551" w:rsidR="00545FF4" w:rsidRPr="00DE25AD" w:rsidRDefault="00545FF4" w:rsidP="00545FF4">
            <w:pPr>
              <w:pStyle w:val="ASSADACCESStablecentre"/>
            </w:pPr>
            <w:r w:rsidRPr="002E5727">
              <w:rPr>
                <w:bCs w:val="0"/>
                <w:color w:val="000000"/>
              </w:rPr>
              <w:t>3*</w:t>
            </w:r>
            <w:r>
              <w:rPr>
                <w:bCs w:val="0"/>
                <w:color w:val="000000"/>
              </w:rPr>
              <w:t>^</w:t>
            </w:r>
          </w:p>
        </w:tc>
        <w:tc>
          <w:tcPr>
            <w:tcW w:w="967" w:type="dxa"/>
            <w:shd w:val="clear" w:color="auto" w:fill="auto"/>
          </w:tcPr>
          <w:p w14:paraId="4B2C4A79" w14:textId="6C4F8E90" w:rsidR="00545FF4" w:rsidRPr="00DE25AD" w:rsidRDefault="00545FF4" w:rsidP="00545FF4">
            <w:pPr>
              <w:pStyle w:val="ASSADACCESStablecentre"/>
            </w:pPr>
            <w:r w:rsidRPr="002E5727">
              <w:rPr>
                <w:bCs w:val="0"/>
                <w:color w:val="000000"/>
              </w:rPr>
              <w:t>3*</w:t>
            </w:r>
          </w:p>
        </w:tc>
        <w:tc>
          <w:tcPr>
            <w:tcW w:w="967" w:type="dxa"/>
            <w:shd w:val="clear" w:color="auto" w:fill="auto"/>
          </w:tcPr>
          <w:p w14:paraId="7D31D76D" w14:textId="431D17DC" w:rsidR="00545FF4" w:rsidRPr="00DE25AD" w:rsidRDefault="00545FF4" w:rsidP="00545FF4">
            <w:pPr>
              <w:pStyle w:val="ASSADACCESStablecentre"/>
            </w:pPr>
            <w:r w:rsidRPr="002E5727">
              <w:rPr>
                <w:bCs w:val="0"/>
                <w:color w:val="000000"/>
              </w:rPr>
              <w:t>2*</w:t>
            </w:r>
          </w:p>
        </w:tc>
        <w:tc>
          <w:tcPr>
            <w:tcW w:w="967" w:type="dxa"/>
            <w:shd w:val="clear" w:color="auto" w:fill="auto"/>
          </w:tcPr>
          <w:p w14:paraId="7C226EC6" w14:textId="4E291BFA" w:rsidR="00545FF4" w:rsidRPr="00DE25AD" w:rsidRDefault="00545FF4" w:rsidP="00545FF4">
            <w:pPr>
              <w:pStyle w:val="ASSADACCESStablecentre"/>
            </w:pPr>
            <w:r w:rsidRPr="002E5727">
              <w:rPr>
                <w:bCs w:val="0"/>
                <w:color w:val="000000"/>
              </w:rPr>
              <w:t>2*</w:t>
            </w:r>
            <w:r>
              <w:rPr>
                <w:bCs w:val="0"/>
                <w:color w:val="000000"/>
              </w:rPr>
              <w:t>^</w:t>
            </w:r>
          </w:p>
        </w:tc>
        <w:tc>
          <w:tcPr>
            <w:tcW w:w="967" w:type="dxa"/>
            <w:shd w:val="clear" w:color="auto" w:fill="auto"/>
            <w:vAlign w:val="bottom"/>
          </w:tcPr>
          <w:p w14:paraId="50009DA3" w14:textId="1A23237C" w:rsidR="00545FF4" w:rsidRPr="00DE25AD" w:rsidRDefault="00545FF4" w:rsidP="00545FF4">
            <w:pPr>
              <w:pStyle w:val="ASSADACCESStablecentre"/>
            </w:pPr>
            <w:r w:rsidRPr="002E5727">
              <w:rPr>
                <w:bCs w:val="0"/>
                <w:color w:val="000000"/>
              </w:rPr>
              <w:t>1^</w:t>
            </w:r>
          </w:p>
        </w:tc>
        <w:tc>
          <w:tcPr>
            <w:tcW w:w="967" w:type="dxa"/>
            <w:shd w:val="clear" w:color="auto" w:fill="auto"/>
            <w:vAlign w:val="bottom"/>
          </w:tcPr>
          <w:p w14:paraId="42AC4BDC" w14:textId="51150178" w:rsidR="00545FF4" w:rsidRPr="00DE25AD" w:rsidRDefault="00545FF4" w:rsidP="00545FF4">
            <w:pPr>
              <w:pStyle w:val="ASSADACCESStablecentre"/>
            </w:pPr>
            <w:r w:rsidRPr="002E5727">
              <w:rPr>
                <w:bCs w:val="0"/>
                <w:color w:val="000000"/>
              </w:rPr>
              <w:t>1^</w:t>
            </w:r>
          </w:p>
        </w:tc>
      </w:tr>
    </w:tbl>
    <w:p w14:paraId="2CEE3085" w14:textId="3D447049" w:rsidR="003A48EC" w:rsidRDefault="003A48EC" w:rsidP="003A48EC">
      <w:pPr>
        <w:pStyle w:val="ASSAD2017CWTablenote1"/>
      </w:pPr>
      <w:r w:rsidRPr="002E5727">
        <w:t>* Significantly different than 201</w:t>
      </w:r>
      <w:r>
        <w:t>4</w:t>
      </w:r>
      <w:r w:rsidRPr="002E5727">
        <w:t>, p&lt;.01; ^ Significantly different than 1996, p&lt;.01</w:t>
      </w:r>
      <w:r>
        <w:t>.</w:t>
      </w:r>
    </w:p>
    <w:p w14:paraId="05947E09" w14:textId="3D1AD955" w:rsidR="00B044BD" w:rsidRDefault="00B044BD" w:rsidP="003A48EC">
      <w:pPr>
        <w:pStyle w:val="ASSAD2017CWTablenote1"/>
      </w:pPr>
    </w:p>
    <w:p w14:paraId="4A1070E3" w14:textId="73C79A97" w:rsidR="00B044BD" w:rsidRDefault="00B044BD">
      <w:pPr>
        <w:suppressAutoHyphens w:val="0"/>
        <w:rPr>
          <w:rFonts w:ascii="Arial" w:eastAsia="Arial" w:hAnsi="Arial" w:cs="Arial"/>
          <w:sz w:val="18"/>
          <w:szCs w:val="18"/>
          <w:lang w:val="en-AU"/>
        </w:rPr>
      </w:pPr>
      <w:r>
        <w:br w:type="page"/>
      </w:r>
    </w:p>
    <w:p w14:paraId="68E0B455" w14:textId="54598873" w:rsidR="00B044BD" w:rsidRPr="0046446A" w:rsidRDefault="00B044BD" w:rsidP="00B044BD">
      <w:pPr>
        <w:pStyle w:val="ASSAD2017TableHeading"/>
      </w:pPr>
      <w:bookmarkStart w:id="90" w:name="_Toc44060506"/>
      <w:r w:rsidRPr="0046446A">
        <w:lastRenderedPageBreak/>
        <w:t xml:space="preserve">Table </w:t>
      </w:r>
      <w:r>
        <w:t>19</w:t>
      </w:r>
      <w:r w:rsidRPr="0046446A">
        <w:t xml:space="preserve"> </w:t>
      </w:r>
      <w:r>
        <w:t>Prevalence</w:t>
      </w:r>
      <w:r w:rsidRPr="0046446A">
        <w:t xml:space="preserve"> of </w:t>
      </w:r>
      <w:r>
        <w:t>opiate use</w:t>
      </w:r>
      <w:r w:rsidRPr="0046446A">
        <w:t xml:space="preserve"> among secondary students aged 12-1</w:t>
      </w:r>
      <w:r>
        <w:t>5, 16-17, &amp; 12-17</w:t>
      </w:r>
      <w:r w:rsidRPr="0046446A">
        <w:t xml:space="preserve"> in Australia, ASSAD 1996-201</w:t>
      </w:r>
      <w:r>
        <w:t>4</w:t>
      </w:r>
      <w:bookmarkEnd w:id="90"/>
      <w:r w:rsidRPr="0046446A">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3.1 Percentage of secondary students in Australia who have smoked in the past week, past month, past year, or lifetime, by age and sex, ASSAD 2017# "/>
        <w:tblDescription w:val="Table 3.1 Percentage of secondary students in Australia who have smoked in the past week, past month, past year, or lifetime, by age and sex, ASSAD 2017# "/>
      </w:tblPr>
      <w:tblGrid>
        <w:gridCol w:w="1671"/>
        <w:gridCol w:w="1176"/>
        <w:gridCol w:w="967"/>
        <w:gridCol w:w="967"/>
        <w:gridCol w:w="967"/>
        <w:gridCol w:w="967"/>
        <w:gridCol w:w="967"/>
        <w:gridCol w:w="967"/>
        <w:gridCol w:w="967"/>
      </w:tblGrid>
      <w:tr w:rsidR="00B044BD" w:rsidRPr="00DE25AD" w14:paraId="3AA7BE59" w14:textId="77777777" w:rsidTr="005F678B">
        <w:trPr>
          <w:tblHeader/>
        </w:trPr>
        <w:tc>
          <w:tcPr>
            <w:tcW w:w="1671" w:type="dxa"/>
            <w:tcMar>
              <w:left w:w="57" w:type="dxa"/>
            </w:tcMar>
          </w:tcPr>
          <w:p w14:paraId="0F73141F" w14:textId="77777777" w:rsidR="00B044BD" w:rsidRPr="00DE25AD" w:rsidRDefault="00B044BD" w:rsidP="005F678B">
            <w:pPr>
              <w:pStyle w:val="ACCESSTableHeaderRow"/>
              <w:rPr>
                <w:rStyle w:val="ASSAD2017CWTableHeading1Char"/>
                <w:rFonts w:ascii="Arial" w:hAnsi="Arial"/>
                <w:bCs/>
                <w:color w:val="000000" w:themeColor="text1"/>
                <w:sz w:val="20"/>
                <w:szCs w:val="20"/>
                <w:lang w:eastAsia="en-US"/>
              </w:rPr>
            </w:pPr>
            <w:r>
              <w:rPr>
                <w:rStyle w:val="ASSAD2017CWTableHeading1Char"/>
                <w:rFonts w:ascii="Arial" w:hAnsi="Arial"/>
                <w:bCs/>
                <w:color w:val="000000" w:themeColor="text1"/>
                <w:sz w:val="20"/>
                <w:szCs w:val="20"/>
                <w:lang w:eastAsia="en-US"/>
              </w:rPr>
              <w:t>Survey year</w:t>
            </w:r>
          </w:p>
        </w:tc>
        <w:tc>
          <w:tcPr>
            <w:tcW w:w="1176" w:type="dxa"/>
            <w:shd w:val="clear" w:color="auto" w:fill="auto"/>
            <w:tcMar>
              <w:left w:w="57" w:type="dxa"/>
            </w:tcMar>
            <w:vAlign w:val="center"/>
          </w:tcPr>
          <w:p w14:paraId="4CD7AAAC" w14:textId="77777777" w:rsidR="00B044BD" w:rsidRPr="00DE25AD" w:rsidRDefault="00B044BD" w:rsidP="005F678B">
            <w:pPr>
              <w:pStyle w:val="ACCESSTableHeaderRow"/>
            </w:pPr>
          </w:p>
        </w:tc>
        <w:tc>
          <w:tcPr>
            <w:tcW w:w="967" w:type="dxa"/>
            <w:shd w:val="clear" w:color="auto" w:fill="auto"/>
            <w:vAlign w:val="bottom"/>
          </w:tcPr>
          <w:p w14:paraId="08BB7848" w14:textId="77777777" w:rsidR="00B044BD" w:rsidRPr="00DE25AD" w:rsidRDefault="00B044BD" w:rsidP="005F678B">
            <w:pPr>
              <w:pStyle w:val="ACCESSTableHeaderRow"/>
              <w:jc w:val="center"/>
            </w:pPr>
            <w:r>
              <w:t>1996</w:t>
            </w:r>
          </w:p>
          <w:p w14:paraId="1B0215EF" w14:textId="77777777" w:rsidR="00B044BD" w:rsidRPr="00DE25AD" w:rsidRDefault="00B044BD" w:rsidP="005F678B">
            <w:pPr>
              <w:pStyle w:val="ACCESSTableHeaderRow"/>
              <w:jc w:val="center"/>
            </w:pPr>
            <w:r w:rsidRPr="00DE25AD">
              <w:t>(%)</w:t>
            </w:r>
          </w:p>
        </w:tc>
        <w:tc>
          <w:tcPr>
            <w:tcW w:w="967" w:type="dxa"/>
            <w:shd w:val="clear" w:color="auto" w:fill="auto"/>
            <w:vAlign w:val="bottom"/>
          </w:tcPr>
          <w:p w14:paraId="3A103902" w14:textId="77777777" w:rsidR="00B044BD" w:rsidRPr="00DE25AD" w:rsidRDefault="00B044BD" w:rsidP="005F678B">
            <w:pPr>
              <w:pStyle w:val="ACCESSTableHeaderRow"/>
              <w:jc w:val="center"/>
            </w:pPr>
            <w:r w:rsidRPr="00DE25AD">
              <w:t>1</w:t>
            </w:r>
            <w:r>
              <w:t>999</w:t>
            </w:r>
          </w:p>
          <w:p w14:paraId="1B67CAA2" w14:textId="77777777" w:rsidR="00B044BD" w:rsidRPr="00DE25AD" w:rsidRDefault="00B044BD" w:rsidP="005F678B">
            <w:pPr>
              <w:pStyle w:val="ACCESSTableHeaderRow"/>
              <w:jc w:val="center"/>
            </w:pPr>
            <w:r w:rsidRPr="00DE25AD">
              <w:t>(%)</w:t>
            </w:r>
          </w:p>
        </w:tc>
        <w:tc>
          <w:tcPr>
            <w:tcW w:w="967" w:type="dxa"/>
            <w:shd w:val="clear" w:color="auto" w:fill="auto"/>
            <w:vAlign w:val="bottom"/>
          </w:tcPr>
          <w:p w14:paraId="77D57892" w14:textId="77777777" w:rsidR="00B044BD" w:rsidRPr="00DE25AD" w:rsidRDefault="00B044BD" w:rsidP="005F678B">
            <w:pPr>
              <w:pStyle w:val="ACCESSTableHeaderRow"/>
              <w:jc w:val="center"/>
            </w:pPr>
            <w:r>
              <w:t>2002</w:t>
            </w:r>
          </w:p>
          <w:p w14:paraId="537F836E" w14:textId="77777777" w:rsidR="00B044BD" w:rsidRPr="00DE25AD" w:rsidRDefault="00B044BD" w:rsidP="005F678B">
            <w:pPr>
              <w:pStyle w:val="ACCESSTableHeaderRow"/>
              <w:jc w:val="center"/>
            </w:pPr>
            <w:r w:rsidRPr="00DE25AD">
              <w:t>(%)</w:t>
            </w:r>
          </w:p>
        </w:tc>
        <w:tc>
          <w:tcPr>
            <w:tcW w:w="967" w:type="dxa"/>
            <w:shd w:val="clear" w:color="auto" w:fill="auto"/>
            <w:vAlign w:val="bottom"/>
          </w:tcPr>
          <w:p w14:paraId="5DE1FFAE" w14:textId="77777777" w:rsidR="00B044BD" w:rsidRPr="00DE25AD" w:rsidRDefault="00B044BD" w:rsidP="005F678B">
            <w:pPr>
              <w:pStyle w:val="ACCESSTableHeaderRow"/>
              <w:jc w:val="center"/>
            </w:pPr>
            <w:r>
              <w:t>200</w:t>
            </w:r>
            <w:r w:rsidRPr="00DE25AD">
              <w:t>5</w:t>
            </w:r>
          </w:p>
          <w:p w14:paraId="421AA58E" w14:textId="77777777" w:rsidR="00B044BD" w:rsidRPr="00DE25AD" w:rsidRDefault="00B044BD" w:rsidP="005F678B">
            <w:pPr>
              <w:pStyle w:val="ACCESSTableHeaderRow"/>
              <w:jc w:val="center"/>
            </w:pPr>
            <w:r w:rsidRPr="00DE25AD">
              <w:t>(%)</w:t>
            </w:r>
          </w:p>
        </w:tc>
        <w:tc>
          <w:tcPr>
            <w:tcW w:w="967" w:type="dxa"/>
            <w:shd w:val="clear" w:color="auto" w:fill="auto"/>
            <w:vAlign w:val="bottom"/>
          </w:tcPr>
          <w:p w14:paraId="134E0F48" w14:textId="77777777" w:rsidR="00B044BD" w:rsidRPr="00DE25AD" w:rsidRDefault="00B044BD" w:rsidP="005F678B">
            <w:pPr>
              <w:pStyle w:val="ACCESSTableHeaderRow"/>
              <w:jc w:val="center"/>
            </w:pPr>
            <w:r>
              <w:t>2008</w:t>
            </w:r>
          </w:p>
          <w:p w14:paraId="34ACF6B4" w14:textId="77777777" w:rsidR="00B044BD" w:rsidRPr="00DE25AD" w:rsidRDefault="00B044BD" w:rsidP="005F678B">
            <w:pPr>
              <w:pStyle w:val="ACCESSTableHeaderRow"/>
              <w:jc w:val="center"/>
            </w:pPr>
            <w:r w:rsidRPr="00DE25AD">
              <w:t>(%)</w:t>
            </w:r>
          </w:p>
        </w:tc>
        <w:tc>
          <w:tcPr>
            <w:tcW w:w="967" w:type="dxa"/>
            <w:shd w:val="clear" w:color="auto" w:fill="auto"/>
            <w:vAlign w:val="bottom"/>
          </w:tcPr>
          <w:p w14:paraId="6A811E0C" w14:textId="77777777" w:rsidR="00B044BD" w:rsidRPr="00DE25AD" w:rsidRDefault="00B044BD" w:rsidP="005F678B">
            <w:pPr>
              <w:pStyle w:val="ACCESSTableHeaderRow"/>
              <w:jc w:val="center"/>
            </w:pPr>
            <w:r>
              <w:t>2011</w:t>
            </w:r>
          </w:p>
          <w:p w14:paraId="766A9736" w14:textId="77777777" w:rsidR="00B044BD" w:rsidRPr="00DE25AD" w:rsidRDefault="00B044BD" w:rsidP="005F678B">
            <w:pPr>
              <w:pStyle w:val="ACCESSTableHeaderRow"/>
              <w:jc w:val="center"/>
            </w:pPr>
            <w:r w:rsidRPr="00DE25AD">
              <w:t>(%)</w:t>
            </w:r>
          </w:p>
        </w:tc>
        <w:tc>
          <w:tcPr>
            <w:tcW w:w="967" w:type="dxa"/>
            <w:shd w:val="clear" w:color="auto" w:fill="auto"/>
            <w:vAlign w:val="bottom"/>
          </w:tcPr>
          <w:p w14:paraId="7237DF30" w14:textId="77777777" w:rsidR="00B044BD" w:rsidRDefault="00B044BD" w:rsidP="005F678B">
            <w:pPr>
              <w:pStyle w:val="ACCESSTableHeaderRow"/>
              <w:jc w:val="center"/>
            </w:pPr>
            <w:r>
              <w:t>2014</w:t>
            </w:r>
          </w:p>
          <w:p w14:paraId="647A15EB" w14:textId="77777777" w:rsidR="00B044BD" w:rsidRPr="00DE25AD" w:rsidRDefault="00B044BD" w:rsidP="005F678B">
            <w:pPr>
              <w:pStyle w:val="ACCESSTableHeaderRow"/>
              <w:jc w:val="center"/>
            </w:pPr>
            <w:r>
              <w:t>(%)</w:t>
            </w:r>
          </w:p>
        </w:tc>
      </w:tr>
      <w:tr w:rsidR="00B044BD" w:rsidRPr="00DE25AD" w14:paraId="174B5B9B" w14:textId="77777777" w:rsidTr="005F678B">
        <w:trPr>
          <w:tblHeader/>
        </w:trPr>
        <w:tc>
          <w:tcPr>
            <w:tcW w:w="1671" w:type="dxa"/>
            <w:tcMar>
              <w:left w:w="57" w:type="dxa"/>
            </w:tcMar>
          </w:tcPr>
          <w:p w14:paraId="503E3E56" w14:textId="77777777" w:rsidR="00B044BD" w:rsidRPr="00DE25AD" w:rsidRDefault="00B044BD" w:rsidP="005F678B">
            <w:pPr>
              <w:pStyle w:val="ACCESSTableHeaderRow"/>
            </w:pPr>
            <w:r>
              <w:t>Aged 12-15</w:t>
            </w:r>
          </w:p>
        </w:tc>
        <w:tc>
          <w:tcPr>
            <w:tcW w:w="1176" w:type="dxa"/>
            <w:shd w:val="clear" w:color="auto" w:fill="auto"/>
            <w:tcMar>
              <w:left w:w="57" w:type="dxa"/>
            </w:tcMar>
            <w:vAlign w:val="center"/>
          </w:tcPr>
          <w:p w14:paraId="7EEA598E" w14:textId="77777777" w:rsidR="00B044BD" w:rsidRPr="00DE25AD" w:rsidRDefault="00B044BD" w:rsidP="005F678B">
            <w:pPr>
              <w:pStyle w:val="ACCESSTableHeaderRow"/>
            </w:pPr>
          </w:p>
        </w:tc>
        <w:tc>
          <w:tcPr>
            <w:tcW w:w="967" w:type="dxa"/>
            <w:shd w:val="clear" w:color="auto" w:fill="auto"/>
            <w:vAlign w:val="bottom"/>
          </w:tcPr>
          <w:p w14:paraId="7F7AA780" w14:textId="77777777" w:rsidR="00B044BD" w:rsidRPr="00DE25AD" w:rsidRDefault="00B044BD" w:rsidP="005F678B">
            <w:pPr>
              <w:pStyle w:val="ACCESSTableHeaderRow"/>
            </w:pPr>
          </w:p>
        </w:tc>
        <w:tc>
          <w:tcPr>
            <w:tcW w:w="967" w:type="dxa"/>
            <w:shd w:val="clear" w:color="auto" w:fill="auto"/>
            <w:vAlign w:val="bottom"/>
          </w:tcPr>
          <w:p w14:paraId="1F78D0B7" w14:textId="77777777" w:rsidR="00B044BD" w:rsidRPr="00DE25AD" w:rsidRDefault="00B044BD" w:rsidP="005F678B">
            <w:pPr>
              <w:pStyle w:val="ACCESSTableHeaderRow"/>
            </w:pPr>
          </w:p>
        </w:tc>
        <w:tc>
          <w:tcPr>
            <w:tcW w:w="967" w:type="dxa"/>
            <w:shd w:val="clear" w:color="auto" w:fill="auto"/>
            <w:vAlign w:val="bottom"/>
          </w:tcPr>
          <w:p w14:paraId="78EBAFA7" w14:textId="77777777" w:rsidR="00B044BD" w:rsidRPr="00DE25AD" w:rsidRDefault="00B044BD" w:rsidP="005F678B">
            <w:pPr>
              <w:pStyle w:val="ACCESSTableHeaderRow"/>
            </w:pPr>
          </w:p>
        </w:tc>
        <w:tc>
          <w:tcPr>
            <w:tcW w:w="967" w:type="dxa"/>
            <w:shd w:val="clear" w:color="auto" w:fill="auto"/>
            <w:vAlign w:val="bottom"/>
          </w:tcPr>
          <w:p w14:paraId="04BE9C32" w14:textId="77777777" w:rsidR="00B044BD" w:rsidRPr="00DE25AD" w:rsidRDefault="00B044BD" w:rsidP="005F678B">
            <w:pPr>
              <w:pStyle w:val="ACCESSTableHeaderRow"/>
            </w:pPr>
          </w:p>
        </w:tc>
        <w:tc>
          <w:tcPr>
            <w:tcW w:w="967" w:type="dxa"/>
            <w:shd w:val="clear" w:color="auto" w:fill="auto"/>
            <w:vAlign w:val="bottom"/>
          </w:tcPr>
          <w:p w14:paraId="1F7AEDD4" w14:textId="77777777" w:rsidR="00B044BD" w:rsidRPr="00DE25AD" w:rsidRDefault="00B044BD" w:rsidP="005F678B">
            <w:pPr>
              <w:pStyle w:val="ACCESSTableHeaderRow"/>
            </w:pPr>
          </w:p>
        </w:tc>
        <w:tc>
          <w:tcPr>
            <w:tcW w:w="967" w:type="dxa"/>
            <w:shd w:val="clear" w:color="auto" w:fill="auto"/>
            <w:vAlign w:val="bottom"/>
          </w:tcPr>
          <w:p w14:paraId="4A029251" w14:textId="77777777" w:rsidR="00B044BD" w:rsidRPr="00DE25AD" w:rsidRDefault="00B044BD" w:rsidP="005F678B">
            <w:pPr>
              <w:pStyle w:val="ACCESSTableHeaderRow"/>
            </w:pPr>
          </w:p>
        </w:tc>
        <w:tc>
          <w:tcPr>
            <w:tcW w:w="967" w:type="dxa"/>
            <w:shd w:val="clear" w:color="auto" w:fill="auto"/>
            <w:vAlign w:val="bottom"/>
          </w:tcPr>
          <w:p w14:paraId="5FB3FF05" w14:textId="77777777" w:rsidR="00B044BD" w:rsidRPr="00DE25AD" w:rsidRDefault="00B044BD" w:rsidP="005F678B">
            <w:pPr>
              <w:pStyle w:val="ACCESSTableHeaderRow"/>
            </w:pPr>
          </w:p>
        </w:tc>
      </w:tr>
      <w:tr w:rsidR="00B044BD" w:rsidRPr="00DE25AD" w14:paraId="2EA93B48" w14:textId="77777777" w:rsidTr="005F678B">
        <w:tc>
          <w:tcPr>
            <w:tcW w:w="1671" w:type="dxa"/>
            <w:tcMar>
              <w:left w:w="57" w:type="dxa"/>
            </w:tcMar>
          </w:tcPr>
          <w:p w14:paraId="4105F54B" w14:textId="77777777" w:rsidR="00B044BD" w:rsidRDefault="00B044BD" w:rsidP="005F678B">
            <w:pPr>
              <w:pStyle w:val="ACCESSTableHeaderRow"/>
            </w:pPr>
            <w:r w:rsidRPr="00DE25AD">
              <w:t>Recency</w:t>
            </w:r>
          </w:p>
        </w:tc>
        <w:tc>
          <w:tcPr>
            <w:tcW w:w="1176" w:type="dxa"/>
            <w:shd w:val="clear" w:color="auto" w:fill="auto"/>
            <w:tcMar>
              <w:left w:w="57" w:type="dxa"/>
            </w:tcMar>
            <w:vAlign w:val="center"/>
          </w:tcPr>
          <w:p w14:paraId="1CA009A0" w14:textId="77777777" w:rsidR="00B044BD" w:rsidRPr="00DE25AD" w:rsidRDefault="00B044BD" w:rsidP="005F678B">
            <w:pPr>
              <w:pStyle w:val="ASSAD2017ACCESSBody1"/>
            </w:pPr>
            <w:r w:rsidRPr="005C5B03">
              <w:rPr>
                <w:b/>
                <w:bCs w:val="0"/>
              </w:rPr>
              <w:t>Sex</w:t>
            </w:r>
          </w:p>
        </w:tc>
        <w:tc>
          <w:tcPr>
            <w:tcW w:w="967" w:type="dxa"/>
            <w:shd w:val="clear" w:color="auto" w:fill="auto"/>
          </w:tcPr>
          <w:p w14:paraId="429E0EA0" w14:textId="77777777" w:rsidR="00B044BD" w:rsidRPr="00DE25AD" w:rsidRDefault="00B044BD" w:rsidP="005F678B">
            <w:pPr>
              <w:pStyle w:val="ASSADACCESStablecentre"/>
            </w:pPr>
          </w:p>
        </w:tc>
        <w:tc>
          <w:tcPr>
            <w:tcW w:w="967" w:type="dxa"/>
            <w:shd w:val="clear" w:color="auto" w:fill="auto"/>
          </w:tcPr>
          <w:p w14:paraId="44A3DF40" w14:textId="77777777" w:rsidR="00B044BD" w:rsidRPr="00DE25AD" w:rsidRDefault="00B044BD" w:rsidP="005F678B">
            <w:pPr>
              <w:pStyle w:val="ASSADACCESStablecentre"/>
            </w:pPr>
          </w:p>
        </w:tc>
        <w:tc>
          <w:tcPr>
            <w:tcW w:w="967" w:type="dxa"/>
            <w:shd w:val="clear" w:color="auto" w:fill="auto"/>
          </w:tcPr>
          <w:p w14:paraId="5DB86CE5" w14:textId="77777777" w:rsidR="00B044BD" w:rsidRPr="00DE25AD" w:rsidRDefault="00B044BD" w:rsidP="005F678B">
            <w:pPr>
              <w:pStyle w:val="ASSADACCESStablecentre"/>
            </w:pPr>
          </w:p>
        </w:tc>
        <w:tc>
          <w:tcPr>
            <w:tcW w:w="967" w:type="dxa"/>
            <w:shd w:val="clear" w:color="auto" w:fill="auto"/>
          </w:tcPr>
          <w:p w14:paraId="07367472" w14:textId="77777777" w:rsidR="00B044BD" w:rsidRPr="00DE25AD" w:rsidRDefault="00B044BD" w:rsidP="005F678B">
            <w:pPr>
              <w:pStyle w:val="ASSADACCESStablecentre"/>
            </w:pPr>
          </w:p>
        </w:tc>
        <w:tc>
          <w:tcPr>
            <w:tcW w:w="967" w:type="dxa"/>
            <w:shd w:val="clear" w:color="auto" w:fill="auto"/>
          </w:tcPr>
          <w:p w14:paraId="4F1DF86E" w14:textId="77777777" w:rsidR="00B044BD" w:rsidRPr="00DE25AD" w:rsidRDefault="00B044BD" w:rsidP="005F678B">
            <w:pPr>
              <w:pStyle w:val="ASSADACCESStablecentre"/>
            </w:pPr>
          </w:p>
        </w:tc>
        <w:tc>
          <w:tcPr>
            <w:tcW w:w="967" w:type="dxa"/>
            <w:shd w:val="clear" w:color="auto" w:fill="auto"/>
          </w:tcPr>
          <w:p w14:paraId="4BD06495" w14:textId="77777777" w:rsidR="00B044BD" w:rsidRPr="00DE25AD" w:rsidRDefault="00B044BD" w:rsidP="005F678B">
            <w:pPr>
              <w:pStyle w:val="ASSADACCESStablecentre"/>
            </w:pPr>
          </w:p>
        </w:tc>
        <w:tc>
          <w:tcPr>
            <w:tcW w:w="967" w:type="dxa"/>
            <w:shd w:val="clear" w:color="auto" w:fill="auto"/>
          </w:tcPr>
          <w:p w14:paraId="14AF930E" w14:textId="77777777" w:rsidR="00B044BD" w:rsidRPr="00DE25AD" w:rsidRDefault="00B044BD" w:rsidP="005F678B">
            <w:pPr>
              <w:pStyle w:val="ASSADACCESStablecentre"/>
            </w:pPr>
          </w:p>
        </w:tc>
      </w:tr>
      <w:tr w:rsidR="0068355D" w:rsidRPr="00DE25AD" w14:paraId="620916C2" w14:textId="77777777" w:rsidTr="00F61D7E">
        <w:tc>
          <w:tcPr>
            <w:tcW w:w="1671" w:type="dxa"/>
            <w:tcMar>
              <w:left w:w="57" w:type="dxa"/>
            </w:tcMar>
          </w:tcPr>
          <w:p w14:paraId="2D53FFAA" w14:textId="77777777" w:rsidR="0068355D" w:rsidRPr="00DE25AD" w:rsidRDefault="0068355D" w:rsidP="0068355D">
            <w:pPr>
              <w:pStyle w:val="ACCESSTableHeaderRow"/>
            </w:pPr>
            <w:r>
              <w:t>Lifetime</w:t>
            </w:r>
          </w:p>
        </w:tc>
        <w:tc>
          <w:tcPr>
            <w:tcW w:w="1176" w:type="dxa"/>
            <w:shd w:val="clear" w:color="auto" w:fill="auto"/>
            <w:tcMar>
              <w:left w:w="57" w:type="dxa"/>
            </w:tcMar>
            <w:vAlign w:val="bottom"/>
          </w:tcPr>
          <w:p w14:paraId="0A83F3AE" w14:textId="77777777" w:rsidR="0068355D" w:rsidRPr="00DE25AD" w:rsidRDefault="0068355D" w:rsidP="0068355D">
            <w:pPr>
              <w:pStyle w:val="ASSAD2017ACCESSBody1"/>
            </w:pPr>
            <w:r w:rsidRPr="00DE25AD">
              <w:t>Male</w:t>
            </w:r>
          </w:p>
        </w:tc>
        <w:tc>
          <w:tcPr>
            <w:tcW w:w="967" w:type="dxa"/>
            <w:shd w:val="clear" w:color="auto" w:fill="auto"/>
          </w:tcPr>
          <w:p w14:paraId="0328024D" w14:textId="2377A2FE" w:rsidR="0068355D" w:rsidRPr="00DE25AD" w:rsidRDefault="0068355D" w:rsidP="0068355D">
            <w:pPr>
              <w:pStyle w:val="ASSADACCESStablecentre"/>
            </w:pPr>
            <w:r w:rsidRPr="002E5727">
              <w:rPr>
                <w:bCs w:val="0"/>
                <w:color w:val="000000"/>
              </w:rPr>
              <w:t>4*</w:t>
            </w:r>
          </w:p>
        </w:tc>
        <w:tc>
          <w:tcPr>
            <w:tcW w:w="967" w:type="dxa"/>
            <w:shd w:val="clear" w:color="auto" w:fill="auto"/>
          </w:tcPr>
          <w:p w14:paraId="30ECFE45" w14:textId="3FB4A95D" w:rsidR="0068355D" w:rsidRPr="00DE25AD" w:rsidRDefault="0068355D" w:rsidP="0068355D">
            <w:pPr>
              <w:pStyle w:val="ASSADACCESStablecentre"/>
            </w:pPr>
            <w:r w:rsidRPr="002E5727">
              <w:rPr>
                <w:bCs w:val="0"/>
                <w:color w:val="000000"/>
              </w:rPr>
              <w:t>4*</w:t>
            </w:r>
          </w:p>
        </w:tc>
        <w:tc>
          <w:tcPr>
            <w:tcW w:w="967" w:type="dxa"/>
            <w:shd w:val="clear" w:color="auto" w:fill="auto"/>
          </w:tcPr>
          <w:p w14:paraId="0EE35CB0" w14:textId="10D22C61" w:rsidR="0068355D" w:rsidRPr="00DE25AD" w:rsidRDefault="0068355D" w:rsidP="0068355D">
            <w:pPr>
              <w:pStyle w:val="ASSADACCESStablecentre"/>
            </w:pPr>
            <w:r w:rsidRPr="002E5727">
              <w:rPr>
                <w:bCs w:val="0"/>
                <w:color w:val="000000"/>
              </w:rPr>
              <w:t>3*</w:t>
            </w:r>
            <w:r>
              <w:rPr>
                <w:bCs w:val="0"/>
                <w:color w:val="000000"/>
              </w:rPr>
              <w:t>^</w:t>
            </w:r>
          </w:p>
        </w:tc>
        <w:tc>
          <w:tcPr>
            <w:tcW w:w="967" w:type="dxa"/>
            <w:shd w:val="clear" w:color="auto" w:fill="auto"/>
          </w:tcPr>
          <w:p w14:paraId="43677838" w14:textId="69FD45AD" w:rsidR="0068355D" w:rsidRPr="00DE25AD" w:rsidRDefault="0068355D" w:rsidP="0068355D">
            <w:pPr>
              <w:pStyle w:val="ASSADACCESStablecentre"/>
            </w:pPr>
            <w:r w:rsidRPr="002E5727">
              <w:rPr>
                <w:bCs w:val="0"/>
                <w:color w:val="000000"/>
              </w:rPr>
              <w:t>3*</w:t>
            </w:r>
            <w:r>
              <w:rPr>
                <w:bCs w:val="0"/>
                <w:color w:val="000000"/>
              </w:rPr>
              <w:t>^</w:t>
            </w:r>
          </w:p>
        </w:tc>
        <w:tc>
          <w:tcPr>
            <w:tcW w:w="967" w:type="dxa"/>
            <w:shd w:val="clear" w:color="auto" w:fill="auto"/>
          </w:tcPr>
          <w:p w14:paraId="737BE398" w14:textId="3466DFC8"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72D72398" w14:textId="69A3BEA4"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427D7548" w14:textId="49D58241" w:rsidR="0068355D" w:rsidRPr="00DE25AD" w:rsidRDefault="0068355D" w:rsidP="0068355D">
            <w:pPr>
              <w:pStyle w:val="ASSADACCESStablecentre"/>
            </w:pPr>
            <w:r w:rsidRPr="002E5727">
              <w:rPr>
                <w:bCs w:val="0"/>
                <w:color w:val="000000"/>
              </w:rPr>
              <w:t>1^</w:t>
            </w:r>
          </w:p>
        </w:tc>
      </w:tr>
      <w:tr w:rsidR="0068355D" w:rsidRPr="00DE25AD" w14:paraId="6C19C589" w14:textId="77777777" w:rsidTr="00F61D7E">
        <w:tc>
          <w:tcPr>
            <w:tcW w:w="1671" w:type="dxa"/>
            <w:tcMar>
              <w:left w:w="57" w:type="dxa"/>
            </w:tcMar>
          </w:tcPr>
          <w:p w14:paraId="11BAF4E2" w14:textId="77777777" w:rsidR="0068355D" w:rsidRPr="00DE25AD" w:rsidRDefault="0068355D" w:rsidP="0068355D">
            <w:pPr>
              <w:pStyle w:val="ACCESSTableHeaderRow"/>
            </w:pPr>
          </w:p>
        </w:tc>
        <w:tc>
          <w:tcPr>
            <w:tcW w:w="1176" w:type="dxa"/>
            <w:shd w:val="clear" w:color="auto" w:fill="auto"/>
            <w:tcMar>
              <w:left w:w="57" w:type="dxa"/>
            </w:tcMar>
            <w:vAlign w:val="bottom"/>
          </w:tcPr>
          <w:p w14:paraId="4C5144DD" w14:textId="77777777" w:rsidR="0068355D" w:rsidRPr="00DE25AD" w:rsidRDefault="0068355D" w:rsidP="0068355D">
            <w:pPr>
              <w:pStyle w:val="ASSAD2017ACCESSBody1"/>
            </w:pPr>
            <w:r w:rsidRPr="00DE25AD">
              <w:t>Female</w:t>
            </w:r>
          </w:p>
        </w:tc>
        <w:tc>
          <w:tcPr>
            <w:tcW w:w="967" w:type="dxa"/>
            <w:shd w:val="clear" w:color="auto" w:fill="auto"/>
          </w:tcPr>
          <w:p w14:paraId="64CBA60E" w14:textId="1EF2C7F0" w:rsidR="0068355D" w:rsidRPr="00DE25AD" w:rsidRDefault="0068355D" w:rsidP="0068355D">
            <w:pPr>
              <w:pStyle w:val="ASSADACCESStablecentre"/>
            </w:pPr>
            <w:r w:rsidRPr="002E5727">
              <w:rPr>
                <w:bCs w:val="0"/>
                <w:color w:val="000000"/>
              </w:rPr>
              <w:t>3*</w:t>
            </w:r>
          </w:p>
        </w:tc>
        <w:tc>
          <w:tcPr>
            <w:tcW w:w="967" w:type="dxa"/>
            <w:shd w:val="clear" w:color="auto" w:fill="auto"/>
          </w:tcPr>
          <w:p w14:paraId="73AE43C5" w14:textId="62ED113C" w:rsidR="0068355D" w:rsidRPr="00DE25AD" w:rsidRDefault="0068355D" w:rsidP="0068355D">
            <w:pPr>
              <w:pStyle w:val="ASSADACCESStablecentre"/>
            </w:pPr>
            <w:r>
              <w:rPr>
                <w:bCs w:val="0"/>
                <w:color w:val="000000"/>
              </w:rPr>
              <w:t>3</w:t>
            </w:r>
            <w:r w:rsidRPr="002E5727">
              <w:rPr>
                <w:bCs w:val="0"/>
                <w:color w:val="000000"/>
              </w:rPr>
              <w:t>*</w:t>
            </w:r>
          </w:p>
        </w:tc>
        <w:tc>
          <w:tcPr>
            <w:tcW w:w="967" w:type="dxa"/>
            <w:shd w:val="clear" w:color="auto" w:fill="auto"/>
          </w:tcPr>
          <w:p w14:paraId="7F6AD0DA" w14:textId="3BBB1CD7"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tcPr>
          <w:p w14:paraId="3FDB37CD" w14:textId="144E291E" w:rsidR="0068355D" w:rsidRPr="00DE25AD" w:rsidRDefault="0068355D" w:rsidP="0068355D">
            <w:pPr>
              <w:pStyle w:val="ASSADACCESStablecentre"/>
            </w:pPr>
            <w:r w:rsidRPr="002E5727">
              <w:rPr>
                <w:bCs w:val="0"/>
                <w:color w:val="000000"/>
              </w:rPr>
              <w:t>2*</w:t>
            </w:r>
          </w:p>
        </w:tc>
        <w:tc>
          <w:tcPr>
            <w:tcW w:w="967" w:type="dxa"/>
            <w:shd w:val="clear" w:color="auto" w:fill="auto"/>
          </w:tcPr>
          <w:p w14:paraId="57F89002" w14:textId="158C228B"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vAlign w:val="bottom"/>
          </w:tcPr>
          <w:p w14:paraId="75B98313" w14:textId="3C15DC47" w:rsidR="0068355D" w:rsidRPr="00DE25AD" w:rsidRDefault="0068355D" w:rsidP="0068355D">
            <w:pPr>
              <w:pStyle w:val="ASSADACCESStablecentre"/>
            </w:pPr>
            <w:r>
              <w:rPr>
                <w:bCs w:val="0"/>
                <w:color w:val="000000"/>
              </w:rPr>
              <w:t>1^</w:t>
            </w:r>
          </w:p>
        </w:tc>
        <w:tc>
          <w:tcPr>
            <w:tcW w:w="967" w:type="dxa"/>
            <w:shd w:val="clear" w:color="auto" w:fill="auto"/>
            <w:vAlign w:val="bottom"/>
          </w:tcPr>
          <w:p w14:paraId="68E674BF" w14:textId="2DB068F6" w:rsidR="0068355D" w:rsidRPr="00DE25AD" w:rsidRDefault="0068355D" w:rsidP="0068355D">
            <w:pPr>
              <w:pStyle w:val="ASSADACCESStablecentre"/>
            </w:pPr>
            <w:r w:rsidRPr="002E5727">
              <w:rPr>
                <w:bCs w:val="0"/>
                <w:color w:val="000000"/>
              </w:rPr>
              <w:t>1^</w:t>
            </w:r>
          </w:p>
        </w:tc>
      </w:tr>
      <w:tr w:rsidR="0068355D" w:rsidRPr="00DE25AD" w14:paraId="39083322" w14:textId="77777777" w:rsidTr="00F61D7E">
        <w:tc>
          <w:tcPr>
            <w:tcW w:w="1671" w:type="dxa"/>
            <w:tcMar>
              <w:left w:w="57" w:type="dxa"/>
            </w:tcMar>
          </w:tcPr>
          <w:p w14:paraId="33BC062A" w14:textId="77777777" w:rsidR="0068355D" w:rsidRPr="00DE25AD" w:rsidRDefault="0068355D" w:rsidP="0068355D">
            <w:pPr>
              <w:pStyle w:val="ACCESSTableHeaderRow"/>
            </w:pPr>
          </w:p>
        </w:tc>
        <w:tc>
          <w:tcPr>
            <w:tcW w:w="1176" w:type="dxa"/>
            <w:shd w:val="clear" w:color="auto" w:fill="auto"/>
            <w:tcMar>
              <w:left w:w="57" w:type="dxa"/>
            </w:tcMar>
            <w:vAlign w:val="bottom"/>
          </w:tcPr>
          <w:p w14:paraId="4F455A97" w14:textId="77777777" w:rsidR="0068355D" w:rsidRPr="00DE25AD" w:rsidRDefault="0068355D" w:rsidP="0068355D">
            <w:pPr>
              <w:pStyle w:val="ASSAD2017ACCESSBody1"/>
            </w:pPr>
            <w:r w:rsidRPr="00DE25AD">
              <w:t>Total</w:t>
            </w:r>
          </w:p>
        </w:tc>
        <w:tc>
          <w:tcPr>
            <w:tcW w:w="967" w:type="dxa"/>
            <w:shd w:val="clear" w:color="auto" w:fill="auto"/>
          </w:tcPr>
          <w:p w14:paraId="32B12AD3" w14:textId="63B75EAF" w:rsidR="0068355D" w:rsidRPr="00DE25AD" w:rsidRDefault="0068355D" w:rsidP="0068355D">
            <w:pPr>
              <w:pStyle w:val="ASSADACCESStablecentre"/>
            </w:pPr>
            <w:r w:rsidRPr="002E5727">
              <w:rPr>
                <w:bCs w:val="0"/>
                <w:color w:val="000000"/>
              </w:rPr>
              <w:t>4*</w:t>
            </w:r>
          </w:p>
        </w:tc>
        <w:tc>
          <w:tcPr>
            <w:tcW w:w="967" w:type="dxa"/>
            <w:shd w:val="clear" w:color="auto" w:fill="auto"/>
          </w:tcPr>
          <w:p w14:paraId="51C49D91" w14:textId="0CB85E0E" w:rsidR="0068355D" w:rsidRPr="00DE25AD" w:rsidRDefault="0068355D" w:rsidP="0068355D">
            <w:pPr>
              <w:pStyle w:val="ASSADACCESStablecentre"/>
            </w:pPr>
            <w:r w:rsidRPr="002E5727">
              <w:rPr>
                <w:bCs w:val="0"/>
                <w:color w:val="000000"/>
              </w:rPr>
              <w:t>4*</w:t>
            </w:r>
          </w:p>
        </w:tc>
        <w:tc>
          <w:tcPr>
            <w:tcW w:w="967" w:type="dxa"/>
            <w:shd w:val="clear" w:color="auto" w:fill="auto"/>
          </w:tcPr>
          <w:p w14:paraId="7EDDB75D" w14:textId="17FD09F1" w:rsidR="0068355D" w:rsidRPr="00DE25AD" w:rsidRDefault="0068355D" w:rsidP="0068355D">
            <w:pPr>
              <w:pStyle w:val="ASSADACCESStablecentre"/>
            </w:pPr>
            <w:r w:rsidRPr="002E5727">
              <w:rPr>
                <w:bCs w:val="0"/>
                <w:color w:val="000000"/>
              </w:rPr>
              <w:t>3*</w:t>
            </w:r>
            <w:r>
              <w:rPr>
                <w:bCs w:val="0"/>
                <w:color w:val="000000"/>
              </w:rPr>
              <w:t>^</w:t>
            </w:r>
          </w:p>
        </w:tc>
        <w:tc>
          <w:tcPr>
            <w:tcW w:w="967" w:type="dxa"/>
            <w:shd w:val="clear" w:color="auto" w:fill="auto"/>
          </w:tcPr>
          <w:p w14:paraId="1AD05603" w14:textId="617327A2" w:rsidR="0068355D" w:rsidRPr="00DE25AD" w:rsidRDefault="0068355D" w:rsidP="0068355D">
            <w:pPr>
              <w:pStyle w:val="ASSADACCESStablecentre"/>
            </w:pPr>
            <w:r>
              <w:rPr>
                <w:bCs w:val="0"/>
                <w:color w:val="000000"/>
              </w:rPr>
              <w:t>2</w:t>
            </w:r>
            <w:r w:rsidRPr="002E5727">
              <w:rPr>
                <w:bCs w:val="0"/>
                <w:color w:val="000000"/>
              </w:rPr>
              <w:t>*</w:t>
            </w:r>
            <w:r>
              <w:rPr>
                <w:bCs w:val="0"/>
                <w:color w:val="000000"/>
              </w:rPr>
              <w:t>^</w:t>
            </w:r>
          </w:p>
        </w:tc>
        <w:tc>
          <w:tcPr>
            <w:tcW w:w="967" w:type="dxa"/>
            <w:shd w:val="clear" w:color="auto" w:fill="auto"/>
          </w:tcPr>
          <w:p w14:paraId="458061DE" w14:textId="19C45DD3" w:rsidR="0068355D" w:rsidRPr="00DE25AD" w:rsidRDefault="0068355D" w:rsidP="0068355D">
            <w:pPr>
              <w:pStyle w:val="ASSADACCESStablecentre"/>
            </w:pPr>
            <w:r w:rsidRPr="002E5727">
              <w:rPr>
                <w:bCs w:val="0"/>
                <w:color w:val="000000"/>
              </w:rPr>
              <w:t>2</w:t>
            </w:r>
            <w:r>
              <w:rPr>
                <w:bCs w:val="0"/>
                <w:color w:val="000000"/>
              </w:rPr>
              <w:t>*</w:t>
            </w:r>
            <w:r w:rsidRPr="002E5727">
              <w:rPr>
                <w:bCs w:val="0"/>
                <w:color w:val="000000"/>
              </w:rPr>
              <w:t>^</w:t>
            </w:r>
          </w:p>
        </w:tc>
        <w:tc>
          <w:tcPr>
            <w:tcW w:w="967" w:type="dxa"/>
            <w:shd w:val="clear" w:color="auto" w:fill="auto"/>
            <w:vAlign w:val="bottom"/>
          </w:tcPr>
          <w:p w14:paraId="69376500" w14:textId="1D5037AE"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0D2AABA9" w14:textId="2974C163" w:rsidR="0068355D" w:rsidRPr="00DE25AD" w:rsidRDefault="0068355D" w:rsidP="0068355D">
            <w:pPr>
              <w:pStyle w:val="ASSADACCESStablecentre"/>
            </w:pPr>
            <w:r w:rsidRPr="002E5727">
              <w:rPr>
                <w:bCs w:val="0"/>
                <w:color w:val="000000"/>
              </w:rPr>
              <w:t>1^</w:t>
            </w:r>
          </w:p>
        </w:tc>
      </w:tr>
      <w:tr w:rsidR="0068355D" w:rsidRPr="00DE25AD" w14:paraId="77EACA8A" w14:textId="77777777" w:rsidTr="00F61D7E">
        <w:tc>
          <w:tcPr>
            <w:tcW w:w="1671" w:type="dxa"/>
            <w:tcMar>
              <w:left w:w="57" w:type="dxa"/>
            </w:tcMar>
          </w:tcPr>
          <w:p w14:paraId="0A9E76CC" w14:textId="77777777" w:rsidR="0068355D" w:rsidRPr="00DE25AD" w:rsidRDefault="0068355D" w:rsidP="0068355D">
            <w:pPr>
              <w:pStyle w:val="ACCESSTableHeaderRow"/>
            </w:pPr>
            <w:r w:rsidRPr="00DE25AD">
              <w:t xml:space="preserve">Past </w:t>
            </w:r>
            <w:r>
              <w:t>month</w:t>
            </w:r>
          </w:p>
        </w:tc>
        <w:tc>
          <w:tcPr>
            <w:tcW w:w="1176" w:type="dxa"/>
            <w:shd w:val="clear" w:color="auto" w:fill="auto"/>
            <w:tcMar>
              <w:left w:w="57" w:type="dxa"/>
            </w:tcMar>
            <w:vAlign w:val="bottom"/>
          </w:tcPr>
          <w:p w14:paraId="7C40229C" w14:textId="77777777" w:rsidR="0068355D" w:rsidRPr="00DE25AD" w:rsidRDefault="0068355D" w:rsidP="0068355D">
            <w:pPr>
              <w:pStyle w:val="ASSAD2017ACCESSBody1"/>
            </w:pPr>
            <w:r w:rsidRPr="00DE25AD">
              <w:t>Male</w:t>
            </w:r>
          </w:p>
        </w:tc>
        <w:tc>
          <w:tcPr>
            <w:tcW w:w="967" w:type="dxa"/>
            <w:shd w:val="clear" w:color="auto" w:fill="auto"/>
          </w:tcPr>
          <w:p w14:paraId="437CA4D8" w14:textId="7F2BCF20"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tcPr>
          <w:p w14:paraId="1FCCDB25" w14:textId="4EB5E880" w:rsidR="0068355D" w:rsidRPr="00DE25AD" w:rsidRDefault="0068355D" w:rsidP="0068355D">
            <w:pPr>
              <w:pStyle w:val="ASSADACCESStablecentre"/>
            </w:pPr>
            <w:r>
              <w:rPr>
                <w:bCs w:val="0"/>
                <w:color w:val="000000"/>
              </w:rPr>
              <w:t>1*</w:t>
            </w:r>
          </w:p>
        </w:tc>
        <w:tc>
          <w:tcPr>
            <w:tcW w:w="967" w:type="dxa"/>
            <w:shd w:val="clear" w:color="auto" w:fill="auto"/>
          </w:tcPr>
          <w:p w14:paraId="10FFEAC5" w14:textId="33A5434D"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tcPr>
          <w:p w14:paraId="44DE3041" w14:textId="6613C1C7" w:rsidR="0068355D" w:rsidRPr="00DE25AD" w:rsidRDefault="0068355D" w:rsidP="0068355D">
            <w:pPr>
              <w:pStyle w:val="ASSADACCESStablecentre"/>
            </w:pPr>
            <w:r>
              <w:rPr>
                <w:bCs w:val="0"/>
                <w:color w:val="000000"/>
              </w:rPr>
              <w:t>1*</w:t>
            </w:r>
          </w:p>
        </w:tc>
        <w:tc>
          <w:tcPr>
            <w:tcW w:w="967" w:type="dxa"/>
            <w:shd w:val="clear" w:color="auto" w:fill="auto"/>
          </w:tcPr>
          <w:p w14:paraId="1AEDF94B" w14:textId="1EFDE336"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vAlign w:val="bottom"/>
          </w:tcPr>
          <w:p w14:paraId="36817742" w14:textId="0D024205"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1FC8DD9E" w14:textId="2AAB8486" w:rsidR="0068355D" w:rsidRPr="00DE25AD" w:rsidRDefault="0068355D" w:rsidP="0068355D">
            <w:pPr>
              <w:pStyle w:val="ASSADACCESStablecentre"/>
            </w:pPr>
            <w:r w:rsidRPr="002E5727">
              <w:rPr>
                <w:bCs w:val="0"/>
                <w:color w:val="000000"/>
              </w:rPr>
              <w:t>1</w:t>
            </w:r>
            <w:r>
              <w:rPr>
                <w:bCs w:val="0"/>
                <w:color w:val="000000"/>
              </w:rPr>
              <w:t>^</w:t>
            </w:r>
          </w:p>
        </w:tc>
      </w:tr>
      <w:tr w:rsidR="0068355D" w:rsidRPr="00DE25AD" w14:paraId="18DCCDEB" w14:textId="77777777" w:rsidTr="00F61D7E">
        <w:tc>
          <w:tcPr>
            <w:tcW w:w="1671" w:type="dxa"/>
            <w:tcMar>
              <w:left w:w="57" w:type="dxa"/>
            </w:tcMar>
          </w:tcPr>
          <w:p w14:paraId="05690FAA" w14:textId="77777777" w:rsidR="0068355D" w:rsidRPr="00DE25AD" w:rsidRDefault="0068355D" w:rsidP="0068355D">
            <w:pPr>
              <w:pStyle w:val="ACCESSTableHeaderRow"/>
            </w:pPr>
          </w:p>
        </w:tc>
        <w:tc>
          <w:tcPr>
            <w:tcW w:w="1176" w:type="dxa"/>
            <w:shd w:val="clear" w:color="auto" w:fill="auto"/>
            <w:tcMar>
              <w:left w:w="57" w:type="dxa"/>
            </w:tcMar>
            <w:vAlign w:val="bottom"/>
          </w:tcPr>
          <w:p w14:paraId="2A8AA63B" w14:textId="77777777" w:rsidR="0068355D" w:rsidRPr="00DE25AD" w:rsidRDefault="0068355D" w:rsidP="0068355D">
            <w:pPr>
              <w:pStyle w:val="ASSAD2017ACCESSBody1"/>
            </w:pPr>
            <w:r w:rsidRPr="00DE25AD">
              <w:t>Female</w:t>
            </w:r>
          </w:p>
        </w:tc>
        <w:tc>
          <w:tcPr>
            <w:tcW w:w="967" w:type="dxa"/>
            <w:shd w:val="clear" w:color="auto" w:fill="auto"/>
          </w:tcPr>
          <w:p w14:paraId="2417E520" w14:textId="1107BFD5" w:rsidR="0068355D" w:rsidRPr="00DE25AD" w:rsidRDefault="0068355D" w:rsidP="0068355D">
            <w:pPr>
              <w:pStyle w:val="ASSADACCESStablecentre"/>
            </w:pPr>
            <w:r w:rsidRPr="002E5727">
              <w:rPr>
                <w:bCs w:val="0"/>
                <w:color w:val="000000"/>
              </w:rPr>
              <w:t>1</w:t>
            </w:r>
          </w:p>
        </w:tc>
        <w:tc>
          <w:tcPr>
            <w:tcW w:w="967" w:type="dxa"/>
            <w:shd w:val="clear" w:color="auto" w:fill="auto"/>
          </w:tcPr>
          <w:p w14:paraId="43BDBF3D" w14:textId="7156F5DD"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615E4CFE" w14:textId="302314ED" w:rsidR="0068355D" w:rsidRPr="00DE25AD" w:rsidRDefault="0068355D" w:rsidP="0068355D">
            <w:pPr>
              <w:pStyle w:val="ASSADACCESStablecentre"/>
            </w:pPr>
            <w:r w:rsidRPr="002E5727">
              <w:rPr>
                <w:bCs w:val="0"/>
                <w:color w:val="000000"/>
              </w:rPr>
              <w:t>1</w:t>
            </w:r>
          </w:p>
        </w:tc>
        <w:tc>
          <w:tcPr>
            <w:tcW w:w="967" w:type="dxa"/>
            <w:shd w:val="clear" w:color="auto" w:fill="auto"/>
          </w:tcPr>
          <w:p w14:paraId="79BC9133" w14:textId="4CE68277" w:rsidR="0068355D" w:rsidRPr="00DE25AD" w:rsidRDefault="0068355D" w:rsidP="0068355D">
            <w:pPr>
              <w:pStyle w:val="ASSADACCESStablecentre"/>
            </w:pPr>
            <w:r w:rsidRPr="002E5727">
              <w:rPr>
                <w:bCs w:val="0"/>
                <w:color w:val="000000"/>
              </w:rPr>
              <w:t>1</w:t>
            </w:r>
          </w:p>
        </w:tc>
        <w:tc>
          <w:tcPr>
            <w:tcW w:w="967" w:type="dxa"/>
            <w:shd w:val="clear" w:color="auto" w:fill="auto"/>
          </w:tcPr>
          <w:p w14:paraId="521B4511" w14:textId="4227FC2D"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7B357A9C" w14:textId="1302283C" w:rsidR="0068355D" w:rsidRPr="00DE25AD" w:rsidRDefault="0068355D" w:rsidP="0068355D">
            <w:pPr>
              <w:pStyle w:val="ASSADACCESStablecentre"/>
            </w:pPr>
            <w:r w:rsidRPr="002E5727">
              <w:rPr>
                <w:bCs w:val="0"/>
                <w:color w:val="000000"/>
              </w:rPr>
              <w:t>&lt;1</w:t>
            </w:r>
            <w:r>
              <w:rPr>
                <w:bCs w:val="0"/>
                <w:color w:val="000000"/>
              </w:rPr>
              <w:t>^</w:t>
            </w:r>
          </w:p>
        </w:tc>
        <w:tc>
          <w:tcPr>
            <w:tcW w:w="967" w:type="dxa"/>
            <w:shd w:val="clear" w:color="auto" w:fill="auto"/>
            <w:vAlign w:val="bottom"/>
          </w:tcPr>
          <w:p w14:paraId="4DAD9FEB" w14:textId="54CE5020" w:rsidR="0068355D" w:rsidRPr="00DE25AD" w:rsidRDefault="0068355D" w:rsidP="0068355D">
            <w:pPr>
              <w:pStyle w:val="ASSADACCESStablecentre"/>
            </w:pPr>
            <w:r w:rsidRPr="002E5727">
              <w:rPr>
                <w:bCs w:val="0"/>
                <w:color w:val="000000"/>
              </w:rPr>
              <w:t>&lt;1</w:t>
            </w:r>
          </w:p>
        </w:tc>
      </w:tr>
      <w:tr w:rsidR="0068355D" w:rsidRPr="00DE25AD" w14:paraId="69DC6278" w14:textId="77777777" w:rsidTr="00F61D7E">
        <w:tc>
          <w:tcPr>
            <w:tcW w:w="1671" w:type="dxa"/>
            <w:tcMar>
              <w:left w:w="57" w:type="dxa"/>
            </w:tcMar>
          </w:tcPr>
          <w:p w14:paraId="69D47826" w14:textId="77777777" w:rsidR="0068355D" w:rsidRPr="00DE25AD" w:rsidRDefault="0068355D" w:rsidP="0068355D">
            <w:pPr>
              <w:pStyle w:val="ACCESSTableHeaderRow"/>
            </w:pPr>
          </w:p>
        </w:tc>
        <w:tc>
          <w:tcPr>
            <w:tcW w:w="1176" w:type="dxa"/>
            <w:shd w:val="clear" w:color="auto" w:fill="auto"/>
            <w:tcMar>
              <w:left w:w="57" w:type="dxa"/>
            </w:tcMar>
            <w:vAlign w:val="bottom"/>
          </w:tcPr>
          <w:p w14:paraId="17124A76" w14:textId="77777777" w:rsidR="0068355D" w:rsidRPr="00DE25AD" w:rsidRDefault="0068355D" w:rsidP="0068355D">
            <w:pPr>
              <w:pStyle w:val="ASSAD2017ACCESSBody1"/>
            </w:pPr>
            <w:r w:rsidRPr="00DE25AD">
              <w:t>Total</w:t>
            </w:r>
          </w:p>
        </w:tc>
        <w:tc>
          <w:tcPr>
            <w:tcW w:w="967" w:type="dxa"/>
            <w:shd w:val="clear" w:color="auto" w:fill="auto"/>
          </w:tcPr>
          <w:p w14:paraId="33BF3FA0" w14:textId="09E4BCA9"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4AF89DCA" w14:textId="27265B7D"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3ECA1EDB" w14:textId="059097D1"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6B0E948B" w14:textId="171CD265"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2965824C" w14:textId="47C01946"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vAlign w:val="bottom"/>
          </w:tcPr>
          <w:p w14:paraId="3644635E" w14:textId="2F966F31" w:rsidR="0068355D" w:rsidRPr="00DE25AD" w:rsidRDefault="0068355D" w:rsidP="0068355D">
            <w:pPr>
              <w:pStyle w:val="ASSADACCESStablecentre"/>
            </w:pPr>
            <w:r>
              <w:rPr>
                <w:bCs w:val="0"/>
                <w:color w:val="000000"/>
              </w:rPr>
              <w:t>&lt;</w:t>
            </w:r>
            <w:r w:rsidRPr="002E5727">
              <w:rPr>
                <w:bCs w:val="0"/>
                <w:color w:val="000000"/>
              </w:rPr>
              <w:t>1</w:t>
            </w:r>
            <w:r>
              <w:rPr>
                <w:bCs w:val="0"/>
                <w:color w:val="000000"/>
              </w:rPr>
              <w:t>^</w:t>
            </w:r>
          </w:p>
        </w:tc>
        <w:tc>
          <w:tcPr>
            <w:tcW w:w="967" w:type="dxa"/>
            <w:shd w:val="clear" w:color="auto" w:fill="auto"/>
            <w:vAlign w:val="bottom"/>
          </w:tcPr>
          <w:p w14:paraId="78A4EB1B" w14:textId="39347FB2" w:rsidR="0068355D" w:rsidRPr="00DE25AD" w:rsidRDefault="0068355D" w:rsidP="0068355D">
            <w:pPr>
              <w:pStyle w:val="ASSADACCESStablecentre"/>
            </w:pPr>
            <w:r w:rsidRPr="002E5727">
              <w:rPr>
                <w:bCs w:val="0"/>
                <w:color w:val="000000"/>
              </w:rPr>
              <w:t>1</w:t>
            </w:r>
            <w:r>
              <w:rPr>
                <w:bCs w:val="0"/>
                <w:color w:val="000000"/>
              </w:rPr>
              <w:t>^</w:t>
            </w:r>
          </w:p>
        </w:tc>
      </w:tr>
      <w:tr w:rsidR="0068355D" w:rsidRPr="00DE25AD" w14:paraId="44487484" w14:textId="77777777" w:rsidTr="005F678B">
        <w:tc>
          <w:tcPr>
            <w:tcW w:w="1671" w:type="dxa"/>
            <w:tcMar>
              <w:left w:w="57" w:type="dxa"/>
            </w:tcMar>
          </w:tcPr>
          <w:p w14:paraId="46BA7294" w14:textId="77777777" w:rsidR="0068355D" w:rsidRDefault="0068355D" w:rsidP="0068355D">
            <w:pPr>
              <w:pStyle w:val="ACCESSTableHeaderRow"/>
            </w:pPr>
            <w:r>
              <w:t>Aged 16-17</w:t>
            </w:r>
          </w:p>
        </w:tc>
        <w:tc>
          <w:tcPr>
            <w:tcW w:w="1176" w:type="dxa"/>
            <w:shd w:val="clear" w:color="auto" w:fill="auto"/>
            <w:tcMar>
              <w:left w:w="57" w:type="dxa"/>
            </w:tcMar>
            <w:vAlign w:val="center"/>
          </w:tcPr>
          <w:p w14:paraId="79CA8190" w14:textId="77777777" w:rsidR="0068355D" w:rsidRPr="00DE25AD" w:rsidRDefault="0068355D" w:rsidP="0068355D">
            <w:pPr>
              <w:pStyle w:val="ASSAD2017ACCESSBody1"/>
            </w:pPr>
          </w:p>
        </w:tc>
        <w:tc>
          <w:tcPr>
            <w:tcW w:w="967" w:type="dxa"/>
            <w:shd w:val="clear" w:color="auto" w:fill="auto"/>
            <w:vAlign w:val="bottom"/>
          </w:tcPr>
          <w:p w14:paraId="68D95D6F" w14:textId="77777777" w:rsidR="0068355D" w:rsidRPr="00DE25AD" w:rsidRDefault="0068355D" w:rsidP="0068355D">
            <w:pPr>
              <w:pStyle w:val="ASSADACCESStablecentre"/>
            </w:pPr>
          </w:p>
        </w:tc>
        <w:tc>
          <w:tcPr>
            <w:tcW w:w="967" w:type="dxa"/>
            <w:shd w:val="clear" w:color="auto" w:fill="auto"/>
            <w:vAlign w:val="bottom"/>
          </w:tcPr>
          <w:p w14:paraId="75E2495B" w14:textId="77777777" w:rsidR="0068355D" w:rsidRPr="00DE25AD" w:rsidRDefault="0068355D" w:rsidP="0068355D">
            <w:pPr>
              <w:pStyle w:val="ASSADACCESStablecentre"/>
            </w:pPr>
          </w:p>
        </w:tc>
        <w:tc>
          <w:tcPr>
            <w:tcW w:w="967" w:type="dxa"/>
            <w:shd w:val="clear" w:color="auto" w:fill="auto"/>
            <w:vAlign w:val="bottom"/>
          </w:tcPr>
          <w:p w14:paraId="052526B1" w14:textId="77777777" w:rsidR="0068355D" w:rsidRPr="00DE25AD" w:rsidRDefault="0068355D" w:rsidP="0068355D">
            <w:pPr>
              <w:pStyle w:val="ASSADACCESStablecentre"/>
            </w:pPr>
          </w:p>
        </w:tc>
        <w:tc>
          <w:tcPr>
            <w:tcW w:w="967" w:type="dxa"/>
            <w:shd w:val="clear" w:color="auto" w:fill="auto"/>
            <w:vAlign w:val="bottom"/>
          </w:tcPr>
          <w:p w14:paraId="7D4A06E0" w14:textId="77777777" w:rsidR="0068355D" w:rsidRPr="00DE25AD" w:rsidRDefault="0068355D" w:rsidP="0068355D">
            <w:pPr>
              <w:pStyle w:val="ASSADACCESStablecentre"/>
            </w:pPr>
          </w:p>
        </w:tc>
        <w:tc>
          <w:tcPr>
            <w:tcW w:w="967" w:type="dxa"/>
            <w:shd w:val="clear" w:color="auto" w:fill="auto"/>
            <w:vAlign w:val="bottom"/>
          </w:tcPr>
          <w:p w14:paraId="1BF6B085" w14:textId="77777777" w:rsidR="0068355D" w:rsidRPr="00DE25AD" w:rsidRDefault="0068355D" w:rsidP="0068355D">
            <w:pPr>
              <w:pStyle w:val="ASSADACCESStablecentre"/>
            </w:pPr>
          </w:p>
        </w:tc>
        <w:tc>
          <w:tcPr>
            <w:tcW w:w="967" w:type="dxa"/>
            <w:shd w:val="clear" w:color="auto" w:fill="auto"/>
            <w:vAlign w:val="bottom"/>
          </w:tcPr>
          <w:p w14:paraId="61DE9C95" w14:textId="77777777" w:rsidR="0068355D" w:rsidRPr="00DE25AD" w:rsidRDefault="0068355D" w:rsidP="0068355D">
            <w:pPr>
              <w:pStyle w:val="ASSADACCESStablecentre"/>
            </w:pPr>
          </w:p>
        </w:tc>
        <w:tc>
          <w:tcPr>
            <w:tcW w:w="967" w:type="dxa"/>
            <w:shd w:val="clear" w:color="auto" w:fill="auto"/>
            <w:vAlign w:val="bottom"/>
          </w:tcPr>
          <w:p w14:paraId="3429D7CC" w14:textId="77777777" w:rsidR="0068355D" w:rsidRPr="00DE25AD" w:rsidRDefault="0068355D" w:rsidP="0068355D">
            <w:pPr>
              <w:pStyle w:val="ASSADACCESStablecentre"/>
            </w:pPr>
          </w:p>
        </w:tc>
      </w:tr>
      <w:tr w:rsidR="0068355D" w:rsidRPr="00DE25AD" w14:paraId="5695464D" w14:textId="77777777" w:rsidTr="005F678B">
        <w:tc>
          <w:tcPr>
            <w:tcW w:w="1671" w:type="dxa"/>
            <w:tcMar>
              <w:left w:w="57" w:type="dxa"/>
            </w:tcMar>
          </w:tcPr>
          <w:p w14:paraId="2AAAC9C4" w14:textId="77777777" w:rsidR="0068355D" w:rsidRDefault="0068355D" w:rsidP="0068355D">
            <w:pPr>
              <w:pStyle w:val="ACCESSTableHeaderRow"/>
            </w:pPr>
            <w:r w:rsidRPr="00DE25AD">
              <w:t>Recency</w:t>
            </w:r>
          </w:p>
        </w:tc>
        <w:tc>
          <w:tcPr>
            <w:tcW w:w="1176" w:type="dxa"/>
            <w:shd w:val="clear" w:color="auto" w:fill="auto"/>
            <w:tcMar>
              <w:left w:w="57" w:type="dxa"/>
            </w:tcMar>
            <w:vAlign w:val="center"/>
          </w:tcPr>
          <w:p w14:paraId="750B2790" w14:textId="77777777" w:rsidR="0068355D" w:rsidRPr="00DE25AD" w:rsidRDefault="0068355D" w:rsidP="0068355D">
            <w:pPr>
              <w:pStyle w:val="ASSAD2017ACCESSBody1"/>
            </w:pPr>
            <w:r w:rsidRPr="005C5B03">
              <w:rPr>
                <w:b/>
                <w:bCs w:val="0"/>
              </w:rPr>
              <w:t>Sex</w:t>
            </w:r>
          </w:p>
        </w:tc>
        <w:tc>
          <w:tcPr>
            <w:tcW w:w="967" w:type="dxa"/>
            <w:shd w:val="clear" w:color="auto" w:fill="auto"/>
            <w:vAlign w:val="bottom"/>
          </w:tcPr>
          <w:p w14:paraId="47F9A477" w14:textId="77777777" w:rsidR="0068355D" w:rsidRPr="00DE25AD" w:rsidRDefault="0068355D" w:rsidP="0068355D">
            <w:pPr>
              <w:pStyle w:val="ASSADACCESStablecentre"/>
            </w:pPr>
          </w:p>
        </w:tc>
        <w:tc>
          <w:tcPr>
            <w:tcW w:w="967" w:type="dxa"/>
            <w:shd w:val="clear" w:color="auto" w:fill="auto"/>
            <w:vAlign w:val="bottom"/>
          </w:tcPr>
          <w:p w14:paraId="4F274B76" w14:textId="77777777" w:rsidR="0068355D" w:rsidRPr="00DE25AD" w:rsidRDefault="0068355D" w:rsidP="0068355D">
            <w:pPr>
              <w:pStyle w:val="ASSADACCESStablecentre"/>
            </w:pPr>
          </w:p>
        </w:tc>
        <w:tc>
          <w:tcPr>
            <w:tcW w:w="967" w:type="dxa"/>
            <w:shd w:val="clear" w:color="auto" w:fill="auto"/>
            <w:vAlign w:val="bottom"/>
          </w:tcPr>
          <w:p w14:paraId="3186CCBA" w14:textId="77777777" w:rsidR="0068355D" w:rsidRPr="00DE25AD" w:rsidRDefault="0068355D" w:rsidP="0068355D">
            <w:pPr>
              <w:pStyle w:val="ASSADACCESStablecentre"/>
            </w:pPr>
          </w:p>
        </w:tc>
        <w:tc>
          <w:tcPr>
            <w:tcW w:w="967" w:type="dxa"/>
            <w:shd w:val="clear" w:color="auto" w:fill="auto"/>
            <w:vAlign w:val="bottom"/>
          </w:tcPr>
          <w:p w14:paraId="1B68D3C3" w14:textId="77777777" w:rsidR="0068355D" w:rsidRPr="00DE25AD" w:rsidRDefault="0068355D" w:rsidP="0068355D">
            <w:pPr>
              <w:pStyle w:val="ASSADACCESStablecentre"/>
            </w:pPr>
          </w:p>
        </w:tc>
        <w:tc>
          <w:tcPr>
            <w:tcW w:w="967" w:type="dxa"/>
            <w:shd w:val="clear" w:color="auto" w:fill="auto"/>
            <w:vAlign w:val="bottom"/>
          </w:tcPr>
          <w:p w14:paraId="1F90B1AA" w14:textId="77777777" w:rsidR="0068355D" w:rsidRPr="00DE25AD" w:rsidRDefault="0068355D" w:rsidP="0068355D">
            <w:pPr>
              <w:pStyle w:val="ASSADACCESStablecentre"/>
            </w:pPr>
          </w:p>
        </w:tc>
        <w:tc>
          <w:tcPr>
            <w:tcW w:w="967" w:type="dxa"/>
            <w:shd w:val="clear" w:color="auto" w:fill="auto"/>
            <w:vAlign w:val="bottom"/>
          </w:tcPr>
          <w:p w14:paraId="0CFC87B9" w14:textId="77777777" w:rsidR="0068355D" w:rsidRPr="00DE25AD" w:rsidRDefault="0068355D" w:rsidP="0068355D">
            <w:pPr>
              <w:pStyle w:val="ASSADACCESStablecentre"/>
            </w:pPr>
          </w:p>
        </w:tc>
        <w:tc>
          <w:tcPr>
            <w:tcW w:w="967" w:type="dxa"/>
            <w:shd w:val="clear" w:color="auto" w:fill="auto"/>
            <w:vAlign w:val="bottom"/>
          </w:tcPr>
          <w:p w14:paraId="4EEF8A31" w14:textId="77777777" w:rsidR="0068355D" w:rsidRPr="00DE25AD" w:rsidRDefault="0068355D" w:rsidP="0068355D">
            <w:pPr>
              <w:pStyle w:val="ASSADACCESStablecentre"/>
            </w:pPr>
          </w:p>
        </w:tc>
      </w:tr>
      <w:tr w:rsidR="0068355D" w:rsidRPr="00DE25AD" w14:paraId="456170ED" w14:textId="77777777" w:rsidTr="00A66B92">
        <w:tc>
          <w:tcPr>
            <w:tcW w:w="1671" w:type="dxa"/>
            <w:tcMar>
              <w:left w:w="57" w:type="dxa"/>
            </w:tcMar>
          </w:tcPr>
          <w:p w14:paraId="37B6E345" w14:textId="77777777" w:rsidR="0068355D" w:rsidRPr="00DE25AD" w:rsidRDefault="0068355D" w:rsidP="0068355D">
            <w:pPr>
              <w:pStyle w:val="ACCESSTableHeaderRow"/>
            </w:pPr>
            <w:r>
              <w:t>Lifetime</w:t>
            </w:r>
          </w:p>
        </w:tc>
        <w:tc>
          <w:tcPr>
            <w:tcW w:w="1176" w:type="dxa"/>
            <w:shd w:val="clear" w:color="auto" w:fill="auto"/>
            <w:tcMar>
              <w:left w:w="57" w:type="dxa"/>
            </w:tcMar>
            <w:vAlign w:val="bottom"/>
          </w:tcPr>
          <w:p w14:paraId="7E39AC19" w14:textId="77777777" w:rsidR="0068355D" w:rsidRPr="00DE25AD" w:rsidRDefault="0068355D" w:rsidP="0068355D">
            <w:pPr>
              <w:pStyle w:val="ASSAD2017ACCESSBody1"/>
            </w:pPr>
            <w:r w:rsidRPr="00DE25AD">
              <w:t>Male</w:t>
            </w:r>
          </w:p>
        </w:tc>
        <w:tc>
          <w:tcPr>
            <w:tcW w:w="967" w:type="dxa"/>
            <w:shd w:val="clear" w:color="auto" w:fill="auto"/>
          </w:tcPr>
          <w:p w14:paraId="058C39B7" w14:textId="1C925068" w:rsidR="0068355D" w:rsidRPr="00DE25AD" w:rsidRDefault="0068355D" w:rsidP="0068355D">
            <w:pPr>
              <w:pStyle w:val="ASSADACCESStablecentre"/>
            </w:pPr>
            <w:r w:rsidRPr="002E5727">
              <w:rPr>
                <w:bCs w:val="0"/>
                <w:color w:val="000000"/>
              </w:rPr>
              <w:t>5*</w:t>
            </w:r>
          </w:p>
        </w:tc>
        <w:tc>
          <w:tcPr>
            <w:tcW w:w="967" w:type="dxa"/>
            <w:shd w:val="clear" w:color="auto" w:fill="auto"/>
          </w:tcPr>
          <w:p w14:paraId="6F8ED40E" w14:textId="3423762E" w:rsidR="0068355D" w:rsidRPr="00DE25AD" w:rsidRDefault="0068355D" w:rsidP="0068355D">
            <w:pPr>
              <w:pStyle w:val="ASSADACCESStablecentre"/>
            </w:pPr>
            <w:r w:rsidRPr="002E5727">
              <w:rPr>
                <w:bCs w:val="0"/>
                <w:color w:val="000000"/>
              </w:rPr>
              <w:t>6*</w:t>
            </w:r>
          </w:p>
        </w:tc>
        <w:tc>
          <w:tcPr>
            <w:tcW w:w="967" w:type="dxa"/>
            <w:shd w:val="clear" w:color="auto" w:fill="auto"/>
          </w:tcPr>
          <w:p w14:paraId="556A0E3A" w14:textId="4F7998BA" w:rsidR="0068355D" w:rsidRPr="00DE25AD" w:rsidRDefault="0068355D" w:rsidP="0068355D">
            <w:pPr>
              <w:pStyle w:val="ASSADACCESStablecentre"/>
            </w:pPr>
            <w:r w:rsidRPr="002E5727">
              <w:rPr>
                <w:bCs w:val="0"/>
                <w:color w:val="000000"/>
              </w:rPr>
              <w:t>3^</w:t>
            </w:r>
          </w:p>
        </w:tc>
        <w:tc>
          <w:tcPr>
            <w:tcW w:w="967" w:type="dxa"/>
            <w:shd w:val="clear" w:color="auto" w:fill="auto"/>
          </w:tcPr>
          <w:p w14:paraId="60B0ABB3" w14:textId="06E5057E" w:rsidR="0068355D" w:rsidRPr="00DE25AD" w:rsidRDefault="0068355D" w:rsidP="0068355D">
            <w:pPr>
              <w:pStyle w:val="ASSADACCESStablecentre"/>
            </w:pPr>
            <w:r w:rsidRPr="002E5727">
              <w:rPr>
                <w:bCs w:val="0"/>
                <w:color w:val="000000"/>
              </w:rPr>
              <w:t>3^</w:t>
            </w:r>
          </w:p>
        </w:tc>
        <w:tc>
          <w:tcPr>
            <w:tcW w:w="967" w:type="dxa"/>
            <w:shd w:val="clear" w:color="auto" w:fill="auto"/>
          </w:tcPr>
          <w:p w14:paraId="74B7C9B1" w14:textId="1B107829" w:rsidR="0068355D" w:rsidRPr="00DE25AD" w:rsidRDefault="0068355D" w:rsidP="0068355D">
            <w:pPr>
              <w:pStyle w:val="ASSADACCESStablecentre"/>
            </w:pPr>
            <w:r w:rsidRPr="002E5727">
              <w:rPr>
                <w:bCs w:val="0"/>
                <w:color w:val="000000"/>
              </w:rPr>
              <w:t>3^</w:t>
            </w:r>
          </w:p>
        </w:tc>
        <w:tc>
          <w:tcPr>
            <w:tcW w:w="967" w:type="dxa"/>
            <w:shd w:val="clear" w:color="auto" w:fill="auto"/>
            <w:vAlign w:val="bottom"/>
          </w:tcPr>
          <w:p w14:paraId="49C17912" w14:textId="61DE7803" w:rsidR="0068355D" w:rsidRPr="00DE25AD" w:rsidRDefault="0068355D" w:rsidP="0068355D">
            <w:pPr>
              <w:pStyle w:val="ASSADACCESStablecentre"/>
            </w:pPr>
            <w:r>
              <w:rPr>
                <w:bCs w:val="0"/>
                <w:color w:val="000000"/>
              </w:rPr>
              <w:t>1</w:t>
            </w:r>
            <w:r w:rsidRPr="002E5727">
              <w:rPr>
                <w:bCs w:val="0"/>
                <w:color w:val="000000"/>
              </w:rPr>
              <w:t>*^</w:t>
            </w:r>
          </w:p>
        </w:tc>
        <w:tc>
          <w:tcPr>
            <w:tcW w:w="967" w:type="dxa"/>
            <w:shd w:val="clear" w:color="auto" w:fill="auto"/>
            <w:vAlign w:val="bottom"/>
          </w:tcPr>
          <w:p w14:paraId="1E4E856D" w14:textId="2EAEF0FE" w:rsidR="0068355D" w:rsidRPr="00DE25AD" w:rsidRDefault="0068355D" w:rsidP="0068355D">
            <w:pPr>
              <w:pStyle w:val="ASSADACCESStablecentre"/>
            </w:pPr>
            <w:r w:rsidRPr="002E5727">
              <w:rPr>
                <w:bCs w:val="0"/>
                <w:color w:val="000000"/>
              </w:rPr>
              <w:t>3^</w:t>
            </w:r>
          </w:p>
        </w:tc>
      </w:tr>
      <w:tr w:rsidR="0068355D" w:rsidRPr="00DE25AD" w14:paraId="7E865080" w14:textId="77777777" w:rsidTr="00A66B92">
        <w:tc>
          <w:tcPr>
            <w:tcW w:w="1671" w:type="dxa"/>
            <w:tcMar>
              <w:left w:w="57" w:type="dxa"/>
            </w:tcMar>
          </w:tcPr>
          <w:p w14:paraId="46361521" w14:textId="77777777" w:rsidR="0068355D" w:rsidRPr="00DE25AD" w:rsidRDefault="0068355D" w:rsidP="0068355D">
            <w:pPr>
              <w:pStyle w:val="ACCESSTableHeaderRow"/>
            </w:pPr>
          </w:p>
        </w:tc>
        <w:tc>
          <w:tcPr>
            <w:tcW w:w="1176" w:type="dxa"/>
            <w:shd w:val="clear" w:color="auto" w:fill="auto"/>
            <w:tcMar>
              <w:left w:w="57" w:type="dxa"/>
            </w:tcMar>
            <w:vAlign w:val="bottom"/>
          </w:tcPr>
          <w:p w14:paraId="23D57572" w14:textId="77777777" w:rsidR="0068355D" w:rsidRPr="00DE25AD" w:rsidRDefault="0068355D" w:rsidP="0068355D">
            <w:pPr>
              <w:pStyle w:val="ASSAD2017ACCESSBody1"/>
            </w:pPr>
            <w:r w:rsidRPr="00DE25AD">
              <w:t>Female</w:t>
            </w:r>
          </w:p>
        </w:tc>
        <w:tc>
          <w:tcPr>
            <w:tcW w:w="967" w:type="dxa"/>
            <w:shd w:val="clear" w:color="auto" w:fill="auto"/>
          </w:tcPr>
          <w:p w14:paraId="4F0763D0" w14:textId="08601B51" w:rsidR="0068355D" w:rsidRPr="00DE25AD" w:rsidRDefault="0068355D" w:rsidP="0068355D">
            <w:pPr>
              <w:pStyle w:val="ASSADACCESStablecentre"/>
            </w:pPr>
            <w:r w:rsidRPr="002E5727">
              <w:rPr>
                <w:bCs w:val="0"/>
                <w:color w:val="000000"/>
              </w:rPr>
              <w:t>3*</w:t>
            </w:r>
          </w:p>
        </w:tc>
        <w:tc>
          <w:tcPr>
            <w:tcW w:w="967" w:type="dxa"/>
            <w:shd w:val="clear" w:color="auto" w:fill="auto"/>
          </w:tcPr>
          <w:p w14:paraId="698D14C0" w14:textId="6A049A23" w:rsidR="0068355D" w:rsidRPr="00DE25AD" w:rsidRDefault="0068355D" w:rsidP="0068355D">
            <w:pPr>
              <w:pStyle w:val="ASSADACCESStablecentre"/>
            </w:pPr>
            <w:r w:rsidRPr="002E5727">
              <w:rPr>
                <w:bCs w:val="0"/>
                <w:color w:val="000000"/>
              </w:rPr>
              <w:t>4*</w:t>
            </w:r>
          </w:p>
        </w:tc>
        <w:tc>
          <w:tcPr>
            <w:tcW w:w="967" w:type="dxa"/>
            <w:shd w:val="clear" w:color="auto" w:fill="auto"/>
          </w:tcPr>
          <w:p w14:paraId="6462030F" w14:textId="4D9A14E5" w:rsidR="0068355D" w:rsidRPr="00DE25AD" w:rsidRDefault="0068355D" w:rsidP="0068355D">
            <w:pPr>
              <w:pStyle w:val="ASSADACCESStablecentre"/>
            </w:pPr>
            <w:r w:rsidRPr="002E5727">
              <w:rPr>
                <w:bCs w:val="0"/>
                <w:color w:val="000000"/>
              </w:rPr>
              <w:t>3*</w:t>
            </w:r>
          </w:p>
        </w:tc>
        <w:tc>
          <w:tcPr>
            <w:tcW w:w="967" w:type="dxa"/>
            <w:shd w:val="clear" w:color="auto" w:fill="auto"/>
          </w:tcPr>
          <w:p w14:paraId="1F1C3336" w14:textId="2B20696A" w:rsidR="0068355D" w:rsidRPr="00DE25AD" w:rsidRDefault="0068355D" w:rsidP="0068355D">
            <w:pPr>
              <w:pStyle w:val="ASSADACCESStablecentre"/>
            </w:pPr>
            <w:r w:rsidRPr="002E5727">
              <w:rPr>
                <w:bCs w:val="0"/>
                <w:color w:val="000000"/>
              </w:rPr>
              <w:t>2</w:t>
            </w:r>
          </w:p>
        </w:tc>
        <w:tc>
          <w:tcPr>
            <w:tcW w:w="967" w:type="dxa"/>
            <w:shd w:val="clear" w:color="auto" w:fill="auto"/>
          </w:tcPr>
          <w:p w14:paraId="17E57384" w14:textId="1578C148"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588D3AB6" w14:textId="549B9C5B"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3D1234F4" w14:textId="70CA278C" w:rsidR="0068355D" w:rsidRPr="00DE25AD" w:rsidRDefault="0068355D" w:rsidP="0068355D">
            <w:pPr>
              <w:pStyle w:val="ASSADACCESStablecentre"/>
            </w:pPr>
            <w:r w:rsidRPr="002E5727">
              <w:rPr>
                <w:bCs w:val="0"/>
                <w:color w:val="000000"/>
              </w:rPr>
              <w:t>1^</w:t>
            </w:r>
          </w:p>
        </w:tc>
      </w:tr>
      <w:tr w:rsidR="0068355D" w:rsidRPr="00DE25AD" w14:paraId="13FEB4D3" w14:textId="77777777" w:rsidTr="00A66B92">
        <w:trPr>
          <w:trHeight w:val="247"/>
        </w:trPr>
        <w:tc>
          <w:tcPr>
            <w:tcW w:w="1671" w:type="dxa"/>
            <w:tcMar>
              <w:left w:w="57" w:type="dxa"/>
            </w:tcMar>
          </w:tcPr>
          <w:p w14:paraId="01CB32DE" w14:textId="77777777" w:rsidR="0068355D" w:rsidRPr="00DE25AD" w:rsidRDefault="0068355D" w:rsidP="0068355D">
            <w:pPr>
              <w:pStyle w:val="ACCESSTableHeaderRow"/>
            </w:pPr>
          </w:p>
        </w:tc>
        <w:tc>
          <w:tcPr>
            <w:tcW w:w="1176" w:type="dxa"/>
            <w:shd w:val="clear" w:color="auto" w:fill="auto"/>
            <w:tcMar>
              <w:left w:w="57" w:type="dxa"/>
            </w:tcMar>
            <w:vAlign w:val="bottom"/>
          </w:tcPr>
          <w:p w14:paraId="6B6B2592" w14:textId="77777777" w:rsidR="0068355D" w:rsidRPr="00DE25AD" w:rsidRDefault="0068355D" w:rsidP="0068355D">
            <w:pPr>
              <w:pStyle w:val="ASSAD2017ACCESSBody1"/>
            </w:pPr>
            <w:r w:rsidRPr="00DE25AD">
              <w:t>Total</w:t>
            </w:r>
          </w:p>
        </w:tc>
        <w:tc>
          <w:tcPr>
            <w:tcW w:w="967" w:type="dxa"/>
            <w:shd w:val="clear" w:color="auto" w:fill="auto"/>
          </w:tcPr>
          <w:p w14:paraId="088D315B" w14:textId="165C138F" w:rsidR="0068355D" w:rsidRPr="00DE25AD" w:rsidRDefault="0068355D" w:rsidP="0068355D">
            <w:pPr>
              <w:pStyle w:val="ASSADACCESStablecentre"/>
            </w:pPr>
            <w:r w:rsidRPr="002E5727">
              <w:rPr>
                <w:bCs w:val="0"/>
                <w:color w:val="000000"/>
              </w:rPr>
              <w:t>4*</w:t>
            </w:r>
          </w:p>
        </w:tc>
        <w:tc>
          <w:tcPr>
            <w:tcW w:w="967" w:type="dxa"/>
            <w:shd w:val="clear" w:color="auto" w:fill="auto"/>
          </w:tcPr>
          <w:p w14:paraId="2BAB160C" w14:textId="6567056D" w:rsidR="0068355D" w:rsidRPr="00DE25AD" w:rsidRDefault="0068355D" w:rsidP="0068355D">
            <w:pPr>
              <w:pStyle w:val="ASSADACCESStablecentre"/>
            </w:pPr>
            <w:r w:rsidRPr="002E5727">
              <w:rPr>
                <w:bCs w:val="0"/>
                <w:color w:val="000000"/>
              </w:rPr>
              <w:t>5*</w:t>
            </w:r>
          </w:p>
        </w:tc>
        <w:tc>
          <w:tcPr>
            <w:tcW w:w="967" w:type="dxa"/>
            <w:shd w:val="clear" w:color="auto" w:fill="auto"/>
          </w:tcPr>
          <w:p w14:paraId="5D79A7B8" w14:textId="3C481471" w:rsidR="0068355D" w:rsidRPr="00DE25AD" w:rsidRDefault="0068355D" w:rsidP="0068355D">
            <w:pPr>
              <w:pStyle w:val="ASSADACCESStablecentre"/>
            </w:pPr>
            <w:r w:rsidRPr="002E5727">
              <w:rPr>
                <w:bCs w:val="0"/>
                <w:color w:val="000000"/>
              </w:rPr>
              <w:t>3^</w:t>
            </w:r>
          </w:p>
        </w:tc>
        <w:tc>
          <w:tcPr>
            <w:tcW w:w="967" w:type="dxa"/>
            <w:shd w:val="clear" w:color="auto" w:fill="auto"/>
          </w:tcPr>
          <w:p w14:paraId="1F242420" w14:textId="344517D5" w:rsidR="0068355D" w:rsidRPr="00DE25AD" w:rsidRDefault="0068355D" w:rsidP="0068355D">
            <w:pPr>
              <w:pStyle w:val="ASSADACCESStablecentre"/>
            </w:pPr>
            <w:r w:rsidRPr="002E5727">
              <w:rPr>
                <w:bCs w:val="0"/>
                <w:color w:val="000000"/>
              </w:rPr>
              <w:t>2^</w:t>
            </w:r>
          </w:p>
        </w:tc>
        <w:tc>
          <w:tcPr>
            <w:tcW w:w="967" w:type="dxa"/>
            <w:shd w:val="clear" w:color="auto" w:fill="auto"/>
          </w:tcPr>
          <w:p w14:paraId="488A90C7" w14:textId="59B0059E"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06E10221" w14:textId="50D463ED"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011B6BAE" w14:textId="7F0A59A7" w:rsidR="0068355D" w:rsidRPr="00DE25AD" w:rsidRDefault="0068355D" w:rsidP="0068355D">
            <w:pPr>
              <w:pStyle w:val="ASSADACCESStablecentre"/>
            </w:pPr>
            <w:r w:rsidRPr="002E5727">
              <w:rPr>
                <w:bCs w:val="0"/>
                <w:color w:val="000000"/>
              </w:rPr>
              <w:t>2^</w:t>
            </w:r>
          </w:p>
        </w:tc>
      </w:tr>
      <w:tr w:rsidR="0068355D" w:rsidRPr="00DE25AD" w14:paraId="6D09536F" w14:textId="77777777" w:rsidTr="00A66B92">
        <w:trPr>
          <w:trHeight w:val="247"/>
        </w:trPr>
        <w:tc>
          <w:tcPr>
            <w:tcW w:w="1671" w:type="dxa"/>
            <w:tcMar>
              <w:left w:w="57" w:type="dxa"/>
            </w:tcMar>
          </w:tcPr>
          <w:p w14:paraId="2D6BC87D" w14:textId="77777777" w:rsidR="0068355D" w:rsidRPr="00DE25AD" w:rsidRDefault="0068355D" w:rsidP="0068355D">
            <w:pPr>
              <w:pStyle w:val="ACCESSTableHeaderRow"/>
            </w:pPr>
            <w:r w:rsidRPr="00DE25AD">
              <w:t xml:space="preserve">Past </w:t>
            </w:r>
            <w:r>
              <w:t>month</w:t>
            </w:r>
          </w:p>
        </w:tc>
        <w:tc>
          <w:tcPr>
            <w:tcW w:w="1176" w:type="dxa"/>
            <w:shd w:val="clear" w:color="auto" w:fill="auto"/>
            <w:tcMar>
              <w:left w:w="57" w:type="dxa"/>
            </w:tcMar>
            <w:vAlign w:val="bottom"/>
          </w:tcPr>
          <w:p w14:paraId="1AF72D7B" w14:textId="77777777" w:rsidR="0068355D" w:rsidRPr="00DE25AD" w:rsidRDefault="0068355D" w:rsidP="0068355D">
            <w:pPr>
              <w:pStyle w:val="ASSAD2017ACCESSBody1"/>
            </w:pPr>
            <w:r w:rsidRPr="00DE25AD">
              <w:t>Male</w:t>
            </w:r>
          </w:p>
        </w:tc>
        <w:tc>
          <w:tcPr>
            <w:tcW w:w="967" w:type="dxa"/>
            <w:shd w:val="clear" w:color="auto" w:fill="auto"/>
          </w:tcPr>
          <w:p w14:paraId="17987D26" w14:textId="4B1E64B6" w:rsidR="0068355D" w:rsidRPr="00DE25AD" w:rsidRDefault="0068355D" w:rsidP="0068355D">
            <w:pPr>
              <w:pStyle w:val="ASSADACCESStablecentre"/>
            </w:pPr>
            <w:r w:rsidRPr="002E5727">
              <w:rPr>
                <w:bCs w:val="0"/>
                <w:color w:val="000000"/>
              </w:rPr>
              <w:t>2</w:t>
            </w:r>
          </w:p>
        </w:tc>
        <w:tc>
          <w:tcPr>
            <w:tcW w:w="967" w:type="dxa"/>
            <w:shd w:val="clear" w:color="auto" w:fill="auto"/>
          </w:tcPr>
          <w:p w14:paraId="5005D223" w14:textId="680A7C7F" w:rsidR="0068355D" w:rsidRPr="00DE25AD" w:rsidRDefault="0068355D" w:rsidP="0068355D">
            <w:pPr>
              <w:pStyle w:val="ASSADACCESStablecentre"/>
            </w:pPr>
            <w:r w:rsidRPr="002E5727">
              <w:rPr>
                <w:bCs w:val="0"/>
                <w:color w:val="000000"/>
              </w:rPr>
              <w:t>2</w:t>
            </w:r>
          </w:p>
        </w:tc>
        <w:tc>
          <w:tcPr>
            <w:tcW w:w="967" w:type="dxa"/>
            <w:shd w:val="clear" w:color="auto" w:fill="auto"/>
          </w:tcPr>
          <w:p w14:paraId="0A5B7B2C" w14:textId="755700EE" w:rsidR="0068355D" w:rsidRPr="00DE25AD" w:rsidRDefault="0068355D" w:rsidP="0068355D">
            <w:pPr>
              <w:pStyle w:val="ASSADACCESStablecentre"/>
            </w:pPr>
            <w:r w:rsidRPr="002E5727">
              <w:rPr>
                <w:bCs w:val="0"/>
                <w:color w:val="000000"/>
              </w:rPr>
              <w:t>1</w:t>
            </w:r>
          </w:p>
        </w:tc>
        <w:tc>
          <w:tcPr>
            <w:tcW w:w="967" w:type="dxa"/>
            <w:shd w:val="clear" w:color="auto" w:fill="auto"/>
          </w:tcPr>
          <w:p w14:paraId="7290F8BC" w14:textId="25CBA0C6" w:rsidR="0068355D" w:rsidRPr="00DE25AD" w:rsidRDefault="0068355D" w:rsidP="0068355D">
            <w:pPr>
              <w:pStyle w:val="ASSADACCESStablecentre"/>
            </w:pPr>
            <w:r w:rsidRPr="002E5727">
              <w:rPr>
                <w:bCs w:val="0"/>
                <w:color w:val="000000"/>
              </w:rPr>
              <w:t>1</w:t>
            </w:r>
          </w:p>
        </w:tc>
        <w:tc>
          <w:tcPr>
            <w:tcW w:w="967" w:type="dxa"/>
            <w:shd w:val="clear" w:color="auto" w:fill="auto"/>
          </w:tcPr>
          <w:p w14:paraId="3EA33584" w14:textId="0FE39E94"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1648CE1D" w14:textId="2A4754A8"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vAlign w:val="bottom"/>
          </w:tcPr>
          <w:p w14:paraId="0217FB1E" w14:textId="0D87700D" w:rsidR="0068355D" w:rsidRPr="00DE25AD" w:rsidRDefault="0068355D" w:rsidP="0068355D">
            <w:pPr>
              <w:pStyle w:val="ASSADACCESStablecentre"/>
            </w:pPr>
            <w:r w:rsidRPr="002E5727">
              <w:rPr>
                <w:bCs w:val="0"/>
                <w:color w:val="000000"/>
              </w:rPr>
              <w:t>1</w:t>
            </w:r>
          </w:p>
        </w:tc>
      </w:tr>
      <w:tr w:rsidR="0068355D" w:rsidRPr="00DE25AD" w14:paraId="426029CD" w14:textId="77777777" w:rsidTr="00A66B92">
        <w:trPr>
          <w:trHeight w:val="247"/>
        </w:trPr>
        <w:tc>
          <w:tcPr>
            <w:tcW w:w="1671" w:type="dxa"/>
            <w:tcMar>
              <w:left w:w="57" w:type="dxa"/>
            </w:tcMar>
          </w:tcPr>
          <w:p w14:paraId="19D2C99B" w14:textId="77777777" w:rsidR="0068355D" w:rsidRPr="00DE25AD" w:rsidRDefault="0068355D" w:rsidP="0068355D">
            <w:pPr>
              <w:pStyle w:val="ACCESSTableHeaderRow"/>
            </w:pPr>
          </w:p>
        </w:tc>
        <w:tc>
          <w:tcPr>
            <w:tcW w:w="1176" w:type="dxa"/>
            <w:shd w:val="clear" w:color="auto" w:fill="auto"/>
            <w:tcMar>
              <w:left w:w="57" w:type="dxa"/>
            </w:tcMar>
            <w:vAlign w:val="bottom"/>
          </w:tcPr>
          <w:p w14:paraId="468D08AA" w14:textId="77777777" w:rsidR="0068355D" w:rsidRPr="00DE25AD" w:rsidRDefault="0068355D" w:rsidP="0068355D">
            <w:pPr>
              <w:pStyle w:val="ASSAD2017ACCESSBody1"/>
            </w:pPr>
            <w:r w:rsidRPr="00DE25AD">
              <w:t>Female</w:t>
            </w:r>
          </w:p>
        </w:tc>
        <w:tc>
          <w:tcPr>
            <w:tcW w:w="967" w:type="dxa"/>
            <w:shd w:val="clear" w:color="auto" w:fill="auto"/>
          </w:tcPr>
          <w:p w14:paraId="2B9234EE" w14:textId="1FE24CFC" w:rsidR="0068355D" w:rsidRPr="00DE25AD" w:rsidRDefault="0068355D" w:rsidP="0068355D">
            <w:pPr>
              <w:pStyle w:val="ASSADACCESStablecentre"/>
            </w:pPr>
            <w:r>
              <w:rPr>
                <w:bCs w:val="0"/>
                <w:color w:val="000000"/>
              </w:rPr>
              <w:t>&lt;1</w:t>
            </w:r>
          </w:p>
        </w:tc>
        <w:tc>
          <w:tcPr>
            <w:tcW w:w="967" w:type="dxa"/>
            <w:shd w:val="clear" w:color="auto" w:fill="auto"/>
          </w:tcPr>
          <w:p w14:paraId="230559C4" w14:textId="47B0241B"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1F517CBC" w14:textId="4B66015D" w:rsidR="0068355D" w:rsidRPr="00DE25AD" w:rsidRDefault="0068355D" w:rsidP="0068355D">
            <w:pPr>
              <w:pStyle w:val="ASSADACCESStablecentre"/>
            </w:pPr>
            <w:r w:rsidRPr="002E5727">
              <w:rPr>
                <w:bCs w:val="0"/>
                <w:color w:val="000000"/>
              </w:rPr>
              <w:t>1</w:t>
            </w:r>
          </w:p>
        </w:tc>
        <w:tc>
          <w:tcPr>
            <w:tcW w:w="967" w:type="dxa"/>
            <w:shd w:val="clear" w:color="auto" w:fill="auto"/>
          </w:tcPr>
          <w:p w14:paraId="142B0B8C" w14:textId="234F39A8" w:rsidR="0068355D" w:rsidRPr="00DE25AD" w:rsidRDefault="0068355D" w:rsidP="0068355D">
            <w:pPr>
              <w:pStyle w:val="ASSADACCESStablecentre"/>
            </w:pPr>
            <w:r w:rsidRPr="002E5727">
              <w:rPr>
                <w:bCs w:val="0"/>
                <w:color w:val="000000"/>
              </w:rPr>
              <w:t>&lt;1</w:t>
            </w:r>
          </w:p>
        </w:tc>
        <w:tc>
          <w:tcPr>
            <w:tcW w:w="967" w:type="dxa"/>
            <w:shd w:val="clear" w:color="auto" w:fill="auto"/>
          </w:tcPr>
          <w:p w14:paraId="5266A5C4" w14:textId="3163B8F3"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46F23AFA" w14:textId="59BB10BA" w:rsidR="0068355D" w:rsidRPr="00DE25AD" w:rsidRDefault="0068355D" w:rsidP="0068355D">
            <w:pPr>
              <w:pStyle w:val="ASSADACCESStablecentre"/>
            </w:pPr>
            <w:r w:rsidRPr="002E5727">
              <w:rPr>
                <w:bCs w:val="0"/>
                <w:color w:val="000000"/>
              </w:rPr>
              <w:t>&lt;1</w:t>
            </w:r>
          </w:p>
        </w:tc>
        <w:tc>
          <w:tcPr>
            <w:tcW w:w="967" w:type="dxa"/>
            <w:shd w:val="clear" w:color="auto" w:fill="auto"/>
            <w:vAlign w:val="bottom"/>
          </w:tcPr>
          <w:p w14:paraId="55CD5C70" w14:textId="787D903A" w:rsidR="0068355D" w:rsidRPr="00DE25AD" w:rsidRDefault="0068355D" w:rsidP="0068355D">
            <w:pPr>
              <w:pStyle w:val="ASSADACCESStablecentre"/>
            </w:pPr>
            <w:r w:rsidRPr="002E5727">
              <w:rPr>
                <w:bCs w:val="0"/>
                <w:color w:val="000000"/>
              </w:rPr>
              <w:t>&lt;1</w:t>
            </w:r>
          </w:p>
        </w:tc>
      </w:tr>
      <w:tr w:rsidR="0068355D" w:rsidRPr="00DE25AD" w14:paraId="6D0DA05D" w14:textId="77777777" w:rsidTr="00A66B92">
        <w:trPr>
          <w:trHeight w:val="247"/>
        </w:trPr>
        <w:tc>
          <w:tcPr>
            <w:tcW w:w="1671" w:type="dxa"/>
            <w:tcMar>
              <w:left w:w="57" w:type="dxa"/>
            </w:tcMar>
          </w:tcPr>
          <w:p w14:paraId="7E3073A3" w14:textId="77777777" w:rsidR="0068355D" w:rsidRPr="00DE25AD" w:rsidRDefault="0068355D" w:rsidP="0068355D">
            <w:pPr>
              <w:pStyle w:val="ACCESSTableHeaderRow"/>
            </w:pPr>
          </w:p>
        </w:tc>
        <w:tc>
          <w:tcPr>
            <w:tcW w:w="1176" w:type="dxa"/>
            <w:shd w:val="clear" w:color="auto" w:fill="auto"/>
            <w:tcMar>
              <w:left w:w="57" w:type="dxa"/>
            </w:tcMar>
            <w:vAlign w:val="bottom"/>
          </w:tcPr>
          <w:p w14:paraId="23D13013" w14:textId="77777777" w:rsidR="0068355D" w:rsidRPr="00DE25AD" w:rsidRDefault="0068355D" w:rsidP="0068355D">
            <w:pPr>
              <w:pStyle w:val="ASSAD2017ACCESSBody1"/>
            </w:pPr>
            <w:r w:rsidRPr="00DE25AD">
              <w:t>Total</w:t>
            </w:r>
          </w:p>
        </w:tc>
        <w:tc>
          <w:tcPr>
            <w:tcW w:w="967" w:type="dxa"/>
            <w:shd w:val="clear" w:color="auto" w:fill="auto"/>
          </w:tcPr>
          <w:p w14:paraId="2B2E061F" w14:textId="0412E70D" w:rsidR="0068355D" w:rsidRPr="00DE25AD" w:rsidRDefault="0068355D" w:rsidP="0068355D">
            <w:pPr>
              <w:pStyle w:val="ASSADACCESStablecentre"/>
            </w:pPr>
            <w:r w:rsidRPr="002E5727">
              <w:rPr>
                <w:bCs w:val="0"/>
                <w:color w:val="000000"/>
              </w:rPr>
              <w:t>1</w:t>
            </w:r>
          </w:p>
        </w:tc>
        <w:tc>
          <w:tcPr>
            <w:tcW w:w="967" w:type="dxa"/>
            <w:shd w:val="clear" w:color="auto" w:fill="auto"/>
          </w:tcPr>
          <w:p w14:paraId="1FAD961A" w14:textId="64369970"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616417D2" w14:textId="1DA954FA" w:rsidR="0068355D" w:rsidRPr="00DE25AD" w:rsidRDefault="0068355D" w:rsidP="0068355D">
            <w:pPr>
              <w:pStyle w:val="ASSADACCESStablecentre"/>
            </w:pPr>
            <w:r w:rsidRPr="002E5727">
              <w:rPr>
                <w:bCs w:val="0"/>
                <w:color w:val="000000"/>
              </w:rPr>
              <w:t>1</w:t>
            </w:r>
          </w:p>
        </w:tc>
        <w:tc>
          <w:tcPr>
            <w:tcW w:w="967" w:type="dxa"/>
            <w:shd w:val="clear" w:color="auto" w:fill="auto"/>
          </w:tcPr>
          <w:p w14:paraId="57F2ABDA" w14:textId="042DB4E5" w:rsidR="0068355D" w:rsidRPr="00DE25AD" w:rsidRDefault="0068355D" w:rsidP="0068355D">
            <w:pPr>
              <w:pStyle w:val="ASSADACCESStablecentre"/>
            </w:pPr>
            <w:r w:rsidRPr="002E5727">
              <w:rPr>
                <w:bCs w:val="0"/>
                <w:color w:val="000000"/>
              </w:rPr>
              <w:t>1</w:t>
            </w:r>
          </w:p>
        </w:tc>
        <w:tc>
          <w:tcPr>
            <w:tcW w:w="967" w:type="dxa"/>
            <w:shd w:val="clear" w:color="auto" w:fill="auto"/>
          </w:tcPr>
          <w:p w14:paraId="13B7BEDD" w14:textId="68815FE6"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0B21D0A5" w14:textId="4648E8ED"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2B4E11CD" w14:textId="761C94ED" w:rsidR="0068355D" w:rsidRPr="00DE25AD" w:rsidRDefault="0068355D" w:rsidP="0068355D">
            <w:pPr>
              <w:pStyle w:val="ASSADACCESStablecentre"/>
            </w:pPr>
            <w:r w:rsidRPr="002E5727">
              <w:rPr>
                <w:bCs w:val="0"/>
                <w:color w:val="000000"/>
              </w:rPr>
              <w:t>1</w:t>
            </w:r>
          </w:p>
        </w:tc>
      </w:tr>
      <w:tr w:rsidR="0068355D" w:rsidRPr="00DE25AD" w14:paraId="14F1252C" w14:textId="77777777" w:rsidTr="005F678B">
        <w:tc>
          <w:tcPr>
            <w:tcW w:w="1671" w:type="dxa"/>
            <w:tcMar>
              <w:left w:w="57" w:type="dxa"/>
            </w:tcMar>
          </w:tcPr>
          <w:p w14:paraId="3ECE0725" w14:textId="77777777" w:rsidR="0068355D" w:rsidRDefault="0068355D" w:rsidP="0068355D">
            <w:pPr>
              <w:pStyle w:val="ACCESSTableHeaderRow"/>
            </w:pPr>
            <w:r>
              <w:t>Aged 12-17</w:t>
            </w:r>
          </w:p>
        </w:tc>
        <w:tc>
          <w:tcPr>
            <w:tcW w:w="1176" w:type="dxa"/>
            <w:shd w:val="clear" w:color="auto" w:fill="auto"/>
            <w:tcMar>
              <w:left w:w="57" w:type="dxa"/>
            </w:tcMar>
            <w:vAlign w:val="center"/>
          </w:tcPr>
          <w:p w14:paraId="00F4FDEC" w14:textId="77777777" w:rsidR="0068355D" w:rsidRPr="00DE25AD" w:rsidRDefault="0068355D" w:rsidP="0068355D">
            <w:pPr>
              <w:pStyle w:val="ASSAD2017ACCESSBody1"/>
            </w:pPr>
          </w:p>
        </w:tc>
        <w:tc>
          <w:tcPr>
            <w:tcW w:w="967" w:type="dxa"/>
            <w:shd w:val="clear" w:color="auto" w:fill="auto"/>
            <w:vAlign w:val="bottom"/>
          </w:tcPr>
          <w:p w14:paraId="51BDF44A" w14:textId="77777777" w:rsidR="0068355D" w:rsidRPr="00DE25AD" w:rsidRDefault="0068355D" w:rsidP="0068355D">
            <w:pPr>
              <w:pStyle w:val="ASSADACCESStablecentre"/>
            </w:pPr>
          </w:p>
        </w:tc>
        <w:tc>
          <w:tcPr>
            <w:tcW w:w="967" w:type="dxa"/>
            <w:shd w:val="clear" w:color="auto" w:fill="auto"/>
            <w:vAlign w:val="bottom"/>
          </w:tcPr>
          <w:p w14:paraId="7F51A581" w14:textId="77777777" w:rsidR="0068355D" w:rsidRPr="00DE25AD" w:rsidRDefault="0068355D" w:rsidP="0068355D">
            <w:pPr>
              <w:pStyle w:val="ASSADACCESStablecentre"/>
            </w:pPr>
          </w:p>
        </w:tc>
        <w:tc>
          <w:tcPr>
            <w:tcW w:w="967" w:type="dxa"/>
            <w:shd w:val="clear" w:color="auto" w:fill="auto"/>
            <w:vAlign w:val="bottom"/>
          </w:tcPr>
          <w:p w14:paraId="7A473D5F" w14:textId="77777777" w:rsidR="0068355D" w:rsidRPr="00DE25AD" w:rsidRDefault="0068355D" w:rsidP="0068355D">
            <w:pPr>
              <w:pStyle w:val="ASSADACCESStablecentre"/>
            </w:pPr>
          </w:p>
        </w:tc>
        <w:tc>
          <w:tcPr>
            <w:tcW w:w="967" w:type="dxa"/>
            <w:shd w:val="clear" w:color="auto" w:fill="auto"/>
            <w:vAlign w:val="bottom"/>
          </w:tcPr>
          <w:p w14:paraId="1A0A5AED" w14:textId="77777777" w:rsidR="0068355D" w:rsidRPr="00DE25AD" w:rsidRDefault="0068355D" w:rsidP="0068355D">
            <w:pPr>
              <w:pStyle w:val="ASSADACCESStablecentre"/>
            </w:pPr>
          </w:p>
        </w:tc>
        <w:tc>
          <w:tcPr>
            <w:tcW w:w="967" w:type="dxa"/>
            <w:shd w:val="clear" w:color="auto" w:fill="auto"/>
            <w:vAlign w:val="bottom"/>
          </w:tcPr>
          <w:p w14:paraId="1A4F01DA" w14:textId="77777777" w:rsidR="0068355D" w:rsidRPr="00DE25AD" w:rsidRDefault="0068355D" w:rsidP="0068355D">
            <w:pPr>
              <w:pStyle w:val="ASSADACCESStablecentre"/>
            </w:pPr>
          </w:p>
        </w:tc>
        <w:tc>
          <w:tcPr>
            <w:tcW w:w="967" w:type="dxa"/>
            <w:shd w:val="clear" w:color="auto" w:fill="auto"/>
            <w:vAlign w:val="bottom"/>
          </w:tcPr>
          <w:p w14:paraId="6406D42C" w14:textId="77777777" w:rsidR="0068355D" w:rsidRPr="00DE25AD" w:rsidRDefault="0068355D" w:rsidP="0068355D">
            <w:pPr>
              <w:pStyle w:val="ASSADACCESStablecentre"/>
            </w:pPr>
          </w:p>
        </w:tc>
        <w:tc>
          <w:tcPr>
            <w:tcW w:w="967" w:type="dxa"/>
            <w:shd w:val="clear" w:color="auto" w:fill="auto"/>
            <w:vAlign w:val="bottom"/>
          </w:tcPr>
          <w:p w14:paraId="75067CDD" w14:textId="77777777" w:rsidR="0068355D" w:rsidRPr="00DE25AD" w:rsidRDefault="0068355D" w:rsidP="0068355D">
            <w:pPr>
              <w:pStyle w:val="ASSADACCESStablecentre"/>
            </w:pPr>
          </w:p>
        </w:tc>
      </w:tr>
      <w:tr w:rsidR="0068355D" w:rsidRPr="00DE25AD" w14:paraId="2EBF1F17" w14:textId="77777777" w:rsidTr="005F678B">
        <w:tc>
          <w:tcPr>
            <w:tcW w:w="1671" w:type="dxa"/>
            <w:tcMar>
              <w:left w:w="57" w:type="dxa"/>
            </w:tcMar>
          </w:tcPr>
          <w:p w14:paraId="022BB845" w14:textId="77777777" w:rsidR="0068355D" w:rsidRDefault="0068355D" w:rsidP="0068355D">
            <w:pPr>
              <w:pStyle w:val="ACCESSTableHeaderRow"/>
            </w:pPr>
            <w:r w:rsidRPr="00DE25AD">
              <w:t>Recency</w:t>
            </w:r>
          </w:p>
        </w:tc>
        <w:tc>
          <w:tcPr>
            <w:tcW w:w="1176" w:type="dxa"/>
            <w:shd w:val="clear" w:color="auto" w:fill="auto"/>
            <w:tcMar>
              <w:left w:w="57" w:type="dxa"/>
            </w:tcMar>
            <w:vAlign w:val="center"/>
          </w:tcPr>
          <w:p w14:paraId="6248D3C8" w14:textId="77777777" w:rsidR="0068355D" w:rsidRPr="00DE25AD" w:rsidRDefault="0068355D" w:rsidP="0068355D">
            <w:pPr>
              <w:pStyle w:val="ASSAD2017ACCESSBody1"/>
            </w:pPr>
            <w:r w:rsidRPr="005C5B03">
              <w:rPr>
                <w:b/>
                <w:bCs w:val="0"/>
              </w:rPr>
              <w:t>Sex</w:t>
            </w:r>
          </w:p>
        </w:tc>
        <w:tc>
          <w:tcPr>
            <w:tcW w:w="967" w:type="dxa"/>
            <w:shd w:val="clear" w:color="auto" w:fill="auto"/>
            <w:vAlign w:val="bottom"/>
          </w:tcPr>
          <w:p w14:paraId="1EF179A6" w14:textId="77777777" w:rsidR="0068355D" w:rsidRPr="00DE25AD" w:rsidRDefault="0068355D" w:rsidP="0068355D">
            <w:pPr>
              <w:pStyle w:val="ASSADACCESStablecentre"/>
            </w:pPr>
          </w:p>
        </w:tc>
        <w:tc>
          <w:tcPr>
            <w:tcW w:w="967" w:type="dxa"/>
            <w:shd w:val="clear" w:color="auto" w:fill="auto"/>
            <w:vAlign w:val="bottom"/>
          </w:tcPr>
          <w:p w14:paraId="30D4A58E" w14:textId="77777777" w:rsidR="0068355D" w:rsidRPr="00DE25AD" w:rsidRDefault="0068355D" w:rsidP="0068355D">
            <w:pPr>
              <w:pStyle w:val="ASSADACCESStablecentre"/>
            </w:pPr>
          </w:p>
        </w:tc>
        <w:tc>
          <w:tcPr>
            <w:tcW w:w="967" w:type="dxa"/>
            <w:shd w:val="clear" w:color="auto" w:fill="auto"/>
            <w:vAlign w:val="bottom"/>
          </w:tcPr>
          <w:p w14:paraId="68E000AA" w14:textId="77777777" w:rsidR="0068355D" w:rsidRPr="00DE25AD" w:rsidRDefault="0068355D" w:rsidP="0068355D">
            <w:pPr>
              <w:pStyle w:val="ASSADACCESStablecentre"/>
            </w:pPr>
          </w:p>
        </w:tc>
        <w:tc>
          <w:tcPr>
            <w:tcW w:w="967" w:type="dxa"/>
            <w:shd w:val="clear" w:color="auto" w:fill="auto"/>
            <w:vAlign w:val="bottom"/>
          </w:tcPr>
          <w:p w14:paraId="74866FEB" w14:textId="77777777" w:rsidR="0068355D" w:rsidRPr="00DE25AD" w:rsidRDefault="0068355D" w:rsidP="0068355D">
            <w:pPr>
              <w:pStyle w:val="ASSADACCESStablecentre"/>
            </w:pPr>
          </w:p>
        </w:tc>
        <w:tc>
          <w:tcPr>
            <w:tcW w:w="967" w:type="dxa"/>
            <w:shd w:val="clear" w:color="auto" w:fill="auto"/>
            <w:vAlign w:val="bottom"/>
          </w:tcPr>
          <w:p w14:paraId="6480755E" w14:textId="77777777" w:rsidR="0068355D" w:rsidRPr="00DE25AD" w:rsidRDefault="0068355D" w:rsidP="0068355D">
            <w:pPr>
              <w:pStyle w:val="ASSADACCESStablecentre"/>
            </w:pPr>
          </w:p>
        </w:tc>
        <w:tc>
          <w:tcPr>
            <w:tcW w:w="967" w:type="dxa"/>
            <w:shd w:val="clear" w:color="auto" w:fill="auto"/>
            <w:vAlign w:val="bottom"/>
          </w:tcPr>
          <w:p w14:paraId="2F237FAD" w14:textId="77777777" w:rsidR="0068355D" w:rsidRPr="00DE25AD" w:rsidRDefault="0068355D" w:rsidP="0068355D">
            <w:pPr>
              <w:pStyle w:val="ASSADACCESStablecentre"/>
            </w:pPr>
          </w:p>
        </w:tc>
        <w:tc>
          <w:tcPr>
            <w:tcW w:w="967" w:type="dxa"/>
            <w:shd w:val="clear" w:color="auto" w:fill="auto"/>
            <w:vAlign w:val="bottom"/>
          </w:tcPr>
          <w:p w14:paraId="7FE5D23B" w14:textId="77777777" w:rsidR="0068355D" w:rsidRPr="00DE25AD" w:rsidRDefault="0068355D" w:rsidP="0068355D">
            <w:pPr>
              <w:pStyle w:val="ASSADACCESStablecentre"/>
            </w:pPr>
          </w:p>
        </w:tc>
      </w:tr>
      <w:tr w:rsidR="0068355D" w:rsidRPr="00DE25AD" w14:paraId="73944FC5" w14:textId="77777777" w:rsidTr="00341AD2">
        <w:tc>
          <w:tcPr>
            <w:tcW w:w="1671" w:type="dxa"/>
            <w:tcMar>
              <w:left w:w="57" w:type="dxa"/>
            </w:tcMar>
          </w:tcPr>
          <w:p w14:paraId="7518805B" w14:textId="77777777" w:rsidR="0068355D" w:rsidRPr="00DE25AD" w:rsidRDefault="0068355D" w:rsidP="0068355D">
            <w:pPr>
              <w:pStyle w:val="ACCESSTableHeaderRow"/>
            </w:pPr>
            <w:r>
              <w:t>Lifetime</w:t>
            </w:r>
          </w:p>
        </w:tc>
        <w:tc>
          <w:tcPr>
            <w:tcW w:w="1176" w:type="dxa"/>
            <w:shd w:val="clear" w:color="auto" w:fill="auto"/>
            <w:tcMar>
              <w:left w:w="57" w:type="dxa"/>
            </w:tcMar>
            <w:vAlign w:val="bottom"/>
          </w:tcPr>
          <w:p w14:paraId="48011C71" w14:textId="77777777" w:rsidR="0068355D" w:rsidRPr="00DE25AD" w:rsidRDefault="0068355D" w:rsidP="0068355D">
            <w:pPr>
              <w:pStyle w:val="ASSAD2017ACCESSBody1"/>
            </w:pPr>
            <w:r w:rsidRPr="00DE25AD">
              <w:t>Male</w:t>
            </w:r>
          </w:p>
        </w:tc>
        <w:tc>
          <w:tcPr>
            <w:tcW w:w="967" w:type="dxa"/>
            <w:shd w:val="clear" w:color="auto" w:fill="auto"/>
          </w:tcPr>
          <w:p w14:paraId="6DACFEC7" w14:textId="19FC9D31" w:rsidR="0068355D" w:rsidRPr="00DE25AD" w:rsidRDefault="0068355D" w:rsidP="0068355D">
            <w:pPr>
              <w:pStyle w:val="ASSADACCESStablecentre"/>
            </w:pPr>
            <w:r w:rsidRPr="002E5727">
              <w:rPr>
                <w:bCs w:val="0"/>
                <w:color w:val="000000"/>
              </w:rPr>
              <w:t>4*</w:t>
            </w:r>
          </w:p>
        </w:tc>
        <w:tc>
          <w:tcPr>
            <w:tcW w:w="967" w:type="dxa"/>
            <w:shd w:val="clear" w:color="auto" w:fill="auto"/>
          </w:tcPr>
          <w:p w14:paraId="20B70F6E" w14:textId="0B272AFC" w:rsidR="0068355D" w:rsidRPr="00DE25AD" w:rsidRDefault="0068355D" w:rsidP="0068355D">
            <w:pPr>
              <w:pStyle w:val="ASSADACCESStablecentre"/>
            </w:pPr>
            <w:r w:rsidRPr="002E5727">
              <w:rPr>
                <w:bCs w:val="0"/>
                <w:color w:val="000000"/>
              </w:rPr>
              <w:t>4*</w:t>
            </w:r>
          </w:p>
        </w:tc>
        <w:tc>
          <w:tcPr>
            <w:tcW w:w="967" w:type="dxa"/>
            <w:shd w:val="clear" w:color="auto" w:fill="auto"/>
          </w:tcPr>
          <w:p w14:paraId="29D7C19C" w14:textId="78A8B247" w:rsidR="0068355D" w:rsidRPr="00DE25AD" w:rsidRDefault="0068355D" w:rsidP="0068355D">
            <w:pPr>
              <w:pStyle w:val="ASSADACCESStablecentre"/>
            </w:pPr>
            <w:r w:rsidRPr="002E5727">
              <w:rPr>
                <w:bCs w:val="0"/>
                <w:color w:val="000000"/>
              </w:rPr>
              <w:t>3</w:t>
            </w:r>
            <w:r>
              <w:rPr>
                <w:bCs w:val="0"/>
                <w:color w:val="000000"/>
              </w:rPr>
              <w:t>*</w:t>
            </w:r>
            <w:r w:rsidRPr="002E5727">
              <w:rPr>
                <w:bCs w:val="0"/>
                <w:color w:val="000000"/>
              </w:rPr>
              <w:t>^</w:t>
            </w:r>
          </w:p>
        </w:tc>
        <w:tc>
          <w:tcPr>
            <w:tcW w:w="967" w:type="dxa"/>
            <w:shd w:val="clear" w:color="auto" w:fill="auto"/>
          </w:tcPr>
          <w:p w14:paraId="552B3E8F" w14:textId="7ACC387D" w:rsidR="0068355D" w:rsidRPr="00DE25AD" w:rsidRDefault="0068355D" w:rsidP="0068355D">
            <w:pPr>
              <w:pStyle w:val="ASSADACCESStablecentre"/>
            </w:pPr>
            <w:r w:rsidRPr="002E5727">
              <w:rPr>
                <w:bCs w:val="0"/>
                <w:color w:val="000000"/>
              </w:rPr>
              <w:t>3</w:t>
            </w:r>
            <w:r>
              <w:rPr>
                <w:bCs w:val="0"/>
                <w:color w:val="000000"/>
              </w:rPr>
              <w:t>*</w:t>
            </w:r>
            <w:r w:rsidRPr="002E5727">
              <w:rPr>
                <w:bCs w:val="0"/>
                <w:color w:val="000000"/>
              </w:rPr>
              <w:t>^</w:t>
            </w:r>
          </w:p>
        </w:tc>
        <w:tc>
          <w:tcPr>
            <w:tcW w:w="967" w:type="dxa"/>
            <w:shd w:val="clear" w:color="auto" w:fill="auto"/>
          </w:tcPr>
          <w:p w14:paraId="770BD953" w14:textId="07A0066E"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1C9D3C24" w14:textId="2123568C"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5718F5A3" w14:textId="63BBEF41" w:rsidR="0068355D" w:rsidRPr="00DE25AD" w:rsidRDefault="0068355D" w:rsidP="0068355D">
            <w:pPr>
              <w:pStyle w:val="ASSADACCESStablecentre"/>
            </w:pPr>
            <w:r w:rsidRPr="002E5727">
              <w:rPr>
                <w:bCs w:val="0"/>
                <w:color w:val="000000"/>
              </w:rPr>
              <w:t>2^</w:t>
            </w:r>
          </w:p>
        </w:tc>
      </w:tr>
      <w:tr w:rsidR="0068355D" w:rsidRPr="00DE25AD" w14:paraId="307C2837" w14:textId="77777777" w:rsidTr="00341AD2">
        <w:tc>
          <w:tcPr>
            <w:tcW w:w="1671" w:type="dxa"/>
            <w:tcMar>
              <w:left w:w="57" w:type="dxa"/>
            </w:tcMar>
          </w:tcPr>
          <w:p w14:paraId="1BC52571" w14:textId="77777777" w:rsidR="0068355D" w:rsidRPr="00DE25AD" w:rsidRDefault="0068355D" w:rsidP="0068355D">
            <w:pPr>
              <w:pStyle w:val="ACCESSTableHeaderRow"/>
            </w:pPr>
          </w:p>
        </w:tc>
        <w:tc>
          <w:tcPr>
            <w:tcW w:w="1176" w:type="dxa"/>
            <w:shd w:val="clear" w:color="auto" w:fill="auto"/>
            <w:tcMar>
              <w:left w:w="57" w:type="dxa"/>
            </w:tcMar>
            <w:vAlign w:val="bottom"/>
          </w:tcPr>
          <w:p w14:paraId="753A10AD" w14:textId="77777777" w:rsidR="0068355D" w:rsidRPr="00DE25AD" w:rsidRDefault="0068355D" w:rsidP="0068355D">
            <w:pPr>
              <w:pStyle w:val="ASSAD2017ACCESSBody1"/>
            </w:pPr>
            <w:r w:rsidRPr="00DE25AD">
              <w:t>Female</w:t>
            </w:r>
          </w:p>
        </w:tc>
        <w:tc>
          <w:tcPr>
            <w:tcW w:w="967" w:type="dxa"/>
            <w:shd w:val="clear" w:color="auto" w:fill="auto"/>
          </w:tcPr>
          <w:p w14:paraId="4F9EB8A1" w14:textId="3BD68BDF" w:rsidR="0068355D" w:rsidRPr="00DE25AD" w:rsidRDefault="0068355D" w:rsidP="0068355D">
            <w:pPr>
              <w:pStyle w:val="ASSADACCESStablecentre"/>
            </w:pPr>
            <w:r w:rsidRPr="002E5727">
              <w:rPr>
                <w:bCs w:val="0"/>
                <w:color w:val="000000"/>
              </w:rPr>
              <w:t>3*</w:t>
            </w:r>
          </w:p>
        </w:tc>
        <w:tc>
          <w:tcPr>
            <w:tcW w:w="967" w:type="dxa"/>
            <w:shd w:val="clear" w:color="auto" w:fill="auto"/>
          </w:tcPr>
          <w:p w14:paraId="171DD507" w14:textId="30C0BC22" w:rsidR="0068355D" w:rsidRPr="00DE25AD" w:rsidRDefault="0068355D" w:rsidP="0068355D">
            <w:pPr>
              <w:pStyle w:val="ASSADACCESStablecentre"/>
            </w:pPr>
            <w:r>
              <w:rPr>
                <w:bCs w:val="0"/>
                <w:color w:val="000000"/>
              </w:rPr>
              <w:t>3</w:t>
            </w:r>
            <w:r w:rsidRPr="002E5727">
              <w:rPr>
                <w:bCs w:val="0"/>
                <w:color w:val="000000"/>
              </w:rPr>
              <w:t>*</w:t>
            </w:r>
          </w:p>
        </w:tc>
        <w:tc>
          <w:tcPr>
            <w:tcW w:w="967" w:type="dxa"/>
            <w:shd w:val="clear" w:color="auto" w:fill="auto"/>
          </w:tcPr>
          <w:p w14:paraId="6E822D87" w14:textId="6CFE412F" w:rsidR="0068355D" w:rsidRPr="00DE25AD" w:rsidRDefault="0068355D" w:rsidP="0068355D">
            <w:pPr>
              <w:pStyle w:val="ASSADACCESStablecentre"/>
            </w:pPr>
            <w:r>
              <w:rPr>
                <w:bCs w:val="0"/>
                <w:color w:val="000000"/>
              </w:rPr>
              <w:t>2</w:t>
            </w:r>
            <w:r w:rsidRPr="002E5727">
              <w:rPr>
                <w:bCs w:val="0"/>
                <w:color w:val="000000"/>
              </w:rPr>
              <w:t>*</w:t>
            </w:r>
          </w:p>
        </w:tc>
        <w:tc>
          <w:tcPr>
            <w:tcW w:w="967" w:type="dxa"/>
            <w:shd w:val="clear" w:color="auto" w:fill="auto"/>
          </w:tcPr>
          <w:p w14:paraId="131998E5" w14:textId="7117AA4C" w:rsidR="0068355D" w:rsidRPr="00DE25AD" w:rsidRDefault="0068355D" w:rsidP="0068355D">
            <w:pPr>
              <w:pStyle w:val="ASSADACCESStablecentre"/>
            </w:pPr>
            <w:r w:rsidRPr="002E5727">
              <w:rPr>
                <w:bCs w:val="0"/>
                <w:color w:val="000000"/>
              </w:rPr>
              <w:t>2*</w:t>
            </w:r>
          </w:p>
        </w:tc>
        <w:tc>
          <w:tcPr>
            <w:tcW w:w="967" w:type="dxa"/>
            <w:shd w:val="clear" w:color="auto" w:fill="auto"/>
          </w:tcPr>
          <w:p w14:paraId="580B3E9D" w14:textId="33ED1A20"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426DFA6E" w14:textId="2A10027C" w:rsidR="0068355D" w:rsidRPr="00DE25AD" w:rsidRDefault="0068355D" w:rsidP="0068355D">
            <w:pPr>
              <w:pStyle w:val="ASSADACCESStablecentre"/>
            </w:pPr>
            <w:r>
              <w:rPr>
                <w:bCs w:val="0"/>
                <w:color w:val="000000"/>
              </w:rPr>
              <w:t>1</w:t>
            </w:r>
            <w:r w:rsidRPr="002E5727">
              <w:rPr>
                <w:bCs w:val="0"/>
                <w:color w:val="000000"/>
              </w:rPr>
              <w:t>^</w:t>
            </w:r>
          </w:p>
        </w:tc>
        <w:tc>
          <w:tcPr>
            <w:tcW w:w="967" w:type="dxa"/>
            <w:shd w:val="clear" w:color="auto" w:fill="auto"/>
            <w:vAlign w:val="bottom"/>
          </w:tcPr>
          <w:p w14:paraId="102D2F4C" w14:textId="433C261D" w:rsidR="0068355D" w:rsidRPr="00DE25AD" w:rsidRDefault="0068355D" w:rsidP="0068355D">
            <w:pPr>
              <w:pStyle w:val="ASSADACCESStablecentre"/>
            </w:pPr>
            <w:r w:rsidRPr="002E5727">
              <w:rPr>
                <w:bCs w:val="0"/>
                <w:color w:val="000000"/>
              </w:rPr>
              <w:t>1^</w:t>
            </w:r>
          </w:p>
        </w:tc>
      </w:tr>
      <w:tr w:rsidR="0068355D" w:rsidRPr="00DE25AD" w14:paraId="7E8FBEB4" w14:textId="77777777" w:rsidTr="00341AD2">
        <w:trPr>
          <w:trHeight w:val="247"/>
        </w:trPr>
        <w:tc>
          <w:tcPr>
            <w:tcW w:w="1671" w:type="dxa"/>
            <w:tcMar>
              <w:left w:w="57" w:type="dxa"/>
            </w:tcMar>
          </w:tcPr>
          <w:p w14:paraId="261F82E6" w14:textId="77777777" w:rsidR="0068355D" w:rsidRPr="00DE25AD" w:rsidRDefault="0068355D" w:rsidP="0068355D">
            <w:pPr>
              <w:pStyle w:val="ACCESSTableHeaderRow"/>
            </w:pPr>
          </w:p>
        </w:tc>
        <w:tc>
          <w:tcPr>
            <w:tcW w:w="1176" w:type="dxa"/>
            <w:shd w:val="clear" w:color="auto" w:fill="auto"/>
            <w:tcMar>
              <w:left w:w="57" w:type="dxa"/>
            </w:tcMar>
            <w:vAlign w:val="bottom"/>
          </w:tcPr>
          <w:p w14:paraId="21ED7EE2" w14:textId="77777777" w:rsidR="0068355D" w:rsidRPr="00DE25AD" w:rsidRDefault="0068355D" w:rsidP="0068355D">
            <w:pPr>
              <w:pStyle w:val="ASSAD2017ACCESSBody1"/>
            </w:pPr>
            <w:r w:rsidRPr="00DE25AD">
              <w:t>Total</w:t>
            </w:r>
          </w:p>
        </w:tc>
        <w:tc>
          <w:tcPr>
            <w:tcW w:w="967" w:type="dxa"/>
            <w:shd w:val="clear" w:color="auto" w:fill="auto"/>
          </w:tcPr>
          <w:p w14:paraId="2F2968F6" w14:textId="758F02EB" w:rsidR="0068355D" w:rsidRPr="00DE25AD" w:rsidRDefault="0068355D" w:rsidP="0068355D">
            <w:pPr>
              <w:pStyle w:val="ASSADACCESStablecentre"/>
            </w:pPr>
            <w:r w:rsidRPr="002E5727">
              <w:rPr>
                <w:bCs w:val="0"/>
                <w:color w:val="000000"/>
              </w:rPr>
              <w:t>4*</w:t>
            </w:r>
          </w:p>
        </w:tc>
        <w:tc>
          <w:tcPr>
            <w:tcW w:w="967" w:type="dxa"/>
            <w:shd w:val="clear" w:color="auto" w:fill="auto"/>
          </w:tcPr>
          <w:p w14:paraId="62AC7C6F" w14:textId="0A6FF027" w:rsidR="0068355D" w:rsidRPr="00DE25AD" w:rsidRDefault="0068355D" w:rsidP="0068355D">
            <w:pPr>
              <w:pStyle w:val="ASSADACCESStablecentre"/>
            </w:pPr>
            <w:r w:rsidRPr="002E5727">
              <w:rPr>
                <w:bCs w:val="0"/>
                <w:color w:val="000000"/>
              </w:rPr>
              <w:t>4*</w:t>
            </w:r>
          </w:p>
        </w:tc>
        <w:tc>
          <w:tcPr>
            <w:tcW w:w="967" w:type="dxa"/>
            <w:shd w:val="clear" w:color="auto" w:fill="auto"/>
          </w:tcPr>
          <w:p w14:paraId="0E2E8AB7" w14:textId="035CC889" w:rsidR="0068355D" w:rsidRPr="00DE25AD" w:rsidRDefault="0068355D" w:rsidP="0068355D">
            <w:pPr>
              <w:pStyle w:val="ASSADACCESStablecentre"/>
            </w:pPr>
            <w:r w:rsidRPr="002E5727">
              <w:rPr>
                <w:bCs w:val="0"/>
                <w:color w:val="000000"/>
              </w:rPr>
              <w:t>3*^</w:t>
            </w:r>
          </w:p>
        </w:tc>
        <w:tc>
          <w:tcPr>
            <w:tcW w:w="967" w:type="dxa"/>
            <w:shd w:val="clear" w:color="auto" w:fill="auto"/>
          </w:tcPr>
          <w:p w14:paraId="2A8C4089" w14:textId="1985E45F" w:rsidR="0068355D" w:rsidRPr="00DE25AD" w:rsidRDefault="0068355D" w:rsidP="0068355D">
            <w:pPr>
              <w:pStyle w:val="ASSADACCESStablecentre"/>
            </w:pPr>
            <w:r w:rsidRPr="002E5727">
              <w:rPr>
                <w:bCs w:val="0"/>
                <w:color w:val="000000"/>
              </w:rPr>
              <w:t>2</w:t>
            </w:r>
            <w:r>
              <w:rPr>
                <w:bCs w:val="0"/>
                <w:color w:val="000000"/>
              </w:rPr>
              <w:t>*</w:t>
            </w:r>
            <w:r w:rsidRPr="002E5727">
              <w:rPr>
                <w:bCs w:val="0"/>
                <w:color w:val="000000"/>
              </w:rPr>
              <w:t>^</w:t>
            </w:r>
          </w:p>
        </w:tc>
        <w:tc>
          <w:tcPr>
            <w:tcW w:w="967" w:type="dxa"/>
            <w:shd w:val="clear" w:color="auto" w:fill="auto"/>
          </w:tcPr>
          <w:p w14:paraId="61948822" w14:textId="4096D79E" w:rsidR="0068355D" w:rsidRPr="00DE25AD" w:rsidRDefault="0068355D" w:rsidP="0068355D">
            <w:pPr>
              <w:pStyle w:val="ASSADACCESStablecentre"/>
            </w:pPr>
            <w:r w:rsidRPr="002E5727">
              <w:rPr>
                <w:bCs w:val="0"/>
                <w:color w:val="000000"/>
              </w:rPr>
              <w:t>2</w:t>
            </w:r>
            <w:r>
              <w:rPr>
                <w:bCs w:val="0"/>
                <w:color w:val="000000"/>
              </w:rPr>
              <w:t>*</w:t>
            </w:r>
            <w:r w:rsidRPr="002E5727">
              <w:rPr>
                <w:bCs w:val="0"/>
                <w:color w:val="000000"/>
              </w:rPr>
              <w:t>^</w:t>
            </w:r>
          </w:p>
        </w:tc>
        <w:tc>
          <w:tcPr>
            <w:tcW w:w="967" w:type="dxa"/>
            <w:shd w:val="clear" w:color="auto" w:fill="auto"/>
            <w:vAlign w:val="bottom"/>
          </w:tcPr>
          <w:p w14:paraId="1A375B51" w14:textId="75DAB0B2" w:rsidR="0068355D" w:rsidRPr="00DE25AD" w:rsidRDefault="0068355D" w:rsidP="0068355D">
            <w:pPr>
              <w:pStyle w:val="ASSADACCESStablecentre"/>
            </w:pPr>
            <w:r w:rsidRPr="002E5727">
              <w:rPr>
                <w:bCs w:val="0"/>
                <w:color w:val="000000"/>
              </w:rPr>
              <w:t>2^</w:t>
            </w:r>
          </w:p>
        </w:tc>
        <w:tc>
          <w:tcPr>
            <w:tcW w:w="967" w:type="dxa"/>
            <w:shd w:val="clear" w:color="auto" w:fill="auto"/>
            <w:vAlign w:val="bottom"/>
          </w:tcPr>
          <w:p w14:paraId="58B6F988" w14:textId="61B996DF" w:rsidR="0068355D" w:rsidRPr="00DE25AD" w:rsidRDefault="0068355D" w:rsidP="0068355D">
            <w:pPr>
              <w:pStyle w:val="ASSADACCESStablecentre"/>
            </w:pPr>
            <w:r w:rsidRPr="002E5727">
              <w:rPr>
                <w:bCs w:val="0"/>
                <w:color w:val="000000"/>
              </w:rPr>
              <w:t>2^</w:t>
            </w:r>
          </w:p>
        </w:tc>
      </w:tr>
      <w:tr w:rsidR="0068355D" w:rsidRPr="00DE25AD" w14:paraId="49690E95" w14:textId="77777777" w:rsidTr="00341AD2">
        <w:trPr>
          <w:trHeight w:val="247"/>
        </w:trPr>
        <w:tc>
          <w:tcPr>
            <w:tcW w:w="1671" w:type="dxa"/>
            <w:tcMar>
              <w:left w:w="57" w:type="dxa"/>
            </w:tcMar>
          </w:tcPr>
          <w:p w14:paraId="6B93F999" w14:textId="77777777" w:rsidR="0068355D" w:rsidRPr="00DE25AD" w:rsidRDefault="0068355D" w:rsidP="0068355D">
            <w:pPr>
              <w:pStyle w:val="ACCESSTableHeaderRow"/>
            </w:pPr>
            <w:r w:rsidRPr="00DE25AD">
              <w:t xml:space="preserve">Past </w:t>
            </w:r>
            <w:r>
              <w:t>month</w:t>
            </w:r>
          </w:p>
        </w:tc>
        <w:tc>
          <w:tcPr>
            <w:tcW w:w="1176" w:type="dxa"/>
            <w:shd w:val="clear" w:color="auto" w:fill="auto"/>
            <w:tcMar>
              <w:left w:w="57" w:type="dxa"/>
            </w:tcMar>
            <w:vAlign w:val="bottom"/>
          </w:tcPr>
          <w:p w14:paraId="26DB4650" w14:textId="77777777" w:rsidR="0068355D" w:rsidRPr="00DE25AD" w:rsidRDefault="0068355D" w:rsidP="0068355D">
            <w:pPr>
              <w:pStyle w:val="ASSAD2017ACCESSBody1"/>
            </w:pPr>
            <w:r w:rsidRPr="00DE25AD">
              <w:t>Male</w:t>
            </w:r>
          </w:p>
        </w:tc>
        <w:tc>
          <w:tcPr>
            <w:tcW w:w="967" w:type="dxa"/>
            <w:shd w:val="clear" w:color="auto" w:fill="auto"/>
          </w:tcPr>
          <w:p w14:paraId="45253BE9" w14:textId="27DDCCBE"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tcPr>
          <w:p w14:paraId="4078331C" w14:textId="030465CD"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tcPr>
          <w:p w14:paraId="5E4D8E5D" w14:textId="5AC2159B" w:rsidR="0068355D" w:rsidRPr="00DE25AD" w:rsidRDefault="0068355D" w:rsidP="0068355D">
            <w:pPr>
              <w:pStyle w:val="ASSADACCESStablecentre"/>
            </w:pPr>
            <w:r w:rsidRPr="002E5727">
              <w:rPr>
                <w:bCs w:val="0"/>
                <w:color w:val="000000"/>
              </w:rPr>
              <w:t>2</w:t>
            </w:r>
            <w:r>
              <w:rPr>
                <w:bCs w:val="0"/>
                <w:color w:val="000000"/>
              </w:rPr>
              <w:t>*</w:t>
            </w:r>
          </w:p>
        </w:tc>
        <w:tc>
          <w:tcPr>
            <w:tcW w:w="967" w:type="dxa"/>
            <w:shd w:val="clear" w:color="auto" w:fill="auto"/>
          </w:tcPr>
          <w:p w14:paraId="605B73C7" w14:textId="62C3B4A0" w:rsidR="0068355D" w:rsidRPr="00DE25AD" w:rsidRDefault="0068355D" w:rsidP="0068355D">
            <w:pPr>
              <w:pStyle w:val="ASSADACCESStablecentre"/>
            </w:pPr>
            <w:r>
              <w:rPr>
                <w:bCs w:val="0"/>
                <w:color w:val="000000"/>
              </w:rPr>
              <w:t>1*</w:t>
            </w:r>
          </w:p>
        </w:tc>
        <w:tc>
          <w:tcPr>
            <w:tcW w:w="967" w:type="dxa"/>
            <w:shd w:val="clear" w:color="auto" w:fill="auto"/>
          </w:tcPr>
          <w:p w14:paraId="2F758C02" w14:textId="08F53C63"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vAlign w:val="bottom"/>
          </w:tcPr>
          <w:p w14:paraId="4B890616" w14:textId="431A68C6"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vAlign w:val="bottom"/>
          </w:tcPr>
          <w:p w14:paraId="62BB6044" w14:textId="6732405B" w:rsidR="0068355D" w:rsidRPr="00DE25AD" w:rsidRDefault="0068355D" w:rsidP="0068355D">
            <w:pPr>
              <w:pStyle w:val="ASSADACCESStablecentre"/>
            </w:pPr>
            <w:r w:rsidRPr="002E5727">
              <w:rPr>
                <w:bCs w:val="0"/>
                <w:color w:val="000000"/>
              </w:rPr>
              <w:t>1</w:t>
            </w:r>
            <w:r>
              <w:rPr>
                <w:bCs w:val="0"/>
                <w:color w:val="000000"/>
              </w:rPr>
              <w:t>^</w:t>
            </w:r>
          </w:p>
        </w:tc>
      </w:tr>
      <w:tr w:rsidR="0068355D" w:rsidRPr="00DE25AD" w14:paraId="449614B1" w14:textId="77777777" w:rsidTr="00341AD2">
        <w:trPr>
          <w:trHeight w:val="247"/>
        </w:trPr>
        <w:tc>
          <w:tcPr>
            <w:tcW w:w="1671" w:type="dxa"/>
            <w:tcMar>
              <w:left w:w="57" w:type="dxa"/>
            </w:tcMar>
          </w:tcPr>
          <w:p w14:paraId="5E6149F6" w14:textId="77777777" w:rsidR="0068355D" w:rsidRPr="00DE25AD" w:rsidRDefault="0068355D" w:rsidP="0068355D">
            <w:pPr>
              <w:pStyle w:val="ACCESSTableHeaderRow"/>
            </w:pPr>
          </w:p>
        </w:tc>
        <w:tc>
          <w:tcPr>
            <w:tcW w:w="1176" w:type="dxa"/>
            <w:shd w:val="clear" w:color="auto" w:fill="auto"/>
            <w:tcMar>
              <w:left w:w="57" w:type="dxa"/>
            </w:tcMar>
            <w:vAlign w:val="bottom"/>
          </w:tcPr>
          <w:p w14:paraId="555F486B" w14:textId="77777777" w:rsidR="0068355D" w:rsidRPr="00DE25AD" w:rsidRDefault="0068355D" w:rsidP="0068355D">
            <w:pPr>
              <w:pStyle w:val="ASSAD2017ACCESSBody1"/>
            </w:pPr>
            <w:r w:rsidRPr="00DE25AD">
              <w:t>Female</w:t>
            </w:r>
          </w:p>
        </w:tc>
        <w:tc>
          <w:tcPr>
            <w:tcW w:w="967" w:type="dxa"/>
            <w:shd w:val="clear" w:color="auto" w:fill="auto"/>
          </w:tcPr>
          <w:p w14:paraId="436A19D9" w14:textId="0DDBC764" w:rsidR="0068355D" w:rsidRPr="00DE25AD" w:rsidRDefault="0068355D" w:rsidP="0068355D">
            <w:pPr>
              <w:pStyle w:val="ASSADACCESStablecentre"/>
            </w:pPr>
            <w:r w:rsidRPr="002E5727">
              <w:rPr>
                <w:bCs w:val="0"/>
                <w:color w:val="000000"/>
              </w:rPr>
              <w:t>1</w:t>
            </w:r>
          </w:p>
        </w:tc>
        <w:tc>
          <w:tcPr>
            <w:tcW w:w="967" w:type="dxa"/>
            <w:shd w:val="clear" w:color="auto" w:fill="auto"/>
          </w:tcPr>
          <w:p w14:paraId="586E5FAA" w14:textId="437D031F" w:rsidR="0068355D" w:rsidRPr="00DE25AD" w:rsidRDefault="0068355D" w:rsidP="0068355D">
            <w:pPr>
              <w:pStyle w:val="ASSADACCESStablecentre"/>
            </w:pPr>
            <w:r w:rsidRPr="002E5727">
              <w:rPr>
                <w:bCs w:val="0"/>
                <w:color w:val="000000"/>
              </w:rPr>
              <w:t>1</w:t>
            </w:r>
            <w:r>
              <w:rPr>
                <w:bCs w:val="0"/>
                <w:color w:val="000000"/>
              </w:rPr>
              <w:t>*</w:t>
            </w:r>
          </w:p>
        </w:tc>
        <w:tc>
          <w:tcPr>
            <w:tcW w:w="967" w:type="dxa"/>
            <w:shd w:val="clear" w:color="auto" w:fill="auto"/>
          </w:tcPr>
          <w:p w14:paraId="1D58E1B0" w14:textId="2DED9427" w:rsidR="0068355D" w:rsidRPr="00DE25AD" w:rsidRDefault="0068355D" w:rsidP="0068355D">
            <w:pPr>
              <w:pStyle w:val="ASSADACCESStablecentre"/>
            </w:pPr>
            <w:r w:rsidRPr="002E5727">
              <w:rPr>
                <w:bCs w:val="0"/>
                <w:color w:val="000000"/>
              </w:rPr>
              <w:t>1</w:t>
            </w:r>
          </w:p>
        </w:tc>
        <w:tc>
          <w:tcPr>
            <w:tcW w:w="967" w:type="dxa"/>
            <w:shd w:val="clear" w:color="auto" w:fill="auto"/>
          </w:tcPr>
          <w:p w14:paraId="75D6EA1C" w14:textId="0E59787C" w:rsidR="0068355D" w:rsidRPr="00DE25AD" w:rsidRDefault="0068355D" w:rsidP="0068355D">
            <w:pPr>
              <w:pStyle w:val="ASSADACCESStablecentre"/>
            </w:pPr>
            <w:r w:rsidRPr="002E5727">
              <w:rPr>
                <w:bCs w:val="0"/>
                <w:color w:val="000000"/>
              </w:rPr>
              <w:t>1</w:t>
            </w:r>
          </w:p>
        </w:tc>
        <w:tc>
          <w:tcPr>
            <w:tcW w:w="967" w:type="dxa"/>
            <w:shd w:val="clear" w:color="auto" w:fill="auto"/>
          </w:tcPr>
          <w:p w14:paraId="50E037D2" w14:textId="196FD822"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44CA52AC" w14:textId="72C354D5" w:rsidR="0068355D" w:rsidRPr="00DE25AD" w:rsidRDefault="0068355D" w:rsidP="0068355D">
            <w:pPr>
              <w:pStyle w:val="ASSADACCESStablecentre"/>
            </w:pPr>
            <w:r w:rsidRPr="002E5727">
              <w:rPr>
                <w:bCs w:val="0"/>
                <w:color w:val="000000"/>
              </w:rPr>
              <w:t>&lt;1</w:t>
            </w:r>
            <w:r>
              <w:rPr>
                <w:bCs w:val="0"/>
                <w:color w:val="000000"/>
              </w:rPr>
              <w:t>^</w:t>
            </w:r>
          </w:p>
        </w:tc>
        <w:tc>
          <w:tcPr>
            <w:tcW w:w="967" w:type="dxa"/>
            <w:shd w:val="clear" w:color="auto" w:fill="auto"/>
            <w:vAlign w:val="bottom"/>
          </w:tcPr>
          <w:p w14:paraId="20D27318" w14:textId="4A9A7055" w:rsidR="0068355D" w:rsidRPr="00DE25AD" w:rsidRDefault="0068355D" w:rsidP="0068355D">
            <w:pPr>
              <w:pStyle w:val="ASSADACCESStablecentre"/>
            </w:pPr>
            <w:r w:rsidRPr="002E5727">
              <w:rPr>
                <w:bCs w:val="0"/>
                <w:color w:val="000000"/>
              </w:rPr>
              <w:t>&lt;1</w:t>
            </w:r>
          </w:p>
        </w:tc>
      </w:tr>
      <w:tr w:rsidR="0068355D" w:rsidRPr="00DE25AD" w14:paraId="2968E4AC" w14:textId="77777777" w:rsidTr="00341AD2">
        <w:trPr>
          <w:trHeight w:val="247"/>
        </w:trPr>
        <w:tc>
          <w:tcPr>
            <w:tcW w:w="1671" w:type="dxa"/>
            <w:tcMar>
              <w:left w:w="57" w:type="dxa"/>
            </w:tcMar>
          </w:tcPr>
          <w:p w14:paraId="4CA4B440" w14:textId="77777777" w:rsidR="0068355D" w:rsidRPr="00DE25AD" w:rsidRDefault="0068355D" w:rsidP="0068355D">
            <w:pPr>
              <w:pStyle w:val="ACCESSTableHeaderRow"/>
            </w:pPr>
          </w:p>
        </w:tc>
        <w:tc>
          <w:tcPr>
            <w:tcW w:w="1176" w:type="dxa"/>
            <w:shd w:val="clear" w:color="auto" w:fill="auto"/>
            <w:tcMar>
              <w:left w:w="57" w:type="dxa"/>
            </w:tcMar>
            <w:vAlign w:val="bottom"/>
          </w:tcPr>
          <w:p w14:paraId="65A3CEF1" w14:textId="77777777" w:rsidR="0068355D" w:rsidRPr="00DE25AD" w:rsidRDefault="0068355D" w:rsidP="0068355D">
            <w:pPr>
              <w:pStyle w:val="ASSAD2017ACCESSBody1"/>
            </w:pPr>
            <w:r w:rsidRPr="00DE25AD">
              <w:t>Total</w:t>
            </w:r>
          </w:p>
        </w:tc>
        <w:tc>
          <w:tcPr>
            <w:tcW w:w="967" w:type="dxa"/>
            <w:shd w:val="clear" w:color="auto" w:fill="auto"/>
          </w:tcPr>
          <w:p w14:paraId="5846EFA2" w14:textId="21D43796" w:rsidR="0068355D" w:rsidRPr="00DE25AD" w:rsidRDefault="0068355D" w:rsidP="0068355D">
            <w:pPr>
              <w:pStyle w:val="ASSADACCESStablecentre"/>
            </w:pPr>
            <w:r w:rsidRPr="002E5727">
              <w:rPr>
                <w:bCs w:val="0"/>
                <w:color w:val="000000"/>
              </w:rPr>
              <w:t>1*</w:t>
            </w:r>
          </w:p>
        </w:tc>
        <w:tc>
          <w:tcPr>
            <w:tcW w:w="967" w:type="dxa"/>
            <w:shd w:val="clear" w:color="auto" w:fill="auto"/>
          </w:tcPr>
          <w:p w14:paraId="3463EBE6" w14:textId="65652CA3" w:rsidR="0068355D" w:rsidRPr="00DE25AD" w:rsidRDefault="0068355D" w:rsidP="0068355D">
            <w:pPr>
              <w:pStyle w:val="ASSADACCESStablecentre"/>
            </w:pPr>
            <w:r w:rsidRPr="002E5727">
              <w:rPr>
                <w:bCs w:val="0"/>
                <w:color w:val="000000"/>
              </w:rPr>
              <w:t>1*</w:t>
            </w:r>
          </w:p>
        </w:tc>
        <w:tc>
          <w:tcPr>
            <w:tcW w:w="967" w:type="dxa"/>
            <w:shd w:val="clear" w:color="auto" w:fill="auto"/>
          </w:tcPr>
          <w:p w14:paraId="785DAC6B" w14:textId="756E5D6D" w:rsidR="0068355D" w:rsidRPr="00DE25AD" w:rsidRDefault="0068355D" w:rsidP="0068355D">
            <w:pPr>
              <w:pStyle w:val="ASSADACCESStablecentre"/>
            </w:pPr>
            <w:r w:rsidRPr="002E5727">
              <w:rPr>
                <w:bCs w:val="0"/>
                <w:color w:val="000000"/>
              </w:rPr>
              <w:t>1*</w:t>
            </w:r>
          </w:p>
        </w:tc>
        <w:tc>
          <w:tcPr>
            <w:tcW w:w="967" w:type="dxa"/>
            <w:shd w:val="clear" w:color="auto" w:fill="auto"/>
          </w:tcPr>
          <w:p w14:paraId="3CAC8B38" w14:textId="2603143D" w:rsidR="0068355D" w:rsidRPr="00DE25AD" w:rsidRDefault="0068355D" w:rsidP="0068355D">
            <w:pPr>
              <w:pStyle w:val="ASSADACCESStablecentre"/>
            </w:pPr>
            <w:r w:rsidRPr="002E5727">
              <w:rPr>
                <w:bCs w:val="0"/>
                <w:color w:val="000000"/>
              </w:rPr>
              <w:t>1*</w:t>
            </w:r>
          </w:p>
        </w:tc>
        <w:tc>
          <w:tcPr>
            <w:tcW w:w="967" w:type="dxa"/>
            <w:shd w:val="clear" w:color="auto" w:fill="auto"/>
          </w:tcPr>
          <w:p w14:paraId="4265B10B" w14:textId="5F2C2287" w:rsidR="0068355D" w:rsidRPr="00DE25AD" w:rsidRDefault="0068355D" w:rsidP="0068355D">
            <w:pPr>
              <w:pStyle w:val="ASSADACCESStablecentre"/>
            </w:pPr>
            <w:r w:rsidRPr="002E5727">
              <w:rPr>
                <w:bCs w:val="0"/>
                <w:color w:val="000000"/>
              </w:rPr>
              <w:t>1</w:t>
            </w:r>
            <w:r>
              <w:rPr>
                <w:bCs w:val="0"/>
                <w:color w:val="000000"/>
              </w:rPr>
              <w:t>*</w:t>
            </w:r>
            <w:r w:rsidRPr="002E5727">
              <w:rPr>
                <w:bCs w:val="0"/>
                <w:color w:val="000000"/>
              </w:rPr>
              <w:t>^</w:t>
            </w:r>
          </w:p>
        </w:tc>
        <w:tc>
          <w:tcPr>
            <w:tcW w:w="967" w:type="dxa"/>
            <w:shd w:val="clear" w:color="auto" w:fill="auto"/>
            <w:vAlign w:val="bottom"/>
          </w:tcPr>
          <w:p w14:paraId="5245DAB2" w14:textId="3B3581FD" w:rsidR="0068355D" w:rsidRPr="00DE25AD" w:rsidRDefault="0068355D" w:rsidP="0068355D">
            <w:pPr>
              <w:pStyle w:val="ASSADACCESStablecentre"/>
            </w:pPr>
            <w:r w:rsidRPr="002E5727">
              <w:rPr>
                <w:bCs w:val="0"/>
                <w:color w:val="000000"/>
              </w:rPr>
              <w:t>1^</w:t>
            </w:r>
          </w:p>
        </w:tc>
        <w:tc>
          <w:tcPr>
            <w:tcW w:w="967" w:type="dxa"/>
            <w:shd w:val="clear" w:color="auto" w:fill="auto"/>
            <w:vAlign w:val="bottom"/>
          </w:tcPr>
          <w:p w14:paraId="5CE3C77D" w14:textId="0EC8A4CC" w:rsidR="0068355D" w:rsidRPr="00DE25AD" w:rsidRDefault="0068355D" w:rsidP="0068355D">
            <w:pPr>
              <w:pStyle w:val="ASSADACCESStablecentre"/>
            </w:pPr>
            <w:r w:rsidRPr="002E5727">
              <w:rPr>
                <w:bCs w:val="0"/>
                <w:color w:val="000000"/>
              </w:rPr>
              <w:t>1^</w:t>
            </w:r>
          </w:p>
        </w:tc>
      </w:tr>
    </w:tbl>
    <w:p w14:paraId="3819614B" w14:textId="77777777" w:rsidR="00B044BD" w:rsidRDefault="00B044BD" w:rsidP="00B044BD">
      <w:pPr>
        <w:pStyle w:val="ASSAD2017CWTablenote1"/>
      </w:pPr>
      <w:r w:rsidRPr="002E5727">
        <w:t>* Significantly different than 201</w:t>
      </w:r>
      <w:r>
        <w:t>4</w:t>
      </w:r>
      <w:r w:rsidRPr="002E5727">
        <w:t>, p&lt;.01; ^ Significantly different than 1996, p&lt;.01</w:t>
      </w:r>
      <w:r>
        <w:t>.</w:t>
      </w:r>
    </w:p>
    <w:p w14:paraId="4B8282CC" w14:textId="77777777" w:rsidR="00B044BD" w:rsidRDefault="00B044BD" w:rsidP="003A48EC">
      <w:pPr>
        <w:pStyle w:val="ASSAD2017CWTablenote1"/>
      </w:pPr>
    </w:p>
    <w:p w14:paraId="00D3E9AB" w14:textId="77777777" w:rsidR="00D7479A" w:rsidRDefault="00D7479A" w:rsidP="00D7479A">
      <w:pPr>
        <w:pStyle w:val="ASSAD2017CWTablenote1"/>
      </w:pPr>
    </w:p>
    <w:p w14:paraId="124B7599" w14:textId="77777777" w:rsidR="00D7479A" w:rsidRDefault="00D7479A" w:rsidP="00826FCB">
      <w:pPr>
        <w:pStyle w:val="ASSAD2017CWTablenote1"/>
      </w:pPr>
    </w:p>
    <w:p w14:paraId="5C609AF3" w14:textId="04AF1BDA" w:rsidR="0088687E" w:rsidRPr="00DE25AD" w:rsidRDefault="0088687E" w:rsidP="00B17F4F">
      <w:pPr>
        <w:pStyle w:val="ASSAD2017CWTablenote1"/>
        <w:rPr>
          <w:bCs/>
          <w:sz w:val="20"/>
          <w:szCs w:val="28"/>
        </w:rPr>
      </w:pPr>
      <w:r w:rsidRPr="00DE25AD">
        <w:br w:type="page"/>
      </w:r>
    </w:p>
    <w:p w14:paraId="40C4B903" w14:textId="7D6A6693" w:rsidR="004A5A24" w:rsidRPr="00DE25AD" w:rsidRDefault="00A22804" w:rsidP="004A5A24">
      <w:pPr>
        <w:pStyle w:val="ASSAD2017ACCESSHeading1"/>
        <w:rPr>
          <w:rStyle w:val="ASSAD2017ACCESSHeading1Char"/>
        </w:rPr>
      </w:pPr>
      <w:bookmarkStart w:id="91" w:name="_Toc333326452"/>
      <w:bookmarkStart w:id="92" w:name="_Toc333331709"/>
      <w:bookmarkStart w:id="93" w:name="_Toc333501827"/>
      <w:bookmarkStart w:id="94" w:name="_Toc341961385"/>
      <w:bookmarkStart w:id="95" w:name="_Toc342644195"/>
      <w:bookmarkStart w:id="96" w:name="_Toc419187155"/>
      <w:bookmarkStart w:id="97" w:name="_Toc424739666"/>
      <w:bookmarkStart w:id="98" w:name="_Toc428379228"/>
      <w:bookmarkStart w:id="99" w:name="_Toc428527108"/>
      <w:bookmarkStart w:id="100" w:name="_Toc432412636"/>
      <w:bookmarkStart w:id="101" w:name="_Toc437870326"/>
      <w:bookmarkEnd w:id="2"/>
      <w:bookmarkEnd w:id="3"/>
      <w:bookmarkEnd w:id="4"/>
      <w:bookmarkEnd w:id="5"/>
      <w:bookmarkEnd w:id="62"/>
      <w:bookmarkEnd w:id="63"/>
      <w:bookmarkEnd w:id="67"/>
      <w:bookmarkEnd w:id="68"/>
      <w:bookmarkEnd w:id="69"/>
      <w:bookmarkEnd w:id="70"/>
      <w:bookmarkEnd w:id="71"/>
      <w:bookmarkEnd w:id="72"/>
      <w:r>
        <w:lastRenderedPageBreak/>
        <w:t>Summary of methods</w:t>
      </w:r>
    </w:p>
    <w:bookmarkEnd w:id="91"/>
    <w:bookmarkEnd w:id="92"/>
    <w:bookmarkEnd w:id="93"/>
    <w:bookmarkEnd w:id="94"/>
    <w:bookmarkEnd w:id="95"/>
    <w:bookmarkEnd w:id="96"/>
    <w:bookmarkEnd w:id="97"/>
    <w:bookmarkEnd w:id="98"/>
    <w:bookmarkEnd w:id="99"/>
    <w:bookmarkEnd w:id="100"/>
    <w:bookmarkEnd w:id="101"/>
    <w:p w14:paraId="06429B23" w14:textId="21101D4A" w:rsidR="00B3160F" w:rsidRPr="00DE25AD" w:rsidRDefault="00A22804" w:rsidP="004A5A24">
      <w:pPr>
        <w:pStyle w:val="ASSAD2017ACCESSHeading2"/>
      </w:pPr>
      <w:r>
        <w:t>Sample size and final data set</w:t>
      </w:r>
    </w:p>
    <w:p w14:paraId="03C162B3" w14:textId="30F2CBD4" w:rsidR="00E162CF" w:rsidRPr="00DE25AD" w:rsidRDefault="00A22804" w:rsidP="00D56F37">
      <w:pPr>
        <w:pStyle w:val="ASSAD2017ACCESSBody1"/>
      </w:pPr>
      <w:r w:rsidRPr="002E5727">
        <w:rPr>
          <w:color w:val="000000"/>
        </w:rPr>
        <w:t>During each ASSAD survey period</w:t>
      </w:r>
      <w:r>
        <w:rPr>
          <w:color w:val="000000"/>
        </w:rPr>
        <w:t xml:space="preserve"> between 1996 and 2017,</w:t>
      </w:r>
      <w:r w:rsidRPr="002E5727">
        <w:rPr>
          <w:color w:val="000000"/>
        </w:rPr>
        <w:t xml:space="preserve"> around </w:t>
      </w:r>
      <w:r>
        <w:rPr>
          <w:color w:val="000000"/>
        </w:rPr>
        <w:t>19</w:t>
      </w:r>
      <w:r w:rsidRPr="002E5727">
        <w:rPr>
          <w:color w:val="000000"/>
        </w:rPr>
        <w:t xml:space="preserve">,000-30,000 students from years 7 to 12 were surveyed from schools across Australia (Table </w:t>
      </w:r>
      <w:r w:rsidR="0070715C">
        <w:rPr>
          <w:color w:val="000000"/>
        </w:rPr>
        <w:t>20</w:t>
      </w:r>
      <w:r w:rsidRPr="002E5727">
        <w:rPr>
          <w:color w:val="000000"/>
        </w:rPr>
        <w:t>). Data collected during each survey were cleaned following an identical procedure, as reported elsewhere</w:t>
      </w:r>
      <w:r w:rsidRPr="002E5727">
        <w:rPr>
          <w:color w:val="000000"/>
          <w:vertAlign w:val="superscript"/>
        </w:rPr>
        <w:footnoteReference w:id="96"/>
      </w:r>
      <w:r w:rsidRPr="002E5727">
        <w:rPr>
          <w:color w:val="000000"/>
        </w:rPr>
        <w:t>. We excluded data from students who were not aged between 12 and 17 or who did not indicate their sex.</w:t>
      </w:r>
    </w:p>
    <w:p w14:paraId="01F8BBD9" w14:textId="4BFB4930" w:rsidR="00B3160F" w:rsidRPr="00DE25AD" w:rsidRDefault="00A22804" w:rsidP="00E162CF">
      <w:pPr>
        <w:pStyle w:val="ASSAD2017ACCESSHeading2"/>
      </w:pPr>
      <w:r>
        <w:t>Measures of substance use</w:t>
      </w:r>
    </w:p>
    <w:p w14:paraId="6C65A1D7" w14:textId="77777777" w:rsidR="00D56F37" w:rsidRDefault="00A22804" w:rsidP="00D56F37">
      <w:pPr>
        <w:pStyle w:val="ASSAD2017CWBody1"/>
        <w:rPr>
          <w:color w:val="000000"/>
        </w:rPr>
      </w:pPr>
      <w:bookmarkStart w:id="102" w:name="_Toc419187157"/>
      <w:bookmarkStart w:id="103" w:name="_Toc432412638"/>
      <w:bookmarkStart w:id="104" w:name="_Toc437931460"/>
      <w:r w:rsidRPr="002E5727">
        <w:rPr>
          <w:color w:val="000000"/>
        </w:rPr>
        <w:t>We asked students how many times they had used each substance within specified time periods. For all substances, the recency of use categories overlap and are not mutually exclusive. For example, a student who reported having used a substance in the past week was also included in the estimates of use for all other time periods (i.e., past month, past year, and lifetime use).</w:t>
      </w:r>
    </w:p>
    <w:p w14:paraId="4040BAAF" w14:textId="12076813" w:rsidR="00F41128" w:rsidRPr="00F41128" w:rsidRDefault="00F41128" w:rsidP="00F41128">
      <w:pPr>
        <w:pStyle w:val="ASSAD2017ACCESSHeading2"/>
        <w:rPr>
          <w:i/>
          <w:iCs/>
        </w:rPr>
      </w:pPr>
      <w:r>
        <w:rPr>
          <w:i/>
          <w:iCs/>
        </w:rPr>
        <w:t>Tobacco</w:t>
      </w:r>
    </w:p>
    <w:p w14:paraId="623B129E" w14:textId="7A4A816A" w:rsidR="00F41128" w:rsidRDefault="0005637F" w:rsidP="00F41128">
      <w:pPr>
        <w:pStyle w:val="ASSAD2017CWBody1"/>
        <w:rPr>
          <w:color w:val="000000"/>
        </w:rPr>
      </w:pPr>
      <w:r w:rsidRPr="002E5727">
        <w:rPr>
          <w:color w:val="000000"/>
        </w:rPr>
        <w:t>We use the terms ‘smoker’ and ‘tobacco use’ to refer to cigarette use. The prevalence of tobacco use is reported within recency periods by sex and age group.</w:t>
      </w:r>
    </w:p>
    <w:p w14:paraId="0F46210D" w14:textId="6BCCCAF6" w:rsidR="00F41128" w:rsidRPr="00F41128" w:rsidRDefault="00F41128" w:rsidP="00F41128">
      <w:pPr>
        <w:pStyle w:val="ASSAD2017ACCESSHeading2"/>
        <w:rPr>
          <w:i/>
          <w:iCs/>
        </w:rPr>
      </w:pPr>
      <w:r>
        <w:rPr>
          <w:i/>
          <w:iCs/>
        </w:rPr>
        <w:t>Alcohol</w:t>
      </w:r>
    </w:p>
    <w:p w14:paraId="5C131BBD" w14:textId="77777777" w:rsidR="0005637F" w:rsidRPr="002E5727" w:rsidRDefault="0005637F" w:rsidP="0005637F">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Prevalence of alcohol use within recency periods is reported by sex and age group.</w:t>
      </w:r>
    </w:p>
    <w:p w14:paraId="04BB06A0" w14:textId="641C0F34" w:rsidR="00F41128" w:rsidRDefault="0005637F" w:rsidP="0005637F">
      <w:pPr>
        <w:pStyle w:val="ASSAD2017CWBody1"/>
        <w:rPr>
          <w:color w:val="000000"/>
        </w:rPr>
      </w:pPr>
      <w:r w:rsidRPr="002E5727">
        <w:rPr>
          <w:color w:val="000000"/>
        </w:rPr>
        <w:t>The 2009 NHMRC alcohol use guidelines advise abstinence as the safest option for people under 18</w:t>
      </w:r>
      <w:r w:rsidRPr="002E5727">
        <w:rPr>
          <w:color w:val="000000"/>
          <w:vertAlign w:val="superscript"/>
        </w:rPr>
        <w:footnoteReference w:id="97"/>
      </w:r>
      <w:r w:rsidRPr="002E5727">
        <w:rPr>
          <w:color w:val="000000"/>
        </w:rPr>
        <w:t>. Ever consuming alcohol indicates not adhering to this guideline. The guidelines also state that adults who consume five or more alcoholic drinks on any day are putting themselves at risk. We used this guideline for adults to estimate a risky level of alcohol consumption for teenagers and report the percentage of students who drank at this level that could result in short-term harm.</w:t>
      </w:r>
    </w:p>
    <w:p w14:paraId="15F9CE31" w14:textId="53D85C22" w:rsidR="00F41128" w:rsidRPr="00F41128" w:rsidRDefault="00F41128" w:rsidP="00F41128">
      <w:pPr>
        <w:pStyle w:val="ASSAD2017ACCESSHeading2"/>
        <w:rPr>
          <w:i/>
          <w:iCs/>
        </w:rPr>
      </w:pPr>
      <w:r>
        <w:rPr>
          <w:i/>
          <w:iCs/>
        </w:rPr>
        <w:t>Other substance use</w:t>
      </w:r>
    </w:p>
    <w:p w14:paraId="6BA1467D" w14:textId="46987918" w:rsidR="00F41128" w:rsidRDefault="00CA4F24" w:rsidP="00F41128">
      <w:pPr>
        <w:pStyle w:val="ASSAD2017CWBody1"/>
        <w:rPr>
          <w:color w:val="000000"/>
        </w:rPr>
      </w:pPr>
      <w:r w:rsidRPr="002E5727">
        <w:rPr>
          <w:color w:val="000000"/>
        </w:rPr>
        <w:t>The prevalence of other illicit substance use is reported within recency periods by sex and age group.</w:t>
      </w:r>
    </w:p>
    <w:p w14:paraId="251A2AE3" w14:textId="0819B099" w:rsidR="00F41128" w:rsidRPr="00DE25AD" w:rsidRDefault="00F41128" w:rsidP="00F41128">
      <w:pPr>
        <w:pStyle w:val="ASSAD2017ACCESSHeading2"/>
      </w:pPr>
      <w:r>
        <w:t>Data analysis</w:t>
      </w:r>
    </w:p>
    <w:p w14:paraId="37E82A49" w14:textId="035FFFEC" w:rsidR="00F41128" w:rsidRPr="00F41128" w:rsidRDefault="00F41128" w:rsidP="00F41128">
      <w:pPr>
        <w:pStyle w:val="ASSAD2017ACCESSHeading2"/>
        <w:rPr>
          <w:i/>
          <w:iCs/>
        </w:rPr>
      </w:pPr>
      <w:r>
        <w:rPr>
          <w:i/>
          <w:iCs/>
        </w:rPr>
        <w:t>Population weights</w:t>
      </w:r>
    </w:p>
    <w:p w14:paraId="60AB0743" w14:textId="7CC6B1B5" w:rsidR="00F41128" w:rsidRDefault="00CA4F24" w:rsidP="00F41128">
      <w:pPr>
        <w:pStyle w:val="ASSAD2017CWBody1"/>
        <w:rPr>
          <w:color w:val="000000"/>
        </w:rPr>
      </w:pPr>
      <w:r w:rsidRPr="002E5727">
        <w:rPr>
          <w:color w:val="000000"/>
        </w:rPr>
        <w:t>Analyses for students aged 12 to 17 were run with weighted data. Population weights align the sample with the distribution of 12 to 17 year old students in schools nation-wide. Weights address any possible bias in estimates of the prevalence of substance use that might result from disproportionate sampling of any state or territory, education sector, age, or sex. Enrolment details collected by the Australian Bureau of Statistics (ABS) in the survey year of students by sex, age group, and education sector, were used to calculate weights</w:t>
      </w:r>
      <w:r w:rsidRPr="002E5727">
        <w:rPr>
          <w:color w:val="000000"/>
          <w:vertAlign w:val="superscript"/>
        </w:rPr>
        <w:footnoteReference w:id="98"/>
      </w:r>
      <w:r w:rsidRPr="002E5727">
        <w:rPr>
          <w:color w:val="000000"/>
        </w:rPr>
        <w:t>.</w:t>
      </w:r>
    </w:p>
    <w:p w14:paraId="1C427FE4" w14:textId="5673F63D" w:rsidR="00F41128" w:rsidRPr="00F41128" w:rsidRDefault="00F41128" w:rsidP="00F41128">
      <w:pPr>
        <w:pStyle w:val="ASSAD2017ACCESSHeading2"/>
        <w:rPr>
          <w:i/>
          <w:iCs/>
        </w:rPr>
      </w:pPr>
      <w:r>
        <w:rPr>
          <w:i/>
          <w:iCs/>
        </w:rPr>
        <w:t>Alpha levels</w:t>
      </w:r>
    </w:p>
    <w:p w14:paraId="3E310C8B" w14:textId="4FAEA01B" w:rsidR="00F41128" w:rsidRDefault="00CA4F24" w:rsidP="00F41128">
      <w:pPr>
        <w:pStyle w:val="ASSAD2017CWBody1"/>
        <w:rPr>
          <w:color w:val="000000"/>
        </w:rPr>
      </w:pPr>
      <w:r w:rsidRPr="002E5727">
        <w:rPr>
          <w:color w:val="000000"/>
        </w:rPr>
        <w:t>As the sample is large, we interpreted and reported associations that were statistically significant at an alpha level of .01 (</w:t>
      </w:r>
      <w:r w:rsidRPr="002E5727">
        <w:rPr>
          <w:i/>
          <w:color w:val="000000"/>
        </w:rPr>
        <w:t>p &lt;</w:t>
      </w:r>
      <w:r w:rsidRPr="002E5727">
        <w:rPr>
          <w:color w:val="000000"/>
        </w:rPr>
        <w:t xml:space="preserve"> .01, or the 99% confidence interval did not include 0) as meaningful effects.</w:t>
      </w:r>
    </w:p>
    <w:p w14:paraId="4F1563B0" w14:textId="0E2A99D0" w:rsidR="00F41128" w:rsidRPr="00F41128" w:rsidRDefault="00F41128" w:rsidP="00F41128">
      <w:pPr>
        <w:pStyle w:val="ASSAD2017ACCESSHeading2"/>
        <w:rPr>
          <w:i/>
          <w:iCs/>
        </w:rPr>
      </w:pPr>
      <w:r>
        <w:rPr>
          <w:i/>
          <w:iCs/>
        </w:rPr>
        <w:t>Confidence intervals</w:t>
      </w:r>
    </w:p>
    <w:p w14:paraId="029E2E9C" w14:textId="66BEC588" w:rsidR="00F41128" w:rsidRDefault="00CA4F24" w:rsidP="00F41128">
      <w:pPr>
        <w:pStyle w:val="ASSAD2017CWBody1"/>
        <w:rPr>
          <w:color w:val="000000"/>
        </w:rPr>
      </w:pPr>
      <w:r w:rsidRPr="002E5727">
        <w:rPr>
          <w:color w:val="000000"/>
        </w:rPr>
        <w:t>Prevalence estimates for the 2017 sample are provided for information. When the confidence interval is wide, we are less certain that the point estimate accurately reflects the population prevalence. For percentages or proportions, sampling error is indicated by the 95% confidence interval calculated for the number of students in the analysed group (e.g., 17 year old females) and the percentage reported (e.g., 20%). For smaller sample sizes and when the estimate is close to 50%, the confidence interval will be wide and should be interpreted with greater caution than when sample size</w:t>
      </w:r>
      <w:r>
        <w:rPr>
          <w:color w:val="000000"/>
        </w:rPr>
        <w:t>s</w:t>
      </w:r>
      <w:r w:rsidRPr="002E5727">
        <w:rPr>
          <w:color w:val="000000"/>
        </w:rPr>
        <w:t xml:space="preserve"> </w:t>
      </w:r>
      <w:r>
        <w:rPr>
          <w:color w:val="000000"/>
        </w:rPr>
        <w:t>are</w:t>
      </w:r>
      <w:r w:rsidRPr="002E5727">
        <w:rPr>
          <w:color w:val="000000"/>
        </w:rPr>
        <w:t xml:space="preserve"> larger and estimates are more extreme. Interpretation of results should be made with reference to the confidence interval associated with the sample size for each age and sex group (Table </w:t>
      </w:r>
      <w:r>
        <w:rPr>
          <w:bCs w:val="0"/>
          <w:color w:val="000000"/>
        </w:rPr>
        <w:t>21</w:t>
      </w:r>
      <w:r w:rsidRPr="002E5727">
        <w:rPr>
          <w:color w:val="000000"/>
        </w:rPr>
        <w:t>).</w:t>
      </w:r>
    </w:p>
    <w:p w14:paraId="34D3B4B2" w14:textId="77777777" w:rsidR="00E13786" w:rsidRDefault="00E13786">
      <w:pPr>
        <w:suppressAutoHyphens w:val="0"/>
        <w:rPr>
          <w:rFonts w:ascii="Arial" w:hAnsi="Arial" w:cs="Arial"/>
          <w:b/>
          <w:bCs/>
          <w:i/>
          <w:iCs/>
          <w:szCs w:val="28"/>
        </w:rPr>
      </w:pPr>
      <w:r>
        <w:rPr>
          <w:i/>
          <w:iCs/>
        </w:rPr>
        <w:br w:type="page"/>
      </w:r>
    </w:p>
    <w:p w14:paraId="7ABB0B9B" w14:textId="54FACE93" w:rsidR="00F41128" w:rsidRPr="00F41128" w:rsidRDefault="00F41128" w:rsidP="00F41128">
      <w:pPr>
        <w:pStyle w:val="ASSAD2017ACCESSHeading2"/>
        <w:rPr>
          <w:i/>
          <w:iCs/>
        </w:rPr>
      </w:pPr>
      <w:r>
        <w:rPr>
          <w:i/>
          <w:iCs/>
        </w:rPr>
        <w:lastRenderedPageBreak/>
        <w:t>Limitations</w:t>
      </w:r>
    </w:p>
    <w:p w14:paraId="3251CBA0" w14:textId="77777777" w:rsidR="00CA4F24" w:rsidRPr="002E5727" w:rsidRDefault="00CA4F24" w:rsidP="00CA4F24">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ASSAD data across survey years provides a series of cross-sectional ‘slices’ of patterns of population prevalence of substance use among secondary students in Australia. These</w:t>
      </w:r>
      <w:r>
        <w:rPr>
          <w:color w:val="000000"/>
        </w:rPr>
        <w:t xml:space="preserve"> </w:t>
      </w:r>
      <w:r w:rsidRPr="002E5727">
        <w:rPr>
          <w:rFonts w:ascii="Arial" w:hAnsi="Arial" w:cs="Arial"/>
          <w:bCs/>
          <w:color w:val="000000"/>
          <w:sz w:val="20"/>
          <w:szCs w:val="20"/>
          <w:lang w:val="en-US"/>
        </w:rPr>
        <w:t>patterns demonstrate associations over time between substance use and key social, political, and developmental factors that have an impact on adolescents’ lives. However, as these data are not longitudinal and do not track the development of individual students over time, it is more difficult to make definite conclusions about the causes of changes in the prevalence of substance use in this age group.</w:t>
      </w:r>
    </w:p>
    <w:p w14:paraId="39B79DC5" w14:textId="77777777" w:rsidR="00CA4F24" w:rsidRPr="002E5727" w:rsidRDefault="00CA4F24" w:rsidP="00CA4F24">
      <w:pPr>
        <w:widowControl w:val="0"/>
        <w:spacing w:after="120"/>
        <w:rPr>
          <w:rFonts w:ascii="Arial" w:hAnsi="Arial" w:cs="Arial"/>
          <w:bCs/>
          <w:color w:val="000000"/>
          <w:sz w:val="20"/>
          <w:szCs w:val="20"/>
          <w:lang w:val="en-US"/>
        </w:rPr>
      </w:pPr>
      <w:r w:rsidRPr="002E5727">
        <w:rPr>
          <w:rFonts w:ascii="Arial" w:hAnsi="Arial" w:cs="Arial"/>
          <w:bCs/>
          <w:color w:val="000000"/>
          <w:sz w:val="20"/>
          <w:szCs w:val="20"/>
          <w:lang w:val="en-US"/>
        </w:rPr>
        <w:t>In addition, the self-report measures used in ASSAD surveys can reflect the social desirability of the reported behaviour, and trends might reflect changes in social</w:t>
      </w:r>
      <w:r>
        <w:rPr>
          <w:color w:val="000000"/>
        </w:rPr>
        <w:t xml:space="preserve"> </w:t>
      </w:r>
      <w:r w:rsidRPr="002E5727">
        <w:rPr>
          <w:rFonts w:ascii="Arial" w:hAnsi="Arial" w:cs="Arial"/>
          <w:bCs/>
          <w:color w:val="000000"/>
          <w:sz w:val="20"/>
          <w:szCs w:val="20"/>
          <w:lang w:val="en-US"/>
        </w:rPr>
        <w:t>acceptance over time. However, the survey methodology aims to minimise these effects and students participate anonymously and confidentially, with surveys administered by research staff, not teachers or other school staff.</w:t>
      </w:r>
    </w:p>
    <w:p w14:paraId="25F3746A" w14:textId="77777777" w:rsidR="00F41128" w:rsidRDefault="00CA4F24" w:rsidP="00CA4F24">
      <w:pPr>
        <w:pStyle w:val="ASSAD2017CWBody1"/>
        <w:rPr>
          <w:color w:val="000000"/>
        </w:rPr>
      </w:pPr>
      <w:r w:rsidRPr="002E5727">
        <w:rPr>
          <w:color w:val="000000"/>
        </w:rPr>
        <w:t>Overall, ASSAD findings have been supported by other population surveys and studies of substance use among adolescents</w:t>
      </w:r>
      <w:r w:rsidRPr="002E5727">
        <w:rPr>
          <w:color w:val="000000"/>
          <w:vertAlign w:val="superscript"/>
        </w:rPr>
        <w:footnoteReference w:id="99"/>
      </w:r>
      <w:r w:rsidRPr="002E5727">
        <w:rPr>
          <w:color w:val="000000"/>
        </w:rPr>
        <w:t xml:space="preserve"> as well as administrative data including the wider Australian population</w:t>
      </w:r>
      <w:r w:rsidRPr="002E5727">
        <w:rPr>
          <w:color w:val="000000"/>
          <w:vertAlign w:val="superscript"/>
        </w:rPr>
        <w:footnoteReference w:id="100"/>
      </w:r>
      <w:r w:rsidRPr="002E5727">
        <w:rPr>
          <w:color w:val="000000"/>
        </w:rPr>
        <w:t>.</w:t>
      </w:r>
    </w:p>
    <w:p w14:paraId="07C5BB30" w14:textId="6C3176A0" w:rsidR="005F678B" w:rsidRPr="00DE25AD" w:rsidRDefault="005F678B" w:rsidP="005F678B">
      <w:pPr>
        <w:pStyle w:val="ASSAD2017ACCESSHeading2"/>
      </w:pPr>
      <w:r>
        <w:t>Substance definitions</w:t>
      </w:r>
    </w:p>
    <w:p w14:paraId="47AAC826" w14:textId="5725F4A8" w:rsidR="005F678B" w:rsidRDefault="005F678B" w:rsidP="005F678B">
      <w:pPr>
        <w:pStyle w:val="ASSAD2017CWBody1"/>
        <w:rPr>
          <w:color w:val="000000"/>
        </w:rPr>
      </w:pPr>
      <w:r w:rsidRPr="002E5727">
        <w:rPr>
          <w:color w:val="000000"/>
        </w:rPr>
        <w:t>The following substance categories, descriptions, and examples were used in the questionnaires.</w:t>
      </w:r>
    </w:p>
    <w:p w14:paraId="67628285" w14:textId="5739F3B0" w:rsidR="009209D8" w:rsidRDefault="009209D8" w:rsidP="009209D8">
      <w:pPr>
        <w:pStyle w:val="ASSAD2017CWBody1"/>
        <w:rPr>
          <w:color w:val="000000"/>
        </w:rPr>
      </w:pPr>
      <w:r>
        <w:rPr>
          <w:color w:val="000000"/>
        </w:rPr>
        <w:t>Alcohol: B</w:t>
      </w:r>
      <w:r w:rsidRPr="002E5727">
        <w:rPr>
          <w:color w:val="000000"/>
        </w:rPr>
        <w:t>eer, wine, wine cooler</w:t>
      </w:r>
      <w:r>
        <w:rPr>
          <w:color w:val="000000"/>
        </w:rPr>
        <w:t>s</w:t>
      </w:r>
      <w:r w:rsidRPr="002E5727">
        <w:rPr>
          <w:color w:val="000000"/>
        </w:rPr>
        <w:t xml:space="preserve">, alcoholic energy drinks, </w:t>
      </w:r>
      <w:r>
        <w:rPr>
          <w:color w:val="000000"/>
        </w:rPr>
        <w:t xml:space="preserve">spirits, </w:t>
      </w:r>
      <w:r w:rsidRPr="002E5727">
        <w:rPr>
          <w:color w:val="000000"/>
        </w:rPr>
        <w:t>premixed spirit</w:t>
      </w:r>
      <w:r>
        <w:rPr>
          <w:color w:val="000000"/>
        </w:rPr>
        <w:t xml:space="preserve"> drink</w:t>
      </w:r>
      <w:r w:rsidRPr="002E5727">
        <w:rPr>
          <w:color w:val="000000"/>
        </w:rPr>
        <w:t xml:space="preserve">s, liqueurs or </w:t>
      </w:r>
      <w:r>
        <w:rPr>
          <w:color w:val="000000"/>
        </w:rPr>
        <w:t>alcoholic cider</w:t>
      </w:r>
      <w:r w:rsidRPr="002E5727">
        <w:rPr>
          <w:color w:val="000000"/>
        </w:rPr>
        <w:t>.</w:t>
      </w:r>
    </w:p>
    <w:p w14:paraId="65468A11" w14:textId="2E7828C5" w:rsidR="009209D8" w:rsidRDefault="009209D8" w:rsidP="009209D8">
      <w:pPr>
        <w:pStyle w:val="ASSAD2017CWBody1"/>
        <w:rPr>
          <w:color w:val="000000"/>
        </w:rPr>
      </w:pPr>
      <w:r>
        <w:rPr>
          <w:color w:val="000000"/>
        </w:rPr>
        <w:t xml:space="preserve">Amphetamines: </w:t>
      </w:r>
      <w:r w:rsidRPr="002E5727">
        <w:rPr>
          <w:color w:val="000000"/>
        </w:rPr>
        <w:t>Amphetamines or speed, uppers, goey, crystal meth, dex, dexies, dexamphetamine, ox blood, methamphetamine or ice, other than for medical reasons.</w:t>
      </w:r>
    </w:p>
    <w:p w14:paraId="52C0CAEF" w14:textId="3C413E0E" w:rsidR="009209D8" w:rsidRDefault="009209D8" w:rsidP="009209D8">
      <w:pPr>
        <w:pStyle w:val="ASSAD2017CWBody1"/>
        <w:rPr>
          <w:color w:val="000000"/>
        </w:rPr>
      </w:pPr>
      <w:r>
        <w:rPr>
          <w:color w:val="000000"/>
        </w:rPr>
        <w:t xml:space="preserve">Analgesics: </w:t>
      </w:r>
      <w:r w:rsidRPr="002E5727">
        <w:rPr>
          <w:color w:val="000000"/>
        </w:rPr>
        <w:t xml:space="preserve">Painkillers/analgesics such as </w:t>
      </w:r>
      <w:r>
        <w:rPr>
          <w:color w:val="000000"/>
        </w:rPr>
        <w:t>paracetamol (e.g.,</w:t>
      </w:r>
      <w:r w:rsidRPr="002E5727">
        <w:rPr>
          <w:color w:val="000000"/>
        </w:rPr>
        <w:t xml:space="preserve"> Panadol</w:t>
      </w:r>
      <w:r>
        <w:rPr>
          <w:color w:val="000000"/>
        </w:rPr>
        <w:t>), ibuprofen (e.g.,</w:t>
      </w:r>
      <w:r w:rsidRPr="002E5727">
        <w:rPr>
          <w:color w:val="000000"/>
        </w:rPr>
        <w:t xml:space="preserve"> Nurofen</w:t>
      </w:r>
      <w:r>
        <w:rPr>
          <w:color w:val="000000"/>
        </w:rPr>
        <w:t>), or aspirin/disprin</w:t>
      </w:r>
      <w:r w:rsidRPr="002E5727">
        <w:rPr>
          <w:color w:val="000000"/>
        </w:rPr>
        <w:t>.</w:t>
      </w:r>
    </w:p>
    <w:p w14:paraId="2DF674CE" w14:textId="1214E470" w:rsidR="009209D8" w:rsidRDefault="009209D8" w:rsidP="009209D8">
      <w:pPr>
        <w:pStyle w:val="ASSAD2017CWBody1"/>
        <w:rPr>
          <w:color w:val="000000"/>
        </w:rPr>
      </w:pPr>
      <w:r>
        <w:rPr>
          <w:color w:val="000000"/>
        </w:rPr>
        <w:t xml:space="preserve">Cannabis: </w:t>
      </w:r>
      <w:r w:rsidRPr="002E5727">
        <w:rPr>
          <w:color w:val="000000"/>
        </w:rPr>
        <w:t>Marijuana</w:t>
      </w:r>
      <w:r>
        <w:rPr>
          <w:color w:val="000000"/>
        </w:rPr>
        <w:t>/cannabis</w:t>
      </w:r>
      <w:r w:rsidRPr="002E5727">
        <w:rPr>
          <w:color w:val="000000"/>
        </w:rPr>
        <w:t xml:space="preserve"> </w:t>
      </w:r>
      <w:r>
        <w:rPr>
          <w:color w:val="000000"/>
        </w:rPr>
        <w:t>(</w:t>
      </w:r>
      <w:r w:rsidRPr="002E5727">
        <w:rPr>
          <w:color w:val="000000"/>
        </w:rPr>
        <w:t>grass, hash, dope, weed, mull, yar</w:t>
      </w:r>
      <w:r>
        <w:rPr>
          <w:color w:val="000000"/>
        </w:rPr>
        <w:t>n</w:t>
      </w:r>
      <w:r w:rsidRPr="002E5727">
        <w:rPr>
          <w:color w:val="000000"/>
        </w:rPr>
        <w:t>di, g</w:t>
      </w:r>
      <w:r>
        <w:rPr>
          <w:color w:val="000000"/>
        </w:rPr>
        <w:t>unja</w:t>
      </w:r>
      <w:r w:rsidRPr="002E5727">
        <w:rPr>
          <w:color w:val="000000"/>
        </w:rPr>
        <w:t>, pot, a bong, a joint</w:t>
      </w:r>
      <w:r>
        <w:rPr>
          <w:color w:val="000000"/>
        </w:rPr>
        <w:t>)</w:t>
      </w:r>
      <w:r w:rsidRPr="002E5727">
        <w:rPr>
          <w:color w:val="000000"/>
        </w:rPr>
        <w:t>.</w:t>
      </w:r>
    </w:p>
    <w:p w14:paraId="468C68AA" w14:textId="3DC12202" w:rsidR="009209D8" w:rsidRDefault="009209D8" w:rsidP="009209D8">
      <w:pPr>
        <w:pStyle w:val="ASSAD2017CWBody1"/>
        <w:rPr>
          <w:color w:val="000000"/>
        </w:rPr>
      </w:pPr>
      <w:r>
        <w:rPr>
          <w:color w:val="000000"/>
        </w:rPr>
        <w:t>Cocaine: Cocaine.</w:t>
      </w:r>
    </w:p>
    <w:p w14:paraId="35427F38" w14:textId="0E004173" w:rsidR="009209D8" w:rsidRDefault="009209D8" w:rsidP="009209D8">
      <w:pPr>
        <w:pStyle w:val="ASSAD2017CWBody1"/>
        <w:rPr>
          <w:color w:val="000000"/>
        </w:rPr>
      </w:pPr>
      <w:r>
        <w:rPr>
          <w:color w:val="000000"/>
        </w:rPr>
        <w:t xml:space="preserve">Ecstasy: </w:t>
      </w:r>
      <w:r w:rsidRPr="002E5727">
        <w:rPr>
          <w:color w:val="000000"/>
        </w:rPr>
        <w:t xml:space="preserve">Ecstasy </w:t>
      </w:r>
      <w:r>
        <w:rPr>
          <w:color w:val="000000"/>
        </w:rPr>
        <w:t>(</w:t>
      </w:r>
      <w:r w:rsidRPr="002E5727">
        <w:rPr>
          <w:color w:val="000000"/>
        </w:rPr>
        <w:t xml:space="preserve">E, MDMA, </w:t>
      </w:r>
      <w:r>
        <w:rPr>
          <w:color w:val="000000"/>
        </w:rPr>
        <w:t>pingers</w:t>
      </w:r>
      <w:r w:rsidRPr="002E5727">
        <w:rPr>
          <w:color w:val="000000"/>
        </w:rPr>
        <w:t xml:space="preserve">, </w:t>
      </w:r>
      <w:r>
        <w:rPr>
          <w:color w:val="000000"/>
        </w:rPr>
        <w:t>pills</w:t>
      </w:r>
      <w:r w:rsidRPr="002E5727">
        <w:rPr>
          <w:color w:val="000000"/>
        </w:rPr>
        <w:t>, bickies</w:t>
      </w:r>
      <w:r>
        <w:rPr>
          <w:bCs w:val="0"/>
          <w:color w:val="000000"/>
        </w:rPr>
        <w:t>)</w:t>
      </w:r>
      <w:r w:rsidRPr="002E5727">
        <w:rPr>
          <w:color w:val="000000"/>
        </w:rPr>
        <w:t>.</w:t>
      </w:r>
    </w:p>
    <w:p w14:paraId="3ADB8390" w14:textId="613A753B" w:rsidR="009209D8" w:rsidRDefault="009209D8" w:rsidP="009209D8">
      <w:pPr>
        <w:pStyle w:val="ASSAD2017CWBody1"/>
        <w:rPr>
          <w:color w:val="000000"/>
        </w:rPr>
      </w:pPr>
      <w:r>
        <w:rPr>
          <w:color w:val="000000"/>
        </w:rPr>
        <w:t xml:space="preserve">Hallucinogens: Hallucinogens (e.g., </w:t>
      </w:r>
      <w:r w:rsidRPr="002E5727">
        <w:rPr>
          <w:color w:val="000000"/>
        </w:rPr>
        <w:t>LSD, acid, trips, magic mushrooms, datura, angel’s trumpet</w:t>
      </w:r>
      <w:r>
        <w:rPr>
          <w:color w:val="000000"/>
        </w:rPr>
        <w:t>)</w:t>
      </w:r>
      <w:r w:rsidRPr="002E5727">
        <w:rPr>
          <w:color w:val="000000"/>
        </w:rPr>
        <w:t>.</w:t>
      </w:r>
    </w:p>
    <w:p w14:paraId="1AB04861" w14:textId="32D254A3" w:rsidR="009209D8" w:rsidRDefault="009209D8" w:rsidP="009209D8">
      <w:pPr>
        <w:pStyle w:val="ASSAD2017CWBody1"/>
        <w:rPr>
          <w:color w:val="000000"/>
        </w:rPr>
      </w:pPr>
      <w:r>
        <w:rPr>
          <w:color w:val="000000"/>
        </w:rPr>
        <w:t xml:space="preserve">Inhalants: </w:t>
      </w:r>
      <w:r w:rsidRPr="002E5727">
        <w:rPr>
          <w:color w:val="000000"/>
        </w:rPr>
        <w:t xml:space="preserve">Deliberately sniffed (inhaled) from spray cans or </w:t>
      </w:r>
      <w:r>
        <w:rPr>
          <w:color w:val="000000"/>
        </w:rPr>
        <w:t xml:space="preserve">deliberately </w:t>
      </w:r>
      <w:r w:rsidRPr="002E5727">
        <w:rPr>
          <w:color w:val="000000"/>
        </w:rPr>
        <w:t>sniffed things like glue, paint, petrol</w:t>
      </w:r>
      <w:r>
        <w:rPr>
          <w:color w:val="000000"/>
        </w:rPr>
        <w:t>,</w:t>
      </w:r>
      <w:r w:rsidRPr="002E5727">
        <w:rPr>
          <w:color w:val="000000"/>
        </w:rPr>
        <w:t xml:space="preserve"> thinners</w:t>
      </w:r>
      <w:r>
        <w:rPr>
          <w:color w:val="000000"/>
        </w:rPr>
        <w:t>, nangs or poppers</w:t>
      </w:r>
      <w:r w:rsidRPr="002E5727">
        <w:rPr>
          <w:color w:val="000000"/>
        </w:rPr>
        <w:t xml:space="preserve"> in order to get high or for the way it makes you feel.</w:t>
      </w:r>
    </w:p>
    <w:p w14:paraId="4A05B506" w14:textId="191E4F74" w:rsidR="009209D8" w:rsidRDefault="009209D8" w:rsidP="009209D8">
      <w:pPr>
        <w:pStyle w:val="ASSAD2017CWBody1"/>
        <w:rPr>
          <w:color w:val="000000"/>
        </w:rPr>
      </w:pPr>
      <w:r>
        <w:rPr>
          <w:color w:val="000000"/>
        </w:rPr>
        <w:t xml:space="preserve">Opiates: </w:t>
      </w:r>
      <w:r w:rsidRPr="002E5727">
        <w:rPr>
          <w:color w:val="000000"/>
        </w:rPr>
        <w:t>Heroin, smack, horse, skag, hammer, H, or other opiates (narcotics) such as methadone, morphine, oxycodone or pethidine other than for medical reasons.</w:t>
      </w:r>
    </w:p>
    <w:p w14:paraId="3ADAD278" w14:textId="4FDDFD95" w:rsidR="009209D8" w:rsidRDefault="009209D8" w:rsidP="009209D8">
      <w:pPr>
        <w:pStyle w:val="ASSAD2017CWBody1"/>
        <w:rPr>
          <w:color w:val="000000"/>
        </w:rPr>
      </w:pPr>
      <w:r>
        <w:rPr>
          <w:color w:val="000000"/>
        </w:rPr>
        <w:t>Tobacco: Cigarettes.</w:t>
      </w:r>
    </w:p>
    <w:p w14:paraId="125620DD" w14:textId="28FB4A59" w:rsidR="009209D8" w:rsidRDefault="009209D8" w:rsidP="009209D8">
      <w:pPr>
        <w:pStyle w:val="ASSAD2017CWBody1"/>
        <w:rPr>
          <w:color w:val="000000"/>
        </w:rPr>
      </w:pPr>
      <w:r>
        <w:rPr>
          <w:color w:val="000000"/>
        </w:rPr>
        <w:t xml:space="preserve">Tranquilisers: </w:t>
      </w:r>
      <w:r w:rsidRPr="002E5727">
        <w:rPr>
          <w:color w:val="000000"/>
        </w:rPr>
        <w:t xml:space="preserve">Sleeping tablets, tranquilisers, sedatives or benzodiazepines, such as </w:t>
      </w:r>
      <w:r>
        <w:rPr>
          <w:color w:val="000000"/>
        </w:rPr>
        <w:t>V</w:t>
      </w:r>
      <w:r w:rsidRPr="002E5727">
        <w:rPr>
          <w:color w:val="000000"/>
        </w:rPr>
        <w:t>alium,</w:t>
      </w:r>
      <w:r>
        <w:rPr>
          <w:color w:val="000000"/>
        </w:rPr>
        <w:t xml:space="preserve"> alprazolam (Xanax),</w:t>
      </w:r>
      <w:r w:rsidRPr="002E5727">
        <w:rPr>
          <w:color w:val="000000"/>
        </w:rPr>
        <w:t xml:space="preserve"> </w:t>
      </w:r>
      <w:r>
        <w:rPr>
          <w:color w:val="000000"/>
        </w:rPr>
        <w:t>M</w:t>
      </w:r>
      <w:r w:rsidRPr="002E5727">
        <w:rPr>
          <w:color w:val="000000"/>
        </w:rPr>
        <w:t xml:space="preserve">ogadon, </w:t>
      </w:r>
      <w:r>
        <w:rPr>
          <w:color w:val="000000"/>
        </w:rPr>
        <w:t>D</w:t>
      </w:r>
      <w:r w:rsidRPr="002E5727">
        <w:rPr>
          <w:color w:val="000000"/>
        </w:rPr>
        <w:t xml:space="preserve">iazepam, </w:t>
      </w:r>
      <w:r>
        <w:rPr>
          <w:color w:val="000000"/>
        </w:rPr>
        <w:t>T</w:t>
      </w:r>
      <w:r w:rsidRPr="002E5727">
        <w:rPr>
          <w:color w:val="000000"/>
        </w:rPr>
        <w:t>emazepam (</w:t>
      </w:r>
      <w:r>
        <w:rPr>
          <w:color w:val="000000"/>
        </w:rPr>
        <w:t>M</w:t>
      </w:r>
      <w:r w:rsidRPr="002E5727">
        <w:rPr>
          <w:color w:val="000000"/>
        </w:rPr>
        <w:t xml:space="preserve">azzies, </w:t>
      </w:r>
      <w:r>
        <w:rPr>
          <w:color w:val="000000"/>
        </w:rPr>
        <w:t>V</w:t>
      </w:r>
      <w:r w:rsidRPr="002E5727">
        <w:rPr>
          <w:color w:val="000000"/>
        </w:rPr>
        <w:t xml:space="preserve">allies, </w:t>
      </w:r>
      <w:r>
        <w:rPr>
          <w:color w:val="000000"/>
        </w:rPr>
        <w:t>M</w:t>
      </w:r>
      <w:r w:rsidRPr="002E5727">
        <w:rPr>
          <w:color w:val="000000"/>
        </w:rPr>
        <w:t xml:space="preserve">oggies, </w:t>
      </w:r>
      <w:r>
        <w:rPr>
          <w:color w:val="000000"/>
        </w:rPr>
        <w:t>J</w:t>
      </w:r>
      <w:r w:rsidRPr="002E5727">
        <w:rPr>
          <w:color w:val="000000"/>
        </w:rPr>
        <w:t xml:space="preserve">ellies), </w:t>
      </w:r>
      <w:r>
        <w:rPr>
          <w:color w:val="000000"/>
        </w:rPr>
        <w:t>S</w:t>
      </w:r>
      <w:r w:rsidRPr="002E5727">
        <w:rPr>
          <w:color w:val="000000"/>
        </w:rPr>
        <w:t>erepax (</w:t>
      </w:r>
      <w:r>
        <w:rPr>
          <w:color w:val="000000"/>
        </w:rPr>
        <w:t>S</w:t>
      </w:r>
      <w:r w:rsidRPr="002E5727">
        <w:rPr>
          <w:color w:val="000000"/>
        </w:rPr>
        <w:t xml:space="preserve">erries) or </w:t>
      </w:r>
      <w:r>
        <w:rPr>
          <w:color w:val="000000"/>
        </w:rPr>
        <w:t>R</w:t>
      </w:r>
      <w:r w:rsidRPr="002E5727">
        <w:rPr>
          <w:color w:val="000000"/>
        </w:rPr>
        <w:t>ohypnol (</w:t>
      </w:r>
      <w:r>
        <w:rPr>
          <w:color w:val="000000"/>
        </w:rPr>
        <w:t>R</w:t>
      </w:r>
      <w:r w:rsidRPr="002E5727">
        <w:rPr>
          <w:color w:val="000000"/>
        </w:rPr>
        <w:t xml:space="preserve">ohies, </w:t>
      </w:r>
      <w:r>
        <w:rPr>
          <w:color w:val="000000"/>
        </w:rPr>
        <w:t>B</w:t>
      </w:r>
      <w:r w:rsidRPr="002E5727">
        <w:rPr>
          <w:color w:val="000000"/>
        </w:rPr>
        <w:t xml:space="preserve">arbs), </w:t>
      </w:r>
      <w:r>
        <w:rPr>
          <w:color w:val="000000"/>
        </w:rPr>
        <w:t xml:space="preserve">other than </w:t>
      </w:r>
      <w:r w:rsidRPr="002E5727">
        <w:rPr>
          <w:color w:val="000000"/>
        </w:rPr>
        <w:t>for medical reasons.</w:t>
      </w:r>
    </w:p>
    <w:p w14:paraId="3C89B77B" w14:textId="77777777" w:rsidR="00D3210D" w:rsidRPr="00DE25AD" w:rsidRDefault="00D3210D" w:rsidP="00D3210D">
      <w:pPr>
        <w:pStyle w:val="ASSAD2017ACCESSBody1"/>
        <w:rPr>
          <w:b/>
          <w:bCs w:val="0"/>
          <w:sz w:val="24"/>
          <w:szCs w:val="24"/>
        </w:rPr>
      </w:pPr>
      <w:r w:rsidRPr="00DE25AD">
        <w:rPr>
          <w:b/>
          <w:bCs w:val="0"/>
          <w:sz w:val="24"/>
          <w:szCs w:val="24"/>
        </w:rPr>
        <w:t>Categories of students who had smoked cigarettes</w:t>
      </w:r>
    </w:p>
    <w:p w14:paraId="0A50B9B6" w14:textId="77777777" w:rsidR="00D3210D" w:rsidRPr="00DE25AD" w:rsidRDefault="00D3210D" w:rsidP="00D3210D">
      <w:pPr>
        <w:pStyle w:val="ASSAD2017ACCESSBody1"/>
      </w:pPr>
      <w:r w:rsidRPr="00DE25AD">
        <w:t>Never used: Never smoked. Did not have even a puff of a cigarette</w:t>
      </w:r>
    </w:p>
    <w:p w14:paraId="55F12E4B" w14:textId="77777777" w:rsidR="00D3210D" w:rsidRPr="00DE25AD" w:rsidRDefault="00D3210D" w:rsidP="00D3210D">
      <w:pPr>
        <w:pStyle w:val="ASSAD2017ACCESSBody1"/>
      </w:pPr>
      <w:r w:rsidRPr="00DE25AD">
        <w:t>Ever used: Ever smoked. Had smoked at least a few puffs of a cigarette in their lifetime</w:t>
      </w:r>
    </w:p>
    <w:p w14:paraId="2089CF69" w14:textId="77777777" w:rsidR="00D3210D" w:rsidRPr="00DE25AD" w:rsidRDefault="00D3210D" w:rsidP="00D3210D">
      <w:pPr>
        <w:pStyle w:val="ASSAD2017ACCESSBody1"/>
      </w:pPr>
      <w:r w:rsidRPr="00DE25AD">
        <w:t>More than 100 cigarettes: Had smoked more than 100 cigarettes in their lifetime</w:t>
      </w:r>
    </w:p>
    <w:p w14:paraId="61E6B2A7" w14:textId="77777777" w:rsidR="00D3210D" w:rsidRPr="00DE25AD" w:rsidRDefault="00D3210D" w:rsidP="00D3210D">
      <w:pPr>
        <w:pStyle w:val="ASSAD2017ACCESSBody1"/>
      </w:pPr>
      <w:r w:rsidRPr="00DE25AD">
        <w:t>Past-year: Past year smokers had smoked in the past 12 months</w:t>
      </w:r>
    </w:p>
    <w:p w14:paraId="6A60A3C1" w14:textId="77777777" w:rsidR="00D3210D" w:rsidRPr="00DE25AD" w:rsidRDefault="00D3210D" w:rsidP="00D3210D">
      <w:pPr>
        <w:pStyle w:val="ASSAD2017ACCESSBody1"/>
      </w:pPr>
      <w:r w:rsidRPr="00DE25AD">
        <w:t>Past-month: Past month smokers had smoked in the past four weeks</w:t>
      </w:r>
    </w:p>
    <w:p w14:paraId="18772351" w14:textId="77777777" w:rsidR="00D3210D" w:rsidRPr="00DE25AD" w:rsidRDefault="00D3210D" w:rsidP="00D3210D">
      <w:pPr>
        <w:pStyle w:val="ASSAD2017ACCESSBody1"/>
      </w:pPr>
      <w:r w:rsidRPr="00DE25AD">
        <w:t>Current, or past week: Current smokers had smoked on at least one of the seven days before the survey date (past week)</w:t>
      </w:r>
    </w:p>
    <w:p w14:paraId="2D92AC19" w14:textId="77777777" w:rsidR="00D3210D" w:rsidRPr="00DE25AD" w:rsidRDefault="00D3210D" w:rsidP="00D3210D">
      <w:pPr>
        <w:pStyle w:val="ASSAD2017ACCESSBody1"/>
      </w:pPr>
      <w:r w:rsidRPr="00DE25AD">
        <w:t>Committed smokers: Committed smokers had smoked on at least three days of the past week</w:t>
      </w:r>
    </w:p>
    <w:p w14:paraId="6EE11478" w14:textId="77777777" w:rsidR="00D3210D" w:rsidRPr="00DE25AD" w:rsidRDefault="00D3210D" w:rsidP="00D3210D">
      <w:pPr>
        <w:pStyle w:val="ASSAD2017ACCESSBody1"/>
      </w:pPr>
      <w:r w:rsidRPr="00DE25AD">
        <w:t>Daily smokers: Daily smokers had smoked on every day of the week before the survey date</w:t>
      </w:r>
    </w:p>
    <w:p w14:paraId="66402245" w14:textId="77777777" w:rsidR="00E13786" w:rsidRDefault="00E13786">
      <w:pPr>
        <w:suppressAutoHyphens w:val="0"/>
        <w:rPr>
          <w:rFonts w:ascii="Arial" w:hAnsi="Arial" w:cs="Arial"/>
          <w:b/>
          <w:bCs/>
          <w:szCs w:val="28"/>
        </w:rPr>
      </w:pPr>
      <w:r>
        <w:br w:type="page"/>
      </w:r>
    </w:p>
    <w:p w14:paraId="4BDB342F" w14:textId="38C7DB98" w:rsidR="00D3210D" w:rsidRPr="00DE25AD" w:rsidRDefault="00D3210D" w:rsidP="00D3210D">
      <w:pPr>
        <w:pStyle w:val="ASSAD2017ACCESSHeading2"/>
      </w:pPr>
      <w:r w:rsidRPr="00DE25AD">
        <w:lastRenderedPageBreak/>
        <w:t>Categories of students who had consumed alcohol</w:t>
      </w:r>
    </w:p>
    <w:p w14:paraId="336DBAD4" w14:textId="77777777" w:rsidR="00D3210D" w:rsidRPr="00DE25AD" w:rsidRDefault="00D3210D" w:rsidP="00D3210D">
      <w:pPr>
        <w:pStyle w:val="ASSAD2017ACCESSBody1"/>
      </w:pPr>
      <w:r w:rsidRPr="00DE25AD">
        <w:t>Never used: Never drank alcohol. Did not have even a sip of an alcoholic drink in their lifetime</w:t>
      </w:r>
    </w:p>
    <w:p w14:paraId="13A522FF" w14:textId="66526FC9" w:rsidR="00D3210D" w:rsidRPr="00DE25AD" w:rsidRDefault="00D3210D" w:rsidP="00D3210D">
      <w:pPr>
        <w:pStyle w:val="ASSAD2017ACCESSBody1"/>
      </w:pPr>
      <w:r w:rsidRPr="00DE25AD">
        <w:t xml:space="preserve">Ever used: Ever drank alcohol. Had consumed at least a few sips of an alcoholic drink in </w:t>
      </w:r>
      <w:r>
        <w:t xml:space="preserve">their </w:t>
      </w:r>
      <w:r w:rsidRPr="00DE25AD">
        <w:t>lifetime</w:t>
      </w:r>
    </w:p>
    <w:p w14:paraId="413C4B28" w14:textId="77777777" w:rsidR="00D3210D" w:rsidRPr="00DE25AD" w:rsidRDefault="00D3210D" w:rsidP="00D3210D">
      <w:pPr>
        <w:pStyle w:val="ASSAD2017ACCESSBody1"/>
      </w:pPr>
      <w:r w:rsidRPr="00DE25AD">
        <w:t>Past-year: Past year drinkers had consumed an alcoholic drink in the past 12 months</w:t>
      </w:r>
    </w:p>
    <w:p w14:paraId="411C120D" w14:textId="77777777" w:rsidR="00D3210D" w:rsidRPr="00DE25AD" w:rsidRDefault="00D3210D" w:rsidP="00D3210D">
      <w:pPr>
        <w:pStyle w:val="ASSAD2017ACCESSBody1"/>
      </w:pPr>
      <w:r w:rsidRPr="00DE25AD">
        <w:t>Past-month: Past month drinkers had consumed an alcoholic drink in the past four weeks</w:t>
      </w:r>
    </w:p>
    <w:p w14:paraId="6CED525D" w14:textId="77777777" w:rsidR="00D3210D" w:rsidRPr="00DE25AD" w:rsidRDefault="00D3210D" w:rsidP="00D3210D">
      <w:pPr>
        <w:pStyle w:val="ASSAD2017ACCESSBody1"/>
      </w:pPr>
      <w:r w:rsidRPr="00DE25AD">
        <w:t>Current, or past week: Current drinkers had consumed an alcoholic drink on at least one of the seven days before the survey date (past week)</w:t>
      </w:r>
    </w:p>
    <w:p w14:paraId="677DAB39" w14:textId="77777777" w:rsidR="00D3210D" w:rsidRPr="00DE25AD" w:rsidRDefault="00D3210D" w:rsidP="00D3210D">
      <w:pPr>
        <w:pStyle w:val="ASSAD2017ACCESSBody1"/>
      </w:pPr>
      <w:r w:rsidRPr="00DE25AD">
        <w:t>Single occasion risky drinkers: Had consumed five or more alcoholic drinks on any day in the past week (at risk of short-term harm, according to the 2009 NHMRC drinking guidelines for adults)</w:t>
      </w:r>
    </w:p>
    <w:p w14:paraId="5B1EAA35" w14:textId="77777777" w:rsidR="00D3210D" w:rsidRPr="00DE25AD" w:rsidRDefault="00D3210D" w:rsidP="00D3210D">
      <w:pPr>
        <w:pStyle w:val="ASSAD2017ACCESSHeading2"/>
        <w:rPr>
          <w:rStyle w:val="ASSAD2017ACCESSBody1Char"/>
          <w:sz w:val="20"/>
          <w:szCs w:val="20"/>
          <w:lang w:eastAsia="en-US"/>
        </w:rPr>
      </w:pPr>
      <w:r w:rsidRPr="00DE25AD">
        <w:t xml:space="preserve">Categories of students who had used other substances </w:t>
      </w:r>
    </w:p>
    <w:p w14:paraId="4274A0CD" w14:textId="77777777" w:rsidR="00D3210D" w:rsidRPr="00DE25AD" w:rsidRDefault="00D3210D" w:rsidP="00D3210D">
      <w:pPr>
        <w:pStyle w:val="ASSAD2017ACCESSBody1"/>
      </w:pPr>
      <w:r w:rsidRPr="00DE25AD">
        <w:t>Never used: Never used the substance</w:t>
      </w:r>
    </w:p>
    <w:p w14:paraId="0F49A162" w14:textId="77777777" w:rsidR="00D3210D" w:rsidRPr="00DE25AD" w:rsidRDefault="00D3210D" w:rsidP="00D3210D">
      <w:pPr>
        <w:pStyle w:val="ASSAD2017ACCESSBody1"/>
      </w:pPr>
      <w:r w:rsidRPr="00DE25AD">
        <w:t>Ever used: Had used the substance in their lifetime</w:t>
      </w:r>
    </w:p>
    <w:p w14:paraId="16C0D5F7" w14:textId="77777777" w:rsidR="00D3210D" w:rsidRPr="00DE25AD" w:rsidRDefault="00D3210D" w:rsidP="00D3210D">
      <w:pPr>
        <w:pStyle w:val="ASSAD2017ACCESSBody1"/>
      </w:pPr>
      <w:r w:rsidRPr="00DE25AD">
        <w:t>Past-year: Had used the substance in the past year</w:t>
      </w:r>
    </w:p>
    <w:p w14:paraId="7EDD2265" w14:textId="77777777" w:rsidR="00D3210D" w:rsidRPr="00DE25AD" w:rsidRDefault="00D3210D" w:rsidP="00D3210D">
      <w:pPr>
        <w:pStyle w:val="ASSAD2017ACCESSBody1"/>
      </w:pPr>
      <w:r w:rsidRPr="00DE25AD">
        <w:t>Past-month: Had used the substance in the four weeks before the survey date</w:t>
      </w:r>
    </w:p>
    <w:p w14:paraId="047D6957" w14:textId="77777777" w:rsidR="00D3210D" w:rsidRPr="00DE25AD" w:rsidRDefault="00D3210D" w:rsidP="00D3210D">
      <w:pPr>
        <w:pStyle w:val="ASSAD2017ACCESSBody1"/>
      </w:pPr>
      <w:r w:rsidRPr="00DE25AD">
        <w:t>Current, or past week: Had used the substance in the seven days before the survey date</w:t>
      </w:r>
    </w:p>
    <w:p w14:paraId="4B5FFD6A" w14:textId="5A3EF0C4" w:rsidR="00D3210D" w:rsidRPr="009209D8" w:rsidRDefault="00D3210D" w:rsidP="00D3210D">
      <w:pPr>
        <w:pStyle w:val="ASSAD2017CWBody1"/>
        <w:rPr>
          <w:color w:val="000000"/>
        </w:rPr>
      </w:pPr>
      <w:r w:rsidRPr="00DE25AD">
        <w:t>Regular use: Had used the substance 10 or more times in the past year</w:t>
      </w:r>
    </w:p>
    <w:p w14:paraId="7E3ACAE1" w14:textId="0483F181" w:rsidR="00F135E8" w:rsidRDefault="00F135E8" w:rsidP="009209D8">
      <w:pPr>
        <w:pStyle w:val="ASSAD2017CWBody1"/>
      </w:pPr>
    </w:p>
    <w:p w14:paraId="54D495CA" w14:textId="7A833B80" w:rsidR="00E24333" w:rsidRDefault="00E24333">
      <w:pPr>
        <w:suppressAutoHyphens w:val="0"/>
        <w:rPr>
          <w:rFonts w:ascii="Arial" w:hAnsi="Arial" w:cs="Arial"/>
          <w:bCs/>
          <w:color w:val="000000" w:themeColor="text1"/>
          <w:sz w:val="20"/>
          <w:szCs w:val="20"/>
          <w:lang w:val="en-US"/>
        </w:rPr>
      </w:pPr>
      <w:r>
        <w:br w:type="page"/>
      </w:r>
    </w:p>
    <w:p w14:paraId="517EFF97" w14:textId="20ED5F87" w:rsidR="00E24333" w:rsidRPr="0046446A" w:rsidRDefault="00E24333" w:rsidP="00E24333">
      <w:pPr>
        <w:pStyle w:val="ASSAD2017TableHeading"/>
      </w:pPr>
      <w:bookmarkStart w:id="105" w:name="_Toc44060507"/>
      <w:r w:rsidRPr="0046446A">
        <w:lastRenderedPageBreak/>
        <w:t xml:space="preserve">Table </w:t>
      </w:r>
      <w:r>
        <w:t>20</w:t>
      </w:r>
      <w:r w:rsidRPr="0046446A">
        <w:t xml:space="preserve"> </w:t>
      </w:r>
      <w:r>
        <w:t>Number of secondary school students aged 12 to 17 surveyed by sex and age, 1996-2017</w:t>
      </w:r>
      <w:bookmarkEnd w:id="105"/>
      <w:r w:rsidRPr="0046446A">
        <w:t xml:space="preserve"> </w:t>
      </w:r>
    </w:p>
    <w:tbl>
      <w:tblPr>
        <w:tblW w:w="96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Caption w:val="Table 2.2 Number of full-time students enrolled in Australian secondary schools by age, sex, and education sector#"/>
        <w:tblDescription w:val="Table 2.2 Number of full-time students enrolled in Australian secondary schools by age, sex, and education sector#"/>
      </w:tblPr>
      <w:tblGrid>
        <w:gridCol w:w="1295"/>
        <w:gridCol w:w="1069"/>
        <w:gridCol w:w="1035"/>
        <w:gridCol w:w="1036"/>
        <w:gridCol w:w="1036"/>
        <w:gridCol w:w="1035"/>
        <w:gridCol w:w="1036"/>
        <w:gridCol w:w="1036"/>
        <w:gridCol w:w="1036"/>
      </w:tblGrid>
      <w:tr w:rsidR="00987D88" w:rsidRPr="00DE25AD" w14:paraId="1CC3B0EA" w14:textId="77777777" w:rsidTr="00987D88">
        <w:trPr>
          <w:tblHeader/>
        </w:trPr>
        <w:tc>
          <w:tcPr>
            <w:tcW w:w="1295" w:type="dxa"/>
            <w:tcMar>
              <w:left w:w="57" w:type="dxa"/>
            </w:tcMar>
          </w:tcPr>
          <w:p w14:paraId="347B17CF" w14:textId="77777777" w:rsidR="00987D88" w:rsidRPr="00DE25AD" w:rsidRDefault="00987D88" w:rsidP="002169C2">
            <w:pPr>
              <w:pStyle w:val="ACCESSTableHeaderRow"/>
            </w:pPr>
            <w:r w:rsidRPr="00DE25AD">
              <w:t>Age in years</w:t>
            </w:r>
          </w:p>
        </w:tc>
        <w:tc>
          <w:tcPr>
            <w:tcW w:w="1069" w:type="dxa"/>
            <w:shd w:val="clear" w:color="auto" w:fill="auto"/>
            <w:tcMar>
              <w:left w:w="57" w:type="dxa"/>
            </w:tcMar>
            <w:vAlign w:val="bottom"/>
          </w:tcPr>
          <w:p w14:paraId="714D2907" w14:textId="77777777" w:rsidR="00987D88" w:rsidRPr="00DE25AD" w:rsidRDefault="00987D88" w:rsidP="002169C2">
            <w:pPr>
              <w:pStyle w:val="ACCESSTableHeaderRow"/>
            </w:pPr>
          </w:p>
        </w:tc>
        <w:tc>
          <w:tcPr>
            <w:tcW w:w="1035" w:type="dxa"/>
            <w:shd w:val="clear" w:color="auto" w:fill="auto"/>
          </w:tcPr>
          <w:p w14:paraId="382BE0AA" w14:textId="77777777" w:rsidR="00987D88" w:rsidRPr="00DE25AD" w:rsidRDefault="00987D88" w:rsidP="002169C2">
            <w:pPr>
              <w:pStyle w:val="ACCESSTableHeaderRow"/>
              <w:jc w:val="center"/>
            </w:pPr>
            <w:r w:rsidRPr="00DE25AD">
              <w:t>12</w:t>
            </w:r>
          </w:p>
        </w:tc>
        <w:tc>
          <w:tcPr>
            <w:tcW w:w="1036" w:type="dxa"/>
            <w:shd w:val="clear" w:color="auto" w:fill="auto"/>
          </w:tcPr>
          <w:p w14:paraId="06569BA0" w14:textId="77777777" w:rsidR="00987D88" w:rsidRPr="00DE25AD" w:rsidRDefault="00987D88" w:rsidP="002169C2">
            <w:pPr>
              <w:pStyle w:val="ACCESSTableHeaderRow"/>
              <w:jc w:val="center"/>
            </w:pPr>
            <w:r w:rsidRPr="00DE25AD">
              <w:t>13</w:t>
            </w:r>
          </w:p>
        </w:tc>
        <w:tc>
          <w:tcPr>
            <w:tcW w:w="1036" w:type="dxa"/>
            <w:shd w:val="clear" w:color="auto" w:fill="auto"/>
          </w:tcPr>
          <w:p w14:paraId="439CEFA3" w14:textId="77777777" w:rsidR="00987D88" w:rsidRPr="00DE25AD" w:rsidRDefault="00987D88" w:rsidP="002169C2">
            <w:pPr>
              <w:pStyle w:val="ACCESSTableHeaderRow"/>
              <w:jc w:val="center"/>
            </w:pPr>
            <w:r w:rsidRPr="00DE25AD">
              <w:t>14</w:t>
            </w:r>
          </w:p>
        </w:tc>
        <w:tc>
          <w:tcPr>
            <w:tcW w:w="1035" w:type="dxa"/>
            <w:shd w:val="clear" w:color="auto" w:fill="auto"/>
          </w:tcPr>
          <w:p w14:paraId="76A227FD" w14:textId="77777777" w:rsidR="00987D88" w:rsidRPr="00DE25AD" w:rsidRDefault="00987D88" w:rsidP="002169C2">
            <w:pPr>
              <w:pStyle w:val="ACCESSTableHeaderRow"/>
              <w:jc w:val="center"/>
            </w:pPr>
            <w:r w:rsidRPr="00DE25AD">
              <w:t>15</w:t>
            </w:r>
          </w:p>
        </w:tc>
        <w:tc>
          <w:tcPr>
            <w:tcW w:w="1036" w:type="dxa"/>
            <w:shd w:val="clear" w:color="auto" w:fill="auto"/>
          </w:tcPr>
          <w:p w14:paraId="45E504B4" w14:textId="77777777" w:rsidR="00987D88" w:rsidRPr="00DE25AD" w:rsidRDefault="00987D88" w:rsidP="002169C2">
            <w:pPr>
              <w:pStyle w:val="ACCESSTableHeaderRow"/>
              <w:jc w:val="center"/>
            </w:pPr>
            <w:r w:rsidRPr="00DE25AD">
              <w:t>16</w:t>
            </w:r>
          </w:p>
        </w:tc>
        <w:tc>
          <w:tcPr>
            <w:tcW w:w="1036" w:type="dxa"/>
            <w:shd w:val="clear" w:color="auto" w:fill="auto"/>
          </w:tcPr>
          <w:p w14:paraId="7DF24787" w14:textId="77777777" w:rsidR="00987D88" w:rsidRPr="00DE25AD" w:rsidRDefault="00987D88" w:rsidP="002169C2">
            <w:pPr>
              <w:pStyle w:val="ACCESSTableHeaderRow"/>
              <w:jc w:val="center"/>
            </w:pPr>
            <w:r w:rsidRPr="00DE25AD">
              <w:t>17</w:t>
            </w:r>
          </w:p>
        </w:tc>
        <w:tc>
          <w:tcPr>
            <w:tcW w:w="1036" w:type="dxa"/>
            <w:shd w:val="clear" w:color="auto" w:fill="auto"/>
          </w:tcPr>
          <w:p w14:paraId="52AEF396" w14:textId="4607C40E" w:rsidR="00987D88" w:rsidRPr="00DE25AD" w:rsidRDefault="00987D88" w:rsidP="002169C2">
            <w:pPr>
              <w:pStyle w:val="ACCESSTableHeaderRow"/>
              <w:jc w:val="center"/>
            </w:pPr>
            <w:r>
              <w:t>Total</w:t>
            </w:r>
          </w:p>
        </w:tc>
      </w:tr>
      <w:tr w:rsidR="00987D88" w:rsidRPr="00DE25AD" w14:paraId="34F21460" w14:textId="77777777" w:rsidTr="00987D88">
        <w:trPr>
          <w:tblHeader/>
        </w:trPr>
        <w:tc>
          <w:tcPr>
            <w:tcW w:w="1295" w:type="dxa"/>
            <w:tcMar>
              <w:left w:w="57" w:type="dxa"/>
            </w:tcMar>
          </w:tcPr>
          <w:p w14:paraId="1A66B84F" w14:textId="334128F7" w:rsidR="00987D88" w:rsidRPr="00DE25AD" w:rsidRDefault="00987D88" w:rsidP="002169C2">
            <w:pPr>
              <w:pStyle w:val="ACCESSTableHeaderRow"/>
            </w:pPr>
            <w:r>
              <w:t>Survey year</w:t>
            </w:r>
          </w:p>
        </w:tc>
        <w:tc>
          <w:tcPr>
            <w:tcW w:w="1069" w:type="dxa"/>
            <w:shd w:val="clear" w:color="auto" w:fill="auto"/>
            <w:tcMar>
              <w:left w:w="57" w:type="dxa"/>
            </w:tcMar>
            <w:vAlign w:val="bottom"/>
          </w:tcPr>
          <w:p w14:paraId="71B9641F" w14:textId="77777777" w:rsidR="00987D88" w:rsidRPr="00DE25AD" w:rsidRDefault="00987D88" w:rsidP="002169C2">
            <w:pPr>
              <w:pStyle w:val="ACCESSTableHeaderRow"/>
            </w:pPr>
            <w:r w:rsidRPr="00DE25AD">
              <w:t>Sex</w:t>
            </w:r>
          </w:p>
        </w:tc>
        <w:tc>
          <w:tcPr>
            <w:tcW w:w="1035" w:type="dxa"/>
            <w:shd w:val="clear" w:color="auto" w:fill="auto"/>
          </w:tcPr>
          <w:p w14:paraId="7042E6A8" w14:textId="77777777" w:rsidR="00987D88" w:rsidRPr="00DE25AD" w:rsidRDefault="00987D88" w:rsidP="002169C2">
            <w:pPr>
              <w:pStyle w:val="ACCESSTableHeaderRow"/>
            </w:pPr>
          </w:p>
        </w:tc>
        <w:tc>
          <w:tcPr>
            <w:tcW w:w="1036" w:type="dxa"/>
            <w:shd w:val="clear" w:color="auto" w:fill="auto"/>
          </w:tcPr>
          <w:p w14:paraId="51979C5D" w14:textId="77777777" w:rsidR="00987D88" w:rsidRPr="00DE25AD" w:rsidRDefault="00987D88" w:rsidP="002169C2">
            <w:pPr>
              <w:pStyle w:val="ACCESSTableHeaderRow"/>
            </w:pPr>
          </w:p>
        </w:tc>
        <w:tc>
          <w:tcPr>
            <w:tcW w:w="1036" w:type="dxa"/>
            <w:shd w:val="clear" w:color="auto" w:fill="auto"/>
          </w:tcPr>
          <w:p w14:paraId="405673D4" w14:textId="77777777" w:rsidR="00987D88" w:rsidRPr="00DE25AD" w:rsidRDefault="00987D88" w:rsidP="002169C2">
            <w:pPr>
              <w:pStyle w:val="ACCESSTableHeaderRow"/>
            </w:pPr>
          </w:p>
        </w:tc>
        <w:tc>
          <w:tcPr>
            <w:tcW w:w="1035" w:type="dxa"/>
            <w:shd w:val="clear" w:color="auto" w:fill="auto"/>
          </w:tcPr>
          <w:p w14:paraId="4FA64FE6" w14:textId="77777777" w:rsidR="00987D88" w:rsidRPr="00DE25AD" w:rsidRDefault="00987D88" w:rsidP="002169C2">
            <w:pPr>
              <w:pStyle w:val="ACCESSTableHeaderRow"/>
            </w:pPr>
          </w:p>
        </w:tc>
        <w:tc>
          <w:tcPr>
            <w:tcW w:w="1036" w:type="dxa"/>
            <w:shd w:val="clear" w:color="auto" w:fill="auto"/>
          </w:tcPr>
          <w:p w14:paraId="3A541A20" w14:textId="77777777" w:rsidR="00987D88" w:rsidRPr="00DE25AD" w:rsidRDefault="00987D88" w:rsidP="002169C2">
            <w:pPr>
              <w:pStyle w:val="ACCESSTableHeaderRow"/>
            </w:pPr>
          </w:p>
        </w:tc>
        <w:tc>
          <w:tcPr>
            <w:tcW w:w="1036" w:type="dxa"/>
            <w:shd w:val="clear" w:color="auto" w:fill="auto"/>
          </w:tcPr>
          <w:p w14:paraId="477B02DC" w14:textId="77777777" w:rsidR="00987D88" w:rsidRPr="00DE25AD" w:rsidRDefault="00987D88" w:rsidP="002169C2">
            <w:pPr>
              <w:pStyle w:val="ACCESSTableHeaderRow"/>
            </w:pPr>
          </w:p>
        </w:tc>
        <w:tc>
          <w:tcPr>
            <w:tcW w:w="1036" w:type="dxa"/>
            <w:shd w:val="clear" w:color="auto" w:fill="auto"/>
          </w:tcPr>
          <w:p w14:paraId="55298577" w14:textId="77777777" w:rsidR="00987D88" w:rsidRPr="00DE25AD" w:rsidRDefault="00987D88" w:rsidP="002169C2">
            <w:pPr>
              <w:pStyle w:val="ACCESSTableHeaderRow"/>
            </w:pPr>
          </w:p>
        </w:tc>
      </w:tr>
      <w:tr w:rsidR="00987D88" w:rsidRPr="00DE25AD" w14:paraId="38A27841" w14:textId="77777777" w:rsidTr="002169C2">
        <w:tc>
          <w:tcPr>
            <w:tcW w:w="1295" w:type="dxa"/>
            <w:tcMar>
              <w:left w:w="57" w:type="dxa"/>
            </w:tcMar>
            <w:vAlign w:val="bottom"/>
          </w:tcPr>
          <w:p w14:paraId="4604812A" w14:textId="0B3A4CE4" w:rsidR="00987D88" w:rsidRPr="00DE25AD" w:rsidRDefault="00987D88" w:rsidP="00987D88">
            <w:pPr>
              <w:pStyle w:val="ACCESSTableHeaderRow"/>
              <w:rPr>
                <w:color w:val="000000"/>
              </w:rPr>
            </w:pPr>
            <w:r>
              <w:rPr>
                <w:color w:val="000000"/>
              </w:rPr>
              <w:t>1996</w:t>
            </w:r>
          </w:p>
        </w:tc>
        <w:tc>
          <w:tcPr>
            <w:tcW w:w="1069" w:type="dxa"/>
            <w:shd w:val="clear" w:color="auto" w:fill="auto"/>
            <w:tcMar>
              <w:left w:w="57" w:type="dxa"/>
            </w:tcMar>
            <w:vAlign w:val="bottom"/>
          </w:tcPr>
          <w:p w14:paraId="35DBFD61" w14:textId="77777777" w:rsidR="00987D88" w:rsidRPr="00DE25AD" w:rsidRDefault="00987D88" w:rsidP="00987D88">
            <w:pPr>
              <w:pStyle w:val="ASSAD2017ACCESSBody1"/>
              <w:rPr>
                <w:lang w:val="en-AU"/>
              </w:rPr>
            </w:pPr>
            <w:r w:rsidRPr="00DE25AD">
              <w:rPr>
                <w:color w:val="000000"/>
              </w:rPr>
              <w:t>Males</w:t>
            </w:r>
          </w:p>
        </w:tc>
        <w:tc>
          <w:tcPr>
            <w:tcW w:w="1035" w:type="dxa"/>
            <w:shd w:val="clear" w:color="auto" w:fill="auto"/>
            <w:vAlign w:val="center"/>
          </w:tcPr>
          <w:p w14:paraId="539432E7" w14:textId="1BDDA8DD" w:rsidR="00987D88" w:rsidRPr="00DE25AD" w:rsidRDefault="00987D88" w:rsidP="00987D88">
            <w:pPr>
              <w:pStyle w:val="ASSADACCESStablecentre"/>
            </w:pPr>
            <w:r w:rsidRPr="002E5727">
              <w:rPr>
                <w:color w:val="000000"/>
                <w:lang w:eastAsia="ar-SA"/>
              </w:rPr>
              <w:t>1,905</w:t>
            </w:r>
          </w:p>
        </w:tc>
        <w:tc>
          <w:tcPr>
            <w:tcW w:w="1036" w:type="dxa"/>
            <w:shd w:val="clear" w:color="auto" w:fill="auto"/>
            <w:vAlign w:val="center"/>
          </w:tcPr>
          <w:p w14:paraId="77719863" w14:textId="21A3D7F7" w:rsidR="00987D88" w:rsidRPr="00DE25AD" w:rsidRDefault="00987D88" w:rsidP="00987D88">
            <w:pPr>
              <w:pStyle w:val="ASSADACCESStablecentre"/>
            </w:pPr>
            <w:r w:rsidRPr="002E5727">
              <w:rPr>
                <w:color w:val="000000"/>
                <w:lang w:eastAsia="ar-SA"/>
              </w:rPr>
              <w:t>2,769</w:t>
            </w:r>
          </w:p>
        </w:tc>
        <w:tc>
          <w:tcPr>
            <w:tcW w:w="1036" w:type="dxa"/>
            <w:shd w:val="clear" w:color="auto" w:fill="auto"/>
            <w:vAlign w:val="center"/>
          </w:tcPr>
          <w:p w14:paraId="5BF01150" w14:textId="25A0E29E" w:rsidR="00987D88" w:rsidRPr="00DE25AD" w:rsidRDefault="00987D88" w:rsidP="00987D88">
            <w:pPr>
              <w:pStyle w:val="ASSADACCESStablecentre"/>
            </w:pPr>
            <w:r w:rsidRPr="002E5727">
              <w:rPr>
                <w:color w:val="000000"/>
                <w:lang w:eastAsia="ar-SA"/>
              </w:rPr>
              <w:t>2,764</w:t>
            </w:r>
          </w:p>
        </w:tc>
        <w:tc>
          <w:tcPr>
            <w:tcW w:w="1035" w:type="dxa"/>
            <w:shd w:val="clear" w:color="auto" w:fill="auto"/>
            <w:vAlign w:val="center"/>
          </w:tcPr>
          <w:p w14:paraId="23D513F0" w14:textId="2822909B" w:rsidR="00987D88" w:rsidRPr="00DE25AD" w:rsidRDefault="00987D88" w:rsidP="00987D88">
            <w:pPr>
              <w:pStyle w:val="ASSADACCESStablecentre"/>
            </w:pPr>
            <w:r w:rsidRPr="002E5727">
              <w:rPr>
                <w:color w:val="000000"/>
                <w:lang w:eastAsia="ar-SA"/>
              </w:rPr>
              <w:t>2,772</w:t>
            </w:r>
          </w:p>
        </w:tc>
        <w:tc>
          <w:tcPr>
            <w:tcW w:w="1036" w:type="dxa"/>
            <w:shd w:val="clear" w:color="auto" w:fill="auto"/>
            <w:vAlign w:val="center"/>
          </w:tcPr>
          <w:p w14:paraId="406AAAEA" w14:textId="51124F8B" w:rsidR="00987D88" w:rsidRPr="00DE25AD" w:rsidRDefault="00987D88" w:rsidP="00987D88">
            <w:pPr>
              <w:pStyle w:val="ASSADACCESStablecentre"/>
            </w:pPr>
            <w:r w:rsidRPr="002E5727">
              <w:rPr>
                <w:color w:val="000000"/>
                <w:lang w:eastAsia="ar-SA"/>
              </w:rPr>
              <w:t>2,514</w:t>
            </w:r>
          </w:p>
        </w:tc>
        <w:tc>
          <w:tcPr>
            <w:tcW w:w="1036" w:type="dxa"/>
            <w:shd w:val="clear" w:color="auto" w:fill="auto"/>
            <w:vAlign w:val="center"/>
          </w:tcPr>
          <w:p w14:paraId="572BACD9" w14:textId="46825B0B" w:rsidR="00987D88" w:rsidRPr="00DE25AD" w:rsidRDefault="00987D88" w:rsidP="00987D88">
            <w:pPr>
              <w:pStyle w:val="ASSADACCESStablecentre"/>
            </w:pPr>
            <w:r w:rsidRPr="002E5727">
              <w:rPr>
                <w:color w:val="000000"/>
                <w:lang w:eastAsia="ar-SA"/>
              </w:rPr>
              <w:t>1,845</w:t>
            </w:r>
          </w:p>
        </w:tc>
        <w:tc>
          <w:tcPr>
            <w:tcW w:w="1036" w:type="dxa"/>
            <w:shd w:val="clear" w:color="auto" w:fill="auto"/>
            <w:vAlign w:val="center"/>
          </w:tcPr>
          <w:p w14:paraId="4192D281" w14:textId="11EB7CC8" w:rsidR="00987D88" w:rsidRPr="00DE25AD" w:rsidRDefault="00987D88" w:rsidP="00987D88">
            <w:pPr>
              <w:pStyle w:val="ASSADACCESStablecentre"/>
            </w:pPr>
            <w:r w:rsidRPr="002E5727">
              <w:rPr>
                <w:color w:val="000000"/>
                <w:lang w:eastAsia="ar-SA"/>
              </w:rPr>
              <w:t>14,569</w:t>
            </w:r>
          </w:p>
        </w:tc>
      </w:tr>
      <w:tr w:rsidR="00987D88" w:rsidRPr="00DE25AD" w14:paraId="18126669" w14:textId="77777777" w:rsidTr="002169C2">
        <w:tc>
          <w:tcPr>
            <w:tcW w:w="1295" w:type="dxa"/>
            <w:tcMar>
              <w:left w:w="57" w:type="dxa"/>
            </w:tcMar>
          </w:tcPr>
          <w:p w14:paraId="4BEC23D7" w14:textId="77777777" w:rsidR="00987D88" w:rsidRPr="00DE25AD" w:rsidRDefault="00987D88" w:rsidP="00987D88">
            <w:pPr>
              <w:pStyle w:val="ACCESSTableHeaderRow"/>
              <w:rPr>
                <w:color w:val="000000"/>
              </w:rPr>
            </w:pPr>
          </w:p>
        </w:tc>
        <w:tc>
          <w:tcPr>
            <w:tcW w:w="1069" w:type="dxa"/>
            <w:shd w:val="clear" w:color="auto" w:fill="auto"/>
            <w:tcMar>
              <w:left w:w="57" w:type="dxa"/>
            </w:tcMar>
            <w:vAlign w:val="bottom"/>
          </w:tcPr>
          <w:p w14:paraId="3D27BADC" w14:textId="77777777" w:rsidR="00987D88" w:rsidRPr="00DE25AD" w:rsidRDefault="00987D88" w:rsidP="00987D88">
            <w:pPr>
              <w:pStyle w:val="ASSAD2017ACCESSBody1"/>
              <w:rPr>
                <w:color w:val="000000"/>
              </w:rPr>
            </w:pPr>
            <w:r w:rsidRPr="00DE25AD">
              <w:rPr>
                <w:color w:val="000000"/>
              </w:rPr>
              <w:t>Females</w:t>
            </w:r>
          </w:p>
        </w:tc>
        <w:tc>
          <w:tcPr>
            <w:tcW w:w="1035" w:type="dxa"/>
            <w:shd w:val="clear" w:color="auto" w:fill="auto"/>
            <w:vAlign w:val="center"/>
          </w:tcPr>
          <w:p w14:paraId="383855E6" w14:textId="121EB896" w:rsidR="00987D88" w:rsidRPr="00DE25AD" w:rsidRDefault="00987D88" w:rsidP="00987D88">
            <w:pPr>
              <w:pStyle w:val="ASSADACCESStablecentre"/>
            </w:pPr>
            <w:r w:rsidRPr="002E5727">
              <w:rPr>
                <w:color w:val="000000"/>
                <w:lang w:eastAsia="ar-SA"/>
              </w:rPr>
              <w:t>2,069</w:t>
            </w:r>
          </w:p>
        </w:tc>
        <w:tc>
          <w:tcPr>
            <w:tcW w:w="1036" w:type="dxa"/>
            <w:shd w:val="clear" w:color="auto" w:fill="auto"/>
            <w:vAlign w:val="center"/>
          </w:tcPr>
          <w:p w14:paraId="6444396F" w14:textId="3F9C013F" w:rsidR="00987D88" w:rsidRPr="00DE25AD" w:rsidRDefault="00987D88" w:rsidP="00987D88">
            <w:pPr>
              <w:pStyle w:val="ASSADACCESStablecentre"/>
            </w:pPr>
            <w:r w:rsidRPr="002E5727">
              <w:rPr>
                <w:color w:val="000000"/>
                <w:lang w:eastAsia="ar-SA"/>
              </w:rPr>
              <w:t>2,858</w:t>
            </w:r>
          </w:p>
        </w:tc>
        <w:tc>
          <w:tcPr>
            <w:tcW w:w="1036" w:type="dxa"/>
            <w:shd w:val="clear" w:color="auto" w:fill="auto"/>
            <w:vAlign w:val="center"/>
          </w:tcPr>
          <w:p w14:paraId="285C5235" w14:textId="5EE8B4E9" w:rsidR="00987D88" w:rsidRPr="00DE25AD" w:rsidRDefault="00987D88" w:rsidP="00987D88">
            <w:pPr>
              <w:pStyle w:val="ASSADACCESStablecentre"/>
            </w:pPr>
            <w:r w:rsidRPr="002E5727">
              <w:rPr>
                <w:color w:val="000000"/>
                <w:lang w:eastAsia="ar-SA"/>
              </w:rPr>
              <w:t>2,940</w:t>
            </w:r>
          </w:p>
        </w:tc>
        <w:tc>
          <w:tcPr>
            <w:tcW w:w="1035" w:type="dxa"/>
            <w:shd w:val="clear" w:color="auto" w:fill="auto"/>
            <w:vAlign w:val="center"/>
          </w:tcPr>
          <w:p w14:paraId="78CA90E5" w14:textId="2071457C" w:rsidR="00987D88" w:rsidRPr="00DE25AD" w:rsidRDefault="00987D88" w:rsidP="00987D88">
            <w:pPr>
              <w:pStyle w:val="ASSADACCESStablecentre"/>
            </w:pPr>
            <w:r w:rsidRPr="002E5727">
              <w:rPr>
                <w:color w:val="000000"/>
                <w:lang w:eastAsia="ar-SA"/>
              </w:rPr>
              <w:t>2,925</w:t>
            </w:r>
          </w:p>
        </w:tc>
        <w:tc>
          <w:tcPr>
            <w:tcW w:w="1036" w:type="dxa"/>
            <w:shd w:val="clear" w:color="auto" w:fill="auto"/>
            <w:vAlign w:val="center"/>
          </w:tcPr>
          <w:p w14:paraId="0E2592A3" w14:textId="34835CAC" w:rsidR="00987D88" w:rsidRPr="00DE25AD" w:rsidRDefault="00987D88" w:rsidP="00987D88">
            <w:pPr>
              <w:pStyle w:val="ASSADACCESStablecentre"/>
            </w:pPr>
            <w:r w:rsidRPr="002E5727">
              <w:rPr>
                <w:color w:val="000000"/>
                <w:lang w:eastAsia="ar-SA"/>
              </w:rPr>
              <w:t>2,631</w:t>
            </w:r>
          </w:p>
        </w:tc>
        <w:tc>
          <w:tcPr>
            <w:tcW w:w="1036" w:type="dxa"/>
            <w:shd w:val="clear" w:color="auto" w:fill="auto"/>
            <w:vAlign w:val="center"/>
          </w:tcPr>
          <w:p w14:paraId="52772AFD" w14:textId="2E86F5EC" w:rsidR="00987D88" w:rsidRPr="00DE25AD" w:rsidRDefault="00987D88" w:rsidP="00987D88">
            <w:pPr>
              <w:pStyle w:val="ASSADACCESStablecentre"/>
            </w:pPr>
            <w:r w:rsidRPr="002E5727">
              <w:rPr>
                <w:color w:val="000000"/>
                <w:lang w:eastAsia="ar-SA"/>
              </w:rPr>
              <w:t>1,858</w:t>
            </w:r>
          </w:p>
        </w:tc>
        <w:tc>
          <w:tcPr>
            <w:tcW w:w="1036" w:type="dxa"/>
            <w:shd w:val="clear" w:color="auto" w:fill="auto"/>
            <w:vAlign w:val="center"/>
          </w:tcPr>
          <w:p w14:paraId="40B91975" w14:textId="0A95247F" w:rsidR="00987D88" w:rsidRPr="00DE25AD" w:rsidRDefault="00987D88" w:rsidP="00987D88">
            <w:pPr>
              <w:pStyle w:val="ASSADACCESStablecentre"/>
            </w:pPr>
            <w:r w:rsidRPr="002E5727">
              <w:rPr>
                <w:color w:val="000000"/>
                <w:lang w:eastAsia="ar-SA"/>
              </w:rPr>
              <w:t>15,281</w:t>
            </w:r>
          </w:p>
        </w:tc>
      </w:tr>
      <w:tr w:rsidR="00987D88" w:rsidRPr="00DE25AD" w14:paraId="48F70653" w14:textId="77777777" w:rsidTr="002169C2">
        <w:tc>
          <w:tcPr>
            <w:tcW w:w="1295" w:type="dxa"/>
            <w:tcMar>
              <w:left w:w="57" w:type="dxa"/>
            </w:tcMar>
          </w:tcPr>
          <w:p w14:paraId="14EF99DF" w14:textId="77777777" w:rsidR="00987D88" w:rsidRPr="00DE25AD" w:rsidRDefault="00987D88" w:rsidP="00987D88">
            <w:pPr>
              <w:pStyle w:val="ACCESSTableHeaderRow"/>
              <w:rPr>
                <w:color w:val="000000"/>
              </w:rPr>
            </w:pPr>
          </w:p>
        </w:tc>
        <w:tc>
          <w:tcPr>
            <w:tcW w:w="1069" w:type="dxa"/>
            <w:shd w:val="clear" w:color="auto" w:fill="auto"/>
            <w:tcMar>
              <w:left w:w="57" w:type="dxa"/>
            </w:tcMar>
            <w:vAlign w:val="bottom"/>
          </w:tcPr>
          <w:p w14:paraId="46EEBDAD" w14:textId="77777777" w:rsidR="00987D88" w:rsidRPr="00DE25AD" w:rsidRDefault="00987D88" w:rsidP="00987D88">
            <w:pPr>
              <w:pStyle w:val="ASSAD2017ACCESSBody1"/>
              <w:rPr>
                <w:color w:val="000000"/>
              </w:rPr>
            </w:pPr>
            <w:r w:rsidRPr="00DE25AD">
              <w:rPr>
                <w:color w:val="000000"/>
              </w:rPr>
              <w:t>Total</w:t>
            </w:r>
          </w:p>
        </w:tc>
        <w:tc>
          <w:tcPr>
            <w:tcW w:w="1035" w:type="dxa"/>
            <w:shd w:val="clear" w:color="auto" w:fill="auto"/>
            <w:vAlign w:val="center"/>
          </w:tcPr>
          <w:p w14:paraId="4FEF827E" w14:textId="16A5D3BD" w:rsidR="00987D88" w:rsidRPr="00DE25AD" w:rsidRDefault="00987D88" w:rsidP="00987D88">
            <w:pPr>
              <w:pStyle w:val="ASSADACCESStablecentre"/>
            </w:pPr>
            <w:r w:rsidRPr="002E5727">
              <w:rPr>
                <w:color w:val="000000"/>
                <w:lang w:eastAsia="ar-SA"/>
              </w:rPr>
              <w:t>3,974</w:t>
            </w:r>
          </w:p>
        </w:tc>
        <w:tc>
          <w:tcPr>
            <w:tcW w:w="1036" w:type="dxa"/>
            <w:shd w:val="clear" w:color="auto" w:fill="auto"/>
            <w:vAlign w:val="center"/>
          </w:tcPr>
          <w:p w14:paraId="326E0426" w14:textId="72B8A497" w:rsidR="00987D88" w:rsidRPr="00DE25AD" w:rsidRDefault="00987D88" w:rsidP="00987D88">
            <w:pPr>
              <w:pStyle w:val="ASSADACCESStablecentre"/>
            </w:pPr>
            <w:r w:rsidRPr="002E5727">
              <w:rPr>
                <w:color w:val="000000"/>
                <w:lang w:eastAsia="ar-SA"/>
              </w:rPr>
              <w:t>5,627</w:t>
            </w:r>
          </w:p>
        </w:tc>
        <w:tc>
          <w:tcPr>
            <w:tcW w:w="1036" w:type="dxa"/>
            <w:shd w:val="clear" w:color="auto" w:fill="auto"/>
            <w:vAlign w:val="center"/>
          </w:tcPr>
          <w:p w14:paraId="41A2009E" w14:textId="308F3822" w:rsidR="00987D88" w:rsidRPr="00DE25AD" w:rsidRDefault="00987D88" w:rsidP="00987D88">
            <w:pPr>
              <w:pStyle w:val="ASSADACCESStablecentre"/>
            </w:pPr>
            <w:r w:rsidRPr="002E5727">
              <w:rPr>
                <w:color w:val="000000"/>
                <w:lang w:eastAsia="ar-SA"/>
              </w:rPr>
              <w:t>5,704</w:t>
            </w:r>
          </w:p>
        </w:tc>
        <w:tc>
          <w:tcPr>
            <w:tcW w:w="1035" w:type="dxa"/>
            <w:shd w:val="clear" w:color="auto" w:fill="auto"/>
            <w:vAlign w:val="center"/>
          </w:tcPr>
          <w:p w14:paraId="7EFE8CEE" w14:textId="01692CD3" w:rsidR="00987D88" w:rsidRPr="00DE25AD" w:rsidRDefault="00987D88" w:rsidP="00987D88">
            <w:pPr>
              <w:pStyle w:val="ASSADACCESStablecentre"/>
            </w:pPr>
            <w:r w:rsidRPr="002E5727">
              <w:rPr>
                <w:color w:val="000000"/>
                <w:lang w:eastAsia="ar-SA"/>
              </w:rPr>
              <w:t>5,697</w:t>
            </w:r>
          </w:p>
        </w:tc>
        <w:tc>
          <w:tcPr>
            <w:tcW w:w="1036" w:type="dxa"/>
            <w:shd w:val="clear" w:color="auto" w:fill="auto"/>
            <w:vAlign w:val="center"/>
          </w:tcPr>
          <w:p w14:paraId="06717702" w14:textId="3AE93E2B" w:rsidR="00987D88" w:rsidRPr="00DE25AD" w:rsidRDefault="00987D88" w:rsidP="00987D88">
            <w:pPr>
              <w:pStyle w:val="ASSADACCESStablecentre"/>
            </w:pPr>
            <w:r w:rsidRPr="002E5727">
              <w:rPr>
                <w:color w:val="000000"/>
                <w:lang w:eastAsia="ar-SA"/>
              </w:rPr>
              <w:t>5,145</w:t>
            </w:r>
          </w:p>
        </w:tc>
        <w:tc>
          <w:tcPr>
            <w:tcW w:w="1036" w:type="dxa"/>
            <w:shd w:val="clear" w:color="auto" w:fill="auto"/>
            <w:vAlign w:val="center"/>
          </w:tcPr>
          <w:p w14:paraId="49EF349C" w14:textId="2102D536" w:rsidR="00987D88" w:rsidRPr="00DE25AD" w:rsidRDefault="00987D88" w:rsidP="00987D88">
            <w:pPr>
              <w:pStyle w:val="ASSADACCESStablecentre"/>
            </w:pPr>
            <w:r w:rsidRPr="002E5727">
              <w:rPr>
                <w:color w:val="000000"/>
                <w:lang w:eastAsia="ar-SA"/>
              </w:rPr>
              <w:t>3,703</w:t>
            </w:r>
          </w:p>
        </w:tc>
        <w:tc>
          <w:tcPr>
            <w:tcW w:w="1036" w:type="dxa"/>
            <w:shd w:val="clear" w:color="auto" w:fill="auto"/>
            <w:vAlign w:val="center"/>
          </w:tcPr>
          <w:p w14:paraId="78C216F1" w14:textId="04BA328A" w:rsidR="00987D88" w:rsidRPr="00DE25AD" w:rsidRDefault="00987D88" w:rsidP="00987D88">
            <w:pPr>
              <w:pStyle w:val="ASSADACCESStablecentre"/>
            </w:pPr>
            <w:r w:rsidRPr="002E5727">
              <w:rPr>
                <w:color w:val="000000"/>
                <w:lang w:eastAsia="ar-SA"/>
              </w:rPr>
              <w:t>29,850</w:t>
            </w:r>
          </w:p>
        </w:tc>
      </w:tr>
      <w:tr w:rsidR="00987D88" w:rsidRPr="00DE25AD" w14:paraId="3438C29B" w14:textId="77777777" w:rsidTr="002169C2">
        <w:tc>
          <w:tcPr>
            <w:tcW w:w="1295" w:type="dxa"/>
            <w:tcMar>
              <w:left w:w="57" w:type="dxa"/>
            </w:tcMar>
            <w:vAlign w:val="bottom"/>
          </w:tcPr>
          <w:p w14:paraId="47BA71D9" w14:textId="653056E6" w:rsidR="00987D88" w:rsidRPr="00DE25AD" w:rsidRDefault="00987D88" w:rsidP="00987D88">
            <w:pPr>
              <w:pStyle w:val="ACCESSTableHeaderRow"/>
              <w:rPr>
                <w:color w:val="000000"/>
              </w:rPr>
            </w:pPr>
            <w:r>
              <w:t>1999</w:t>
            </w:r>
          </w:p>
        </w:tc>
        <w:tc>
          <w:tcPr>
            <w:tcW w:w="1069" w:type="dxa"/>
            <w:shd w:val="clear" w:color="auto" w:fill="auto"/>
            <w:tcMar>
              <w:left w:w="57" w:type="dxa"/>
            </w:tcMar>
            <w:vAlign w:val="bottom"/>
          </w:tcPr>
          <w:p w14:paraId="56AE678D" w14:textId="77777777" w:rsidR="00987D88" w:rsidRPr="00DE25AD" w:rsidRDefault="00987D88" w:rsidP="00987D88">
            <w:pPr>
              <w:pStyle w:val="ASSAD2017ACCESSBody1"/>
              <w:rPr>
                <w:color w:val="000000"/>
              </w:rPr>
            </w:pPr>
            <w:r w:rsidRPr="00DE25AD">
              <w:rPr>
                <w:color w:val="000000"/>
              </w:rPr>
              <w:t>Males</w:t>
            </w:r>
          </w:p>
        </w:tc>
        <w:tc>
          <w:tcPr>
            <w:tcW w:w="1035" w:type="dxa"/>
            <w:shd w:val="clear" w:color="auto" w:fill="auto"/>
            <w:vAlign w:val="center"/>
          </w:tcPr>
          <w:p w14:paraId="7BC75E44" w14:textId="76319B44" w:rsidR="00987D88" w:rsidRPr="00DE25AD" w:rsidRDefault="00987D88" w:rsidP="00987D88">
            <w:pPr>
              <w:pStyle w:val="ASSADACCESStablecentre"/>
            </w:pPr>
            <w:r w:rsidRPr="002E5727">
              <w:rPr>
                <w:color w:val="000000"/>
                <w:lang w:eastAsia="ar-SA"/>
              </w:rPr>
              <w:t>1,708</w:t>
            </w:r>
          </w:p>
        </w:tc>
        <w:tc>
          <w:tcPr>
            <w:tcW w:w="1036" w:type="dxa"/>
            <w:shd w:val="clear" w:color="auto" w:fill="auto"/>
            <w:vAlign w:val="center"/>
          </w:tcPr>
          <w:p w14:paraId="2A7852F0" w14:textId="681E7650" w:rsidR="00987D88" w:rsidRPr="00DE25AD" w:rsidRDefault="00987D88" w:rsidP="00987D88">
            <w:pPr>
              <w:pStyle w:val="ASSADACCESStablecentre"/>
            </w:pPr>
            <w:r w:rsidRPr="002E5727">
              <w:rPr>
                <w:color w:val="000000"/>
                <w:lang w:eastAsia="ar-SA"/>
              </w:rPr>
              <w:t>2,459</w:t>
            </w:r>
          </w:p>
        </w:tc>
        <w:tc>
          <w:tcPr>
            <w:tcW w:w="1036" w:type="dxa"/>
            <w:shd w:val="clear" w:color="auto" w:fill="auto"/>
            <w:vAlign w:val="center"/>
          </w:tcPr>
          <w:p w14:paraId="65127AF5" w14:textId="73ADC994" w:rsidR="00987D88" w:rsidRPr="00DE25AD" w:rsidRDefault="00987D88" w:rsidP="00987D88">
            <w:pPr>
              <w:pStyle w:val="ASSADACCESStablecentre"/>
            </w:pPr>
            <w:r w:rsidRPr="002E5727">
              <w:rPr>
                <w:color w:val="000000"/>
                <w:lang w:eastAsia="ar-SA"/>
              </w:rPr>
              <w:t>2,351</w:t>
            </w:r>
          </w:p>
        </w:tc>
        <w:tc>
          <w:tcPr>
            <w:tcW w:w="1035" w:type="dxa"/>
            <w:shd w:val="clear" w:color="auto" w:fill="auto"/>
            <w:vAlign w:val="center"/>
          </w:tcPr>
          <w:p w14:paraId="1103E492" w14:textId="6D1B2FE5" w:rsidR="00987D88" w:rsidRPr="00DE25AD" w:rsidRDefault="00987D88" w:rsidP="00987D88">
            <w:pPr>
              <w:pStyle w:val="ASSADACCESStablecentre"/>
            </w:pPr>
            <w:r w:rsidRPr="002E5727">
              <w:rPr>
                <w:color w:val="000000"/>
                <w:lang w:eastAsia="ar-SA"/>
              </w:rPr>
              <w:t>2,266</w:t>
            </w:r>
          </w:p>
        </w:tc>
        <w:tc>
          <w:tcPr>
            <w:tcW w:w="1036" w:type="dxa"/>
            <w:shd w:val="clear" w:color="auto" w:fill="auto"/>
            <w:vAlign w:val="center"/>
          </w:tcPr>
          <w:p w14:paraId="5D64672A" w14:textId="47094B38" w:rsidR="00987D88" w:rsidRPr="00DE25AD" w:rsidRDefault="00987D88" w:rsidP="00987D88">
            <w:pPr>
              <w:pStyle w:val="ASSADACCESStablecentre"/>
            </w:pPr>
            <w:r w:rsidRPr="002E5727">
              <w:rPr>
                <w:color w:val="000000"/>
                <w:lang w:eastAsia="ar-SA"/>
              </w:rPr>
              <w:t>2,263</w:t>
            </w:r>
          </w:p>
        </w:tc>
        <w:tc>
          <w:tcPr>
            <w:tcW w:w="1036" w:type="dxa"/>
            <w:shd w:val="clear" w:color="auto" w:fill="auto"/>
            <w:vAlign w:val="center"/>
          </w:tcPr>
          <w:p w14:paraId="6FD6A3F3" w14:textId="4A9773E4" w:rsidR="00987D88" w:rsidRPr="00DE25AD" w:rsidRDefault="00987D88" w:rsidP="00987D88">
            <w:pPr>
              <w:pStyle w:val="ASSADACCESStablecentre"/>
            </w:pPr>
            <w:r w:rsidRPr="002E5727">
              <w:rPr>
                <w:color w:val="000000"/>
                <w:lang w:eastAsia="ar-SA"/>
              </w:rPr>
              <w:t>1,497</w:t>
            </w:r>
          </w:p>
        </w:tc>
        <w:tc>
          <w:tcPr>
            <w:tcW w:w="1036" w:type="dxa"/>
            <w:shd w:val="clear" w:color="auto" w:fill="auto"/>
            <w:vAlign w:val="center"/>
          </w:tcPr>
          <w:p w14:paraId="185C9E7C" w14:textId="2F45D5C9" w:rsidR="00987D88" w:rsidRPr="00DE25AD" w:rsidRDefault="00987D88" w:rsidP="00987D88">
            <w:pPr>
              <w:pStyle w:val="ASSADACCESStablecentre"/>
            </w:pPr>
            <w:r w:rsidRPr="002E5727">
              <w:rPr>
                <w:color w:val="000000"/>
                <w:lang w:eastAsia="ar-SA"/>
              </w:rPr>
              <w:t>12,544</w:t>
            </w:r>
          </w:p>
        </w:tc>
      </w:tr>
      <w:tr w:rsidR="00987D88" w:rsidRPr="00DE25AD" w14:paraId="6FE5AB29" w14:textId="77777777" w:rsidTr="002169C2">
        <w:tc>
          <w:tcPr>
            <w:tcW w:w="1295" w:type="dxa"/>
            <w:tcMar>
              <w:left w:w="57" w:type="dxa"/>
            </w:tcMar>
          </w:tcPr>
          <w:p w14:paraId="008E79B2" w14:textId="77777777" w:rsidR="00987D88" w:rsidRPr="00DE25AD" w:rsidRDefault="00987D88" w:rsidP="00987D88">
            <w:pPr>
              <w:pStyle w:val="ACCESSTableHeaderRow"/>
              <w:rPr>
                <w:color w:val="000000"/>
              </w:rPr>
            </w:pPr>
          </w:p>
        </w:tc>
        <w:tc>
          <w:tcPr>
            <w:tcW w:w="1069" w:type="dxa"/>
            <w:shd w:val="clear" w:color="auto" w:fill="auto"/>
            <w:tcMar>
              <w:left w:w="57" w:type="dxa"/>
            </w:tcMar>
            <w:vAlign w:val="bottom"/>
          </w:tcPr>
          <w:p w14:paraId="74DF5CC8" w14:textId="77777777" w:rsidR="00987D88" w:rsidRPr="00DE25AD" w:rsidRDefault="00987D88" w:rsidP="00987D88">
            <w:pPr>
              <w:pStyle w:val="ASSAD2017ACCESSBody1"/>
              <w:rPr>
                <w:color w:val="000000"/>
              </w:rPr>
            </w:pPr>
            <w:r w:rsidRPr="00DE25AD">
              <w:rPr>
                <w:color w:val="000000"/>
              </w:rPr>
              <w:t>Females</w:t>
            </w:r>
          </w:p>
        </w:tc>
        <w:tc>
          <w:tcPr>
            <w:tcW w:w="1035" w:type="dxa"/>
            <w:shd w:val="clear" w:color="auto" w:fill="auto"/>
            <w:vAlign w:val="center"/>
          </w:tcPr>
          <w:p w14:paraId="37F74A90" w14:textId="25273F56" w:rsidR="00987D88" w:rsidRPr="00DE25AD" w:rsidRDefault="00987D88" w:rsidP="00987D88">
            <w:pPr>
              <w:pStyle w:val="ASSADACCESStablecentre"/>
            </w:pPr>
            <w:r w:rsidRPr="002E5727">
              <w:rPr>
                <w:color w:val="000000"/>
                <w:lang w:eastAsia="ar-SA"/>
              </w:rPr>
              <w:t>1,785</w:t>
            </w:r>
          </w:p>
        </w:tc>
        <w:tc>
          <w:tcPr>
            <w:tcW w:w="1036" w:type="dxa"/>
            <w:shd w:val="clear" w:color="auto" w:fill="auto"/>
            <w:vAlign w:val="center"/>
          </w:tcPr>
          <w:p w14:paraId="24F43687" w14:textId="6DB58C5F" w:rsidR="00987D88" w:rsidRPr="00DE25AD" w:rsidRDefault="00987D88" w:rsidP="00987D88">
            <w:pPr>
              <w:pStyle w:val="ASSADACCESStablecentre"/>
            </w:pPr>
            <w:r w:rsidRPr="002E5727">
              <w:rPr>
                <w:color w:val="000000"/>
                <w:lang w:eastAsia="ar-SA"/>
              </w:rPr>
              <w:t>2,515</w:t>
            </w:r>
          </w:p>
        </w:tc>
        <w:tc>
          <w:tcPr>
            <w:tcW w:w="1036" w:type="dxa"/>
            <w:shd w:val="clear" w:color="auto" w:fill="auto"/>
            <w:vAlign w:val="center"/>
          </w:tcPr>
          <w:p w14:paraId="47DCA612" w14:textId="68D71950" w:rsidR="00987D88" w:rsidRPr="00DE25AD" w:rsidRDefault="00987D88" w:rsidP="00987D88">
            <w:pPr>
              <w:pStyle w:val="ASSADACCESStablecentre"/>
            </w:pPr>
            <w:r w:rsidRPr="002E5727">
              <w:rPr>
                <w:color w:val="000000"/>
                <w:lang w:eastAsia="ar-SA"/>
              </w:rPr>
              <w:t>2,572</w:t>
            </w:r>
          </w:p>
        </w:tc>
        <w:tc>
          <w:tcPr>
            <w:tcW w:w="1035" w:type="dxa"/>
            <w:shd w:val="clear" w:color="auto" w:fill="auto"/>
            <w:vAlign w:val="center"/>
          </w:tcPr>
          <w:p w14:paraId="76DBCFE3" w14:textId="1EF2F532" w:rsidR="00987D88" w:rsidRPr="00DE25AD" w:rsidRDefault="00987D88" w:rsidP="00987D88">
            <w:pPr>
              <w:pStyle w:val="ASSADACCESStablecentre"/>
            </w:pPr>
            <w:r w:rsidRPr="002E5727">
              <w:rPr>
                <w:color w:val="000000"/>
                <w:lang w:eastAsia="ar-SA"/>
              </w:rPr>
              <w:t>2,360</w:t>
            </w:r>
          </w:p>
        </w:tc>
        <w:tc>
          <w:tcPr>
            <w:tcW w:w="1036" w:type="dxa"/>
            <w:shd w:val="clear" w:color="auto" w:fill="auto"/>
            <w:vAlign w:val="center"/>
          </w:tcPr>
          <w:p w14:paraId="69C31F03" w14:textId="69B53E8D" w:rsidR="00987D88" w:rsidRPr="00DE25AD" w:rsidRDefault="00987D88" w:rsidP="00987D88">
            <w:pPr>
              <w:pStyle w:val="ASSADACCESStablecentre"/>
            </w:pPr>
            <w:r w:rsidRPr="002E5727">
              <w:rPr>
                <w:color w:val="000000"/>
                <w:lang w:eastAsia="ar-SA"/>
              </w:rPr>
              <w:t>2,260</w:t>
            </w:r>
          </w:p>
        </w:tc>
        <w:tc>
          <w:tcPr>
            <w:tcW w:w="1036" w:type="dxa"/>
            <w:shd w:val="clear" w:color="auto" w:fill="auto"/>
            <w:vAlign w:val="center"/>
          </w:tcPr>
          <w:p w14:paraId="7D89B77D" w14:textId="692D9AAF" w:rsidR="00987D88" w:rsidRPr="00DE25AD" w:rsidRDefault="00987D88" w:rsidP="00987D88">
            <w:pPr>
              <w:pStyle w:val="ASSADACCESStablecentre"/>
            </w:pPr>
            <w:r w:rsidRPr="002E5727">
              <w:rPr>
                <w:color w:val="000000"/>
                <w:lang w:eastAsia="ar-SA"/>
              </w:rPr>
              <w:t>1,450</w:t>
            </w:r>
          </w:p>
        </w:tc>
        <w:tc>
          <w:tcPr>
            <w:tcW w:w="1036" w:type="dxa"/>
            <w:shd w:val="clear" w:color="auto" w:fill="auto"/>
            <w:vAlign w:val="center"/>
          </w:tcPr>
          <w:p w14:paraId="27512ADA" w14:textId="15942842" w:rsidR="00987D88" w:rsidRPr="00DE25AD" w:rsidRDefault="00987D88" w:rsidP="00987D88">
            <w:pPr>
              <w:pStyle w:val="ASSADACCESStablecentre"/>
            </w:pPr>
            <w:r w:rsidRPr="002E5727">
              <w:rPr>
                <w:color w:val="000000"/>
                <w:lang w:eastAsia="ar-SA"/>
              </w:rPr>
              <w:t>12,942</w:t>
            </w:r>
          </w:p>
        </w:tc>
      </w:tr>
      <w:tr w:rsidR="00987D88" w:rsidRPr="00DE25AD" w14:paraId="3443EDD7" w14:textId="77777777" w:rsidTr="002169C2">
        <w:tc>
          <w:tcPr>
            <w:tcW w:w="1295" w:type="dxa"/>
            <w:tcMar>
              <w:left w:w="57" w:type="dxa"/>
            </w:tcMar>
          </w:tcPr>
          <w:p w14:paraId="58E4260D" w14:textId="77777777" w:rsidR="00987D88" w:rsidRPr="00DE25AD" w:rsidRDefault="00987D88" w:rsidP="00987D88">
            <w:pPr>
              <w:pStyle w:val="ACCESSTableHeaderRow"/>
              <w:rPr>
                <w:color w:val="000000"/>
              </w:rPr>
            </w:pPr>
          </w:p>
        </w:tc>
        <w:tc>
          <w:tcPr>
            <w:tcW w:w="1069" w:type="dxa"/>
            <w:shd w:val="clear" w:color="auto" w:fill="auto"/>
            <w:tcMar>
              <w:left w:w="57" w:type="dxa"/>
            </w:tcMar>
            <w:vAlign w:val="bottom"/>
          </w:tcPr>
          <w:p w14:paraId="439498C3" w14:textId="77777777" w:rsidR="00987D88" w:rsidRPr="00DE25AD" w:rsidRDefault="00987D88" w:rsidP="00987D88">
            <w:pPr>
              <w:pStyle w:val="ASSAD2017ACCESSBody1"/>
              <w:rPr>
                <w:color w:val="000000"/>
              </w:rPr>
            </w:pPr>
            <w:r w:rsidRPr="00DE25AD">
              <w:rPr>
                <w:color w:val="000000"/>
              </w:rPr>
              <w:t>Total</w:t>
            </w:r>
          </w:p>
        </w:tc>
        <w:tc>
          <w:tcPr>
            <w:tcW w:w="1035" w:type="dxa"/>
            <w:shd w:val="clear" w:color="auto" w:fill="auto"/>
            <w:vAlign w:val="center"/>
          </w:tcPr>
          <w:p w14:paraId="36B55B17" w14:textId="6FD9290A" w:rsidR="00987D88" w:rsidRPr="00DE25AD" w:rsidRDefault="00987D88" w:rsidP="00987D88">
            <w:pPr>
              <w:pStyle w:val="ASSADACCESStablecentre"/>
            </w:pPr>
            <w:r w:rsidRPr="002E5727">
              <w:rPr>
                <w:color w:val="000000"/>
                <w:lang w:eastAsia="ar-SA"/>
              </w:rPr>
              <w:t>3,493</w:t>
            </w:r>
          </w:p>
        </w:tc>
        <w:tc>
          <w:tcPr>
            <w:tcW w:w="1036" w:type="dxa"/>
            <w:shd w:val="clear" w:color="auto" w:fill="auto"/>
            <w:vAlign w:val="center"/>
          </w:tcPr>
          <w:p w14:paraId="66744A8F" w14:textId="79086641" w:rsidR="00987D88" w:rsidRPr="00DE25AD" w:rsidRDefault="00987D88" w:rsidP="00987D88">
            <w:pPr>
              <w:pStyle w:val="ASSADACCESStablecentre"/>
            </w:pPr>
            <w:r w:rsidRPr="002E5727">
              <w:rPr>
                <w:color w:val="000000"/>
                <w:lang w:eastAsia="ar-SA"/>
              </w:rPr>
              <w:t>4,974</w:t>
            </w:r>
          </w:p>
        </w:tc>
        <w:tc>
          <w:tcPr>
            <w:tcW w:w="1036" w:type="dxa"/>
            <w:shd w:val="clear" w:color="auto" w:fill="auto"/>
            <w:vAlign w:val="center"/>
          </w:tcPr>
          <w:p w14:paraId="165D3B8D" w14:textId="5247D51B" w:rsidR="00987D88" w:rsidRPr="00DE25AD" w:rsidRDefault="00987D88" w:rsidP="00987D88">
            <w:pPr>
              <w:pStyle w:val="ASSADACCESStablecentre"/>
            </w:pPr>
            <w:r w:rsidRPr="002E5727">
              <w:rPr>
                <w:color w:val="000000"/>
                <w:lang w:eastAsia="ar-SA"/>
              </w:rPr>
              <w:t>4,923</w:t>
            </w:r>
          </w:p>
        </w:tc>
        <w:tc>
          <w:tcPr>
            <w:tcW w:w="1035" w:type="dxa"/>
            <w:shd w:val="clear" w:color="auto" w:fill="auto"/>
            <w:vAlign w:val="center"/>
          </w:tcPr>
          <w:p w14:paraId="11C23D68" w14:textId="28C752A3" w:rsidR="00987D88" w:rsidRPr="00DE25AD" w:rsidRDefault="00987D88" w:rsidP="00987D88">
            <w:pPr>
              <w:pStyle w:val="ASSADACCESStablecentre"/>
            </w:pPr>
            <w:r w:rsidRPr="002E5727">
              <w:rPr>
                <w:color w:val="000000"/>
                <w:lang w:eastAsia="ar-SA"/>
              </w:rPr>
              <w:t>4,626</w:t>
            </w:r>
          </w:p>
        </w:tc>
        <w:tc>
          <w:tcPr>
            <w:tcW w:w="1036" w:type="dxa"/>
            <w:shd w:val="clear" w:color="auto" w:fill="auto"/>
            <w:vAlign w:val="center"/>
          </w:tcPr>
          <w:p w14:paraId="63BA8690" w14:textId="01BA0B4A" w:rsidR="00987D88" w:rsidRPr="00DE25AD" w:rsidRDefault="00987D88" w:rsidP="00987D88">
            <w:pPr>
              <w:pStyle w:val="ASSADACCESStablecentre"/>
            </w:pPr>
            <w:r w:rsidRPr="002E5727">
              <w:rPr>
                <w:color w:val="000000"/>
                <w:lang w:eastAsia="ar-SA"/>
              </w:rPr>
              <w:t>4,523</w:t>
            </w:r>
          </w:p>
        </w:tc>
        <w:tc>
          <w:tcPr>
            <w:tcW w:w="1036" w:type="dxa"/>
            <w:shd w:val="clear" w:color="auto" w:fill="auto"/>
            <w:vAlign w:val="center"/>
          </w:tcPr>
          <w:p w14:paraId="05C91C9B" w14:textId="594FC1B7" w:rsidR="00987D88" w:rsidRPr="00DE25AD" w:rsidRDefault="00987D88" w:rsidP="00987D88">
            <w:pPr>
              <w:pStyle w:val="ASSADACCESStablecentre"/>
            </w:pPr>
            <w:r w:rsidRPr="002E5727">
              <w:rPr>
                <w:color w:val="000000"/>
                <w:lang w:eastAsia="ar-SA"/>
              </w:rPr>
              <w:t>2,947</w:t>
            </w:r>
          </w:p>
        </w:tc>
        <w:tc>
          <w:tcPr>
            <w:tcW w:w="1036" w:type="dxa"/>
            <w:shd w:val="clear" w:color="auto" w:fill="auto"/>
            <w:vAlign w:val="center"/>
          </w:tcPr>
          <w:p w14:paraId="0F5B1511" w14:textId="63C76D49" w:rsidR="00987D88" w:rsidRPr="00DE25AD" w:rsidRDefault="00987D88" w:rsidP="00987D88">
            <w:pPr>
              <w:pStyle w:val="ASSADACCESStablecentre"/>
            </w:pPr>
            <w:r w:rsidRPr="002E5727">
              <w:rPr>
                <w:color w:val="000000"/>
                <w:lang w:eastAsia="ar-SA"/>
              </w:rPr>
              <w:t>25,486</w:t>
            </w:r>
          </w:p>
        </w:tc>
      </w:tr>
      <w:tr w:rsidR="00987D88" w:rsidRPr="00DE25AD" w14:paraId="757A759D" w14:textId="77777777" w:rsidTr="00987D88">
        <w:tc>
          <w:tcPr>
            <w:tcW w:w="1295" w:type="dxa"/>
            <w:tcMar>
              <w:left w:w="57" w:type="dxa"/>
            </w:tcMar>
            <w:vAlign w:val="bottom"/>
          </w:tcPr>
          <w:p w14:paraId="2D082194" w14:textId="442A2617" w:rsidR="00987D88" w:rsidRPr="00DE25AD" w:rsidRDefault="00987D88" w:rsidP="00987D88">
            <w:pPr>
              <w:pStyle w:val="ACCESSTableHeaderRow"/>
              <w:rPr>
                <w:color w:val="000000"/>
              </w:rPr>
            </w:pPr>
            <w:r>
              <w:t>2002</w:t>
            </w:r>
            <w:r w:rsidRPr="00DE25AD">
              <w:t xml:space="preserve"> </w:t>
            </w:r>
          </w:p>
        </w:tc>
        <w:tc>
          <w:tcPr>
            <w:tcW w:w="1069" w:type="dxa"/>
            <w:shd w:val="clear" w:color="auto" w:fill="auto"/>
            <w:tcMar>
              <w:left w:w="57" w:type="dxa"/>
            </w:tcMar>
            <w:vAlign w:val="bottom"/>
          </w:tcPr>
          <w:p w14:paraId="2BFD07C1" w14:textId="77777777" w:rsidR="00987D88" w:rsidRPr="00DE25AD" w:rsidRDefault="00987D88" w:rsidP="00987D88">
            <w:pPr>
              <w:pStyle w:val="ASSAD2017ACCESSBody1"/>
              <w:rPr>
                <w:color w:val="000000"/>
              </w:rPr>
            </w:pPr>
            <w:r w:rsidRPr="00DE25AD">
              <w:rPr>
                <w:color w:val="000000"/>
              </w:rPr>
              <w:t>Males</w:t>
            </w:r>
          </w:p>
        </w:tc>
        <w:tc>
          <w:tcPr>
            <w:tcW w:w="1035" w:type="dxa"/>
            <w:shd w:val="clear" w:color="auto" w:fill="auto"/>
          </w:tcPr>
          <w:p w14:paraId="251F3A8D" w14:textId="74B87843" w:rsidR="00987D88" w:rsidRPr="00DE25AD" w:rsidRDefault="00987D88" w:rsidP="00987D88">
            <w:pPr>
              <w:pStyle w:val="ASSADACCESStablecentre"/>
            </w:pPr>
            <w:r w:rsidRPr="002E5727">
              <w:rPr>
                <w:bCs w:val="0"/>
                <w:color w:val="000000"/>
              </w:rPr>
              <w:t>1,401</w:t>
            </w:r>
          </w:p>
        </w:tc>
        <w:tc>
          <w:tcPr>
            <w:tcW w:w="1036" w:type="dxa"/>
            <w:shd w:val="clear" w:color="auto" w:fill="auto"/>
          </w:tcPr>
          <w:p w14:paraId="3A15F8FB" w14:textId="63EA8E03" w:rsidR="00987D88" w:rsidRPr="00DE25AD" w:rsidRDefault="00987D88" w:rsidP="00987D88">
            <w:pPr>
              <w:pStyle w:val="ASSADACCESStablecentre"/>
            </w:pPr>
            <w:r w:rsidRPr="002E5727">
              <w:rPr>
                <w:bCs w:val="0"/>
                <w:color w:val="000000"/>
              </w:rPr>
              <w:t>2,317</w:t>
            </w:r>
          </w:p>
        </w:tc>
        <w:tc>
          <w:tcPr>
            <w:tcW w:w="1036" w:type="dxa"/>
            <w:shd w:val="clear" w:color="auto" w:fill="auto"/>
          </w:tcPr>
          <w:p w14:paraId="77FD9324" w14:textId="3856E3AE" w:rsidR="00987D88" w:rsidRPr="00DE25AD" w:rsidRDefault="00987D88" w:rsidP="00987D88">
            <w:pPr>
              <w:pStyle w:val="ASSADACCESStablecentre"/>
            </w:pPr>
            <w:r w:rsidRPr="002E5727">
              <w:rPr>
                <w:bCs w:val="0"/>
                <w:color w:val="000000"/>
              </w:rPr>
              <w:t>2,390</w:t>
            </w:r>
          </w:p>
        </w:tc>
        <w:tc>
          <w:tcPr>
            <w:tcW w:w="1035" w:type="dxa"/>
            <w:shd w:val="clear" w:color="auto" w:fill="auto"/>
          </w:tcPr>
          <w:p w14:paraId="5602C3BD" w14:textId="786954D6" w:rsidR="00987D88" w:rsidRPr="00DE25AD" w:rsidRDefault="00987D88" w:rsidP="00987D88">
            <w:pPr>
              <w:pStyle w:val="ASSADACCESStablecentre"/>
            </w:pPr>
            <w:r w:rsidRPr="002E5727">
              <w:rPr>
                <w:bCs w:val="0"/>
                <w:color w:val="000000"/>
              </w:rPr>
              <w:t>2,375</w:t>
            </w:r>
          </w:p>
        </w:tc>
        <w:tc>
          <w:tcPr>
            <w:tcW w:w="1036" w:type="dxa"/>
            <w:shd w:val="clear" w:color="auto" w:fill="auto"/>
          </w:tcPr>
          <w:p w14:paraId="431C06A5" w14:textId="7BE892A5" w:rsidR="00987D88" w:rsidRPr="00DE25AD" w:rsidRDefault="00987D88" w:rsidP="00987D88">
            <w:pPr>
              <w:pStyle w:val="ASSADACCESStablecentre"/>
            </w:pPr>
            <w:r w:rsidRPr="002E5727">
              <w:rPr>
                <w:bCs w:val="0"/>
                <w:color w:val="000000"/>
              </w:rPr>
              <w:t>1,819</w:t>
            </w:r>
          </w:p>
        </w:tc>
        <w:tc>
          <w:tcPr>
            <w:tcW w:w="1036" w:type="dxa"/>
            <w:shd w:val="clear" w:color="auto" w:fill="auto"/>
          </w:tcPr>
          <w:p w14:paraId="2537D1BE" w14:textId="244EBC5A" w:rsidR="00987D88" w:rsidRPr="00DE25AD" w:rsidRDefault="00987D88" w:rsidP="00987D88">
            <w:pPr>
              <w:pStyle w:val="ASSADACCESStablecentre"/>
            </w:pPr>
            <w:r w:rsidRPr="002E5727">
              <w:rPr>
                <w:bCs w:val="0"/>
                <w:color w:val="000000"/>
              </w:rPr>
              <w:t>1,344</w:t>
            </w:r>
          </w:p>
        </w:tc>
        <w:tc>
          <w:tcPr>
            <w:tcW w:w="1036" w:type="dxa"/>
            <w:shd w:val="clear" w:color="auto" w:fill="auto"/>
          </w:tcPr>
          <w:p w14:paraId="69762BC8" w14:textId="7B9C9EA2" w:rsidR="00987D88" w:rsidRPr="00DE25AD" w:rsidRDefault="00987D88" w:rsidP="00987D88">
            <w:pPr>
              <w:pStyle w:val="ASSADACCESStablecentre"/>
            </w:pPr>
            <w:r w:rsidRPr="002E5727">
              <w:rPr>
                <w:bCs w:val="0"/>
                <w:color w:val="000000"/>
              </w:rPr>
              <w:t>11,646</w:t>
            </w:r>
          </w:p>
        </w:tc>
      </w:tr>
      <w:tr w:rsidR="00987D88" w:rsidRPr="00DE25AD" w14:paraId="4B613E8E" w14:textId="77777777" w:rsidTr="00987D88">
        <w:tc>
          <w:tcPr>
            <w:tcW w:w="1295" w:type="dxa"/>
            <w:tcMar>
              <w:left w:w="57" w:type="dxa"/>
            </w:tcMar>
          </w:tcPr>
          <w:p w14:paraId="75FEFFB1" w14:textId="77777777" w:rsidR="00987D88" w:rsidRPr="00DE25AD" w:rsidRDefault="00987D88" w:rsidP="00987D88">
            <w:pPr>
              <w:pStyle w:val="ACCESSTableHeaderRow"/>
              <w:rPr>
                <w:color w:val="000000"/>
              </w:rPr>
            </w:pPr>
          </w:p>
        </w:tc>
        <w:tc>
          <w:tcPr>
            <w:tcW w:w="1069" w:type="dxa"/>
            <w:shd w:val="clear" w:color="auto" w:fill="auto"/>
            <w:tcMar>
              <w:left w:w="57" w:type="dxa"/>
            </w:tcMar>
            <w:vAlign w:val="bottom"/>
          </w:tcPr>
          <w:p w14:paraId="52A42CA6" w14:textId="77777777" w:rsidR="00987D88" w:rsidRPr="00DE25AD" w:rsidRDefault="00987D88" w:rsidP="00987D88">
            <w:pPr>
              <w:pStyle w:val="ASSAD2017ACCESSBody1"/>
              <w:rPr>
                <w:color w:val="000000"/>
              </w:rPr>
            </w:pPr>
            <w:r w:rsidRPr="00DE25AD">
              <w:rPr>
                <w:color w:val="000000"/>
              </w:rPr>
              <w:t>Females</w:t>
            </w:r>
          </w:p>
        </w:tc>
        <w:tc>
          <w:tcPr>
            <w:tcW w:w="1035" w:type="dxa"/>
            <w:shd w:val="clear" w:color="auto" w:fill="auto"/>
          </w:tcPr>
          <w:p w14:paraId="7F51C62D" w14:textId="427EBA2B" w:rsidR="00987D88" w:rsidRPr="00DE25AD" w:rsidRDefault="00987D88" w:rsidP="00987D88">
            <w:pPr>
              <w:pStyle w:val="ASSADACCESStablecentre"/>
            </w:pPr>
            <w:r w:rsidRPr="002E5727">
              <w:rPr>
                <w:bCs w:val="0"/>
                <w:color w:val="000000"/>
              </w:rPr>
              <w:t>1,471</w:t>
            </w:r>
          </w:p>
        </w:tc>
        <w:tc>
          <w:tcPr>
            <w:tcW w:w="1036" w:type="dxa"/>
            <w:shd w:val="clear" w:color="auto" w:fill="auto"/>
          </w:tcPr>
          <w:p w14:paraId="7F2C9F6F" w14:textId="12B8CD47" w:rsidR="00987D88" w:rsidRPr="00DE25AD" w:rsidRDefault="00987D88" w:rsidP="00987D88">
            <w:pPr>
              <w:pStyle w:val="ASSADACCESStablecentre"/>
            </w:pPr>
            <w:r w:rsidRPr="002E5727">
              <w:rPr>
                <w:bCs w:val="0"/>
                <w:color w:val="000000"/>
              </w:rPr>
              <w:t>2,287</w:t>
            </w:r>
          </w:p>
        </w:tc>
        <w:tc>
          <w:tcPr>
            <w:tcW w:w="1036" w:type="dxa"/>
            <w:shd w:val="clear" w:color="auto" w:fill="auto"/>
          </w:tcPr>
          <w:p w14:paraId="6DED6586" w14:textId="56A7E579" w:rsidR="00987D88" w:rsidRPr="00DE25AD" w:rsidRDefault="00987D88" w:rsidP="00987D88">
            <w:pPr>
              <w:pStyle w:val="ASSADACCESStablecentre"/>
            </w:pPr>
            <w:r w:rsidRPr="002E5727">
              <w:rPr>
                <w:bCs w:val="0"/>
                <w:color w:val="000000"/>
              </w:rPr>
              <w:t>2,248</w:t>
            </w:r>
          </w:p>
        </w:tc>
        <w:tc>
          <w:tcPr>
            <w:tcW w:w="1035" w:type="dxa"/>
            <w:shd w:val="clear" w:color="auto" w:fill="auto"/>
          </w:tcPr>
          <w:p w14:paraId="475CBDCA" w14:textId="021B3425" w:rsidR="00987D88" w:rsidRPr="00DE25AD" w:rsidRDefault="00987D88" w:rsidP="00987D88">
            <w:pPr>
              <w:pStyle w:val="ASSADACCESStablecentre"/>
            </w:pPr>
            <w:r w:rsidRPr="002E5727">
              <w:rPr>
                <w:bCs w:val="0"/>
                <w:color w:val="000000"/>
              </w:rPr>
              <w:t>2,197</w:t>
            </w:r>
          </w:p>
        </w:tc>
        <w:tc>
          <w:tcPr>
            <w:tcW w:w="1036" w:type="dxa"/>
            <w:shd w:val="clear" w:color="auto" w:fill="auto"/>
          </w:tcPr>
          <w:p w14:paraId="4BE9CED1" w14:textId="68AC131B" w:rsidR="00987D88" w:rsidRPr="00DE25AD" w:rsidRDefault="00987D88" w:rsidP="00987D88">
            <w:pPr>
              <w:pStyle w:val="ASSADACCESStablecentre"/>
            </w:pPr>
            <w:r w:rsidRPr="002E5727">
              <w:rPr>
                <w:bCs w:val="0"/>
                <w:color w:val="000000"/>
              </w:rPr>
              <w:t>1,995</w:t>
            </w:r>
          </w:p>
        </w:tc>
        <w:tc>
          <w:tcPr>
            <w:tcW w:w="1036" w:type="dxa"/>
            <w:shd w:val="clear" w:color="auto" w:fill="auto"/>
          </w:tcPr>
          <w:p w14:paraId="63AFF8FF" w14:textId="2C65DE56" w:rsidR="00987D88" w:rsidRPr="00DE25AD" w:rsidRDefault="00987D88" w:rsidP="00987D88">
            <w:pPr>
              <w:pStyle w:val="ASSADACCESStablecentre"/>
            </w:pPr>
            <w:r w:rsidRPr="002E5727">
              <w:rPr>
                <w:bCs w:val="0"/>
                <w:color w:val="000000"/>
              </w:rPr>
              <w:t>1,573</w:t>
            </w:r>
          </w:p>
        </w:tc>
        <w:tc>
          <w:tcPr>
            <w:tcW w:w="1036" w:type="dxa"/>
            <w:shd w:val="clear" w:color="auto" w:fill="auto"/>
          </w:tcPr>
          <w:p w14:paraId="70F03D01" w14:textId="5B0F4675" w:rsidR="00987D88" w:rsidRPr="00DE25AD" w:rsidRDefault="00987D88" w:rsidP="00987D88">
            <w:pPr>
              <w:pStyle w:val="ASSADACCESStablecentre"/>
            </w:pPr>
            <w:r w:rsidRPr="002E5727">
              <w:rPr>
                <w:bCs w:val="0"/>
                <w:color w:val="000000"/>
              </w:rPr>
              <w:t>11,771</w:t>
            </w:r>
          </w:p>
        </w:tc>
      </w:tr>
      <w:tr w:rsidR="00987D88" w:rsidRPr="00DE25AD" w14:paraId="5EC2FDC2" w14:textId="77777777" w:rsidTr="00987D88">
        <w:tc>
          <w:tcPr>
            <w:tcW w:w="1295" w:type="dxa"/>
            <w:tcMar>
              <w:left w:w="57" w:type="dxa"/>
            </w:tcMar>
          </w:tcPr>
          <w:p w14:paraId="6CA9BCB4" w14:textId="77777777" w:rsidR="00987D88" w:rsidRPr="00DE25AD" w:rsidRDefault="00987D88" w:rsidP="00987D88">
            <w:pPr>
              <w:pStyle w:val="ASSAD2017ACCESSBody1"/>
              <w:rPr>
                <w:color w:val="000000"/>
              </w:rPr>
            </w:pPr>
          </w:p>
        </w:tc>
        <w:tc>
          <w:tcPr>
            <w:tcW w:w="1069" w:type="dxa"/>
            <w:shd w:val="clear" w:color="auto" w:fill="auto"/>
            <w:tcMar>
              <w:left w:w="57" w:type="dxa"/>
            </w:tcMar>
            <w:vAlign w:val="bottom"/>
          </w:tcPr>
          <w:p w14:paraId="46B92D8A" w14:textId="77777777" w:rsidR="00987D88" w:rsidRPr="00DE25AD" w:rsidRDefault="00987D88" w:rsidP="00987D88">
            <w:pPr>
              <w:pStyle w:val="ASSAD2017ACCESSBody1"/>
              <w:rPr>
                <w:color w:val="000000"/>
              </w:rPr>
            </w:pPr>
            <w:r w:rsidRPr="00DE25AD">
              <w:rPr>
                <w:color w:val="000000"/>
              </w:rPr>
              <w:t>Total</w:t>
            </w:r>
          </w:p>
        </w:tc>
        <w:tc>
          <w:tcPr>
            <w:tcW w:w="1035" w:type="dxa"/>
            <w:shd w:val="clear" w:color="auto" w:fill="auto"/>
          </w:tcPr>
          <w:p w14:paraId="4914F38E" w14:textId="740EDFB3" w:rsidR="00987D88" w:rsidRPr="00DE25AD" w:rsidRDefault="00987D88" w:rsidP="00987D88">
            <w:pPr>
              <w:pStyle w:val="ASSADACCESStablecentre"/>
            </w:pPr>
            <w:r w:rsidRPr="002E5727">
              <w:rPr>
                <w:bCs w:val="0"/>
                <w:color w:val="000000"/>
              </w:rPr>
              <w:t>2,872</w:t>
            </w:r>
          </w:p>
        </w:tc>
        <w:tc>
          <w:tcPr>
            <w:tcW w:w="1036" w:type="dxa"/>
            <w:shd w:val="clear" w:color="auto" w:fill="auto"/>
          </w:tcPr>
          <w:p w14:paraId="43D0620E" w14:textId="79A8D720" w:rsidR="00987D88" w:rsidRPr="00DE25AD" w:rsidRDefault="00987D88" w:rsidP="00987D88">
            <w:pPr>
              <w:pStyle w:val="ASSADACCESStablecentre"/>
            </w:pPr>
            <w:r w:rsidRPr="002E5727">
              <w:rPr>
                <w:bCs w:val="0"/>
                <w:color w:val="000000"/>
              </w:rPr>
              <w:t>4,604</w:t>
            </w:r>
          </w:p>
        </w:tc>
        <w:tc>
          <w:tcPr>
            <w:tcW w:w="1036" w:type="dxa"/>
            <w:shd w:val="clear" w:color="auto" w:fill="auto"/>
          </w:tcPr>
          <w:p w14:paraId="2C4E9A44" w14:textId="5D51E5A1" w:rsidR="00987D88" w:rsidRPr="00DE25AD" w:rsidRDefault="00987D88" w:rsidP="00987D88">
            <w:pPr>
              <w:pStyle w:val="ASSADACCESStablecentre"/>
            </w:pPr>
            <w:r w:rsidRPr="002E5727">
              <w:rPr>
                <w:bCs w:val="0"/>
                <w:color w:val="000000"/>
              </w:rPr>
              <w:t>4,638</w:t>
            </w:r>
          </w:p>
        </w:tc>
        <w:tc>
          <w:tcPr>
            <w:tcW w:w="1035" w:type="dxa"/>
            <w:shd w:val="clear" w:color="auto" w:fill="auto"/>
          </w:tcPr>
          <w:p w14:paraId="5E80DABF" w14:textId="29E326D5" w:rsidR="00987D88" w:rsidRPr="00DE25AD" w:rsidRDefault="00987D88" w:rsidP="00987D88">
            <w:pPr>
              <w:pStyle w:val="ASSADACCESStablecentre"/>
            </w:pPr>
            <w:r w:rsidRPr="002E5727">
              <w:rPr>
                <w:bCs w:val="0"/>
                <w:color w:val="000000"/>
              </w:rPr>
              <w:t>4,572</w:t>
            </w:r>
          </w:p>
        </w:tc>
        <w:tc>
          <w:tcPr>
            <w:tcW w:w="1036" w:type="dxa"/>
            <w:shd w:val="clear" w:color="auto" w:fill="auto"/>
          </w:tcPr>
          <w:p w14:paraId="1054CC7F" w14:textId="0A558EF3" w:rsidR="00987D88" w:rsidRPr="00DE25AD" w:rsidRDefault="00987D88" w:rsidP="00987D88">
            <w:pPr>
              <w:pStyle w:val="ASSADACCESStablecentre"/>
            </w:pPr>
            <w:r w:rsidRPr="002E5727">
              <w:rPr>
                <w:bCs w:val="0"/>
                <w:color w:val="000000"/>
              </w:rPr>
              <w:t>3,814</w:t>
            </w:r>
          </w:p>
        </w:tc>
        <w:tc>
          <w:tcPr>
            <w:tcW w:w="1036" w:type="dxa"/>
            <w:shd w:val="clear" w:color="auto" w:fill="auto"/>
          </w:tcPr>
          <w:p w14:paraId="2035E853" w14:textId="0F59C464" w:rsidR="00987D88" w:rsidRPr="00DE25AD" w:rsidRDefault="00987D88" w:rsidP="00987D88">
            <w:pPr>
              <w:pStyle w:val="ASSADACCESStablecentre"/>
            </w:pPr>
            <w:r w:rsidRPr="002E5727">
              <w:rPr>
                <w:bCs w:val="0"/>
                <w:color w:val="000000"/>
              </w:rPr>
              <w:t>2,917</w:t>
            </w:r>
          </w:p>
        </w:tc>
        <w:tc>
          <w:tcPr>
            <w:tcW w:w="1036" w:type="dxa"/>
            <w:shd w:val="clear" w:color="auto" w:fill="auto"/>
          </w:tcPr>
          <w:p w14:paraId="4F1E76DE" w14:textId="01CFE814" w:rsidR="00987D88" w:rsidRPr="00DE25AD" w:rsidRDefault="00987D88" w:rsidP="00987D88">
            <w:pPr>
              <w:pStyle w:val="ASSADACCESStablecentre"/>
            </w:pPr>
            <w:r w:rsidRPr="002E5727">
              <w:rPr>
                <w:bCs w:val="0"/>
                <w:color w:val="000000"/>
              </w:rPr>
              <w:t>23,417</w:t>
            </w:r>
          </w:p>
        </w:tc>
      </w:tr>
      <w:tr w:rsidR="00987D88" w:rsidRPr="00DE25AD" w14:paraId="3F447477"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3D47DE8E" w14:textId="5D2B1D6C" w:rsidR="00987D88" w:rsidRPr="00987D88" w:rsidRDefault="00987D88" w:rsidP="00987D88">
            <w:pPr>
              <w:pStyle w:val="ASSAD2017ACCESSBody1"/>
              <w:rPr>
                <w:b/>
                <w:bCs w:val="0"/>
                <w:color w:val="000000"/>
              </w:rPr>
            </w:pPr>
            <w:r w:rsidRPr="00987D88">
              <w:rPr>
                <w:b/>
                <w:bCs w:val="0"/>
                <w:color w:val="000000"/>
              </w:rPr>
              <w:t>200</w:t>
            </w:r>
            <w:r>
              <w:rPr>
                <w:b/>
                <w:bCs w:val="0"/>
                <w:color w:val="000000"/>
              </w:rPr>
              <w:t>5</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0931C448" w14:textId="77777777" w:rsidR="00987D88" w:rsidRPr="00DE25AD" w:rsidRDefault="00987D88" w:rsidP="00987D88">
            <w:pPr>
              <w:pStyle w:val="ASSAD2017ACCESSBody1"/>
              <w:rPr>
                <w:color w:val="000000"/>
              </w:rPr>
            </w:pPr>
            <w:r w:rsidRPr="00DE25AD">
              <w:rPr>
                <w:color w:val="000000"/>
              </w:rPr>
              <w:t>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43B7B3" w14:textId="20070023" w:rsidR="00987D88" w:rsidRPr="00DE25AD" w:rsidRDefault="00987D88" w:rsidP="00987D88">
            <w:pPr>
              <w:pStyle w:val="ASSADACCESStablecentre"/>
            </w:pPr>
            <w:r w:rsidRPr="002E5727">
              <w:rPr>
                <w:bCs w:val="0"/>
                <w:color w:val="000000"/>
              </w:rPr>
              <w:t>1,230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EB3B0D" w14:textId="479D1363" w:rsidR="00987D88" w:rsidRPr="00DE25AD" w:rsidRDefault="00987D88" w:rsidP="00987D88">
            <w:pPr>
              <w:pStyle w:val="ASSADACCESStablecentre"/>
            </w:pPr>
            <w:r w:rsidRPr="002E5727">
              <w:rPr>
                <w:bCs w:val="0"/>
                <w:color w:val="000000"/>
              </w:rPr>
              <w:t>2,031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452036" w14:textId="6FFD912F" w:rsidR="00987D88" w:rsidRPr="00DE25AD" w:rsidRDefault="00987D88" w:rsidP="00987D88">
            <w:pPr>
              <w:pStyle w:val="ASSADACCESStablecentre"/>
            </w:pPr>
            <w:r w:rsidRPr="002E5727">
              <w:rPr>
                <w:bCs w:val="0"/>
                <w:color w:val="000000"/>
              </w:rPr>
              <w:t>1,917</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F1A430" w14:textId="6DB79834" w:rsidR="00987D88" w:rsidRPr="00DE25AD" w:rsidRDefault="00987D88" w:rsidP="00987D88">
            <w:pPr>
              <w:pStyle w:val="ASSADACCESStablecentre"/>
            </w:pPr>
            <w:r w:rsidRPr="002E5727">
              <w:rPr>
                <w:bCs w:val="0"/>
                <w:color w:val="000000"/>
              </w:rPr>
              <w:t>1,848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34A6D8" w14:textId="375704E4" w:rsidR="00987D88" w:rsidRPr="00DE25AD" w:rsidRDefault="00987D88" w:rsidP="00987D88">
            <w:pPr>
              <w:pStyle w:val="ASSADACCESStablecentre"/>
            </w:pPr>
            <w:r w:rsidRPr="002E5727">
              <w:rPr>
                <w:bCs w:val="0"/>
                <w:color w:val="000000"/>
              </w:rPr>
              <w:t>1,829</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18B67" w14:textId="20637E5D" w:rsidR="00987D88" w:rsidRPr="00DE25AD" w:rsidRDefault="00987D88" w:rsidP="00987D88">
            <w:pPr>
              <w:pStyle w:val="ASSADACCESStablecentre"/>
            </w:pPr>
            <w:r w:rsidRPr="002E5727">
              <w:rPr>
                <w:bCs w:val="0"/>
                <w:color w:val="000000"/>
              </w:rPr>
              <w:t>1,307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7DCD93" w14:textId="23F37FF7" w:rsidR="00987D88" w:rsidRPr="00DE25AD" w:rsidRDefault="00987D88" w:rsidP="00987D88">
            <w:pPr>
              <w:pStyle w:val="ASSADACCESStablecentre"/>
            </w:pPr>
            <w:r w:rsidRPr="002E5727">
              <w:rPr>
                <w:bCs w:val="0"/>
                <w:color w:val="000000"/>
              </w:rPr>
              <w:t>10,162</w:t>
            </w:r>
          </w:p>
        </w:tc>
      </w:tr>
      <w:tr w:rsidR="00987D88" w:rsidRPr="00DE25AD" w14:paraId="0CE5AC33"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4034E0EE"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47A5F349" w14:textId="77777777" w:rsidR="00987D88" w:rsidRPr="00DE25AD" w:rsidRDefault="00987D88" w:rsidP="00987D88">
            <w:pPr>
              <w:pStyle w:val="ASSAD2017ACCESSBody1"/>
              <w:rPr>
                <w:color w:val="000000"/>
              </w:rPr>
            </w:pPr>
            <w:r w:rsidRPr="00DE25AD">
              <w:rPr>
                <w:color w:val="000000"/>
              </w:rPr>
              <w:t>Females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7315C8" w14:textId="4F80F9D3" w:rsidR="00987D88" w:rsidRPr="00DE25AD" w:rsidRDefault="00987D88" w:rsidP="00987D88">
            <w:pPr>
              <w:pStyle w:val="ASSADACCESStablecentre"/>
            </w:pPr>
            <w:r w:rsidRPr="002E5727">
              <w:rPr>
                <w:bCs w:val="0"/>
                <w:color w:val="000000"/>
              </w:rPr>
              <w:t>1,357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176078" w14:textId="21FCFE5A" w:rsidR="00987D88" w:rsidRPr="00DE25AD" w:rsidRDefault="00987D88" w:rsidP="00987D88">
            <w:pPr>
              <w:pStyle w:val="ASSADACCESStablecentre"/>
            </w:pPr>
            <w:r w:rsidRPr="002E5727">
              <w:rPr>
                <w:bCs w:val="0"/>
                <w:color w:val="000000"/>
              </w:rPr>
              <w:t>2,175</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DC81A9" w14:textId="01B68F5A" w:rsidR="00987D88" w:rsidRPr="00DE25AD" w:rsidRDefault="00987D88" w:rsidP="00987D88">
            <w:pPr>
              <w:pStyle w:val="ASSADACCESStablecentre"/>
            </w:pPr>
            <w:r w:rsidRPr="002E5727">
              <w:rPr>
                <w:bCs w:val="0"/>
                <w:color w:val="000000"/>
              </w:rPr>
              <w:t>2,106</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6EE5B" w14:textId="53A61C34" w:rsidR="00987D88" w:rsidRPr="00DE25AD" w:rsidRDefault="00987D88" w:rsidP="00987D88">
            <w:pPr>
              <w:pStyle w:val="ASSADACCESStablecentre"/>
            </w:pPr>
            <w:r w:rsidRPr="002E5727">
              <w:rPr>
                <w:bCs w:val="0"/>
                <w:color w:val="000000"/>
              </w:rPr>
              <w:t>2,010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32194" w14:textId="2694CCB0" w:rsidR="00987D88" w:rsidRPr="00DE25AD" w:rsidRDefault="00987D88" w:rsidP="00987D88">
            <w:pPr>
              <w:pStyle w:val="ASSADACCESStablecentre"/>
            </w:pPr>
            <w:r w:rsidRPr="002E5727">
              <w:rPr>
                <w:bCs w:val="0"/>
                <w:color w:val="000000"/>
              </w:rPr>
              <w:t>2,384</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BC02CF" w14:textId="357D4598" w:rsidR="00987D88" w:rsidRPr="00DE25AD" w:rsidRDefault="00987D88" w:rsidP="00987D88">
            <w:pPr>
              <w:pStyle w:val="ASSADACCESStablecentre"/>
            </w:pPr>
            <w:r w:rsidRPr="002E5727">
              <w:rPr>
                <w:bCs w:val="0"/>
                <w:color w:val="000000"/>
              </w:rPr>
              <w:t>1,611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48316" w14:textId="21E3A0E7" w:rsidR="00987D88" w:rsidRPr="00DE25AD" w:rsidRDefault="00987D88" w:rsidP="00987D88">
            <w:pPr>
              <w:pStyle w:val="ASSADACCESStablecentre"/>
            </w:pPr>
            <w:r w:rsidRPr="002E5727">
              <w:rPr>
                <w:bCs w:val="0"/>
                <w:color w:val="000000"/>
              </w:rPr>
              <w:t>11,643</w:t>
            </w:r>
          </w:p>
        </w:tc>
      </w:tr>
      <w:tr w:rsidR="00987D88" w:rsidRPr="00DE25AD" w14:paraId="12363E26"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620BE5C2"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7D7A3D62" w14:textId="77777777" w:rsidR="00987D88" w:rsidRPr="00DE25AD" w:rsidRDefault="00987D88" w:rsidP="00987D88">
            <w:pPr>
              <w:pStyle w:val="ASSAD2017ACCESSBody1"/>
              <w:rPr>
                <w:color w:val="000000"/>
              </w:rPr>
            </w:pPr>
            <w:r w:rsidRPr="00DE25AD">
              <w:rPr>
                <w:color w:val="000000"/>
              </w:rPr>
              <w:t>Total</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91C6BF" w14:textId="34A078BD" w:rsidR="00987D88" w:rsidRPr="00DE25AD" w:rsidRDefault="00987D88" w:rsidP="00987D88">
            <w:pPr>
              <w:pStyle w:val="ASSADACCESStablecentre"/>
            </w:pPr>
            <w:r w:rsidRPr="002E5727">
              <w:rPr>
                <w:bCs w:val="0"/>
                <w:color w:val="000000"/>
              </w:rPr>
              <w:t>2,587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8267D3" w14:textId="0B44B4B1" w:rsidR="00987D88" w:rsidRPr="00DE25AD" w:rsidRDefault="00987D88" w:rsidP="00987D88">
            <w:pPr>
              <w:pStyle w:val="ASSADACCESStablecentre"/>
            </w:pPr>
            <w:r w:rsidRPr="002E5727">
              <w:rPr>
                <w:bCs w:val="0"/>
                <w:color w:val="000000"/>
              </w:rPr>
              <w:t>4,206</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D5ECB6" w14:textId="65D4AF75" w:rsidR="00987D88" w:rsidRPr="00DE25AD" w:rsidRDefault="00987D88" w:rsidP="00987D88">
            <w:pPr>
              <w:pStyle w:val="ASSADACCESStablecentre"/>
            </w:pPr>
            <w:r w:rsidRPr="002E5727">
              <w:rPr>
                <w:bCs w:val="0"/>
                <w:color w:val="000000"/>
              </w:rPr>
              <w:t>4,023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E6BA8B" w14:textId="2B5C0E72" w:rsidR="00987D88" w:rsidRPr="00DE25AD" w:rsidRDefault="00987D88" w:rsidP="00987D88">
            <w:pPr>
              <w:pStyle w:val="ASSADACCESStablecentre"/>
            </w:pPr>
            <w:r w:rsidRPr="002E5727">
              <w:rPr>
                <w:bCs w:val="0"/>
                <w:color w:val="000000"/>
              </w:rPr>
              <w:t>3,858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8F115B" w14:textId="05A2F752" w:rsidR="00987D88" w:rsidRPr="00DE25AD" w:rsidRDefault="00987D88" w:rsidP="00987D88">
            <w:pPr>
              <w:pStyle w:val="ASSADACCESStablecentre"/>
            </w:pPr>
            <w:r w:rsidRPr="002E5727">
              <w:rPr>
                <w:bCs w:val="0"/>
                <w:color w:val="000000"/>
              </w:rPr>
              <w:t>4,213</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9A600" w14:textId="57F6B857" w:rsidR="00987D88" w:rsidRPr="00DE25AD" w:rsidRDefault="00987D88" w:rsidP="00987D88">
            <w:pPr>
              <w:pStyle w:val="ASSADACCESStablecentre"/>
            </w:pPr>
            <w:r w:rsidRPr="002E5727">
              <w:rPr>
                <w:bCs w:val="0"/>
                <w:color w:val="000000"/>
              </w:rPr>
              <w:t>2,918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8234F5" w14:textId="2F0ABA3F" w:rsidR="00987D88" w:rsidRPr="00DE25AD" w:rsidRDefault="00987D88" w:rsidP="00987D88">
            <w:pPr>
              <w:pStyle w:val="ASSADACCESStablecentre"/>
            </w:pPr>
            <w:r w:rsidRPr="002E5727">
              <w:rPr>
                <w:bCs w:val="0"/>
                <w:color w:val="000000"/>
              </w:rPr>
              <w:t>21,805</w:t>
            </w:r>
          </w:p>
        </w:tc>
      </w:tr>
      <w:tr w:rsidR="00987D88" w:rsidRPr="00DE25AD" w14:paraId="05B670F3"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45FAF28C" w14:textId="64B2D7DD" w:rsidR="00987D88" w:rsidRPr="00987D88" w:rsidRDefault="00987D88" w:rsidP="00987D88">
            <w:pPr>
              <w:pStyle w:val="ASSAD2017ACCESSBody1"/>
              <w:rPr>
                <w:b/>
                <w:bCs w:val="0"/>
                <w:color w:val="000000"/>
              </w:rPr>
            </w:pPr>
            <w:r w:rsidRPr="00987D88">
              <w:rPr>
                <w:b/>
                <w:bCs w:val="0"/>
                <w:color w:val="000000"/>
              </w:rPr>
              <w:t>200</w:t>
            </w:r>
            <w:r>
              <w:rPr>
                <w:b/>
                <w:bCs w:val="0"/>
                <w:color w:val="000000"/>
              </w:rPr>
              <w:t>8</w:t>
            </w:r>
            <w:r w:rsidRPr="00987D88">
              <w:rPr>
                <w:b/>
                <w:bCs w:val="0"/>
                <w:color w:val="000000"/>
              </w:rPr>
              <w:t xml:space="preserve"> </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4737CE49" w14:textId="77777777" w:rsidR="00987D88" w:rsidRPr="00DE25AD" w:rsidRDefault="00987D88" w:rsidP="00987D88">
            <w:pPr>
              <w:pStyle w:val="ASSAD2017ACCESSBody1"/>
              <w:rPr>
                <w:color w:val="000000"/>
              </w:rPr>
            </w:pPr>
            <w:r w:rsidRPr="00DE25AD">
              <w:rPr>
                <w:color w:val="000000"/>
              </w:rPr>
              <w:t>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18FCD" w14:textId="4997D828" w:rsidR="00987D88" w:rsidRPr="00DE25AD" w:rsidRDefault="00987D88" w:rsidP="00987D88">
            <w:pPr>
              <w:pStyle w:val="ASSADACCESStablecentre"/>
            </w:pPr>
            <w:r w:rsidRPr="002E5727">
              <w:rPr>
                <w:bCs w:val="0"/>
                <w:color w:val="000000"/>
              </w:rPr>
              <w:t>1,141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2677AD" w14:textId="614C4521" w:rsidR="00987D88" w:rsidRPr="00DE25AD" w:rsidRDefault="00987D88" w:rsidP="00987D88">
            <w:pPr>
              <w:pStyle w:val="ASSADACCESStablecentre"/>
            </w:pPr>
            <w:r w:rsidRPr="002E5727">
              <w:rPr>
                <w:bCs w:val="0"/>
                <w:color w:val="000000"/>
              </w:rPr>
              <w:t>2,153</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C9F747" w14:textId="4604F195" w:rsidR="00987D88" w:rsidRPr="00DE25AD" w:rsidRDefault="00987D88" w:rsidP="00987D88">
            <w:pPr>
              <w:pStyle w:val="ASSADACCESStablecentre"/>
            </w:pPr>
            <w:r w:rsidRPr="002E5727">
              <w:rPr>
                <w:bCs w:val="0"/>
                <w:color w:val="000000"/>
              </w:rPr>
              <w:t>2,216</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00097" w14:textId="46B4BEDD" w:rsidR="00987D88" w:rsidRPr="00DE25AD" w:rsidRDefault="00987D88" w:rsidP="00987D88">
            <w:pPr>
              <w:pStyle w:val="ASSADACCESStablecentre"/>
            </w:pPr>
            <w:r w:rsidRPr="002E5727">
              <w:rPr>
                <w:bCs w:val="0"/>
                <w:color w:val="000000"/>
              </w:rPr>
              <w:t>2,241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35143" w14:textId="1F0B070B" w:rsidR="00987D88" w:rsidRPr="00DE25AD" w:rsidRDefault="00987D88" w:rsidP="00987D88">
            <w:pPr>
              <w:pStyle w:val="ASSADACCESStablecentre"/>
            </w:pPr>
            <w:r w:rsidRPr="002E5727">
              <w:rPr>
                <w:bCs w:val="0"/>
                <w:color w:val="000000"/>
              </w:rPr>
              <w:t>2,318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1137DB" w14:textId="0519F3E9" w:rsidR="00987D88" w:rsidRPr="00DE25AD" w:rsidRDefault="00987D88" w:rsidP="00987D88">
            <w:pPr>
              <w:pStyle w:val="ASSADACCESStablecentre"/>
            </w:pPr>
            <w:r w:rsidRPr="002E5727">
              <w:rPr>
                <w:bCs w:val="0"/>
                <w:color w:val="000000"/>
              </w:rPr>
              <w:t>1,422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988F18" w14:textId="4FAEECFD" w:rsidR="00987D88" w:rsidRPr="00DE25AD" w:rsidRDefault="00987D88" w:rsidP="00987D88">
            <w:pPr>
              <w:pStyle w:val="ASSADACCESStablecentre"/>
            </w:pPr>
            <w:r w:rsidRPr="002E5727">
              <w:rPr>
                <w:bCs w:val="0"/>
                <w:color w:val="000000"/>
              </w:rPr>
              <w:t>11,491</w:t>
            </w:r>
          </w:p>
        </w:tc>
      </w:tr>
      <w:tr w:rsidR="00987D88" w:rsidRPr="00DE25AD" w14:paraId="33CC875D"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4317DCF7"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0584BC89" w14:textId="77777777" w:rsidR="00987D88" w:rsidRPr="00DE25AD" w:rsidRDefault="00987D88" w:rsidP="00987D88">
            <w:pPr>
              <w:pStyle w:val="ASSAD2017ACCESSBody1"/>
              <w:rPr>
                <w:color w:val="000000"/>
              </w:rPr>
            </w:pPr>
            <w:r w:rsidRPr="00DE25AD">
              <w:rPr>
                <w:color w:val="000000"/>
              </w:rPr>
              <w:t>Females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18E37" w14:textId="04C67A5C" w:rsidR="00987D88" w:rsidRPr="00DE25AD" w:rsidRDefault="00987D88" w:rsidP="00987D88">
            <w:pPr>
              <w:pStyle w:val="ASSADACCESStablecentre"/>
            </w:pPr>
            <w:r w:rsidRPr="002E5727">
              <w:rPr>
                <w:bCs w:val="0"/>
                <w:color w:val="000000"/>
              </w:rPr>
              <w:t>1,352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F9A187" w14:textId="4D50C3BC" w:rsidR="00987D88" w:rsidRPr="00DE25AD" w:rsidRDefault="00987D88" w:rsidP="00987D88">
            <w:pPr>
              <w:pStyle w:val="ASSADACCESStablecentre"/>
            </w:pPr>
            <w:r w:rsidRPr="002E5727">
              <w:rPr>
                <w:bCs w:val="0"/>
                <w:color w:val="000000"/>
              </w:rPr>
              <w:t>2,394</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B6B82B" w14:textId="2E71D27F" w:rsidR="00987D88" w:rsidRPr="00DE25AD" w:rsidRDefault="00987D88" w:rsidP="00987D88">
            <w:pPr>
              <w:pStyle w:val="ASSADACCESStablecentre"/>
            </w:pPr>
            <w:r w:rsidRPr="002E5727">
              <w:rPr>
                <w:bCs w:val="0"/>
                <w:color w:val="000000"/>
              </w:rPr>
              <w:t>2,408</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C43AD7" w14:textId="5FA52BC0" w:rsidR="00987D88" w:rsidRPr="00DE25AD" w:rsidRDefault="00987D88" w:rsidP="00987D88">
            <w:pPr>
              <w:pStyle w:val="ASSADACCESStablecentre"/>
            </w:pPr>
            <w:r w:rsidRPr="002E5727">
              <w:rPr>
                <w:bCs w:val="0"/>
                <w:color w:val="000000"/>
              </w:rPr>
              <w:t>2,321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20F43" w14:textId="5E8C47E1" w:rsidR="00987D88" w:rsidRPr="00DE25AD" w:rsidRDefault="00987D88" w:rsidP="00987D88">
            <w:pPr>
              <w:pStyle w:val="ASSADACCESStablecentre"/>
            </w:pPr>
            <w:r w:rsidRPr="002E5727">
              <w:rPr>
                <w:bCs w:val="0"/>
                <w:color w:val="000000"/>
              </w:rPr>
              <w:t>2,647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07047" w14:textId="46AE687E" w:rsidR="00987D88" w:rsidRPr="00DE25AD" w:rsidRDefault="00987D88" w:rsidP="00987D88">
            <w:pPr>
              <w:pStyle w:val="ASSADACCESStablecentre"/>
            </w:pPr>
            <w:r w:rsidRPr="002E5727">
              <w:rPr>
                <w:bCs w:val="0"/>
                <w:color w:val="000000"/>
              </w:rPr>
              <w:t>1,795</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40460F" w14:textId="2BEB76E0" w:rsidR="00987D88" w:rsidRPr="00DE25AD" w:rsidRDefault="00987D88" w:rsidP="00987D88">
            <w:pPr>
              <w:pStyle w:val="ASSADACCESStablecentre"/>
            </w:pPr>
            <w:r w:rsidRPr="002E5727">
              <w:rPr>
                <w:bCs w:val="0"/>
                <w:color w:val="000000"/>
              </w:rPr>
              <w:t>12,917</w:t>
            </w:r>
          </w:p>
        </w:tc>
      </w:tr>
      <w:tr w:rsidR="00987D88" w:rsidRPr="00DE25AD" w14:paraId="21156AB3"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4871D36D"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51C8D1DE" w14:textId="77777777" w:rsidR="00987D88" w:rsidRPr="00DE25AD" w:rsidRDefault="00987D88" w:rsidP="00987D88">
            <w:pPr>
              <w:pStyle w:val="ASSAD2017ACCESSBody1"/>
              <w:rPr>
                <w:color w:val="000000"/>
              </w:rPr>
            </w:pPr>
            <w:r w:rsidRPr="00DE25AD">
              <w:rPr>
                <w:color w:val="000000"/>
              </w:rPr>
              <w:t>Total</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280040" w14:textId="033C45B2" w:rsidR="00987D88" w:rsidRPr="00DE25AD" w:rsidRDefault="00987D88" w:rsidP="00987D88">
            <w:pPr>
              <w:pStyle w:val="ASSADACCESStablecentre"/>
            </w:pPr>
            <w:r w:rsidRPr="002E5727">
              <w:rPr>
                <w:bCs w:val="0"/>
                <w:color w:val="000000"/>
              </w:rPr>
              <w:t>2,493</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E5F7B" w14:textId="3A4A7ABB" w:rsidR="00987D88" w:rsidRPr="00DE25AD" w:rsidRDefault="00987D88" w:rsidP="00987D88">
            <w:pPr>
              <w:pStyle w:val="ASSADACCESStablecentre"/>
            </w:pPr>
            <w:r w:rsidRPr="002E5727">
              <w:rPr>
                <w:bCs w:val="0"/>
                <w:color w:val="000000"/>
              </w:rPr>
              <w:t>4,547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C1CF6C" w14:textId="56533333" w:rsidR="00987D88" w:rsidRPr="00DE25AD" w:rsidRDefault="00987D88" w:rsidP="00987D88">
            <w:pPr>
              <w:pStyle w:val="ASSADACCESStablecentre"/>
            </w:pPr>
            <w:r w:rsidRPr="002E5727">
              <w:rPr>
                <w:bCs w:val="0"/>
                <w:color w:val="000000"/>
              </w:rPr>
              <w:t>4,624</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3F1EA1" w14:textId="50DFFF26" w:rsidR="00987D88" w:rsidRPr="00DE25AD" w:rsidRDefault="00987D88" w:rsidP="00987D88">
            <w:pPr>
              <w:pStyle w:val="ASSADACCESStablecentre"/>
            </w:pPr>
            <w:r w:rsidRPr="002E5727">
              <w:rPr>
                <w:bCs w:val="0"/>
                <w:color w:val="000000"/>
              </w:rPr>
              <w:t>4,562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C967" w14:textId="3C4C238E" w:rsidR="00987D88" w:rsidRPr="00DE25AD" w:rsidRDefault="00987D88" w:rsidP="00987D88">
            <w:pPr>
              <w:pStyle w:val="ASSADACCESStablecentre"/>
            </w:pPr>
            <w:r w:rsidRPr="002E5727">
              <w:rPr>
                <w:bCs w:val="0"/>
                <w:color w:val="000000"/>
              </w:rPr>
              <w:t>4,965</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92FC3" w14:textId="4FFCD4C1" w:rsidR="00987D88" w:rsidRPr="00DE25AD" w:rsidRDefault="00987D88" w:rsidP="00987D88">
            <w:pPr>
              <w:pStyle w:val="ASSADACCESStablecentre"/>
            </w:pPr>
            <w:r w:rsidRPr="002E5727">
              <w:rPr>
                <w:bCs w:val="0"/>
                <w:color w:val="000000"/>
              </w:rPr>
              <w:t>3,217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A2049" w14:textId="317AC59C" w:rsidR="00987D88" w:rsidRPr="00DE25AD" w:rsidRDefault="00987D88" w:rsidP="00987D88">
            <w:pPr>
              <w:pStyle w:val="ASSADACCESStablecentre"/>
            </w:pPr>
            <w:r w:rsidRPr="002E5727">
              <w:rPr>
                <w:bCs w:val="0"/>
                <w:color w:val="000000"/>
              </w:rPr>
              <w:t>24,408</w:t>
            </w:r>
          </w:p>
        </w:tc>
      </w:tr>
      <w:tr w:rsidR="00987D88" w:rsidRPr="00DE25AD" w14:paraId="0B7A68DD" w14:textId="77777777" w:rsidTr="002169C2">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4DAB0C79" w14:textId="424529D3" w:rsidR="00987D88" w:rsidRPr="00987D88" w:rsidRDefault="00987D88" w:rsidP="00987D88">
            <w:pPr>
              <w:pStyle w:val="ASSAD2017ACCESSBody1"/>
              <w:rPr>
                <w:b/>
                <w:bCs w:val="0"/>
                <w:color w:val="000000"/>
              </w:rPr>
            </w:pPr>
            <w:r w:rsidRPr="00987D88">
              <w:rPr>
                <w:b/>
                <w:bCs w:val="0"/>
                <w:color w:val="000000"/>
              </w:rPr>
              <w:t>20</w:t>
            </w:r>
            <w:r>
              <w:rPr>
                <w:b/>
                <w:bCs w:val="0"/>
                <w:color w:val="000000"/>
              </w:rPr>
              <w:t>11</w:t>
            </w:r>
            <w:r w:rsidRPr="00987D88">
              <w:rPr>
                <w:b/>
                <w:bCs w:val="0"/>
                <w:color w:val="000000"/>
              </w:rPr>
              <w:t xml:space="preserve"> </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360A67AF" w14:textId="77777777" w:rsidR="00987D88" w:rsidRPr="00DE25AD" w:rsidRDefault="00987D88" w:rsidP="00987D88">
            <w:pPr>
              <w:pStyle w:val="ASSAD2017ACCESSBody1"/>
              <w:rPr>
                <w:color w:val="000000"/>
              </w:rPr>
            </w:pPr>
            <w:r w:rsidRPr="00DE25AD">
              <w:rPr>
                <w:color w:val="000000"/>
              </w:rPr>
              <w:t>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838635D" w14:textId="4DFBAED0" w:rsidR="00987D88" w:rsidRPr="00DE25AD" w:rsidRDefault="00987D88" w:rsidP="00987D88">
            <w:pPr>
              <w:pStyle w:val="ASSADACCESStablecentre"/>
            </w:pPr>
            <w:r w:rsidRPr="002E5727">
              <w:rPr>
                <w:bCs w:val="0"/>
                <w:color w:val="000000"/>
              </w:rPr>
              <w:t>887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48C8DE" w14:textId="4B6E43CB" w:rsidR="00987D88" w:rsidRPr="00DE25AD" w:rsidRDefault="00987D88" w:rsidP="00987D88">
            <w:pPr>
              <w:pStyle w:val="ASSADACCESStablecentre"/>
            </w:pPr>
            <w:r w:rsidRPr="002E5727">
              <w:rPr>
                <w:bCs w:val="0"/>
                <w:color w:val="000000"/>
              </w:rPr>
              <w:t>2,157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14EBD93" w14:textId="602BA19B" w:rsidR="00987D88" w:rsidRPr="00DE25AD" w:rsidRDefault="00987D88" w:rsidP="00987D88">
            <w:pPr>
              <w:pStyle w:val="ASSADACCESStablecentre"/>
            </w:pPr>
            <w:r w:rsidRPr="002E5727">
              <w:rPr>
                <w:bCs w:val="0"/>
                <w:color w:val="000000"/>
              </w:rPr>
              <w:t>2,418</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CB6A78" w14:textId="04E38F81" w:rsidR="00987D88" w:rsidRPr="00DE25AD" w:rsidRDefault="00987D88" w:rsidP="00987D88">
            <w:pPr>
              <w:pStyle w:val="ASSADACCESStablecentre"/>
            </w:pPr>
            <w:r w:rsidRPr="002E5727">
              <w:rPr>
                <w:bCs w:val="0"/>
                <w:color w:val="000000"/>
              </w:rPr>
              <w:t>2,130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AC07507" w14:textId="2904F353" w:rsidR="00987D88" w:rsidRPr="00DE25AD" w:rsidRDefault="00987D88" w:rsidP="00987D88">
            <w:pPr>
              <w:pStyle w:val="ASSADACCESStablecentre"/>
            </w:pPr>
            <w:r w:rsidRPr="002E5727">
              <w:rPr>
                <w:bCs w:val="0"/>
                <w:color w:val="000000"/>
              </w:rPr>
              <w:t>2,345</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4567BE9" w14:textId="3DF7781E" w:rsidR="00987D88" w:rsidRPr="00DE25AD" w:rsidRDefault="00987D88" w:rsidP="00987D88">
            <w:pPr>
              <w:pStyle w:val="ASSADACCESStablecentre"/>
            </w:pPr>
            <w:r w:rsidRPr="002E5727">
              <w:rPr>
                <w:bCs w:val="0"/>
                <w:color w:val="000000"/>
              </w:rPr>
              <w:t>1,804</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DC88D7" w14:textId="59C7DCE1" w:rsidR="00987D88" w:rsidRPr="00DE25AD" w:rsidRDefault="00987D88" w:rsidP="00987D88">
            <w:pPr>
              <w:pStyle w:val="ASSADACCESStablecentre"/>
            </w:pPr>
            <w:r w:rsidRPr="002E5727">
              <w:rPr>
                <w:bCs w:val="0"/>
                <w:color w:val="000000"/>
              </w:rPr>
              <w:t>11,741</w:t>
            </w:r>
          </w:p>
        </w:tc>
      </w:tr>
      <w:tr w:rsidR="00987D88" w:rsidRPr="00DE25AD" w14:paraId="1AA46C9F" w14:textId="77777777" w:rsidTr="002169C2">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7215A812"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43DDA6CF" w14:textId="77777777" w:rsidR="00987D88" w:rsidRPr="00DE25AD" w:rsidRDefault="00987D88" w:rsidP="00987D88">
            <w:pPr>
              <w:pStyle w:val="ASSAD2017ACCESSBody1"/>
              <w:rPr>
                <w:color w:val="000000"/>
              </w:rPr>
            </w:pPr>
            <w:r w:rsidRPr="00DE25AD">
              <w:rPr>
                <w:color w:val="000000"/>
              </w:rPr>
              <w:t>Females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9553F2C" w14:textId="6371969A" w:rsidR="00987D88" w:rsidRPr="00DE25AD" w:rsidRDefault="00987D88" w:rsidP="00987D88">
            <w:pPr>
              <w:pStyle w:val="ASSADACCESStablecentre"/>
            </w:pPr>
            <w:r w:rsidRPr="002E5727">
              <w:rPr>
                <w:bCs w:val="0"/>
                <w:color w:val="000000"/>
              </w:rPr>
              <w:t>1,131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6654B02" w14:textId="17AB7D3F" w:rsidR="00987D88" w:rsidRPr="00DE25AD" w:rsidRDefault="00987D88" w:rsidP="00987D88">
            <w:pPr>
              <w:pStyle w:val="ASSADACCESStablecentre"/>
            </w:pPr>
            <w:r w:rsidRPr="002E5727">
              <w:rPr>
                <w:bCs w:val="0"/>
                <w:color w:val="000000"/>
              </w:rPr>
              <w:t>2,331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FB6544" w14:textId="28F0918F" w:rsidR="00987D88" w:rsidRPr="00DE25AD" w:rsidRDefault="00987D88" w:rsidP="00987D88">
            <w:pPr>
              <w:pStyle w:val="ASSADACCESStablecentre"/>
            </w:pPr>
            <w:r w:rsidRPr="002E5727">
              <w:rPr>
                <w:bCs w:val="0"/>
                <w:color w:val="000000"/>
              </w:rPr>
              <w:t>2,485</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568BDDD" w14:textId="300CF337" w:rsidR="00987D88" w:rsidRPr="00DE25AD" w:rsidRDefault="00987D88" w:rsidP="00987D88">
            <w:pPr>
              <w:pStyle w:val="ASSADACCESStablecentre"/>
            </w:pPr>
            <w:r w:rsidRPr="002E5727">
              <w:rPr>
                <w:bCs w:val="0"/>
                <w:color w:val="000000"/>
              </w:rPr>
              <w:t>2,231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E48B128" w14:textId="7BDB5DC4" w:rsidR="00987D88" w:rsidRPr="00DE25AD" w:rsidRDefault="00987D88" w:rsidP="00987D88">
            <w:pPr>
              <w:pStyle w:val="ASSADACCESStablecentre"/>
            </w:pPr>
            <w:r w:rsidRPr="002E5727">
              <w:rPr>
                <w:bCs w:val="0"/>
                <w:color w:val="000000"/>
              </w:rPr>
              <w:t>2,832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5C13E9F" w14:textId="29A931C6" w:rsidR="00987D88" w:rsidRPr="00DE25AD" w:rsidRDefault="00987D88" w:rsidP="00987D88">
            <w:pPr>
              <w:pStyle w:val="ASSADACCESStablecentre"/>
            </w:pPr>
            <w:r w:rsidRPr="002E5727">
              <w:rPr>
                <w:bCs w:val="0"/>
                <w:color w:val="000000"/>
              </w:rPr>
              <w:t>2,103</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18C339A" w14:textId="5AE73F49" w:rsidR="00987D88" w:rsidRPr="00DE25AD" w:rsidRDefault="00987D88" w:rsidP="00987D88">
            <w:pPr>
              <w:pStyle w:val="ASSADACCESStablecentre"/>
            </w:pPr>
            <w:r w:rsidRPr="002E5727">
              <w:rPr>
                <w:bCs w:val="0"/>
                <w:color w:val="000000"/>
              </w:rPr>
              <w:t>13,113</w:t>
            </w:r>
          </w:p>
        </w:tc>
      </w:tr>
      <w:tr w:rsidR="00987D88" w:rsidRPr="00DE25AD" w14:paraId="3A6D169D" w14:textId="77777777" w:rsidTr="002169C2">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30E7C2CA"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46288D9C" w14:textId="77777777" w:rsidR="00987D88" w:rsidRPr="00DE25AD" w:rsidRDefault="00987D88" w:rsidP="00987D88">
            <w:pPr>
              <w:pStyle w:val="ASSAD2017ACCESSBody1"/>
              <w:rPr>
                <w:color w:val="000000"/>
              </w:rPr>
            </w:pPr>
            <w:r w:rsidRPr="00DE25AD">
              <w:rPr>
                <w:color w:val="000000"/>
              </w:rPr>
              <w:t>Total</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CCD656D" w14:textId="7473C2DC" w:rsidR="00987D88" w:rsidRPr="00DE25AD" w:rsidRDefault="00987D88" w:rsidP="00987D88">
            <w:pPr>
              <w:pStyle w:val="ASSADACCESStablecentre"/>
            </w:pPr>
            <w:r w:rsidRPr="002E5727">
              <w:rPr>
                <w:bCs w:val="0"/>
                <w:color w:val="000000"/>
              </w:rPr>
              <w:t>2,018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EB8D294" w14:textId="18076EFB" w:rsidR="00987D88" w:rsidRPr="00DE25AD" w:rsidRDefault="00987D88" w:rsidP="00987D88">
            <w:pPr>
              <w:pStyle w:val="ASSADACCESStablecentre"/>
            </w:pPr>
            <w:r w:rsidRPr="002E5727">
              <w:rPr>
                <w:bCs w:val="0"/>
                <w:color w:val="000000"/>
              </w:rPr>
              <w:t>4,488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3733248" w14:textId="70394CCD" w:rsidR="00987D88" w:rsidRPr="00DE25AD" w:rsidRDefault="00987D88" w:rsidP="00987D88">
            <w:pPr>
              <w:pStyle w:val="ASSADACCESStablecentre"/>
            </w:pPr>
            <w:r w:rsidRPr="002E5727">
              <w:rPr>
                <w:bCs w:val="0"/>
                <w:color w:val="000000"/>
              </w:rPr>
              <w:t>4,903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55CEF0A" w14:textId="61444876" w:rsidR="00987D88" w:rsidRPr="00DE25AD" w:rsidRDefault="00987D88" w:rsidP="00987D88">
            <w:pPr>
              <w:pStyle w:val="ASSADACCESStablecentre"/>
            </w:pPr>
            <w:r w:rsidRPr="002E5727">
              <w:rPr>
                <w:bCs w:val="0"/>
                <w:color w:val="000000"/>
              </w:rPr>
              <w:t>4,361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94B2846" w14:textId="139CB79A" w:rsidR="00987D88" w:rsidRPr="00DE25AD" w:rsidRDefault="00987D88" w:rsidP="00987D88">
            <w:pPr>
              <w:pStyle w:val="ASSADACCESStablecentre"/>
            </w:pPr>
            <w:r w:rsidRPr="002E5727">
              <w:rPr>
                <w:bCs w:val="0"/>
                <w:color w:val="000000"/>
              </w:rPr>
              <w:t>5,177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354F6E0" w14:textId="7E3C5586" w:rsidR="00987D88" w:rsidRPr="00DE25AD" w:rsidRDefault="00987D88" w:rsidP="00987D88">
            <w:pPr>
              <w:pStyle w:val="ASSADACCESStablecentre"/>
            </w:pPr>
            <w:r w:rsidRPr="002E5727">
              <w:rPr>
                <w:bCs w:val="0"/>
                <w:color w:val="000000"/>
              </w:rPr>
              <w:t>3,907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D8FA300" w14:textId="6BA9F9ED" w:rsidR="00987D88" w:rsidRPr="00DE25AD" w:rsidRDefault="00987D88" w:rsidP="00987D88">
            <w:pPr>
              <w:pStyle w:val="ASSADACCESStablecentre"/>
            </w:pPr>
            <w:r w:rsidRPr="002E5727">
              <w:rPr>
                <w:bCs w:val="0"/>
                <w:color w:val="000000"/>
              </w:rPr>
              <w:t>24,854</w:t>
            </w:r>
          </w:p>
        </w:tc>
      </w:tr>
      <w:tr w:rsidR="00987D88" w:rsidRPr="00DE25AD" w14:paraId="79E70FEB"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060946E7" w14:textId="0997013D" w:rsidR="00987D88" w:rsidRPr="00987D88" w:rsidRDefault="00987D88" w:rsidP="00987D88">
            <w:pPr>
              <w:pStyle w:val="ASSAD2017ACCESSBody1"/>
              <w:rPr>
                <w:b/>
                <w:bCs w:val="0"/>
                <w:color w:val="000000"/>
              </w:rPr>
            </w:pPr>
            <w:r w:rsidRPr="00987D88">
              <w:rPr>
                <w:b/>
                <w:bCs w:val="0"/>
                <w:color w:val="000000"/>
              </w:rPr>
              <w:t>20</w:t>
            </w:r>
            <w:r>
              <w:rPr>
                <w:b/>
                <w:bCs w:val="0"/>
                <w:color w:val="000000"/>
              </w:rPr>
              <w:t>14</w:t>
            </w:r>
            <w:r w:rsidRPr="00987D88">
              <w:rPr>
                <w:b/>
                <w:bCs w:val="0"/>
                <w:color w:val="000000"/>
              </w:rPr>
              <w:t xml:space="preserve"> </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2CF1B26F" w14:textId="77777777" w:rsidR="00987D88" w:rsidRPr="00DE25AD" w:rsidRDefault="00987D88" w:rsidP="00987D88">
            <w:pPr>
              <w:pStyle w:val="ASSAD2017ACCESSBody1"/>
              <w:rPr>
                <w:color w:val="000000"/>
              </w:rPr>
            </w:pPr>
            <w:r w:rsidRPr="00DE25AD">
              <w:rPr>
                <w:color w:val="000000"/>
              </w:rPr>
              <w:t>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570DBC" w14:textId="72E5E9DD" w:rsidR="00987D88" w:rsidRPr="00DE25AD" w:rsidRDefault="00987D88" w:rsidP="00987D88">
            <w:pPr>
              <w:pStyle w:val="ASSADACCESStablecentre"/>
            </w:pPr>
            <w:r w:rsidRPr="002E5727">
              <w:rPr>
                <w:bCs w:val="0"/>
                <w:color w:val="000000"/>
              </w:rPr>
              <w:t>956</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B6D517" w14:textId="7949AB5B" w:rsidR="00987D88" w:rsidRPr="00DE25AD" w:rsidRDefault="00987D88" w:rsidP="00987D88">
            <w:pPr>
              <w:pStyle w:val="ASSADACCESStablecentre"/>
            </w:pPr>
            <w:r w:rsidRPr="002E5727">
              <w:rPr>
                <w:bCs w:val="0"/>
                <w:color w:val="000000"/>
              </w:rPr>
              <w:t>2,181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19AD7E" w14:textId="1A3FCDCD" w:rsidR="00987D88" w:rsidRPr="00DE25AD" w:rsidRDefault="00987D88" w:rsidP="00987D88">
            <w:pPr>
              <w:pStyle w:val="ASSADACCESStablecentre"/>
            </w:pPr>
            <w:r w:rsidRPr="002E5727">
              <w:rPr>
                <w:bCs w:val="0"/>
                <w:color w:val="000000"/>
              </w:rPr>
              <w:t>2,354</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21A852" w14:textId="1CC7022C" w:rsidR="00987D88" w:rsidRPr="00DE25AD" w:rsidRDefault="00987D88" w:rsidP="00987D88">
            <w:pPr>
              <w:pStyle w:val="ASSADACCESStablecentre"/>
            </w:pPr>
            <w:r w:rsidRPr="002E5727">
              <w:rPr>
                <w:bCs w:val="0"/>
                <w:color w:val="000000"/>
              </w:rPr>
              <w:t>2,142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31AB2" w14:textId="19AB1D84" w:rsidR="00987D88" w:rsidRPr="00DE25AD" w:rsidRDefault="00987D88" w:rsidP="00987D88">
            <w:pPr>
              <w:pStyle w:val="ASSADACCESStablecentre"/>
            </w:pPr>
            <w:r w:rsidRPr="002E5727">
              <w:rPr>
                <w:bCs w:val="0"/>
                <w:color w:val="000000"/>
              </w:rPr>
              <w:t>1,930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3EE63" w14:textId="54980806" w:rsidR="00987D88" w:rsidRPr="00DE25AD" w:rsidRDefault="00987D88" w:rsidP="00987D88">
            <w:pPr>
              <w:pStyle w:val="ASSADACCESStablecentre"/>
            </w:pPr>
            <w:r w:rsidRPr="002E5727">
              <w:rPr>
                <w:bCs w:val="0"/>
                <w:color w:val="000000"/>
              </w:rPr>
              <w:t>1,431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D2FFE" w14:textId="6778BB6C" w:rsidR="00987D88" w:rsidRPr="00DE25AD" w:rsidRDefault="00987D88" w:rsidP="00987D88">
            <w:pPr>
              <w:pStyle w:val="ASSADACCESStablecentre"/>
            </w:pPr>
            <w:r w:rsidRPr="002E5727">
              <w:rPr>
                <w:bCs w:val="0"/>
                <w:color w:val="000000"/>
              </w:rPr>
              <w:t>10,994</w:t>
            </w:r>
          </w:p>
        </w:tc>
      </w:tr>
      <w:tr w:rsidR="00987D88" w:rsidRPr="00DE25AD" w14:paraId="37D27BCF"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305A92BF"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1DBC8447" w14:textId="77777777" w:rsidR="00987D88" w:rsidRPr="00DE25AD" w:rsidRDefault="00987D88" w:rsidP="00987D88">
            <w:pPr>
              <w:pStyle w:val="ASSAD2017ACCESSBody1"/>
              <w:rPr>
                <w:color w:val="000000"/>
              </w:rPr>
            </w:pPr>
            <w:r w:rsidRPr="00DE25AD">
              <w:rPr>
                <w:color w:val="000000"/>
              </w:rPr>
              <w:t>Females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2B57EE" w14:textId="1DBB17FF" w:rsidR="00987D88" w:rsidRPr="00DE25AD" w:rsidRDefault="00987D88" w:rsidP="00987D88">
            <w:pPr>
              <w:pStyle w:val="ASSADACCESStablecentre"/>
            </w:pPr>
            <w:r w:rsidRPr="002E5727">
              <w:rPr>
                <w:bCs w:val="0"/>
                <w:color w:val="000000"/>
              </w:rPr>
              <w:t>1,082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D931E1" w14:textId="2D944B7C" w:rsidR="00987D88" w:rsidRPr="00DE25AD" w:rsidRDefault="00987D88" w:rsidP="00987D88">
            <w:pPr>
              <w:pStyle w:val="ASSADACCESStablecentre"/>
            </w:pPr>
            <w:r w:rsidRPr="002E5727">
              <w:rPr>
                <w:bCs w:val="0"/>
                <w:color w:val="000000"/>
              </w:rPr>
              <w:t>2,384</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5B7E92" w14:textId="2D209037" w:rsidR="00987D88" w:rsidRPr="00DE25AD" w:rsidRDefault="00987D88" w:rsidP="00987D88">
            <w:pPr>
              <w:pStyle w:val="ASSADACCESStablecentre"/>
            </w:pPr>
            <w:r w:rsidRPr="002E5727">
              <w:rPr>
                <w:bCs w:val="0"/>
                <w:color w:val="000000"/>
              </w:rPr>
              <w:t>2,345</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138E5E" w14:textId="55496259" w:rsidR="00987D88" w:rsidRPr="00DE25AD" w:rsidRDefault="00987D88" w:rsidP="00987D88">
            <w:pPr>
              <w:pStyle w:val="ASSADACCESStablecentre"/>
            </w:pPr>
            <w:r w:rsidRPr="002E5727">
              <w:rPr>
                <w:bCs w:val="0"/>
                <w:color w:val="000000"/>
              </w:rPr>
              <w:t>2,133</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497222" w14:textId="7B4EDE66" w:rsidR="00987D88" w:rsidRPr="00DE25AD" w:rsidRDefault="00987D88" w:rsidP="00987D88">
            <w:pPr>
              <w:pStyle w:val="ASSADACCESStablecentre"/>
            </w:pPr>
            <w:r w:rsidRPr="002E5727">
              <w:rPr>
                <w:bCs w:val="0"/>
                <w:color w:val="000000"/>
              </w:rPr>
              <w:t>2,342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AC4EDB" w14:textId="1BB6E8BE" w:rsidR="00987D88" w:rsidRPr="00DE25AD" w:rsidRDefault="00987D88" w:rsidP="00987D88">
            <w:pPr>
              <w:pStyle w:val="ASSADACCESStablecentre"/>
            </w:pPr>
            <w:r w:rsidRPr="002E5727">
              <w:rPr>
                <w:bCs w:val="0"/>
                <w:color w:val="000000"/>
              </w:rPr>
              <w:t>1,727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59EC7D" w14:textId="530B73E6" w:rsidR="00987D88" w:rsidRPr="00DE25AD" w:rsidRDefault="00987D88" w:rsidP="00987D88">
            <w:pPr>
              <w:pStyle w:val="ASSADACCESStablecentre"/>
            </w:pPr>
            <w:r w:rsidRPr="002E5727">
              <w:rPr>
                <w:bCs w:val="0"/>
                <w:color w:val="000000"/>
              </w:rPr>
              <w:t>12,013</w:t>
            </w:r>
          </w:p>
        </w:tc>
      </w:tr>
      <w:tr w:rsidR="00987D88" w:rsidRPr="00DE25AD" w14:paraId="444AA91D"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20E48C8B" w14:textId="77777777" w:rsidR="00987D88" w:rsidRPr="00987D88" w:rsidRDefault="00987D88" w:rsidP="00987D88">
            <w:pPr>
              <w:pStyle w:val="ASSAD2017ACCESSBody1"/>
              <w:rPr>
                <w:b/>
                <w:bCs w:val="0"/>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7AF069E3" w14:textId="77777777" w:rsidR="00987D88" w:rsidRPr="00DE25AD" w:rsidRDefault="00987D88" w:rsidP="00987D88">
            <w:pPr>
              <w:pStyle w:val="ASSAD2017ACCESSBody1"/>
              <w:rPr>
                <w:color w:val="000000"/>
              </w:rPr>
            </w:pPr>
            <w:r w:rsidRPr="00DE25AD">
              <w:rPr>
                <w:color w:val="000000"/>
              </w:rPr>
              <w:t>Total</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B2EE9" w14:textId="796A2534" w:rsidR="00987D88" w:rsidRPr="00DE25AD" w:rsidRDefault="00987D88" w:rsidP="00987D88">
            <w:pPr>
              <w:pStyle w:val="ASSADACCESStablecentre"/>
            </w:pPr>
            <w:r w:rsidRPr="002E5727">
              <w:rPr>
                <w:bCs w:val="0"/>
                <w:color w:val="000000"/>
              </w:rPr>
              <w:t>2,038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E38DD0" w14:textId="7822363F" w:rsidR="00987D88" w:rsidRPr="00DE25AD" w:rsidRDefault="00987D88" w:rsidP="00987D88">
            <w:pPr>
              <w:pStyle w:val="ASSADACCESStablecentre"/>
            </w:pPr>
            <w:r w:rsidRPr="002E5727">
              <w:rPr>
                <w:bCs w:val="0"/>
                <w:color w:val="000000"/>
              </w:rPr>
              <w:t>4,565</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4576E" w14:textId="5388008D" w:rsidR="00987D88" w:rsidRPr="00DE25AD" w:rsidRDefault="00987D88" w:rsidP="00987D88">
            <w:pPr>
              <w:pStyle w:val="ASSADACCESStablecentre"/>
            </w:pPr>
            <w:r w:rsidRPr="002E5727">
              <w:rPr>
                <w:bCs w:val="0"/>
                <w:color w:val="000000"/>
              </w:rPr>
              <w:t>4,699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ADBE6" w14:textId="238A1032" w:rsidR="00987D88" w:rsidRPr="00DE25AD" w:rsidRDefault="00987D88" w:rsidP="00987D88">
            <w:pPr>
              <w:pStyle w:val="ASSADACCESStablecentre"/>
            </w:pPr>
            <w:r w:rsidRPr="002E5727">
              <w:rPr>
                <w:bCs w:val="0"/>
                <w:color w:val="000000"/>
              </w:rPr>
              <w:t>4,275</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B2BE3A" w14:textId="029C0205" w:rsidR="00987D88" w:rsidRPr="00DE25AD" w:rsidRDefault="00987D88" w:rsidP="00987D88">
            <w:pPr>
              <w:pStyle w:val="ASSADACCESStablecentre"/>
            </w:pPr>
            <w:r w:rsidRPr="002E5727">
              <w:rPr>
                <w:bCs w:val="0"/>
                <w:color w:val="000000"/>
              </w:rPr>
              <w:t>4,272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388F56" w14:textId="3606219B" w:rsidR="00987D88" w:rsidRPr="00DE25AD" w:rsidRDefault="00987D88" w:rsidP="00987D88">
            <w:pPr>
              <w:pStyle w:val="ASSADACCESStablecentre"/>
            </w:pPr>
            <w:r w:rsidRPr="002E5727">
              <w:rPr>
                <w:bCs w:val="0"/>
                <w:color w:val="000000"/>
              </w:rPr>
              <w:t>3,158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DFAF08" w14:textId="2443FC19" w:rsidR="00987D88" w:rsidRPr="00DE25AD" w:rsidRDefault="00987D88" w:rsidP="00987D88">
            <w:pPr>
              <w:pStyle w:val="ASSADACCESStablecentre"/>
            </w:pPr>
            <w:r w:rsidRPr="002E5727">
              <w:rPr>
                <w:bCs w:val="0"/>
                <w:color w:val="000000"/>
              </w:rPr>
              <w:t>23,007</w:t>
            </w:r>
          </w:p>
        </w:tc>
      </w:tr>
      <w:tr w:rsidR="00987D88" w:rsidRPr="00DE25AD" w14:paraId="517AECDD"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7F4683E4" w14:textId="19646740" w:rsidR="00987D88" w:rsidRPr="00987D88" w:rsidRDefault="00987D88" w:rsidP="00987D88">
            <w:pPr>
              <w:pStyle w:val="ASSAD2017ACCESSBody1"/>
              <w:rPr>
                <w:b/>
                <w:bCs w:val="0"/>
                <w:color w:val="000000"/>
              </w:rPr>
            </w:pPr>
            <w:r w:rsidRPr="00987D88">
              <w:rPr>
                <w:b/>
                <w:bCs w:val="0"/>
                <w:color w:val="000000"/>
              </w:rPr>
              <w:t>20</w:t>
            </w:r>
            <w:r>
              <w:rPr>
                <w:b/>
                <w:bCs w:val="0"/>
                <w:color w:val="000000"/>
              </w:rPr>
              <w:t>17</w:t>
            </w:r>
            <w:r w:rsidRPr="00987D88">
              <w:rPr>
                <w:b/>
                <w:bCs w:val="0"/>
                <w:color w:val="000000"/>
              </w:rPr>
              <w:t xml:space="preserve"> </w:t>
            </w: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4F3EB12C" w14:textId="77777777" w:rsidR="00987D88" w:rsidRPr="00DE25AD" w:rsidRDefault="00987D88" w:rsidP="00987D88">
            <w:pPr>
              <w:pStyle w:val="ASSAD2017ACCESSBody1"/>
              <w:rPr>
                <w:color w:val="000000"/>
              </w:rPr>
            </w:pPr>
            <w:r w:rsidRPr="00DE25AD">
              <w:rPr>
                <w:color w:val="000000"/>
              </w:rPr>
              <w:t>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FBBD4" w14:textId="5F2B0BD2" w:rsidR="00987D88" w:rsidRPr="00DE25AD" w:rsidRDefault="00987D88" w:rsidP="00987D88">
            <w:pPr>
              <w:pStyle w:val="ASSADACCESStablecentre"/>
            </w:pPr>
            <w:r w:rsidRPr="002E5727">
              <w:rPr>
                <w:bCs w:val="0"/>
                <w:color w:val="000000"/>
              </w:rPr>
              <w:t>832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757B7F" w14:textId="11714EBC" w:rsidR="00987D88" w:rsidRPr="00DE25AD" w:rsidRDefault="00987D88" w:rsidP="00987D88">
            <w:pPr>
              <w:pStyle w:val="ASSADACCESStablecentre"/>
            </w:pPr>
            <w:r w:rsidRPr="002E5727">
              <w:rPr>
                <w:bCs w:val="0"/>
                <w:color w:val="000000"/>
              </w:rPr>
              <w:t>1,818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0F9BEB" w14:textId="42E634CC" w:rsidR="00987D88" w:rsidRPr="00DE25AD" w:rsidRDefault="00987D88" w:rsidP="00987D88">
            <w:pPr>
              <w:pStyle w:val="ASSADACCESStablecentre"/>
            </w:pPr>
            <w:r w:rsidRPr="002E5727">
              <w:rPr>
                <w:bCs w:val="0"/>
                <w:color w:val="000000"/>
              </w:rPr>
              <w:t>1,590</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DD459C" w14:textId="14846049" w:rsidR="00987D88" w:rsidRPr="00DE25AD" w:rsidRDefault="00987D88" w:rsidP="00987D88">
            <w:pPr>
              <w:pStyle w:val="ASSADACCESStablecentre"/>
            </w:pPr>
            <w:r w:rsidRPr="002E5727">
              <w:rPr>
                <w:bCs w:val="0"/>
                <w:color w:val="000000"/>
              </w:rPr>
              <w:t>1,610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C45734" w14:textId="356E92C2" w:rsidR="00987D88" w:rsidRPr="00DE25AD" w:rsidRDefault="00987D88" w:rsidP="00987D88">
            <w:pPr>
              <w:pStyle w:val="ASSADACCESStablecentre"/>
            </w:pPr>
            <w:r w:rsidRPr="002E5727">
              <w:rPr>
                <w:bCs w:val="0"/>
                <w:color w:val="000000"/>
              </w:rPr>
              <w:t>1,774</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21E15" w14:textId="6E00E5D4" w:rsidR="00987D88" w:rsidRPr="00DE25AD" w:rsidRDefault="00987D88" w:rsidP="00987D88">
            <w:pPr>
              <w:pStyle w:val="ASSADACCESStablecentre"/>
            </w:pPr>
            <w:r w:rsidRPr="002E5727">
              <w:rPr>
                <w:bCs w:val="0"/>
                <w:color w:val="000000"/>
              </w:rPr>
              <w:t>1,267</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5914AD" w14:textId="337DEF8D" w:rsidR="00987D88" w:rsidRPr="00DE25AD" w:rsidRDefault="00987D88" w:rsidP="00987D88">
            <w:pPr>
              <w:pStyle w:val="ASSADACCESStablecentre"/>
            </w:pPr>
            <w:r w:rsidRPr="002E5727">
              <w:rPr>
                <w:bCs w:val="0"/>
                <w:color w:val="000000"/>
              </w:rPr>
              <w:t>8,891</w:t>
            </w:r>
          </w:p>
        </w:tc>
      </w:tr>
      <w:tr w:rsidR="00987D88" w:rsidRPr="00DE25AD" w14:paraId="74508920"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73DDC714" w14:textId="77777777" w:rsidR="00987D88" w:rsidRPr="00DE25AD" w:rsidRDefault="00987D88" w:rsidP="00987D88">
            <w:pPr>
              <w:pStyle w:val="ASSAD2017ACCESSBody1"/>
              <w:rPr>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1E2B4C0B" w14:textId="77777777" w:rsidR="00987D88" w:rsidRPr="00DE25AD" w:rsidRDefault="00987D88" w:rsidP="00987D88">
            <w:pPr>
              <w:pStyle w:val="ASSAD2017ACCESSBody1"/>
              <w:rPr>
                <w:color w:val="000000"/>
              </w:rPr>
            </w:pPr>
            <w:r w:rsidRPr="00DE25AD">
              <w:rPr>
                <w:color w:val="000000"/>
              </w:rPr>
              <w:t>Females</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110C8C" w14:textId="015BBFAE" w:rsidR="00987D88" w:rsidRPr="00DE25AD" w:rsidRDefault="00987D88" w:rsidP="00987D88">
            <w:pPr>
              <w:pStyle w:val="ASSADACCESStablecentre"/>
            </w:pPr>
            <w:r w:rsidRPr="002E5727">
              <w:rPr>
                <w:bCs w:val="0"/>
                <w:color w:val="000000"/>
              </w:rPr>
              <w:t>1,030</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1B4CCB" w14:textId="37D52651" w:rsidR="00987D88" w:rsidRPr="00DE25AD" w:rsidRDefault="00987D88" w:rsidP="00987D88">
            <w:pPr>
              <w:pStyle w:val="ASSADACCESStablecentre"/>
            </w:pPr>
            <w:r w:rsidRPr="002E5727">
              <w:rPr>
                <w:bCs w:val="0"/>
                <w:color w:val="000000"/>
              </w:rPr>
              <w:t>1,871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5E045B" w14:textId="072BBC6F" w:rsidR="00987D88" w:rsidRPr="00DE25AD" w:rsidRDefault="00987D88" w:rsidP="00987D88">
            <w:pPr>
              <w:pStyle w:val="ASSADACCESStablecentre"/>
            </w:pPr>
            <w:r w:rsidRPr="002E5727">
              <w:rPr>
                <w:bCs w:val="0"/>
                <w:color w:val="000000"/>
              </w:rPr>
              <w:t>1,745</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D9CD3C" w14:textId="33E8A672" w:rsidR="00987D88" w:rsidRPr="00DE25AD" w:rsidRDefault="00987D88" w:rsidP="00987D88">
            <w:pPr>
              <w:pStyle w:val="ASSADACCESStablecentre"/>
            </w:pPr>
            <w:r w:rsidRPr="002E5727">
              <w:rPr>
                <w:bCs w:val="0"/>
                <w:color w:val="000000"/>
              </w:rPr>
              <w:t>1,729</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A336C8" w14:textId="7F463F1F" w:rsidR="00987D88" w:rsidRPr="00DE25AD" w:rsidRDefault="00987D88" w:rsidP="00987D88">
            <w:pPr>
              <w:pStyle w:val="ASSADACCESStablecentre"/>
            </w:pPr>
            <w:r w:rsidRPr="002E5727">
              <w:rPr>
                <w:bCs w:val="0"/>
                <w:color w:val="000000"/>
              </w:rPr>
              <w:t>2,238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99B82" w14:textId="44F0950D" w:rsidR="00987D88" w:rsidRPr="00DE25AD" w:rsidRDefault="00987D88" w:rsidP="00987D88">
            <w:pPr>
              <w:pStyle w:val="ASSADACCESStablecentre"/>
            </w:pPr>
            <w:r w:rsidRPr="002E5727">
              <w:rPr>
                <w:bCs w:val="0"/>
                <w:color w:val="000000"/>
              </w:rPr>
              <w:t>1,611</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F9694" w14:textId="5C92F940" w:rsidR="00987D88" w:rsidRPr="00DE25AD" w:rsidRDefault="00987D88" w:rsidP="00987D88">
            <w:pPr>
              <w:pStyle w:val="ASSADACCESStablecentre"/>
            </w:pPr>
            <w:r w:rsidRPr="002E5727">
              <w:rPr>
                <w:bCs w:val="0"/>
                <w:color w:val="000000"/>
              </w:rPr>
              <w:t>10,224</w:t>
            </w:r>
          </w:p>
        </w:tc>
      </w:tr>
      <w:tr w:rsidR="00987D88" w:rsidRPr="00DE25AD" w14:paraId="60EB67F0" w14:textId="77777777" w:rsidTr="00987D88">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14:paraId="50A976E7" w14:textId="77777777" w:rsidR="00987D88" w:rsidRPr="00DE25AD" w:rsidRDefault="00987D88" w:rsidP="00987D88">
            <w:pPr>
              <w:pStyle w:val="ASSAD2017ACCESSBody1"/>
              <w:rPr>
                <w:color w:val="000000"/>
              </w:rPr>
            </w:pPr>
          </w:p>
        </w:tc>
        <w:tc>
          <w:tcPr>
            <w:tcW w:w="10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57" w:type="dxa"/>
            </w:tcMar>
            <w:vAlign w:val="bottom"/>
          </w:tcPr>
          <w:p w14:paraId="10435383" w14:textId="77777777" w:rsidR="00987D88" w:rsidRPr="00DE25AD" w:rsidRDefault="00987D88" w:rsidP="00987D88">
            <w:pPr>
              <w:pStyle w:val="ASSAD2017ACCESSBody1"/>
              <w:rPr>
                <w:color w:val="000000"/>
              </w:rPr>
            </w:pPr>
            <w:r w:rsidRPr="00DE25AD">
              <w:rPr>
                <w:color w:val="000000"/>
              </w:rPr>
              <w:t>Total</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78908" w14:textId="0D70EAD0" w:rsidR="00987D88" w:rsidRPr="00DE25AD" w:rsidRDefault="00987D88" w:rsidP="00987D88">
            <w:pPr>
              <w:pStyle w:val="ASSADACCESStablecentre"/>
            </w:pPr>
            <w:r w:rsidRPr="002E5727">
              <w:rPr>
                <w:bCs w:val="0"/>
                <w:color w:val="000000"/>
              </w:rPr>
              <w:t>1,862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0B37A" w14:textId="3FECE9E1" w:rsidR="00987D88" w:rsidRPr="00DE25AD" w:rsidRDefault="00987D88" w:rsidP="00987D88">
            <w:pPr>
              <w:pStyle w:val="ASSADACCESStablecentre"/>
            </w:pPr>
            <w:r w:rsidRPr="002E5727">
              <w:rPr>
                <w:bCs w:val="0"/>
                <w:color w:val="000000"/>
              </w:rPr>
              <w:t>3,689</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72124F" w14:textId="7ED53F0A" w:rsidR="00987D88" w:rsidRPr="00DE25AD" w:rsidRDefault="00987D88" w:rsidP="00987D88">
            <w:pPr>
              <w:pStyle w:val="ASSADACCESStablecentre"/>
            </w:pPr>
            <w:r w:rsidRPr="002E5727">
              <w:rPr>
                <w:bCs w:val="0"/>
                <w:color w:val="000000"/>
              </w:rPr>
              <w:t>3,335</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353A05" w14:textId="55E06ED3" w:rsidR="00987D88" w:rsidRPr="00DE25AD" w:rsidRDefault="00987D88" w:rsidP="00987D88">
            <w:pPr>
              <w:pStyle w:val="ASSADACCESStablecentre"/>
            </w:pPr>
            <w:r w:rsidRPr="002E5727">
              <w:rPr>
                <w:bCs w:val="0"/>
                <w:color w:val="000000"/>
              </w:rPr>
              <w:t>3,339</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FF72B5" w14:textId="1E0868CD" w:rsidR="00987D88" w:rsidRPr="00DE25AD" w:rsidRDefault="00987D88" w:rsidP="00987D88">
            <w:pPr>
              <w:pStyle w:val="ASSADACCESStablecentre"/>
            </w:pPr>
            <w:r w:rsidRPr="002E5727">
              <w:rPr>
                <w:bCs w:val="0"/>
                <w:color w:val="000000"/>
              </w:rPr>
              <w:t>4,012</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E07FFD" w14:textId="43A93346" w:rsidR="00987D88" w:rsidRPr="00DE25AD" w:rsidRDefault="00987D88" w:rsidP="00987D88">
            <w:pPr>
              <w:pStyle w:val="ASSADACCESStablecentre"/>
            </w:pPr>
            <w:r w:rsidRPr="002E5727">
              <w:rPr>
                <w:bCs w:val="0"/>
                <w:color w:val="000000"/>
              </w:rPr>
              <w:t>2,878</w:t>
            </w:r>
          </w:p>
        </w:tc>
        <w:tc>
          <w:tcPr>
            <w:tcW w:w="1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9B0A6B" w14:textId="4D20E41D" w:rsidR="00987D88" w:rsidRPr="00DE25AD" w:rsidRDefault="00987D88" w:rsidP="00987D88">
            <w:pPr>
              <w:pStyle w:val="ASSADACCESStablecentre"/>
            </w:pPr>
            <w:r w:rsidRPr="002E5727">
              <w:rPr>
                <w:bCs w:val="0"/>
                <w:color w:val="000000"/>
              </w:rPr>
              <w:t>19,115</w:t>
            </w:r>
          </w:p>
        </w:tc>
      </w:tr>
    </w:tbl>
    <w:p w14:paraId="178E8487" w14:textId="77777777" w:rsidR="00E24333" w:rsidRDefault="00E24333" w:rsidP="009209D8">
      <w:pPr>
        <w:pStyle w:val="ASSAD2017CWBody1"/>
      </w:pPr>
    </w:p>
    <w:p w14:paraId="20C6C518" w14:textId="77777777" w:rsidR="00E24333" w:rsidRDefault="00E24333" w:rsidP="009209D8">
      <w:pPr>
        <w:pStyle w:val="ASSAD2017CWBody1"/>
      </w:pPr>
    </w:p>
    <w:p w14:paraId="106EA78C" w14:textId="1DE62A4F" w:rsidR="00870B86" w:rsidRDefault="00870B86">
      <w:pPr>
        <w:suppressAutoHyphens w:val="0"/>
        <w:rPr>
          <w:rFonts w:ascii="Arial" w:hAnsi="Arial" w:cs="Arial"/>
          <w:bCs/>
          <w:color w:val="000000" w:themeColor="text1"/>
          <w:sz w:val="20"/>
          <w:szCs w:val="20"/>
          <w:lang w:val="en-US"/>
        </w:rPr>
      </w:pPr>
      <w:r>
        <w:br w:type="page"/>
      </w:r>
    </w:p>
    <w:p w14:paraId="15E63921" w14:textId="17661CA4" w:rsidR="00870B86" w:rsidRPr="00DE25AD" w:rsidRDefault="00870B86" w:rsidP="00870B86">
      <w:pPr>
        <w:pStyle w:val="ASSAD2017ACCESSHeading2"/>
        <w:numPr>
          <w:ilvl w:val="0"/>
          <w:numId w:val="0"/>
        </w:numPr>
      </w:pPr>
      <w:r w:rsidRPr="00DE25AD">
        <w:lastRenderedPageBreak/>
        <w:t>Confidence intervals</w:t>
      </w:r>
    </w:p>
    <w:p w14:paraId="3C2A5F43" w14:textId="18CEBBA5" w:rsidR="00870B86" w:rsidRPr="00DE25AD" w:rsidRDefault="00870B86" w:rsidP="001C0705">
      <w:pPr>
        <w:pStyle w:val="ASSAD2017TableHeading"/>
      </w:pPr>
      <w:bookmarkStart w:id="106" w:name="_Toc44060508"/>
      <w:r w:rsidRPr="0046446A">
        <w:t xml:space="preserve">Table </w:t>
      </w:r>
      <w:r>
        <w:t>2</w:t>
      </w:r>
      <w:r w:rsidR="001C0705">
        <w:t>1</w:t>
      </w:r>
      <w:r w:rsidRPr="0046446A">
        <w:t xml:space="preserve"> </w:t>
      </w:r>
      <w:r w:rsidR="001C0705">
        <w:t>95% confidence intervals</w:t>
      </w:r>
      <w:r w:rsidR="001C0705">
        <w:rPr>
          <w:vertAlign w:val="superscript"/>
        </w:rPr>
        <w:t>*</w:t>
      </w:r>
      <w:r w:rsidR="001C0705">
        <w:t xml:space="preserve"> for prevalence estimates for ASSAD 2017 sample sizes sex and age</w:t>
      </w:r>
      <w:bookmarkEnd w:id="106"/>
      <w:r w:rsidRPr="00DE25AD">
        <w:t xml:space="preserve"> </w:t>
      </w:r>
    </w:p>
    <w:tbl>
      <w:tblPr>
        <w:tblW w:w="96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Caption w:val="Table 2.3 95% confidence intervals* for prevalence estimates for ASSAD 2017 sample sizes sex and age "/>
        <w:tblDescription w:val="Table 2.3 95% confidence intervals* for prevalence estimates for ASSAD 2017 sample sizes sex and age "/>
      </w:tblPr>
      <w:tblGrid>
        <w:gridCol w:w="1363"/>
        <w:gridCol w:w="1177"/>
        <w:gridCol w:w="1180"/>
        <w:gridCol w:w="1177"/>
        <w:gridCol w:w="1177"/>
        <w:gridCol w:w="1182"/>
        <w:gridCol w:w="1180"/>
        <w:gridCol w:w="1180"/>
      </w:tblGrid>
      <w:tr w:rsidR="00870B86" w:rsidRPr="00DE25AD" w14:paraId="5519B119" w14:textId="77777777" w:rsidTr="0068355D">
        <w:trPr>
          <w:trHeight w:val="271"/>
          <w:tblHeader/>
        </w:trPr>
        <w:tc>
          <w:tcPr>
            <w:tcW w:w="1305" w:type="dxa"/>
            <w:shd w:val="clear" w:color="auto" w:fill="auto"/>
            <w:tcMar>
              <w:left w:w="57" w:type="dxa"/>
              <w:right w:w="0" w:type="dxa"/>
            </w:tcMar>
          </w:tcPr>
          <w:p w14:paraId="409550A0" w14:textId="77777777" w:rsidR="00870B86" w:rsidRPr="00DE25AD" w:rsidRDefault="00870B86" w:rsidP="002169C2">
            <w:pPr>
              <w:pStyle w:val="ACCESSTableHeaderRow"/>
            </w:pPr>
            <w:r w:rsidRPr="00DE25AD">
              <w:t>Prevalence (%)</w:t>
            </w:r>
          </w:p>
        </w:tc>
        <w:tc>
          <w:tcPr>
            <w:tcW w:w="1127" w:type="dxa"/>
            <w:shd w:val="clear" w:color="auto" w:fill="auto"/>
            <w:tcMar>
              <w:left w:w="57" w:type="dxa"/>
              <w:right w:w="0" w:type="dxa"/>
            </w:tcMar>
          </w:tcPr>
          <w:p w14:paraId="3B42E84F" w14:textId="77777777" w:rsidR="00870B86" w:rsidRPr="00DE25AD" w:rsidRDefault="00870B86" w:rsidP="002169C2">
            <w:pPr>
              <w:pStyle w:val="ACCESSTableHeaderRow"/>
            </w:pPr>
          </w:p>
        </w:tc>
        <w:tc>
          <w:tcPr>
            <w:tcW w:w="1129" w:type="dxa"/>
            <w:shd w:val="clear" w:color="auto" w:fill="auto"/>
          </w:tcPr>
          <w:p w14:paraId="10D704E8" w14:textId="77777777" w:rsidR="00870B86" w:rsidRPr="00DE25AD" w:rsidRDefault="00870B86" w:rsidP="002169C2">
            <w:pPr>
              <w:pStyle w:val="ACCESSTableHeaderRow"/>
              <w:jc w:val="center"/>
            </w:pPr>
          </w:p>
        </w:tc>
        <w:tc>
          <w:tcPr>
            <w:tcW w:w="1127" w:type="dxa"/>
            <w:shd w:val="clear" w:color="auto" w:fill="auto"/>
          </w:tcPr>
          <w:p w14:paraId="23E3E278" w14:textId="77777777" w:rsidR="00870B86" w:rsidRPr="00DE25AD" w:rsidRDefault="00870B86" w:rsidP="002169C2">
            <w:pPr>
              <w:pStyle w:val="ACCESSTableHeaderRow"/>
              <w:jc w:val="center"/>
            </w:pPr>
            <w:r w:rsidRPr="00DE25AD">
              <w:t>90</w:t>
            </w:r>
          </w:p>
        </w:tc>
        <w:tc>
          <w:tcPr>
            <w:tcW w:w="1127" w:type="dxa"/>
            <w:shd w:val="clear" w:color="auto" w:fill="auto"/>
          </w:tcPr>
          <w:p w14:paraId="7873D32F" w14:textId="77777777" w:rsidR="00870B86" w:rsidRPr="00DE25AD" w:rsidRDefault="00870B86" w:rsidP="002169C2">
            <w:pPr>
              <w:pStyle w:val="ACCESSTableHeaderRow"/>
              <w:jc w:val="center"/>
            </w:pPr>
            <w:r w:rsidRPr="00DE25AD">
              <w:t>80</w:t>
            </w:r>
          </w:p>
        </w:tc>
        <w:tc>
          <w:tcPr>
            <w:tcW w:w="1131" w:type="dxa"/>
            <w:shd w:val="clear" w:color="auto" w:fill="auto"/>
          </w:tcPr>
          <w:p w14:paraId="0E7997C1" w14:textId="77777777" w:rsidR="00870B86" w:rsidRPr="00DE25AD" w:rsidRDefault="00870B86" w:rsidP="002169C2">
            <w:pPr>
              <w:pStyle w:val="ACCESSTableHeaderRow"/>
              <w:jc w:val="center"/>
            </w:pPr>
            <w:r w:rsidRPr="00DE25AD">
              <w:t>70</w:t>
            </w:r>
          </w:p>
        </w:tc>
        <w:tc>
          <w:tcPr>
            <w:tcW w:w="1129" w:type="dxa"/>
            <w:shd w:val="clear" w:color="auto" w:fill="auto"/>
          </w:tcPr>
          <w:p w14:paraId="69BF8D52" w14:textId="77777777" w:rsidR="00870B86" w:rsidRPr="00DE25AD" w:rsidRDefault="00870B86" w:rsidP="002169C2">
            <w:pPr>
              <w:pStyle w:val="ACCESSTableHeaderRow"/>
              <w:jc w:val="center"/>
            </w:pPr>
            <w:r w:rsidRPr="00DE25AD">
              <w:t>60</w:t>
            </w:r>
          </w:p>
        </w:tc>
        <w:tc>
          <w:tcPr>
            <w:tcW w:w="1129" w:type="dxa"/>
            <w:shd w:val="clear" w:color="auto" w:fill="auto"/>
          </w:tcPr>
          <w:p w14:paraId="749D6431" w14:textId="77777777" w:rsidR="00870B86" w:rsidRPr="00DE25AD" w:rsidRDefault="00870B86" w:rsidP="002169C2">
            <w:pPr>
              <w:pStyle w:val="ACCESSTableHeaderRow"/>
              <w:jc w:val="center"/>
            </w:pPr>
            <w:r w:rsidRPr="00DE25AD">
              <w:t>50</w:t>
            </w:r>
          </w:p>
        </w:tc>
      </w:tr>
      <w:tr w:rsidR="00870B86" w:rsidRPr="00DE25AD" w14:paraId="12E1D2F2" w14:textId="77777777" w:rsidTr="0068355D">
        <w:trPr>
          <w:trHeight w:val="271"/>
          <w:tblHeader/>
        </w:trPr>
        <w:tc>
          <w:tcPr>
            <w:tcW w:w="1305" w:type="dxa"/>
            <w:shd w:val="clear" w:color="auto" w:fill="auto"/>
            <w:tcMar>
              <w:left w:w="57" w:type="dxa"/>
              <w:right w:w="0" w:type="dxa"/>
            </w:tcMar>
          </w:tcPr>
          <w:p w14:paraId="55ABEB51" w14:textId="77777777" w:rsidR="00870B86" w:rsidRPr="00DE25AD" w:rsidRDefault="00870B86" w:rsidP="002169C2">
            <w:pPr>
              <w:pStyle w:val="ACCESSTableHeaderRow"/>
            </w:pPr>
            <w:r w:rsidRPr="00DE25AD">
              <w:t>Sex</w:t>
            </w:r>
          </w:p>
        </w:tc>
        <w:tc>
          <w:tcPr>
            <w:tcW w:w="1127" w:type="dxa"/>
            <w:shd w:val="clear" w:color="auto" w:fill="auto"/>
            <w:tcMar>
              <w:left w:w="57" w:type="dxa"/>
              <w:right w:w="0" w:type="dxa"/>
            </w:tcMar>
          </w:tcPr>
          <w:p w14:paraId="3F6F5718" w14:textId="77777777" w:rsidR="00870B86" w:rsidRPr="00DE25AD" w:rsidRDefault="00870B86" w:rsidP="002169C2">
            <w:pPr>
              <w:pStyle w:val="ACCESSTableHeaderRow"/>
            </w:pPr>
            <w:r w:rsidRPr="00DE25AD">
              <w:t>Age in</w:t>
            </w:r>
            <w:r w:rsidRPr="00DE25AD">
              <w:br/>
              <w:t>years</w:t>
            </w:r>
          </w:p>
        </w:tc>
        <w:tc>
          <w:tcPr>
            <w:tcW w:w="1129" w:type="dxa"/>
            <w:shd w:val="clear" w:color="auto" w:fill="auto"/>
          </w:tcPr>
          <w:p w14:paraId="2D6D174D" w14:textId="77777777" w:rsidR="00870B86" w:rsidRPr="00DE25AD" w:rsidRDefault="00870B86" w:rsidP="002169C2">
            <w:pPr>
              <w:pStyle w:val="ACCESSTableHeaderRow"/>
              <w:jc w:val="center"/>
            </w:pPr>
            <w:r w:rsidRPr="00DE25AD">
              <w:t>n</w:t>
            </w:r>
          </w:p>
        </w:tc>
        <w:tc>
          <w:tcPr>
            <w:tcW w:w="1127" w:type="dxa"/>
            <w:shd w:val="clear" w:color="auto" w:fill="auto"/>
          </w:tcPr>
          <w:p w14:paraId="4D23A7CF" w14:textId="77777777" w:rsidR="00870B86" w:rsidRPr="00DE25AD" w:rsidRDefault="00870B86" w:rsidP="002169C2">
            <w:pPr>
              <w:pStyle w:val="ACCESSTableHeaderRow"/>
              <w:jc w:val="center"/>
            </w:pPr>
          </w:p>
        </w:tc>
        <w:tc>
          <w:tcPr>
            <w:tcW w:w="1127" w:type="dxa"/>
            <w:shd w:val="clear" w:color="auto" w:fill="auto"/>
          </w:tcPr>
          <w:p w14:paraId="6BE98AEF" w14:textId="77777777" w:rsidR="00870B86" w:rsidRPr="00DE25AD" w:rsidRDefault="00870B86" w:rsidP="002169C2">
            <w:pPr>
              <w:pStyle w:val="ACCESSTableHeaderRow"/>
              <w:jc w:val="center"/>
            </w:pPr>
          </w:p>
        </w:tc>
        <w:tc>
          <w:tcPr>
            <w:tcW w:w="1131" w:type="dxa"/>
            <w:shd w:val="clear" w:color="auto" w:fill="auto"/>
          </w:tcPr>
          <w:p w14:paraId="7983F1C0" w14:textId="77777777" w:rsidR="00870B86" w:rsidRPr="00DE25AD" w:rsidRDefault="00870B86" w:rsidP="002169C2">
            <w:pPr>
              <w:pStyle w:val="ACCESSTableHeaderRow"/>
              <w:jc w:val="center"/>
            </w:pPr>
          </w:p>
        </w:tc>
        <w:tc>
          <w:tcPr>
            <w:tcW w:w="1129" w:type="dxa"/>
            <w:shd w:val="clear" w:color="auto" w:fill="auto"/>
          </w:tcPr>
          <w:p w14:paraId="55DE4790" w14:textId="77777777" w:rsidR="00870B86" w:rsidRPr="00DE25AD" w:rsidRDefault="00870B86" w:rsidP="002169C2">
            <w:pPr>
              <w:pStyle w:val="ACCESSTableHeaderRow"/>
              <w:jc w:val="center"/>
            </w:pPr>
          </w:p>
        </w:tc>
        <w:tc>
          <w:tcPr>
            <w:tcW w:w="1129" w:type="dxa"/>
            <w:shd w:val="clear" w:color="auto" w:fill="auto"/>
          </w:tcPr>
          <w:p w14:paraId="4B6C400B" w14:textId="77777777" w:rsidR="00870B86" w:rsidRPr="00DE25AD" w:rsidRDefault="00870B86" w:rsidP="002169C2">
            <w:pPr>
              <w:pStyle w:val="ACCESSTableHeaderRow"/>
              <w:jc w:val="center"/>
            </w:pPr>
          </w:p>
        </w:tc>
      </w:tr>
      <w:tr w:rsidR="00870B86" w:rsidRPr="00DE25AD" w14:paraId="1F77A96C" w14:textId="77777777" w:rsidTr="0068355D">
        <w:tc>
          <w:tcPr>
            <w:tcW w:w="1305" w:type="dxa"/>
            <w:shd w:val="clear" w:color="auto" w:fill="auto"/>
            <w:tcMar>
              <w:left w:w="57" w:type="dxa"/>
              <w:right w:w="0" w:type="dxa"/>
            </w:tcMar>
          </w:tcPr>
          <w:p w14:paraId="7C66456F" w14:textId="77777777" w:rsidR="00870B86" w:rsidRPr="00DE25AD" w:rsidRDefault="00870B86" w:rsidP="002169C2">
            <w:pPr>
              <w:pStyle w:val="ACCESSTableHeaderRow"/>
            </w:pPr>
            <w:r w:rsidRPr="00DE25AD">
              <w:t>Male</w:t>
            </w:r>
          </w:p>
        </w:tc>
        <w:tc>
          <w:tcPr>
            <w:tcW w:w="1127" w:type="dxa"/>
            <w:shd w:val="clear" w:color="auto" w:fill="auto"/>
            <w:tcMar>
              <w:left w:w="57" w:type="dxa"/>
              <w:right w:w="0" w:type="dxa"/>
            </w:tcMar>
            <w:vAlign w:val="bottom"/>
          </w:tcPr>
          <w:p w14:paraId="7A82A403" w14:textId="77777777" w:rsidR="00870B86" w:rsidRPr="00DE25AD" w:rsidRDefault="00870B86" w:rsidP="002169C2">
            <w:pPr>
              <w:pStyle w:val="ASSADACCESStablecentre"/>
              <w:jc w:val="left"/>
            </w:pPr>
            <w:r w:rsidRPr="00DE25AD">
              <w:t>12</w:t>
            </w:r>
          </w:p>
        </w:tc>
        <w:tc>
          <w:tcPr>
            <w:tcW w:w="1129" w:type="dxa"/>
            <w:shd w:val="clear" w:color="auto" w:fill="auto"/>
            <w:vAlign w:val="bottom"/>
          </w:tcPr>
          <w:p w14:paraId="00DB0E7D" w14:textId="77777777" w:rsidR="00870B86" w:rsidRPr="00DE25AD" w:rsidRDefault="00870B86" w:rsidP="002169C2">
            <w:pPr>
              <w:pStyle w:val="ASSADACCESStablecentre"/>
            </w:pPr>
            <w:r w:rsidRPr="00DE25AD">
              <w:t>832</w:t>
            </w:r>
          </w:p>
        </w:tc>
        <w:tc>
          <w:tcPr>
            <w:tcW w:w="1127" w:type="dxa"/>
            <w:shd w:val="clear" w:color="auto" w:fill="auto"/>
          </w:tcPr>
          <w:p w14:paraId="6EC78D93" w14:textId="77777777" w:rsidR="00870B86" w:rsidRPr="00DE25AD" w:rsidRDefault="00870B86" w:rsidP="002169C2">
            <w:pPr>
              <w:pStyle w:val="ASSADACCESStablecentre"/>
            </w:pPr>
            <w:r w:rsidRPr="00DE25AD">
              <w:t>±2.04</w:t>
            </w:r>
          </w:p>
        </w:tc>
        <w:tc>
          <w:tcPr>
            <w:tcW w:w="1127" w:type="dxa"/>
            <w:shd w:val="clear" w:color="auto" w:fill="auto"/>
          </w:tcPr>
          <w:p w14:paraId="788F3B22" w14:textId="77777777" w:rsidR="00870B86" w:rsidRPr="00DE25AD" w:rsidRDefault="00870B86" w:rsidP="002169C2">
            <w:pPr>
              <w:pStyle w:val="ASSADACCESStablecentre"/>
            </w:pPr>
            <w:r w:rsidRPr="00DE25AD">
              <w:t>±2.72</w:t>
            </w:r>
          </w:p>
        </w:tc>
        <w:tc>
          <w:tcPr>
            <w:tcW w:w="1131" w:type="dxa"/>
            <w:shd w:val="clear" w:color="auto" w:fill="auto"/>
          </w:tcPr>
          <w:p w14:paraId="29DC80F6" w14:textId="77777777" w:rsidR="00870B86" w:rsidRPr="00DE25AD" w:rsidRDefault="00870B86" w:rsidP="002169C2">
            <w:pPr>
              <w:pStyle w:val="ASSADACCESStablecentre"/>
            </w:pPr>
            <w:r w:rsidRPr="00DE25AD">
              <w:t>±3.11</w:t>
            </w:r>
          </w:p>
        </w:tc>
        <w:tc>
          <w:tcPr>
            <w:tcW w:w="1129" w:type="dxa"/>
            <w:shd w:val="clear" w:color="auto" w:fill="auto"/>
          </w:tcPr>
          <w:p w14:paraId="0B4C2FB8" w14:textId="77777777" w:rsidR="00870B86" w:rsidRPr="00DE25AD" w:rsidRDefault="00870B86" w:rsidP="002169C2">
            <w:pPr>
              <w:pStyle w:val="ASSADACCESStablecentre"/>
            </w:pPr>
            <w:r w:rsidRPr="00DE25AD">
              <w:t>±3.33</w:t>
            </w:r>
          </w:p>
        </w:tc>
        <w:tc>
          <w:tcPr>
            <w:tcW w:w="1129" w:type="dxa"/>
            <w:shd w:val="clear" w:color="auto" w:fill="auto"/>
          </w:tcPr>
          <w:p w14:paraId="04CF4ADD" w14:textId="77777777" w:rsidR="00870B86" w:rsidRPr="00DE25AD" w:rsidRDefault="00870B86" w:rsidP="002169C2">
            <w:pPr>
              <w:pStyle w:val="ASSADACCESStablecentre"/>
            </w:pPr>
            <w:r w:rsidRPr="00DE25AD">
              <w:t>±3.40</w:t>
            </w:r>
          </w:p>
        </w:tc>
      </w:tr>
      <w:tr w:rsidR="00870B86" w:rsidRPr="00DE25AD" w14:paraId="47156099" w14:textId="77777777" w:rsidTr="0068355D">
        <w:tc>
          <w:tcPr>
            <w:tcW w:w="1305" w:type="dxa"/>
            <w:shd w:val="clear" w:color="auto" w:fill="auto"/>
            <w:tcMar>
              <w:left w:w="57" w:type="dxa"/>
              <w:right w:w="0" w:type="dxa"/>
            </w:tcMar>
          </w:tcPr>
          <w:p w14:paraId="4CAB635C"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660F9311" w14:textId="77777777" w:rsidR="00870B86" w:rsidRPr="00DE25AD" w:rsidRDefault="00870B86" w:rsidP="002169C2">
            <w:pPr>
              <w:pStyle w:val="ASSADACCESStablecentre"/>
              <w:jc w:val="left"/>
            </w:pPr>
            <w:r w:rsidRPr="00DE25AD">
              <w:t>13</w:t>
            </w:r>
          </w:p>
        </w:tc>
        <w:tc>
          <w:tcPr>
            <w:tcW w:w="1129" w:type="dxa"/>
            <w:shd w:val="clear" w:color="auto" w:fill="auto"/>
            <w:vAlign w:val="bottom"/>
          </w:tcPr>
          <w:p w14:paraId="7E89DA6C" w14:textId="77777777" w:rsidR="00870B86" w:rsidRPr="00DE25AD" w:rsidRDefault="00870B86" w:rsidP="002169C2">
            <w:pPr>
              <w:pStyle w:val="ASSADACCESStablecentre"/>
            </w:pPr>
            <w:r w:rsidRPr="00DE25AD">
              <w:t>1,818</w:t>
            </w:r>
          </w:p>
        </w:tc>
        <w:tc>
          <w:tcPr>
            <w:tcW w:w="1127" w:type="dxa"/>
            <w:shd w:val="clear" w:color="auto" w:fill="auto"/>
          </w:tcPr>
          <w:p w14:paraId="098D6CFB" w14:textId="77777777" w:rsidR="00870B86" w:rsidRPr="00DE25AD" w:rsidRDefault="00870B86" w:rsidP="002169C2">
            <w:pPr>
              <w:pStyle w:val="ASSADACCESStablecentre"/>
            </w:pPr>
            <w:r w:rsidRPr="00DE25AD">
              <w:t>±1.38</w:t>
            </w:r>
          </w:p>
        </w:tc>
        <w:tc>
          <w:tcPr>
            <w:tcW w:w="1127" w:type="dxa"/>
            <w:shd w:val="clear" w:color="auto" w:fill="auto"/>
          </w:tcPr>
          <w:p w14:paraId="119A8385" w14:textId="77777777" w:rsidR="00870B86" w:rsidRPr="00DE25AD" w:rsidRDefault="00870B86" w:rsidP="002169C2">
            <w:pPr>
              <w:pStyle w:val="ASSADACCESStablecentre"/>
            </w:pPr>
            <w:r w:rsidRPr="00DE25AD">
              <w:t>±1.84</w:t>
            </w:r>
          </w:p>
        </w:tc>
        <w:tc>
          <w:tcPr>
            <w:tcW w:w="1131" w:type="dxa"/>
            <w:shd w:val="clear" w:color="auto" w:fill="auto"/>
          </w:tcPr>
          <w:p w14:paraId="6FB450D7" w14:textId="77777777" w:rsidR="00870B86" w:rsidRPr="00DE25AD" w:rsidRDefault="00870B86" w:rsidP="002169C2">
            <w:pPr>
              <w:pStyle w:val="ASSADACCESStablecentre"/>
            </w:pPr>
            <w:r w:rsidRPr="00DE25AD">
              <w:t>±2.11</w:t>
            </w:r>
          </w:p>
        </w:tc>
        <w:tc>
          <w:tcPr>
            <w:tcW w:w="1129" w:type="dxa"/>
            <w:shd w:val="clear" w:color="auto" w:fill="auto"/>
          </w:tcPr>
          <w:p w14:paraId="738E4BE7" w14:textId="77777777" w:rsidR="00870B86" w:rsidRPr="00DE25AD" w:rsidRDefault="00870B86" w:rsidP="002169C2">
            <w:pPr>
              <w:pStyle w:val="ASSADACCESStablecentre"/>
            </w:pPr>
            <w:r w:rsidRPr="00DE25AD">
              <w:t>±2.25</w:t>
            </w:r>
          </w:p>
        </w:tc>
        <w:tc>
          <w:tcPr>
            <w:tcW w:w="1129" w:type="dxa"/>
            <w:shd w:val="clear" w:color="auto" w:fill="auto"/>
          </w:tcPr>
          <w:p w14:paraId="3502CA3D" w14:textId="77777777" w:rsidR="00870B86" w:rsidRPr="00DE25AD" w:rsidRDefault="00870B86" w:rsidP="002169C2">
            <w:pPr>
              <w:pStyle w:val="ASSADACCESStablecentre"/>
            </w:pPr>
            <w:r w:rsidRPr="00DE25AD">
              <w:t>±2.30</w:t>
            </w:r>
          </w:p>
        </w:tc>
      </w:tr>
      <w:tr w:rsidR="00870B86" w:rsidRPr="00DE25AD" w14:paraId="5A0538E2" w14:textId="77777777" w:rsidTr="0068355D">
        <w:tc>
          <w:tcPr>
            <w:tcW w:w="1305" w:type="dxa"/>
            <w:shd w:val="clear" w:color="auto" w:fill="auto"/>
            <w:tcMar>
              <w:left w:w="57" w:type="dxa"/>
              <w:right w:w="0" w:type="dxa"/>
            </w:tcMar>
          </w:tcPr>
          <w:p w14:paraId="1A27B0A4"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7FB03BFF" w14:textId="77777777" w:rsidR="00870B86" w:rsidRPr="00DE25AD" w:rsidRDefault="00870B86" w:rsidP="002169C2">
            <w:pPr>
              <w:pStyle w:val="ASSADACCESStablecentre"/>
              <w:jc w:val="left"/>
            </w:pPr>
            <w:r w:rsidRPr="00DE25AD">
              <w:t>14</w:t>
            </w:r>
          </w:p>
        </w:tc>
        <w:tc>
          <w:tcPr>
            <w:tcW w:w="1129" w:type="dxa"/>
            <w:shd w:val="clear" w:color="auto" w:fill="auto"/>
            <w:vAlign w:val="bottom"/>
          </w:tcPr>
          <w:p w14:paraId="26FA9D39" w14:textId="77777777" w:rsidR="00870B86" w:rsidRPr="00DE25AD" w:rsidRDefault="00870B86" w:rsidP="002169C2">
            <w:pPr>
              <w:pStyle w:val="ASSADACCESStablecentre"/>
            </w:pPr>
            <w:r w:rsidRPr="00DE25AD">
              <w:t>1,590</w:t>
            </w:r>
          </w:p>
        </w:tc>
        <w:tc>
          <w:tcPr>
            <w:tcW w:w="1127" w:type="dxa"/>
            <w:shd w:val="clear" w:color="auto" w:fill="auto"/>
          </w:tcPr>
          <w:p w14:paraId="776E69A6" w14:textId="77777777" w:rsidR="00870B86" w:rsidRPr="00DE25AD" w:rsidRDefault="00870B86" w:rsidP="002169C2">
            <w:pPr>
              <w:pStyle w:val="ASSADACCESStablecentre"/>
            </w:pPr>
            <w:r w:rsidRPr="00DE25AD">
              <w:t>±1.47</w:t>
            </w:r>
          </w:p>
        </w:tc>
        <w:tc>
          <w:tcPr>
            <w:tcW w:w="1127" w:type="dxa"/>
            <w:shd w:val="clear" w:color="auto" w:fill="auto"/>
          </w:tcPr>
          <w:p w14:paraId="61D7EC41" w14:textId="77777777" w:rsidR="00870B86" w:rsidRPr="00DE25AD" w:rsidRDefault="00870B86" w:rsidP="002169C2">
            <w:pPr>
              <w:pStyle w:val="ASSADACCESStablecentre"/>
            </w:pPr>
            <w:r w:rsidRPr="00DE25AD">
              <w:t>±1.97</w:t>
            </w:r>
          </w:p>
        </w:tc>
        <w:tc>
          <w:tcPr>
            <w:tcW w:w="1131" w:type="dxa"/>
            <w:shd w:val="clear" w:color="auto" w:fill="auto"/>
          </w:tcPr>
          <w:p w14:paraId="338F69A2" w14:textId="77777777" w:rsidR="00870B86" w:rsidRPr="00DE25AD" w:rsidRDefault="00870B86" w:rsidP="002169C2">
            <w:pPr>
              <w:pStyle w:val="ASSADACCESStablecentre"/>
            </w:pPr>
            <w:r w:rsidRPr="00DE25AD">
              <w:t>±2.25</w:t>
            </w:r>
          </w:p>
        </w:tc>
        <w:tc>
          <w:tcPr>
            <w:tcW w:w="1129" w:type="dxa"/>
            <w:shd w:val="clear" w:color="auto" w:fill="auto"/>
          </w:tcPr>
          <w:p w14:paraId="1FD43489" w14:textId="77777777" w:rsidR="00870B86" w:rsidRPr="00DE25AD" w:rsidRDefault="00870B86" w:rsidP="002169C2">
            <w:pPr>
              <w:pStyle w:val="ASSADACCESStablecentre"/>
            </w:pPr>
            <w:r w:rsidRPr="00DE25AD">
              <w:t>±2.41</w:t>
            </w:r>
          </w:p>
        </w:tc>
        <w:tc>
          <w:tcPr>
            <w:tcW w:w="1129" w:type="dxa"/>
            <w:shd w:val="clear" w:color="auto" w:fill="auto"/>
          </w:tcPr>
          <w:p w14:paraId="2AF02697" w14:textId="77777777" w:rsidR="00870B86" w:rsidRPr="00DE25AD" w:rsidRDefault="00870B86" w:rsidP="002169C2">
            <w:pPr>
              <w:pStyle w:val="ASSADACCESStablecentre"/>
            </w:pPr>
            <w:r w:rsidRPr="00DE25AD">
              <w:t>±2.46</w:t>
            </w:r>
          </w:p>
        </w:tc>
      </w:tr>
      <w:tr w:rsidR="00870B86" w:rsidRPr="00DE25AD" w14:paraId="7EDBDB25" w14:textId="77777777" w:rsidTr="0068355D">
        <w:trPr>
          <w:trHeight w:val="129"/>
        </w:trPr>
        <w:tc>
          <w:tcPr>
            <w:tcW w:w="1305" w:type="dxa"/>
            <w:shd w:val="clear" w:color="auto" w:fill="auto"/>
            <w:tcMar>
              <w:left w:w="57" w:type="dxa"/>
              <w:right w:w="0" w:type="dxa"/>
            </w:tcMar>
          </w:tcPr>
          <w:p w14:paraId="156421A0"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3D6AC3B4" w14:textId="77777777" w:rsidR="00870B86" w:rsidRPr="00DE25AD" w:rsidRDefault="00870B86" w:rsidP="002169C2">
            <w:pPr>
              <w:pStyle w:val="ASSADACCESStablecentre"/>
              <w:jc w:val="left"/>
            </w:pPr>
            <w:r w:rsidRPr="00DE25AD">
              <w:t>15</w:t>
            </w:r>
          </w:p>
        </w:tc>
        <w:tc>
          <w:tcPr>
            <w:tcW w:w="1129" w:type="dxa"/>
            <w:shd w:val="clear" w:color="auto" w:fill="auto"/>
            <w:vAlign w:val="bottom"/>
          </w:tcPr>
          <w:p w14:paraId="43E29C4B" w14:textId="77777777" w:rsidR="00870B86" w:rsidRPr="00DE25AD" w:rsidRDefault="00870B86" w:rsidP="002169C2">
            <w:pPr>
              <w:pStyle w:val="ASSADACCESStablecentre"/>
            </w:pPr>
            <w:r w:rsidRPr="00DE25AD">
              <w:t>1,610</w:t>
            </w:r>
          </w:p>
        </w:tc>
        <w:tc>
          <w:tcPr>
            <w:tcW w:w="1127" w:type="dxa"/>
            <w:shd w:val="clear" w:color="auto" w:fill="auto"/>
          </w:tcPr>
          <w:p w14:paraId="6792C328" w14:textId="77777777" w:rsidR="00870B86" w:rsidRPr="00DE25AD" w:rsidRDefault="00870B86" w:rsidP="002169C2">
            <w:pPr>
              <w:pStyle w:val="ASSADACCESStablecentre"/>
            </w:pPr>
            <w:r w:rsidRPr="00DE25AD">
              <w:t>±1.47</w:t>
            </w:r>
          </w:p>
        </w:tc>
        <w:tc>
          <w:tcPr>
            <w:tcW w:w="1127" w:type="dxa"/>
            <w:shd w:val="clear" w:color="auto" w:fill="auto"/>
          </w:tcPr>
          <w:p w14:paraId="0455D48A" w14:textId="77777777" w:rsidR="00870B86" w:rsidRPr="00DE25AD" w:rsidRDefault="00870B86" w:rsidP="002169C2">
            <w:pPr>
              <w:pStyle w:val="ASSADACCESStablecentre"/>
            </w:pPr>
            <w:r w:rsidRPr="00DE25AD">
              <w:t>±1.95</w:t>
            </w:r>
          </w:p>
        </w:tc>
        <w:tc>
          <w:tcPr>
            <w:tcW w:w="1131" w:type="dxa"/>
            <w:shd w:val="clear" w:color="auto" w:fill="auto"/>
          </w:tcPr>
          <w:p w14:paraId="6BC76109" w14:textId="77777777" w:rsidR="00870B86" w:rsidRPr="00DE25AD" w:rsidRDefault="00870B86" w:rsidP="002169C2">
            <w:pPr>
              <w:pStyle w:val="ASSADACCESStablecentre"/>
            </w:pPr>
            <w:r w:rsidRPr="00DE25AD">
              <w:t>±2.24</w:t>
            </w:r>
          </w:p>
        </w:tc>
        <w:tc>
          <w:tcPr>
            <w:tcW w:w="1129" w:type="dxa"/>
            <w:shd w:val="clear" w:color="auto" w:fill="auto"/>
          </w:tcPr>
          <w:p w14:paraId="5AE28B3B" w14:textId="77777777" w:rsidR="00870B86" w:rsidRPr="00DE25AD" w:rsidRDefault="00870B86" w:rsidP="002169C2">
            <w:pPr>
              <w:pStyle w:val="ASSADACCESStablecentre"/>
            </w:pPr>
            <w:r w:rsidRPr="00DE25AD">
              <w:t>±2.39</w:t>
            </w:r>
          </w:p>
        </w:tc>
        <w:tc>
          <w:tcPr>
            <w:tcW w:w="1129" w:type="dxa"/>
            <w:shd w:val="clear" w:color="auto" w:fill="auto"/>
          </w:tcPr>
          <w:p w14:paraId="4004451A" w14:textId="77777777" w:rsidR="00870B86" w:rsidRPr="00DE25AD" w:rsidRDefault="00870B86" w:rsidP="002169C2">
            <w:pPr>
              <w:pStyle w:val="ASSADACCESStablecentre"/>
            </w:pPr>
            <w:r w:rsidRPr="00DE25AD">
              <w:t>±2.44</w:t>
            </w:r>
          </w:p>
        </w:tc>
      </w:tr>
      <w:tr w:rsidR="00870B86" w:rsidRPr="00DE25AD" w14:paraId="39CDD903" w14:textId="77777777" w:rsidTr="0068355D">
        <w:tc>
          <w:tcPr>
            <w:tcW w:w="1305" w:type="dxa"/>
            <w:shd w:val="clear" w:color="auto" w:fill="auto"/>
            <w:tcMar>
              <w:left w:w="57" w:type="dxa"/>
              <w:right w:w="0" w:type="dxa"/>
            </w:tcMar>
          </w:tcPr>
          <w:p w14:paraId="53731F70"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0289F56A" w14:textId="77777777" w:rsidR="00870B86" w:rsidRPr="00DE25AD" w:rsidRDefault="00870B86" w:rsidP="002169C2">
            <w:pPr>
              <w:pStyle w:val="ASSADACCESStablecentre"/>
              <w:jc w:val="left"/>
            </w:pPr>
            <w:r w:rsidRPr="00DE25AD">
              <w:t>16</w:t>
            </w:r>
          </w:p>
        </w:tc>
        <w:tc>
          <w:tcPr>
            <w:tcW w:w="1129" w:type="dxa"/>
            <w:shd w:val="clear" w:color="auto" w:fill="auto"/>
            <w:vAlign w:val="bottom"/>
          </w:tcPr>
          <w:p w14:paraId="0198A24D" w14:textId="77777777" w:rsidR="00870B86" w:rsidRPr="00DE25AD" w:rsidRDefault="00870B86" w:rsidP="002169C2">
            <w:pPr>
              <w:pStyle w:val="ASSADACCESStablecentre"/>
            </w:pPr>
            <w:r w:rsidRPr="00DE25AD">
              <w:t>1,774</w:t>
            </w:r>
          </w:p>
        </w:tc>
        <w:tc>
          <w:tcPr>
            <w:tcW w:w="1127" w:type="dxa"/>
            <w:shd w:val="clear" w:color="auto" w:fill="auto"/>
          </w:tcPr>
          <w:p w14:paraId="57971FB1" w14:textId="77777777" w:rsidR="00870B86" w:rsidRPr="00DE25AD" w:rsidRDefault="00870B86" w:rsidP="002169C2">
            <w:pPr>
              <w:pStyle w:val="ASSADACCESStablecentre"/>
            </w:pPr>
            <w:r w:rsidRPr="00DE25AD">
              <w:t>±1.40</w:t>
            </w:r>
          </w:p>
        </w:tc>
        <w:tc>
          <w:tcPr>
            <w:tcW w:w="1127" w:type="dxa"/>
            <w:shd w:val="clear" w:color="auto" w:fill="auto"/>
          </w:tcPr>
          <w:p w14:paraId="5BA7B138" w14:textId="77777777" w:rsidR="00870B86" w:rsidRPr="00DE25AD" w:rsidRDefault="00870B86" w:rsidP="002169C2">
            <w:pPr>
              <w:pStyle w:val="ASSADACCESStablecentre"/>
            </w:pPr>
            <w:r w:rsidRPr="00DE25AD">
              <w:t>±1.86</w:t>
            </w:r>
          </w:p>
        </w:tc>
        <w:tc>
          <w:tcPr>
            <w:tcW w:w="1131" w:type="dxa"/>
            <w:shd w:val="clear" w:color="auto" w:fill="auto"/>
          </w:tcPr>
          <w:p w14:paraId="4B469BF7" w14:textId="77777777" w:rsidR="00870B86" w:rsidRPr="00DE25AD" w:rsidRDefault="00870B86" w:rsidP="002169C2">
            <w:pPr>
              <w:pStyle w:val="ASSADACCESStablecentre"/>
            </w:pPr>
            <w:r w:rsidRPr="00DE25AD">
              <w:t>±2.13</w:t>
            </w:r>
          </w:p>
        </w:tc>
        <w:tc>
          <w:tcPr>
            <w:tcW w:w="1129" w:type="dxa"/>
            <w:shd w:val="clear" w:color="auto" w:fill="auto"/>
          </w:tcPr>
          <w:p w14:paraId="6EDA3EC6" w14:textId="77777777" w:rsidR="00870B86" w:rsidRPr="00DE25AD" w:rsidRDefault="00870B86" w:rsidP="002169C2">
            <w:pPr>
              <w:pStyle w:val="ASSADACCESStablecentre"/>
            </w:pPr>
            <w:r w:rsidRPr="00DE25AD">
              <w:t>±2.28</w:t>
            </w:r>
          </w:p>
        </w:tc>
        <w:tc>
          <w:tcPr>
            <w:tcW w:w="1129" w:type="dxa"/>
            <w:shd w:val="clear" w:color="auto" w:fill="auto"/>
          </w:tcPr>
          <w:p w14:paraId="45A72F49" w14:textId="77777777" w:rsidR="00870B86" w:rsidRPr="00DE25AD" w:rsidRDefault="00870B86" w:rsidP="002169C2">
            <w:pPr>
              <w:pStyle w:val="ASSADACCESStablecentre"/>
            </w:pPr>
            <w:r w:rsidRPr="00DE25AD">
              <w:t>±2.33</w:t>
            </w:r>
          </w:p>
        </w:tc>
      </w:tr>
      <w:tr w:rsidR="00870B86" w:rsidRPr="00DE25AD" w14:paraId="758037E8" w14:textId="77777777" w:rsidTr="0068355D">
        <w:tc>
          <w:tcPr>
            <w:tcW w:w="1305" w:type="dxa"/>
            <w:shd w:val="clear" w:color="auto" w:fill="auto"/>
            <w:tcMar>
              <w:left w:w="57" w:type="dxa"/>
              <w:right w:w="0" w:type="dxa"/>
            </w:tcMar>
          </w:tcPr>
          <w:p w14:paraId="290B2B99"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2C944874" w14:textId="77777777" w:rsidR="00870B86" w:rsidRPr="00DE25AD" w:rsidRDefault="00870B86" w:rsidP="002169C2">
            <w:pPr>
              <w:pStyle w:val="ASSADACCESStablecentre"/>
              <w:jc w:val="left"/>
            </w:pPr>
            <w:r w:rsidRPr="00DE25AD">
              <w:t>17</w:t>
            </w:r>
          </w:p>
        </w:tc>
        <w:tc>
          <w:tcPr>
            <w:tcW w:w="1129" w:type="dxa"/>
            <w:shd w:val="clear" w:color="auto" w:fill="auto"/>
            <w:vAlign w:val="bottom"/>
          </w:tcPr>
          <w:p w14:paraId="4FAC42A3" w14:textId="77777777" w:rsidR="00870B86" w:rsidRPr="00DE25AD" w:rsidRDefault="00870B86" w:rsidP="002169C2">
            <w:pPr>
              <w:pStyle w:val="ASSADACCESStablecentre"/>
            </w:pPr>
            <w:r w:rsidRPr="00DE25AD">
              <w:t>1,267</w:t>
            </w:r>
          </w:p>
        </w:tc>
        <w:tc>
          <w:tcPr>
            <w:tcW w:w="1127" w:type="dxa"/>
            <w:shd w:val="clear" w:color="auto" w:fill="auto"/>
          </w:tcPr>
          <w:p w14:paraId="1E853F68" w14:textId="77777777" w:rsidR="00870B86" w:rsidRPr="00DE25AD" w:rsidRDefault="00870B86" w:rsidP="002169C2">
            <w:pPr>
              <w:pStyle w:val="ASSADACCESStablecentre"/>
            </w:pPr>
            <w:r w:rsidRPr="00DE25AD">
              <w:t>±1.65</w:t>
            </w:r>
          </w:p>
        </w:tc>
        <w:tc>
          <w:tcPr>
            <w:tcW w:w="1127" w:type="dxa"/>
            <w:shd w:val="clear" w:color="auto" w:fill="auto"/>
          </w:tcPr>
          <w:p w14:paraId="78DE4A9A" w14:textId="77777777" w:rsidR="00870B86" w:rsidRPr="00DE25AD" w:rsidRDefault="00870B86" w:rsidP="002169C2">
            <w:pPr>
              <w:pStyle w:val="ASSADACCESStablecentre"/>
            </w:pPr>
            <w:r w:rsidRPr="00DE25AD">
              <w:t>±2.20</w:t>
            </w:r>
          </w:p>
        </w:tc>
        <w:tc>
          <w:tcPr>
            <w:tcW w:w="1131" w:type="dxa"/>
            <w:shd w:val="clear" w:color="auto" w:fill="auto"/>
          </w:tcPr>
          <w:p w14:paraId="02E0DD47" w14:textId="77777777" w:rsidR="00870B86" w:rsidRPr="00DE25AD" w:rsidRDefault="00870B86" w:rsidP="002169C2">
            <w:pPr>
              <w:pStyle w:val="ASSADACCESStablecentre"/>
            </w:pPr>
            <w:r w:rsidRPr="00DE25AD">
              <w:t>±2.52</w:t>
            </w:r>
          </w:p>
        </w:tc>
        <w:tc>
          <w:tcPr>
            <w:tcW w:w="1129" w:type="dxa"/>
            <w:shd w:val="clear" w:color="auto" w:fill="auto"/>
          </w:tcPr>
          <w:p w14:paraId="07958C7E" w14:textId="77777777" w:rsidR="00870B86" w:rsidRPr="00DE25AD" w:rsidRDefault="00870B86" w:rsidP="002169C2">
            <w:pPr>
              <w:pStyle w:val="ASSADACCESStablecentre"/>
            </w:pPr>
            <w:r w:rsidRPr="00DE25AD">
              <w:t>±2.70</w:t>
            </w:r>
          </w:p>
        </w:tc>
        <w:tc>
          <w:tcPr>
            <w:tcW w:w="1129" w:type="dxa"/>
            <w:shd w:val="clear" w:color="auto" w:fill="auto"/>
          </w:tcPr>
          <w:p w14:paraId="0F3B6AE3" w14:textId="77777777" w:rsidR="00870B86" w:rsidRPr="00DE25AD" w:rsidRDefault="00870B86" w:rsidP="002169C2">
            <w:pPr>
              <w:pStyle w:val="ASSADACCESStablecentre"/>
            </w:pPr>
            <w:r w:rsidRPr="00DE25AD">
              <w:t>±2.75</w:t>
            </w:r>
          </w:p>
        </w:tc>
      </w:tr>
      <w:tr w:rsidR="00870B86" w:rsidRPr="00DE25AD" w14:paraId="0A086694" w14:textId="77777777" w:rsidTr="0068355D">
        <w:tc>
          <w:tcPr>
            <w:tcW w:w="1305" w:type="dxa"/>
            <w:shd w:val="clear" w:color="auto" w:fill="auto"/>
            <w:tcMar>
              <w:left w:w="57" w:type="dxa"/>
              <w:right w:w="0" w:type="dxa"/>
            </w:tcMar>
          </w:tcPr>
          <w:p w14:paraId="52EDABBD"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02E25BD6" w14:textId="77777777" w:rsidR="00870B86" w:rsidRPr="00DE25AD" w:rsidRDefault="00870B86" w:rsidP="002169C2">
            <w:pPr>
              <w:pStyle w:val="ASSADACCESStablecentre"/>
              <w:jc w:val="left"/>
            </w:pPr>
            <w:r w:rsidRPr="00DE25AD">
              <w:t>12-17</w:t>
            </w:r>
          </w:p>
        </w:tc>
        <w:tc>
          <w:tcPr>
            <w:tcW w:w="1129" w:type="dxa"/>
            <w:shd w:val="clear" w:color="auto" w:fill="auto"/>
            <w:vAlign w:val="bottom"/>
          </w:tcPr>
          <w:p w14:paraId="40E9E2FB" w14:textId="77777777" w:rsidR="00870B86" w:rsidRPr="00DE25AD" w:rsidRDefault="00870B86" w:rsidP="002169C2">
            <w:pPr>
              <w:pStyle w:val="ASSADACCESStablecentre"/>
            </w:pPr>
            <w:r w:rsidRPr="00DE25AD">
              <w:t>8,891</w:t>
            </w:r>
          </w:p>
        </w:tc>
        <w:tc>
          <w:tcPr>
            <w:tcW w:w="1127" w:type="dxa"/>
            <w:shd w:val="clear" w:color="auto" w:fill="auto"/>
          </w:tcPr>
          <w:p w14:paraId="67B5808A" w14:textId="77777777" w:rsidR="00870B86" w:rsidRPr="00DE25AD" w:rsidRDefault="00870B86" w:rsidP="002169C2">
            <w:pPr>
              <w:pStyle w:val="ASSADACCESStablecentre"/>
            </w:pPr>
            <w:r w:rsidRPr="00DE25AD">
              <w:t>±0.62</w:t>
            </w:r>
          </w:p>
        </w:tc>
        <w:tc>
          <w:tcPr>
            <w:tcW w:w="1127" w:type="dxa"/>
            <w:shd w:val="clear" w:color="auto" w:fill="auto"/>
          </w:tcPr>
          <w:p w14:paraId="3911184F" w14:textId="77777777" w:rsidR="00870B86" w:rsidRPr="00DE25AD" w:rsidRDefault="00870B86" w:rsidP="002169C2">
            <w:pPr>
              <w:pStyle w:val="ASSADACCESStablecentre"/>
            </w:pPr>
            <w:r w:rsidRPr="00DE25AD">
              <w:t>±0.83</w:t>
            </w:r>
          </w:p>
        </w:tc>
        <w:tc>
          <w:tcPr>
            <w:tcW w:w="1131" w:type="dxa"/>
            <w:shd w:val="clear" w:color="auto" w:fill="auto"/>
          </w:tcPr>
          <w:p w14:paraId="5FDE50EF" w14:textId="77777777" w:rsidR="00870B86" w:rsidRPr="00DE25AD" w:rsidRDefault="00870B86" w:rsidP="002169C2">
            <w:pPr>
              <w:pStyle w:val="ASSADACCESStablecentre"/>
            </w:pPr>
            <w:r w:rsidRPr="00DE25AD">
              <w:t>±0.95</w:t>
            </w:r>
          </w:p>
        </w:tc>
        <w:tc>
          <w:tcPr>
            <w:tcW w:w="1129" w:type="dxa"/>
            <w:shd w:val="clear" w:color="auto" w:fill="auto"/>
          </w:tcPr>
          <w:p w14:paraId="6ED3D08A" w14:textId="77777777" w:rsidR="00870B86" w:rsidRPr="00DE25AD" w:rsidRDefault="00870B86" w:rsidP="002169C2">
            <w:pPr>
              <w:pStyle w:val="ASSADACCESStablecentre"/>
            </w:pPr>
            <w:r w:rsidRPr="00DE25AD">
              <w:t>±1.02</w:t>
            </w:r>
          </w:p>
        </w:tc>
        <w:tc>
          <w:tcPr>
            <w:tcW w:w="1129" w:type="dxa"/>
            <w:shd w:val="clear" w:color="auto" w:fill="auto"/>
          </w:tcPr>
          <w:p w14:paraId="4EF437AA" w14:textId="77777777" w:rsidR="00870B86" w:rsidRPr="00DE25AD" w:rsidRDefault="00870B86" w:rsidP="002169C2">
            <w:pPr>
              <w:pStyle w:val="ASSADACCESStablecentre"/>
            </w:pPr>
            <w:r w:rsidRPr="00DE25AD">
              <w:t>±1.04</w:t>
            </w:r>
          </w:p>
        </w:tc>
      </w:tr>
      <w:tr w:rsidR="00870B86" w:rsidRPr="00DE25AD" w14:paraId="118BB974" w14:textId="77777777" w:rsidTr="0068355D">
        <w:tc>
          <w:tcPr>
            <w:tcW w:w="1305" w:type="dxa"/>
            <w:shd w:val="clear" w:color="auto" w:fill="auto"/>
            <w:tcMar>
              <w:left w:w="57" w:type="dxa"/>
              <w:right w:w="0" w:type="dxa"/>
            </w:tcMar>
          </w:tcPr>
          <w:p w14:paraId="7F53EBDE" w14:textId="77777777" w:rsidR="00870B86" w:rsidRPr="00DE25AD" w:rsidRDefault="00870B86" w:rsidP="002169C2">
            <w:pPr>
              <w:pStyle w:val="ACCESSTableHeaderRow"/>
            </w:pPr>
            <w:r w:rsidRPr="00DE25AD">
              <w:t>Female</w:t>
            </w:r>
          </w:p>
        </w:tc>
        <w:tc>
          <w:tcPr>
            <w:tcW w:w="1127" w:type="dxa"/>
            <w:shd w:val="clear" w:color="auto" w:fill="auto"/>
            <w:tcMar>
              <w:left w:w="57" w:type="dxa"/>
              <w:right w:w="0" w:type="dxa"/>
            </w:tcMar>
            <w:vAlign w:val="bottom"/>
          </w:tcPr>
          <w:p w14:paraId="518C9504" w14:textId="77777777" w:rsidR="00870B86" w:rsidRPr="00DE25AD" w:rsidRDefault="00870B86" w:rsidP="002169C2">
            <w:pPr>
              <w:pStyle w:val="ASSADACCESStablecentre"/>
              <w:jc w:val="left"/>
            </w:pPr>
            <w:r w:rsidRPr="00DE25AD">
              <w:t>12</w:t>
            </w:r>
          </w:p>
        </w:tc>
        <w:tc>
          <w:tcPr>
            <w:tcW w:w="1129" w:type="dxa"/>
            <w:shd w:val="clear" w:color="auto" w:fill="auto"/>
            <w:vAlign w:val="bottom"/>
          </w:tcPr>
          <w:p w14:paraId="193D8D8D" w14:textId="77777777" w:rsidR="00870B86" w:rsidRPr="00DE25AD" w:rsidRDefault="00870B86" w:rsidP="002169C2">
            <w:pPr>
              <w:pStyle w:val="ASSADACCESStablecentre"/>
            </w:pPr>
            <w:r w:rsidRPr="00DE25AD">
              <w:t>1,030</w:t>
            </w:r>
          </w:p>
        </w:tc>
        <w:tc>
          <w:tcPr>
            <w:tcW w:w="1127" w:type="dxa"/>
            <w:shd w:val="clear" w:color="auto" w:fill="auto"/>
          </w:tcPr>
          <w:p w14:paraId="696C1E8E" w14:textId="77777777" w:rsidR="00870B86" w:rsidRPr="00DE25AD" w:rsidRDefault="00870B86" w:rsidP="002169C2">
            <w:pPr>
              <w:pStyle w:val="ASSADACCESStablecentre"/>
            </w:pPr>
            <w:r w:rsidRPr="00DE25AD">
              <w:t>±1.83</w:t>
            </w:r>
          </w:p>
        </w:tc>
        <w:tc>
          <w:tcPr>
            <w:tcW w:w="1127" w:type="dxa"/>
            <w:shd w:val="clear" w:color="auto" w:fill="auto"/>
          </w:tcPr>
          <w:p w14:paraId="73DD2099" w14:textId="77777777" w:rsidR="00870B86" w:rsidRPr="00DE25AD" w:rsidRDefault="00870B86" w:rsidP="002169C2">
            <w:pPr>
              <w:pStyle w:val="ASSADACCESStablecentre"/>
            </w:pPr>
            <w:r w:rsidRPr="00DE25AD">
              <w:t>±2.44</w:t>
            </w:r>
          </w:p>
        </w:tc>
        <w:tc>
          <w:tcPr>
            <w:tcW w:w="1131" w:type="dxa"/>
            <w:shd w:val="clear" w:color="auto" w:fill="auto"/>
          </w:tcPr>
          <w:p w14:paraId="053886D2" w14:textId="77777777" w:rsidR="00870B86" w:rsidRPr="00DE25AD" w:rsidRDefault="00870B86" w:rsidP="002169C2">
            <w:pPr>
              <w:pStyle w:val="ASSADACCESStablecentre"/>
            </w:pPr>
            <w:r w:rsidRPr="00DE25AD">
              <w:t>±2.80</w:t>
            </w:r>
          </w:p>
        </w:tc>
        <w:tc>
          <w:tcPr>
            <w:tcW w:w="1129" w:type="dxa"/>
            <w:shd w:val="clear" w:color="auto" w:fill="auto"/>
          </w:tcPr>
          <w:p w14:paraId="6498D5DE" w14:textId="77777777" w:rsidR="00870B86" w:rsidRPr="00DE25AD" w:rsidRDefault="00870B86" w:rsidP="002169C2">
            <w:pPr>
              <w:pStyle w:val="ASSADACCESStablecentre"/>
            </w:pPr>
            <w:r w:rsidRPr="00DE25AD">
              <w:t>±2.99</w:t>
            </w:r>
          </w:p>
        </w:tc>
        <w:tc>
          <w:tcPr>
            <w:tcW w:w="1129" w:type="dxa"/>
            <w:shd w:val="clear" w:color="auto" w:fill="auto"/>
          </w:tcPr>
          <w:p w14:paraId="56518C99" w14:textId="77777777" w:rsidR="00870B86" w:rsidRPr="00DE25AD" w:rsidRDefault="00870B86" w:rsidP="002169C2">
            <w:pPr>
              <w:pStyle w:val="ASSADACCESStablecentre"/>
            </w:pPr>
            <w:r w:rsidRPr="00DE25AD">
              <w:t>±3.05</w:t>
            </w:r>
          </w:p>
        </w:tc>
      </w:tr>
      <w:tr w:rsidR="00870B86" w:rsidRPr="00DE25AD" w14:paraId="37D7109E" w14:textId="77777777" w:rsidTr="0068355D">
        <w:tc>
          <w:tcPr>
            <w:tcW w:w="1305" w:type="dxa"/>
            <w:shd w:val="clear" w:color="auto" w:fill="auto"/>
            <w:tcMar>
              <w:left w:w="57" w:type="dxa"/>
              <w:right w:w="0" w:type="dxa"/>
            </w:tcMar>
          </w:tcPr>
          <w:p w14:paraId="385651E3" w14:textId="77777777" w:rsidR="00870B86" w:rsidRPr="00DE25AD" w:rsidRDefault="00870B86" w:rsidP="002169C2">
            <w:pPr>
              <w:pStyle w:val="ACCESSTableHeaderRow"/>
            </w:pPr>
          </w:p>
        </w:tc>
        <w:tc>
          <w:tcPr>
            <w:tcW w:w="1127" w:type="dxa"/>
            <w:shd w:val="clear" w:color="auto" w:fill="auto"/>
            <w:tcMar>
              <w:left w:w="57" w:type="dxa"/>
              <w:right w:w="0" w:type="dxa"/>
            </w:tcMar>
            <w:vAlign w:val="bottom"/>
          </w:tcPr>
          <w:p w14:paraId="62903486" w14:textId="77777777" w:rsidR="00870B86" w:rsidRPr="00DE25AD" w:rsidRDefault="00870B86" w:rsidP="002169C2">
            <w:pPr>
              <w:pStyle w:val="ASSADACCESStablecentre"/>
              <w:jc w:val="left"/>
            </w:pPr>
            <w:r w:rsidRPr="00DE25AD">
              <w:t>13</w:t>
            </w:r>
          </w:p>
        </w:tc>
        <w:tc>
          <w:tcPr>
            <w:tcW w:w="1129" w:type="dxa"/>
            <w:shd w:val="clear" w:color="auto" w:fill="auto"/>
            <w:vAlign w:val="bottom"/>
          </w:tcPr>
          <w:p w14:paraId="513BE852" w14:textId="77777777" w:rsidR="00870B86" w:rsidRPr="00DE25AD" w:rsidRDefault="00870B86" w:rsidP="002169C2">
            <w:pPr>
              <w:pStyle w:val="ASSADACCESStablecentre"/>
            </w:pPr>
            <w:r w:rsidRPr="00DE25AD">
              <w:t>1,871</w:t>
            </w:r>
          </w:p>
        </w:tc>
        <w:tc>
          <w:tcPr>
            <w:tcW w:w="1127" w:type="dxa"/>
            <w:shd w:val="clear" w:color="auto" w:fill="auto"/>
          </w:tcPr>
          <w:p w14:paraId="024C845C" w14:textId="77777777" w:rsidR="00870B86" w:rsidRPr="00DE25AD" w:rsidRDefault="00870B86" w:rsidP="002169C2">
            <w:pPr>
              <w:pStyle w:val="ASSADACCESStablecentre"/>
            </w:pPr>
            <w:r w:rsidRPr="00DE25AD">
              <w:t>±1.36</w:t>
            </w:r>
          </w:p>
        </w:tc>
        <w:tc>
          <w:tcPr>
            <w:tcW w:w="1127" w:type="dxa"/>
            <w:shd w:val="clear" w:color="auto" w:fill="auto"/>
          </w:tcPr>
          <w:p w14:paraId="4C7E667B" w14:textId="77777777" w:rsidR="00870B86" w:rsidRPr="00DE25AD" w:rsidRDefault="00870B86" w:rsidP="002169C2">
            <w:pPr>
              <w:pStyle w:val="ASSADACCESStablecentre"/>
            </w:pPr>
            <w:r w:rsidRPr="00DE25AD">
              <w:t>±1.81</w:t>
            </w:r>
          </w:p>
        </w:tc>
        <w:tc>
          <w:tcPr>
            <w:tcW w:w="1131" w:type="dxa"/>
            <w:shd w:val="clear" w:color="auto" w:fill="auto"/>
          </w:tcPr>
          <w:p w14:paraId="282E6B35" w14:textId="77777777" w:rsidR="00870B86" w:rsidRPr="00DE25AD" w:rsidRDefault="00870B86" w:rsidP="002169C2">
            <w:pPr>
              <w:pStyle w:val="ASSADACCESStablecentre"/>
            </w:pPr>
            <w:r w:rsidRPr="00DE25AD">
              <w:t>±2.08</w:t>
            </w:r>
          </w:p>
        </w:tc>
        <w:tc>
          <w:tcPr>
            <w:tcW w:w="1129" w:type="dxa"/>
            <w:shd w:val="clear" w:color="auto" w:fill="auto"/>
          </w:tcPr>
          <w:p w14:paraId="17D397AA" w14:textId="77777777" w:rsidR="00870B86" w:rsidRPr="00DE25AD" w:rsidRDefault="00870B86" w:rsidP="002169C2">
            <w:pPr>
              <w:pStyle w:val="ASSADACCESStablecentre"/>
            </w:pPr>
            <w:r w:rsidRPr="00DE25AD">
              <w:t>±2.22</w:t>
            </w:r>
          </w:p>
        </w:tc>
        <w:tc>
          <w:tcPr>
            <w:tcW w:w="1129" w:type="dxa"/>
            <w:shd w:val="clear" w:color="auto" w:fill="auto"/>
          </w:tcPr>
          <w:p w14:paraId="2B6E0C35" w14:textId="77777777" w:rsidR="00870B86" w:rsidRPr="00DE25AD" w:rsidRDefault="00870B86" w:rsidP="002169C2">
            <w:pPr>
              <w:pStyle w:val="ASSADACCESStablecentre"/>
            </w:pPr>
            <w:r w:rsidRPr="00DE25AD">
              <w:t>±2.27</w:t>
            </w:r>
          </w:p>
        </w:tc>
      </w:tr>
      <w:tr w:rsidR="00870B86" w:rsidRPr="00DE25AD" w14:paraId="0A77E425" w14:textId="77777777" w:rsidTr="0068355D">
        <w:tc>
          <w:tcPr>
            <w:tcW w:w="1305" w:type="dxa"/>
            <w:shd w:val="clear" w:color="auto" w:fill="auto"/>
            <w:tcMar>
              <w:left w:w="57" w:type="dxa"/>
              <w:right w:w="0" w:type="dxa"/>
            </w:tcMar>
          </w:tcPr>
          <w:p w14:paraId="50A53C30" w14:textId="77777777" w:rsidR="00870B86" w:rsidRPr="00DE25AD" w:rsidRDefault="00870B86" w:rsidP="002169C2">
            <w:pPr>
              <w:pStyle w:val="ASSAD2017ACCESSBody1"/>
            </w:pPr>
          </w:p>
        </w:tc>
        <w:tc>
          <w:tcPr>
            <w:tcW w:w="1127" w:type="dxa"/>
            <w:shd w:val="clear" w:color="auto" w:fill="auto"/>
            <w:tcMar>
              <w:left w:w="57" w:type="dxa"/>
              <w:right w:w="0" w:type="dxa"/>
            </w:tcMar>
            <w:vAlign w:val="bottom"/>
          </w:tcPr>
          <w:p w14:paraId="6E02DF84" w14:textId="77777777" w:rsidR="00870B86" w:rsidRPr="00DE25AD" w:rsidRDefault="00870B86" w:rsidP="002169C2">
            <w:pPr>
              <w:pStyle w:val="ASSADACCESStablecentre"/>
              <w:jc w:val="left"/>
            </w:pPr>
            <w:r w:rsidRPr="00DE25AD">
              <w:t>14</w:t>
            </w:r>
          </w:p>
        </w:tc>
        <w:tc>
          <w:tcPr>
            <w:tcW w:w="1129" w:type="dxa"/>
            <w:shd w:val="clear" w:color="auto" w:fill="auto"/>
            <w:vAlign w:val="bottom"/>
          </w:tcPr>
          <w:p w14:paraId="7F45C23C" w14:textId="77777777" w:rsidR="00870B86" w:rsidRPr="00DE25AD" w:rsidRDefault="00870B86" w:rsidP="002169C2">
            <w:pPr>
              <w:pStyle w:val="ASSADACCESStablecentre"/>
            </w:pPr>
            <w:r w:rsidRPr="00DE25AD">
              <w:t>1,745</w:t>
            </w:r>
          </w:p>
        </w:tc>
        <w:tc>
          <w:tcPr>
            <w:tcW w:w="1127" w:type="dxa"/>
            <w:shd w:val="clear" w:color="auto" w:fill="auto"/>
          </w:tcPr>
          <w:p w14:paraId="32397E98" w14:textId="77777777" w:rsidR="00870B86" w:rsidRPr="00DE25AD" w:rsidRDefault="00870B86" w:rsidP="002169C2">
            <w:pPr>
              <w:pStyle w:val="ASSADACCESStablecentre"/>
            </w:pPr>
            <w:r w:rsidRPr="00DE25AD">
              <w:t>±1.41</w:t>
            </w:r>
          </w:p>
        </w:tc>
        <w:tc>
          <w:tcPr>
            <w:tcW w:w="1127" w:type="dxa"/>
            <w:shd w:val="clear" w:color="auto" w:fill="auto"/>
          </w:tcPr>
          <w:p w14:paraId="62BA5E5D" w14:textId="77777777" w:rsidR="00870B86" w:rsidRPr="00DE25AD" w:rsidRDefault="00870B86" w:rsidP="002169C2">
            <w:pPr>
              <w:pStyle w:val="ASSADACCESStablecentre"/>
            </w:pPr>
            <w:r w:rsidRPr="00DE25AD">
              <w:t>±1.88</w:t>
            </w:r>
          </w:p>
        </w:tc>
        <w:tc>
          <w:tcPr>
            <w:tcW w:w="1131" w:type="dxa"/>
            <w:shd w:val="clear" w:color="auto" w:fill="auto"/>
          </w:tcPr>
          <w:p w14:paraId="22C30B20" w14:textId="77777777" w:rsidR="00870B86" w:rsidRPr="00DE25AD" w:rsidRDefault="00870B86" w:rsidP="002169C2">
            <w:pPr>
              <w:pStyle w:val="ASSADACCESStablecentre"/>
            </w:pPr>
            <w:r w:rsidRPr="00DE25AD">
              <w:t>±2.15</w:t>
            </w:r>
          </w:p>
        </w:tc>
        <w:tc>
          <w:tcPr>
            <w:tcW w:w="1129" w:type="dxa"/>
            <w:shd w:val="clear" w:color="auto" w:fill="auto"/>
          </w:tcPr>
          <w:p w14:paraId="2F8E8F56" w14:textId="77777777" w:rsidR="00870B86" w:rsidRPr="00DE25AD" w:rsidRDefault="00870B86" w:rsidP="002169C2">
            <w:pPr>
              <w:pStyle w:val="ASSADACCESStablecentre"/>
            </w:pPr>
            <w:r w:rsidRPr="00DE25AD">
              <w:t>±2.30</w:t>
            </w:r>
          </w:p>
        </w:tc>
        <w:tc>
          <w:tcPr>
            <w:tcW w:w="1129" w:type="dxa"/>
            <w:shd w:val="clear" w:color="auto" w:fill="auto"/>
          </w:tcPr>
          <w:p w14:paraId="0B1D9F60" w14:textId="77777777" w:rsidR="00870B86" w:rsidRPr="00DE25AD" w:rsidRDefault="00870B86" w:rsidP="002169C2">
            <w:pPr>
              <w:pStyle w:val="ASSADACCESStablecentre"/>
            </w:pPr>
            <w:r w:rsidRPr="00DE25AD">
              <w:t>±2.35</w:t>
            </w:r>
          </w:p>
        </w:tc>
      </w:tr>
      <w:tr w:rsidR="00870B86" w:rsidRPr="00DE25AD" w14:paraId="03B1EA16" w14:textId="77777777" w:rsidTr="0068355D">
        <w:tc>
          <w:tcPr>
            <w:tcW w:w="1305" w:type="dxa"/>
            <w:shd w:val="clear" w:color="auto" w:fill="auto"/>
            <w:tcMar>
              <w:left w:w="57" w:type="dxa"/>
              <w:right w:w="0" w:type="dxa"/>
            </w:tcMar>
          </w:tcPr>
          <w:p w14:paraId="347810BF" w14:textId="77777777" w:rsidR="00870B86" w:rsidRPr="00DE25AD" w:rsidRDefault="00870B86" w:rsidP="002169C2">
            <w:pPr>
              <w:pStyle w:val="ASSAD2017ACCESSBody1"/>
            </w:pPr>
          </w:p>
        </w:tc>
        <w:tc>
          <w:tcPr>
            <w:tcW w:w="1127" w:type="dxa"/>
            <w:shd w:val="clear" w:color="auto" w:fill="auto"/>
            <w:tcMar>
              <w:left w:w="57" w:type="dxa"/>
              <w:right w:w="0" w:type="dxa"/>
            </w:tcMar>
            <w:vAlign w:val="bottom"/>
          </w:tcPr>
          <w:p w14:paraId="7D2736CA" w14:textId="77777777" w:rsidR="00870B86" w:rsidRPr="00DE25AD" w:rsidRDefault="00870B86" w:rsidP="002169C2">
            <w:pPr>
              <w:pStyle w:val="ASSADACCESStablecentre"/>
              <w:jc w:val="left"/>
            </w:pPr>
            <w:r w:rsidRPr="00DE25AD">
              <w:t>15</w:t>
            </w:r>
          </w:p>
        </w:tc>
        <w:tc>
          <w:tcPr>
            <w:tcW w:w="1129" w:type="dxa"/>
            <w:shd w:val="clear" w:color="auto" w:fill="auto"/>
            <w:vAlign w:val="bottom"/>
          </w:tcPr>
          <w:p w14:paraId="646DE78E" w14:textId="77777777" w:rsidR="00870B86" w:rsidRPr="00DE25AD" w:rsidRDefault="00870B86" w:rsidP="002169C2">
            <w:pPr>
              <w:pStyle w:val="ASSADACCESStablecentre"/>
            </w:pPr>
            <w:r w:rsidRPr="00DE25AD">
              <w:t>1,729</w:t>
            </w:r>
          </w:p>
        </w:tc>
        <w:tc>
          <w:tcPr>
            <w:tcW w:w="1127" w:type="dxa"/>
            <w:shd w:val="clear" w:color="auto" w:fill="auto"/>
          </w:tcPr>
          <w:p w14:paraId="67591C4F" w14:textId="77777777" w:rsidR="00870B86" w:rsidRPr="00DE25AD" w:rsidRDefault="00870B86" w:rsidP="002169C2">
            <w:pPr>
              <w:pStyle w:val="ASSADACCESStablecentre"/>
            </w:pPr>
            <w:r w:rsidRPr="00DE25AD">
              <w:t>±1.41</w:t>
            </w:r>
          </w:p>
        </w:tc>
        <w:tc>
          <w:tcPr>
            <w:tcW w:w="1127" w:type="dxa"/>
            <w:shd w:val="clear" w:color="auto" w:fill="auto"/>
          </w:tcPr>
          <w:p w14:paraId="609FE7DA" w14:textId="77777777" w:rsidR="00870B86" w:rsidRPr="00DE25AD" w:rsidRDefault="00870B86" w:rsidP="002169C2">
            <w:pPr>
              <w:pStyle w:val="ASSADACCESStablecentre"/>
            </w:pPr>
            <w:r w:rsidRPr="00DE25AD">
              <w:t>±1.89</w:t>
            </w:r>
          </w:p>
        </w:tc>
        <w:tc>
          <w:tcPr>
            <w:tcW w:w="1131" w:type="dxa"/>
            <w:shd w:val="clear" w:color="auto" w:fill="auto"/>
          </w:tcPr>
          <w:p w14:paraId="718E7846" w14:textId="77777777" w:rsidR="00870B86" w:rsidRPr="00DE25AD" w:rsidRDefault="00870B86" w:rsidP="002169C2">
            <w:pPr>
              <w:pStyle w:val="ASSADACCESStablecentre"/>
            </w:pPr>
            <w:r w:rsidRPr="00DE25AD">
              <w:t>±2.16</w:t>
            </w:r>
          </w:p>
        </w:tc>
        <w:tc>
          <w:tcPr>
            <w:tcW w:w="1129" w:type="dxa"/>
            <w:shd w:val="clear" w:color="auto" w:fill="auto"/>
          </w:tcPr>
          <w:p w14:paraId="01A90CB8" w14:textId="77777777" w:rsidR="00870B86" w:rsidRPr="00DE25AD" w:rsidRDefault="00870B86" w:rsidP="002169C2">
            <w:pPr>
              <w:pStyle w:val="ASSADACCESStablecentre"/>
            </w:pPr>
            <w:r w:rsidRPr="00DE25AD">
              <w:t>±2.31</w:t>
            </w:r>
          </w:p>
        </w:tc>
        <w:tc>
          <w:tcPr>
            <w:tcW w:w="1129" w:type="dxa"/>
            <w:shd w:val="clear" w:color="auto" w:fill="auto"/>
          </w:tcPr>
          <w:p w14:paraId="4D59A8EA" w14:textId="77777777" w:rsidR="00870B86" w:rsidRPr="00DE25AD" w:rsidRDefault="00870B86" w:rsidP="002169C2">
            <w:pPr>
              <w:pStyle w:val="ASSADACCESStablecentre"/>
            </w:pPr>
            <w:r w:rsidRPr="00DE25AD">
              <w:t>±2.36</w:t>
            </w:r>
          </w:p>
        </w:tc>
      </w:tr>
      <w:tr w:rsidR="00870B86" w:rsidRPr="00DE25AD" w14:paraId="219D0DF9" w14:textId="77777777" w:rsidTr="0068355D">
        <w:tc>
          <w:tcPr>
            <w:tcW w:w="1305" w:type="dxa"/>
            <w:shd w:val="clear" w:color="auto" w:fill="auto"/>
            <w:tcMar>
              <w:left w:w="57" w:type="dxa"/>
              <w:right w:w="0" w:type="dxa"/>
            </w:tcMar>
          </w:tcPr>
          <w:p w14:paraId="5B6DFB19" w14:textId="77777777" w:rsidR="00870B86" w:rsidRPr="00DE25AD" w:rsidRDefault="00870B86" w:rsidP="002169C2">
            <w:pPr>
              <w:pStyle w:val="ASSAD2017ACCESSBody1"/>
            </w:pPr>
          </w:p>
        </w:tc>
        <w:tc>
          <w:tcPr>
            <w:tcW w:w="1127" w:type="dxa"/>
            <w:shd w:val="clear" w:color="auto" w:fill="auto"/>
            <w:tcMar>
              <w:left w:w="57" w:type="dxa"/>
              <w:right w:w="0" w:type="dxa"/>
            </w:tcMar>
            <w:vAlign w:val="bottom"/>
          </w:tcPr>
          <w:p w14:paraId="2546D543" w14:textId="77777777" w:rsidR="00870B86" w:rsidRPr="00DE25AD" w:rsidRDefault="00870B86" w:rsidP="002169C2">
            <w:pPr>
              <w:pStyle w:val="ASSADACCESStablecentre"/>
              <w:jc w:val="left"/>
            </w:pPr>
            <w:r w:rsidRPr="00DE25AD">
              <w:t>16</w:t>
            </w:r>
          </w:p>
        </w:tc>
        <w:tc>
          <w:tcPr>
            <w:tcW w:w="1129" w:type="dxa"/>
            <w:shd w:val="clear" w:color="auto" w:fill="auto"/>
            <w:vAlign w:val="bottom"/>
          </w:tcPr>
          <w:p w14:paraId="29702363" w14:textId="77777777" w:rsidR="00870B86" w:rsidRPr="00DE25AD" w:rsidRDefault="00870B86" w:rsidP="002169C2">
            <w:pPr>
              <w:pStyle w:val="ASSADACCESStablecentre"/>
            </w:pPr>
            <w:r w:rsidRPr="00DE25AD">
              <w:t>2,238</w:t>
            </w:r>
          </w:p>
        </w:tc>
        <w:tc>
          <w:tcPr>
            <w:tcW w:w="1127" w:type="dxa"/>
            <w:shd w:val="clear" w:color="auto" w:fill="auto"/>
          </w:tcPr>
          <w:p w14:paraId="4E0A61B5" w14:textId="77777777" w:rsidR="00870B86" w:rsidRPr="00DE25AD" w:rsidRDefault="00870B86" w:rsidP="002169C2">
            <w:pPr>
              <w:pStyle w:val="ASSADACCESStablecentre"/>
            </w:pPr>
            <w:r w:rsidRPr="00DE25AD">
              <w:t>±1.24</w:t>
            </w:r>
          </w:p>
        </w:tc>
        <w:tc>
          <w:tcPr>
            <w:tcW w:w="1127" w:type="dxa"/>
            <w:shd w:val="clear" w:color="auto" w:fill="auto"/>
          </w:tcPr>
          <w:p w14:paraId="7F53474C" w14:textId="77777777" w:rsidR="00870B86" w:rsidRPr="00DE25AD" w:rsidRDefault="00870B86" w:rsidP="002169C2">
            <w:pPr>
              <w:pStyle w:val="ASSADACCESStablecentre"/>
            </w:pPr>
            <w:r w:rsidRPr="00DE25AD">
              <w:t>±1.66</w:t>
            </w:r>
          </w:p>
        </w:tc>
        <w:tc>
          <w:tcPr>
            <w:tcW w:w="1131" w:type="dxa"/>
            <w:shd w:val="clear" w:color="auto" w:fill="auto"/>
          </w:tcPr>
          <w:p w14:paraId="38E33A0D" w14:textId="77777777" w:rsidR="00870B86" w:rsidRPr="00DE25AD" w:rsidRDefault="00870B86" w:rsidP="002169C2">
            <w:pPr>
              <w:pStyle w:val="ASSADACCESStablecentre"/>
            </w:pPr>
            <w:r w:rsidRPr="00DE25AD">
              <w:t>±1.90</w:t>
            </w:r>
          </w:p>
        </w:tc>
        <w:tc>
          <w:tcPr>
            <w:tcW w:w="1129" w:type="dxa"/>
            <w:shd w:val="clear" w:color="auto" w:fill="auto"/>
          </w:tcPr>
          <w:p w14:paraId="0036DFEA" w14:textId="77777777" w:rsidR="00870B86" w:rsidRPr="00DE25AD" w:rsidRDefault="00870B86" w:rsidP="002169C2">
            <w:pPr>
              <w:pStyle w:val="ASSADACCESStablecentre"/>
            </w:pPr>
            <w:r w:rsidRPr="00DE25AD">
              <w:t>±2.03</w:t>
            </w:r>
          </w:p>
        </w:tc>
        <w:tc>
          <w:tcPr>
            <w:tcW w:w="1129" w:type="dxa"/>
            <w:shd w:val="clear" w:color="auto" w:fill="auto"/>
          </w:tcPr>
          <w:p w14:paraId="5438C9A8" w14:textId="77777777" w:rsidR="00870B86" w:rsidRPr="00DE25AD" w:rsidRDefault="00870B86" w:rsidP="002169C2">
            <w:pPr>
              <w:pStyle w:val="ASSADACCESStablecentre"/>
            </w:pPr>
            <w:r w:rsidRPr="00DE25AD">
              <w:t>±2.07</w:t>
            </w:r>
          </w:p>
        </w:tc>
      </w:tr>
      <w:tr w:rsidR="00870B86" w:rsidRPr="00DE25AD" w14:paraId="2006166E" w14:textId="77777777" w:rsidTr="0068355D">
        <w:tc>
          <w:tcPr>
            <w:tcW w:w="1305" w:type="dxa"/>
            <w:shd w:val="clear" w:color="auto" w:fill="auto"/>
            <w:tcMar>
              <w:left w:w="57" w:type="dxa"/>
              <w:right w:w="0" w:type="dxa"/>
            </w:tcMar>
          </w:tcPr>
          <w:p w14:paraId="212DC673" w14:textId="77777777" w:rsidR="00870B86" w:rsidRPr="00DE25AD" w:rsidRDefault="00870B86" w:rsidP="002169C2">
            <w:pPr>
              <w:pStyle w:val="ASSAD2017ACCESSBody1"/>
            </w:pPr>
          </w:p>
        </w:tc>
        <w:tc>
          <w:tcPr>
            <w:tcW w:w="1127" w:type="dxa"/>
            <w:shd w:val="clear" w:color="auto" w:fill="auto"/>
            <w:tcMar>
              <w:left w:w="57" w:type="dxa"/>
              <w:right w:w="0" w:type="dxa"/>
            </w:tcMar>
            <w:vAlign w:val="bottom"/>
          </w:tcPr>
          <w:p w14:paraId="7422FE12" w14:textId="77777777" w:rsidR="00870B86" w:rsidRPr="00DE25AD" w:rsidRDefault="00870B86" w:rsidP="002169C2">
            <w:pPr>
              <w:pStyle w:val="ASSADACCESStablecentre"/>
              <w:jc w:val="left"/>
            </w:pPr>
            <w:r w:rsidRPr="00DE25AD">
              <w:t>17</w:t>
            </w:r>
          </w:p>
        </w:tc>
        <w:tc>
          <w:tcPr>
            <w:tcW w:w="1129" w:type="dxa"/>
            <w:shd w:val="clear" w:color="auto" w:fill="auto"/>
            <w:vAlign w:val="bottom"/>
          </w:tcPr>
          <w:p w14:paraId="7D79DFA3" w14:textId="77777777" w:rsidR="00870B86" w:rsidRPr="00DE25AD" w:rsidRDefault="00870B86" w:rsidP="002169C2">
            <w:pPr>
              <w:pStyle w:val="ASSADACCESStablecentre"/>
            </w:pPr>
            <w:r w:rsidRPr="00DE25AD">
              <w:t>1,611</w:t>
            </w:r>
          </w:p>
        </w:tc>
        <w:tc>
          <w:tcPr>
            <w:tcW w:w="1127" w:type="dxa"/>
            <w:shd w:val="clear" w:color="auto" w:fill="auto"/>
          </w:tcPr>
          <w:p w14:paraId="47856E05" w14:textId="77777777" w:rsidR="00870B86" w:rsidRPr="00DE25AD" w:rsidRDefault="00870B86" w:rsidP="002169C2">
            <w:pPr>
              <w:pStyle w:val="ASSADACCESStablecentre"/>
            </w:pPr>
            <w:r w:rsidRPr="00DE25AD">
              <w:t>±1.46</w:t>
            </w:r>
          </w:p>
        </w:tc>
        <w:tc>
          <w:tcPr>
            <w:tcW w:w="1127" w:type="dxa"/>
            <w:shd w:val="clear" w:color="auto" w:fill="auto"/>
          </w:tcPr>
          <w:p w14:paraId="64DA8EC1" w14:textId="77777777" w:rsidR="00870B86" w:rsidRPr="00DE25AD" w:rsidRDefault="00870B86" w:rsidP="002169C2">
            <w:pPr>
              <w:pStyle w:val="ASSADACCESStablecentre"/>
            </w:pPr>
            <w:r w:rsidRPr="00DE25AD">
              <w:t>±1.95</w:t>
            </w:r>
          </w:p>
        </w:tc>
        <w:tc>
          <w:tcPr>
            <w:tcW w:w="1131" w:type="dxa"/>
            <w:shd w:val="clear" w:color="auto" w:fill="auto"/>
          </w:tcPr>
          <w:p w14:paraId="2FA37342" w14:textId="77777777" w:rsidR="00870B86" w:rsidRPr="00DE25AD" w:rsidRDefault="00870B86" w:rsidP="002169C2">
            <w:pPr>
              <w:pStyle w:val="ASSADACCESStablecentre"/>
            </w:pPr>
            <w:r w:rsidRPr="00DE25AD">
              <w:t>±2.24</w:t>
            </w:r>
          </w:p>
        </w:tc>
        <w:tc>
          <w:tcPr>
            <w:tcW w:w="1129" w:type="dxa"/>
            <w:shd w:val="clear" w:color="auto" w:fill="auto"/>
          </w:tcPr>
          <w:p w14:paraId="2C896918" w14:textId="77777777" w:rsidR="00870B86" w:rsidRPr="00DE25AD" w:rsidRDefault="00870B86" w:rsidP="002169C2">
            <w:pPr>
              <w:pStyle w:val="ASSADACCESStablecentre"/>
            </w:pPr>
            <w:r w:rsidRPr="00DE25AD">
              <w:t>±2.39</w:t>
            </w:r>
          </w:p>
        </w:tc>
        <w:tc>
          <w:tcPr>
            <w:tcW w:w="1129" w:type="dxa"/>
            <w:shd w:val="clear" w:color="auto" w:fill="auto"/>
          </w:tcPr>
          <w:p w14:paraId="2E918773" w14:textId="77777777" w:rsidR="00870B86" w:rsidRPr="00DE25AD" w:rsidRDefault="00870B86" w:rsidP="002169C2">
            <w:pPr>
              <w:pStyle w:val="ASSADACCESStablecentre"/>
            </w:pPr>
            <w:r w:rsidRPr="00DE25AD">
              <w:t>±2.44</w:t>
            </w:r>
          </w:p>
        </w:tc>
      </w:tr>
      <w:tr w:rsidR="00870B86" w:rsidRPr="00DE25AD" w14:paraId="72FF712A" w14:textId="77777777" w:rsidTr="0068355D">
        <w:tc>
          <w:tcPr>
            <w:tcW w:w="1305" w:type="dxa"/>
            <w:shd w:val="clear" w:color="auto" w:fill="auto"/>
            <w:tcMar>
              <w:left w:w="57" w:type="dxa"/>
              <w:right w:w="0" w:type="dxa"/>
            </w:tcMar>
          </w:tcPr>
          <w:p w14:paraId="249730A9" w14:textId="77777777" w:rsidR="00870B86" w:rsidRPr="00DE25AD" w:rsidRDefault="00870B86" w:rsidP="002169C2">
            <w:pPr>
              <w:pStyle w:val="ASSAD2017ACCESSBody1"/>
            </w:pPr>
          </w:p>
        </w:tc>
        <w:tc>
          <w:tcPr>
            <w:tcW w:w="1127" w:type="dxa"/>
            <w:shd w:val="clear" w:color="auto" w:fill="auto"/>
            <w:tcMar>
              <w:left w:w="57" w:type="dxa"/>
              <w:right w:w="0" w:type="dxa"/>
            </w:tcMar>
            <w:vAlign w:val="bottom"/>
          </w:tcPr>
          <w:p w14:paraId="57328DCC" w14:textId="77777777" w:rsidR="00870B86" w:rsidRPr="00DE25AD" w:rsidRDefault="00870B86" w:rsidP="002169C2">
            <w:pPr>
              <w:pStyle w:val="ASSADACCESStablecentre"/>
              <w:jc w:val="left"/>
            </w:pPr>
            <w:r w:rsidRPr="00DE25AD">
              <w:t>12-17</w:t>
            </w:r>
          </w:p>
        </w:tc>
        <w:tc>
          <w:tcPr>
            <w:tcW w:w="1129" w:type="dxa"/>
            <w:shd w:val="clear" w:color="auto" w:fill="auto"/>
            <w:vAlign w:val="bottom"/>
          </w:tcPr>
          <w:p w14:paraId="4976B31C" w14:textId="77777777" w:rsidR="00870B86" w:rsidRPr="00DE25AD" w:rsidRDefault="00870B86" w:rsidP="002169C2">
            <w:pPr>
              <w:pStyle w:val="ASSADACCESStablecentre"/>
            </w:pPr>
            <w:r w:rsidRPr="00DE25AD">
              <w:t>10,224</w:t>
            </w:r>
          </w:p>
        </w:tc>
        <w:tc>
          <w:tcPr>
            <w:tcW w:w="1127" w:type="dxa"/>
            <w:shd w:val="clear" w:color="auto" w:fill="auto"/>
          </w:tcPr>
          <w:p w14:paraId="69C21781" w14:textId="77777777" w:rsidR="00870B86" w:rsidRPr="00DE25AD" w:rsidRDefault="00870B86" w:rsidP="002169C2">
            <w:pPr>
              <w:pStyle w:val="ASSADACCESStablecentre"/>
            </w:pPr>
            <w:r w:rsidRPr="00DE25AD">
              <w:t>±0.58</w:t>
            </w:r>
          </w:p>
        </w:tc>
        <w:tc>
          <w:tcPr>
            <w:tcW w:w="1127" w:type="dxa"/>
            <w:shd w:val="clear" w:color="auto" w:fill="auto"/>
          </w:tcPr>
          <w:p w14:paraId="560CA400" w14:textId="77777777" w:rsidR="00870B86" w:rsidRPr="00DE25AD" w:rsidRDefault="00870B86" w:rsidP="002169C2">
            <w:pPr>
              <w:pStyle w:val="ASSADACCESStablecentre"/>
            </w:pPr>
            <w:r w:rsidRPr="00DE25AD">
              <w:t>±0.78</w:t>
            </w:r>
          </w:p>
        </w:tc>
        <w:tc>
          <w:tcPr>
            <w:tcW w:w="1131" w:type="dxa"/>
            <w:shd w:val="clear" w:color="auto" w:fill="auto"/>
          </w:tcPr>
          <w:p w14:paraId="3DFC82AB" w14:textId="77777777" w:rsidR="00870B86" w:rsidRPr="00DE25AD" w:rsidRDefault="00870B86" w:rsidP="002169C2">
            <w:pPr>
              <w:pStyle w:val="ASSADACCESStablecentre"/>
            </w:pPr>
            <w:r w:rsidRPr="00DE25AD">
              <w:t>±0.89</w:t>
            </w:r>
          </w:p>
        </w:tc>
        <w:tc>
          <w:tcPr>
            <w:tcW w:w="1129" w:type="dxa"/>
            <w:shd w:val="clear" w:color="auto" w:fill="auto"/>
          </w:tcPr>
          <w:p w14:paraId="1B2DBED4" w14:textId="77777777" w:rsidR="00870B86" w:rsidRPr="00DE25AD" w:rsidRDefault="00870B86" w:rsidP="002169C2">
            <w:pPr>
              <w:pStyle w:val="ASSADACCESStablecentre"/>
            </w:pPr>
            <w:r w:rsidRPr="00DE25AD">
              <w:t>±0.95</w:t>
            </w:r>
          </w:p>
        </w:tc>
        <w:tc>
          <w:tcPr>
            <w:tcW w:w="1129" w:type="dxa"/>
            <w:shd w:val="clear" w:color="auto" w:fill="auto"/>
          </w:tcPr>
          <w:p w14:paraId="44FE8349" w14:textId="77777777" w:rsidR="00870B86" w:rsidRPr="00DE25AD" w:rsidRDefault="00870B86" w:rsidP="002169C2">
            <w:pPr>
              <w:pStyle w:val="ASSADACCESStablecentre"/>
            </w:pPr>
            <w:r w:rsidRPr="00DE25AD">
              <w:t>±0.97</w:t>
            </w:r>
          </w:p>
        </w:tc>
      </w:tr>
    </w:tbl>
    <w:p w14:paraId="4CA55CCE" w14:textId="4E015A3E" w:rsidR="00870B86" w:rsidRDefault="00870B86" w:rsidP="00870B86">
      <w:pPr>
        <w:pStyle w:val="ASSAD2017CWTablenote1"/>
        <w:rPr>
          <w:bCs/>
        </w:rPr>
      </w:pPr>
      <w:r w:rsidRPr="00DE25AD">
        <w:rPr>
          <w:bCs/>
        </w:rPr>
        <w:t>* 95% Confidence intervals = ±Margin of Error (formula for confidence interval calculation). MOE = ± 1.96 multiplied by the square root of population standard deviation multiplied by 1 minus the population standard deviation and divided by the sample size.</w:t>
      </w:r>
    </w:p>
    <w:bookmarkEnd w:id="102"/>
    <w:bookmarkEnd w:id="103"/>
    <w:bookmarkEnd w:id="104"/>
    <w:p w14:paraId="38C8B12D" w14:textId="3B493A37" w:rsidR="00B3160F" w:rsidRPr="00B3160F" w:rsidRDefault="00B3160F" w:rsidP="00160A20">
      <w:pPr>
        <w:pStyle w:val="ASSAD2017ACCESSBody1"/>
      </w:pPr>
    </w:p>
    <w:sectPr w:rsidR="00B3160F" w:rsidRPr="00B3160F" w:rsidSect="009B2EF8">
      <w:headerReference w:type="even" r:id="rId37"/>
      <w:headerReference w:type="default" r:id="rId38"/>
      <w:headerReference w:type="first" r:id="rId39"/>
      <w:pgSz w:w="11906" w:h="16838"/>
      <w:pgMar w:top="1134" w:right="1134" w:bottom="1134" w:left="1134" w:header="567"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B3051" w14:textId="77777777" w:rsidR="00545FF4" w:rsidRDefault="00545FF4">
      <w:r>
        <w:separator/>
      </w:r>
    </w:p>
    <w:p w14:paraId="64797368" w14:textId="77777777" w:rsidR="00545FF4" w:rsidRDefault="00545FF4"/>
  </w:endnote>
  <w:endnote w:type="continuationSeparator" w:id="0">
    <w:p w14:paraId="0B20764D" w14:textId="77777777" w:rsidR="00545FF4" w:rsidRDefault="00545FF4">
      <w:r>
        <w:continuationSeparator/>
      </w:r>
    </w:p>
    <w:p w14:paraId="77672E8D" w14:textId="77777777" w:rsidR="00545FF4" w:rsidRDefault="0054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CE270" w14:textId="77777777" w:rsidR="00545FF4" w:rsidRPr="002633F6" w:rsidRDefault="00545FF4">
    <w:pPr>
      <w:pStyle w:val="Footer"/>
      <w:rPr>
        <w:sz w:val="22"/>
      </w:rPr>
    </w:pPr>
    <w:r w:rsidRPr="002633F6">
      <w:rPr>
        <w:rFonts w:ascii="Arial" w:hAnsi="Arial" w:cs="Arial"/>
        <w:sz w:val="18"/>
        <w:szCs w:val="20"/>
      </w:rPr>
      <w:fldChar w:fldCharType="begin"/>
    </w:r>
    <w:r w:rsidRPr="002633F6">
      <w:rPr>
        <w:rFonts w:ascii="Arial" w:hAnsi="Arial" w:cs="Arial"/>
        <w:sz w:val="18"/>
        <w:szCs w:val="20"/>
      </w:rPr>
      <w:instrText xml:space="preserve"> PAGE   \* MERGEFORMAT </w:instrText>
    </w:r>
    <w:r w:rsidRPr="002633F6">
      <w:rPr>
        <w:rFonts w:ascii="Arial" w:hAnsi="Arial" w:cs="Arial"/>
        <w:sz w:val="18"/>
        <w:szCs w:val="20"/>
      </w:rPr>
      <w:fldChar w:fldCharType="separate"/>
    </w:r>
    <w:r w:rsidRPr="002633F6">
      <w:rPr>
        <w:rFonts w:ascii="Arial" w:hAnsi="Arial" w:cs="Arial"/>
        <w:sz w:val="18"/>
        <w:szCs w:val="20"/>
      </w:rPr>
      <w:t>iv</w:t>
    </w:r>
    <w:r w:rsidRPr="002633F6">
      <w:rPr>
        <w:rFonts w:ascii="Arial" w:hAnsi="Arial" w:cs="Arial"/>
        <w:noProof/>
        <w:sz w:val="18"/>
        <w:szCs w:val="20"/>
      </w:rPr>
      <w:fldChar w:fldCharType="end"/>
    </w:r>
    <w:r w:rsidRPr="002633F6">
      <w:rPr>
        <w:rFonts w:ascii="Arial" w:hAnsi="Arial" w:cs="Arial"/>
        <w:noProof/>
        <w:sz w:val="18"/>
        <w:szCs w:val="20"/>
      </w:rPr>
      <w:t xml:space="preserve"> </w:t>
    </w:r>
    <w:r w:rsidRPr="002633F6">
      <w:rPr>
        <w:rFonts w:ascii="Arial" w:hAnsi="Arial" w:cs="Arial"/>
        <w:sz w:val="18"/>
        <w:szCs w:val="20"/>
      </w:rPr>
      <w:t>ASSAD 2017: Trends in substance use 1996-2017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C618" w14:textId="77777777" w:rsidR="00545FF4" w:rsidRPr="005E6303" w:rsidRDefault="00545FF4" w:rsidP="005E6303">
    <w:pPr>
      <w:pStyle w:val="ASSAD2017CWFooter1"/>
      <w:spacing w:after="120"/>
      <w:jc w:val="right"/>
      <w:rPr>
        <w:szCs w:val="20"/>
      </w:rPr>
    </w:pPr>
  </w:p>
  <w:p w14:paraId="310452C6" w14:textId="5988AE56" w:rsidR="00545FF4" w:rsidRPr="002633F6" w:rsidRDefault="00545FF4" w:rsidP="00EF08A8">
    <w:pPr>
      <w:pStyle w:val="ASSAD2017CWFooter1"/>
      <w:jc w:val="right"/>
      <w:rPr>
        <w:sz w:val="18"/>
      </w:rPr>
    </w:pPr>
    <w:r w:rsidRPr="002633F6">
      <w:rPr>
        <w:sz w:val="18"/>
      </w:rPr>
      <w:t>ASSAD 2017: Trends in substance use 1996-2017</w:t>
    </w:r>
    <w:r w:rsidR="00E025E8">
      <w:rPr>
        <w:sz w:val="18"/>
      </w:rPr>
      <w:t xml:space="preserve"> </w:t>
    </w:r>
    <w:r w:rsidRPr="002633F6">
      <w:rPr>
        <w:sz w:val="18"/>
      </w:rPr>
      <w:t xml:space="preserve"> </w:t>
    </w:r>
    <w:r w:rsidRPr="002633F6">
      <w:rPr>
        <w:sz w:val="18"/>
      </w:rPr>
      <w:fldChar w:fldCharType="begin"/>
    </w:r>
    <w:r w:rsidRPr="002633F6">
      <w:rPr>
        <w:sz w:val="18"/>
      </w:rPr>
      <w:instrText xml:space="preserve"> PAGE   \* MERGEFORMAT </w:instrText>
    </w:r>
    <w:r w:rsidRPr="002633F6">
      <w:rPr>
        <w:sz w:val="18"/>
      </w:rPr>
      <w:fldChar w:fldCharType="separate"/>
    </w:r>
    <w:r w:rsidRPr="002633F6">
      <w:rPr>
        <w:sz w:val="18"/>
      </w:rPr>
      <w:t>3</w:t>
    </w:r>
    <w:r w:rsidRPr="002633F6">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2D445" w14:textId="77777777" w:rsidR="00545FF4" w:rsidRDefault="00545FF4" w:rsidP="00EF08A8">
    <w:pPr>
      <w:pStyle w:val="ASSAD2017CWFooter1"/>
      <w:jc w:val="right"/>
      <w:rPr>
        <w:sz w:val="18"/>
      </w:rPr>
    </w:pPr>
  </w:p>
  <w:p w14:paraId="21B63116" w14:textId="77777777" w:rsidR="00545FF4" w:rsidRDefault="00545FF4" w:rsidP="00EF08A8">
    <w:pPr>
      <w:pStyle w:val="ASSAD2017CWFooter1"/>
      <w:jc w:val="right"/>
      <w:rPr>
        <w:sz w:val="18"/>
      </w:rPr>
    </w:pPr>
  </w:p>
  <w:p w14:paraId="6585E08C" w14:textId="77777777" w:rsidR="00545FF4" w:rsidRDefault="00545FF4" w:rsidP="00EF08A8">
    <w:pPr>
      <w:pStyle w:val="ASSAD2017CWFooter1"/>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2614" w14:textId="77777777" w:rsidR="00545FF4" w:rsidRPr="006470FB" w:rsidRDefault="00545FF4" w:rsidP="006470FB">
    <w:pPr>
      <w:pStyle w:val="Footer"/>
    </w:pPr>
    <w:r w:rsidRPr="00C648CC">
      <w:rPr>
        <w:rFonts w:ascii="Arial" w:hAnsi="Arial" w:cs="Arial"/>
        <w:sz w:val="20"/>
        <w:szCs w:val="20"/>
      </w:rPr>
      <w:fldChar w:fldCharType="begin"/>
    </w:r>
    <w:r w:rsidRPr="00C648CC">
      <w:rPr>
        <w:rFonts w:ascii="Arial" w:hAnsi="Arial" w:cs="Arial"/>
        <w:sz w:val="20"/>
        <w:szCs w:val="20"/>
      </w:rPr>
      <w:instrText xml:space="preserve"> PAGE   \* MERGEFORMAT </w:instrText>
    </w:r>
    <w:r w:rsidRPr="00C648CC">
      <w:rPr>
        <w:rFonts w:ascii="Arial" w:hAnsi="Arial" w:cs="Arial"/>
        <w:sz w:val="20"/>
        <w:szCs w:val="20"/>
      </w:rPr>
      <w:fldChar w:fldCharType="separate"/>
    </w:r>
    <w:r>
      <w:rPr>
        <w:rFonts w:ascii="Arial" w:hAnsi="Arial" w:cs="Arial"/>
        <w:noProof/>
        <w:sz w:val="20"/>
        <w:szCs w:val="20"/>
      </w:rPr>
      <w:t>12</w:t>
    </w:r>
    <w:r w:rsidRPr="00C648CC">
      <w:rPr>
        <w:rFonts w:ascii="Arial" w:hAnsi="Arial" w:cs="Arial"/>
        <w:noProof/>
        <w:sz w:val="20"/>
        <w:szCs w:val="20"/>
      </w:rPr>
      <w:fldChar w:fldCharType="end"/>
    </w:r>
    <w:r>
      <w:rPr>
        <w:rFonts w:ascii="Arial" w:hAnsi="Arial" w:cs="Arial"/>
        <w:noProof/>
        <w:sz w:val="20"/>
        <w:szCs w:val="20"/>
      </w:rPr>
      <w:t xml:space="preserve"> </w:t>
    </w:r>
    <w:r w:rsidRPr="006470FB">
      <w:rPr>
        <w:rFonts w:ascii="Arial" w:hAnsi="Arial" w:cs="Arial"/>
        <w:sz w:val="20"/>
        <w:szCs w:val="20"/>
      </w:rPr>
      <w:t>ASSAD 2017: Statistics &amp; Trends</w:t>
    </w:r>
  </w:p>
  <w:p w14:paraId="0BB08398" w14:textId="77777777" w:rsidR="00545FF4" w:rsidRDefault="00545FF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7D74" w14:textId="77777777" w:rsidR="00545FF4" w:rsidRDefault="00545FF4" w:rsidP="00D10624">
    <w:pPr>
      <w:pStyle w:val="ASSAD2017ACCESSBody1"/>
      <w:jc w:val="right"/>
    </w:pPr>
  </w:p>
  <w:p w14:paraId="67A6EBBA" w14:textId="77016DE2" w:rsidR="00545FF4" w:rsidRPr="00893D4D" w:rsidRDefault="00545FF4" w:rsidP="00D10624">
    <w:pPr>
      <w:pStyle w:val="ASSAD2017ACCESSBody1"/>
      <w:jc w:val="right"/>
      <w:rPr>
        <w:sz w:val="18"/>
        <w:szCs w:val="18"/>
      </w:rPr>
    </w:pPr>
    <w:r w:rsidRPr="00893D4D">
      <w:rPr>
        <w:sz w:val="18"/>
        <w:szCs w:val="18"/>
      </w:rPr>
      <w:t xml:space="preserve">ASSAD 2017 Trends in substance use 1996-2017  </w:t>
    </w:r>
    <w:r w:rsidRPr="00893D4D">
      <w:rPr>
        <w:sz w:val="18"/>
        <w:szCs w:val="18"/>
      </w:rPr>
      <w:fldChar w:fldCharType="begin"/>
    </w:r>
    <w:r w:rsidRPr="00893D4D">
      <w:rPr>
        <w:sz w:val="18"/>
        <w:szCs w:val="18"/>
      </w:rPr>
      <w:instrText xml:space="preserve"> PAGE   \* MERGEFORMAT </w:instrText>
    </w:r>
    <w:r w:rsidRPr="00893D4D">
      <w:rPr>
        <w:sz w:val="18"/>
        <w:szCs w:val="18"/>
      </w:rPr>
      <w:fldChar w:fldCharType="separate"/>
    </w:r>
    <w:r w:rsidRPr="00893D4D">
      <w:rPr>
        <w:noProof/>
        <w:sz w:val="18"/>
        <w:szCs w:val="18"/>
      </w:rPr>
      <w:t>1</w:t>
    </w:r>
    <w:r w:rsidRPr="00893D4D">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E414D" w14:textId="77777777" w:rsidR="00545FF4" w:rsidRDefault="00545FF4">
      <w:r>
        <w:separator/>
      </w:r>
    </w:p>
    <w:p w14:paraId="725C1F9B" w14:textId="77777777" w:rsidR="00545FF4" w:rsidRPr="00A95D56" w:rsidRDefault="00545FF4">
      <w:pPr>
        <w:rPr>
          <w:sz w:val="16"/>
          <w:szCs w:val="16"/>
        </w:rPr>
      </w:pPr>
    </w:p>
  </w:footnote>
  <w:footnote w:type="continuationSeparator" w:id="0">
    <w:p w14:paraId="42E6C153" w14:textId="77777777" w:rsidR="00545FF4" w:rsidRDefault="00545FF4">
      <w:r>
        <w:continuationSeparator/>
      </w:r>
    </w:p>
    <w:p w14:paraId="299362DF" w14:textId="77777777" w:rsidR="00545FF4" w:rsidRDefault="00545FF4"/>
  </w:footnote>
  <w:footnote w:id="1">
    <w:p w14:paraId="338FE217" w14:textId="77777777" w:rsidR="00545FF4" w:rsidRPr="00CF5BD7" w:rsidRDefault="00545FF4" w:rsidP="006C01DC">
      <w:pPr>
        <w:pStyle w:val="ASSAD2017CWBody1"/>
        <w:rPr>
          <w:sz w:val="18"/>
          <w:szCs w:val="18"/>
          <w:lang w:val="en-AU"/>
        </w:rPr>
      </w:pPr>
      <w:r w:rsidRPr="00651386">
        <w:rPr>
          <w:rStyle w:val="FootnoteReference"/>
          <w:rFonts w:eastAsia="Arial"/>
        </w:rPr>
        <w:footnoteRef/>
      </w:r>
      <w:r w:rsidRPr="00CF5BD7">
        <w:rPr>
          <w:sz w:val="18"/>
          <w:szCs w:val="18"/>
        </w:rPr>
        <w:t xml:space="preserve"> The 2017 ASSAD survey was conducted during the academic school year of 2017. This was the twelfth survey in a series that began in 1984. </w:t>
      </w:r>
      <w:r>
        <w:rPr>
          <w:sz w:val="18"/>
          <w:szCs w:val="18"/>
        </w:rPr>
        <w:t>Adolescents’ use of tobacco and alcohol has been measured across the entire survey series, while</w:t>
      </w:r>
      <w:r w:rsidRPr="00CF5BD7">
        <w:rPr>
          <w:sz w:val="18"/>
          <w:szCs w:val="18"/>
        </w:rPr>
        <w:t xml:space="preserve"> questions about the use of over-the-counter drugs (for non-medicinal purposes), and other substances</w:t>
      </w:r>
      <w:r>
        <w:rPr>
          <w:sz w:val="18"/>
          <w:szCs w:val="18"/>
        </w:rPr>
        <w:t xml:space="preserve"> have been included since 1996</w:t>
      </w:r>
      <w:r w:rsidRPr="00CF5BD7">
        <w:rPr>
          <w:sz w:val="18"/>
          <w:szCs w:val="18"/>
        </w:rPr>
        <w:t>. Previous ASSAD surveys were conducted (tobacco and alcohol only) in 1984, 1987, 1990, and 1993, and (including other substances) in 1996, 1999, 2002, 2005, 2008, 2011</w:t>
      </w:r>
      <w:r>
        <w:rPr>
          <w:sz w:val="18"/>
          <w:szCs w:val="18"/>
        </w:rPr>
        <w:t>, and 2014</w:t>
      </w:r>
      <w:r w:rsidRPr="00CF5BD7">
        <w:rPr>
          <w:sz w:val="18"/>
          <w:szCs w:val="18"/>
        </w:rPr>
        <w:t>.</w:t>
      </w:r>
    </w:p>
  </w:footnote>
  <w:footnote w:id="2">
    <w:p w14:paraId="31E150FE" w14:textId="1004738B" w:rsidR="00545FF4" w:rsidRPr="00651386" w:rsidRDefault="00545FF4" w:rsidP="006C01DC">
      <w:pPr>
        <w:pStyle w:val="FootnoteText"/>
        <w:jc w:val="left"/>
        <w:rPr>
          <w:rFonts w:ascii="Arial" w:hAnsi="Arial" w:cs="Arial"/>
          <w:sz w:val="18"/>
          <w:szCs w:val="18"/>
          <w:lang w:val="en-AU"/>
        </w:rPr>
      </w:pPr>
      <w:r w:rsidRPr="00651386">
        <w:rPr>
          <w:rStyle w:val="FootnoteReference"/>
          <w:rFonts w:eastAsia="Arial"/>
        </w:rPr>
        <w:footnoteRef/>
      </w:r>
      <w:r w:rsidRPr="00651386">
        <w:rPr>
          <w:rFonts w:ascii="Arial" w:hAnsi="Arial" w:cs="Arial"/>
          <w:sz w:val="18"/>
          <w:szCs w:val="18"/>
        </w:rPr>
        <w:t xml:space="preserve"> </w:t>
      </w:r>
      <w:r w:rsidRPr="002E5727">
        <w:rPr>
          <w:rFonts w:ascii="Arial" w:hAnsi="Arial" w:cs="Arial"/>
          <w:bCs/>
          <w:color w:val="000000"/>
          <w:sz w:val="18"/>
          <w:szCs w:val="18"/>
        </w:rPr>
        <w:t>Guerin, N. &amp; White, V. (20</w:t>
      </w:r>
      <w:r>
        <w:rPr>
          <w:rFonts w:ascii="Arial" w:hAnsi="Arial" w:cs="Arial"/>
          <w:bCs/>
          <w:color w:val="000000"/>
          <w:sz w:val="18"/>
          <w:szCs w:val="18"/>
        </w:rPr>
        <w:t>20</w:t>
      </w:r>
      <w:r w:rsidRPr="002E5727">
        <w:rPr>
          <w:rFonts w:ascii="Arial" w:hAnsi="Arial" w:cs="Arial"/>
          <w:bCs/>
          <w:color w:val="000000"/>
          <w:sz w:val="18"/>
          <w:szCs w:val="18"/>
        </w:rPr>
        <w:t xml:space="preserve">). </w:t>
      </w:r>
      <w:hyperlink r:id="rId1" w:history="1">
        <w:r w:rsidRPr="004339EC">
          <w:rPr>
            <w:rStyle w:val="Hyperlink1"/>
            <w:rFonts w:ascii="Arial" w:hAnsi="Arial" w:cs="Arial"/>
            <w:bCs/>
            <w:sz w:val="18"/>
            <w:szCs w:val="18"/>
          </w:rPr>
          <w:t>ASSAD 2017 Statistics &amp; Trends: Australian Secondary Students’ Use of Tobacco, Alcohol, Over-the-counter Drugs, and Illicit Substances</w:t>
        </w:r>
      </w:hyperlink>
      <w:r>
        <w:rPr>
          <w:rStyle w:val="Hyperlink1"/>
          <w:rFonts w:ascii="Arial" w:hAnsi="Arial" w:cs="Arial"/>
          <w:bCs/>
          <w:sz w:val="18"/>
          <w:szCs w:val="18"/>
        </w:rPr>
        <w:t xml:space="preserve">. </w:t>
      </w:r>
      <w:r w:rsidR="00F11C2E">
        <w:rPr>
          <w:rStyle w:val="Hyperlink1"/>
          <w:rFonts w:ascii="Arial" w:hAnsi="Arial" w:cs="Arial"/>
          <w:bCs/>
          <w:sz w:val="18"/>
          <w:szCs w:val="18"/>
        </w:rPr>
        <w:t>Second</w:t>
      </w:r>
      <w:r>
        <w:rPr>
          <w:rStyle w:val="Hyperlink1"/>
          <w:rFonts w:ascii="Arial" w:hAnsi="Arial" w:cs="Arial"/>
          <w:bCs/>
          <w:sz w:val="18"/>
          <w:szCs w:val="18"/>
        </w:rPr>
        <w:t xml:space="preserve"> </w:t>
      </w:r>
      <w:r w:rsidR="00337B45">
        <w:rPr>
          <w:rStyle w:val="Hyperlink1"/>
          <w:rFonts w:ascii="Arial" w:hAnsi="Arial" w:cs="Arial"/>
          <w:bCs/>
          <w:sz w:val="18"/>
          <w:szCs w:val="18"/>
        </w:rPr>
        <w:t>E</w:t>
      </w:r>
      <w:r>
        <w:rPr>
          <w:rStyle w:val="Hyperlink1"/>
          <w:rFonts w:ascii="Arial" w:hAnsi="Arial" w:cs="Arial"/>
          <w:bCs/>
          <w:sz w:val="18"/>
          <w:szCs w:val="18"/>
        </w:rPr>
        <w:t>dition</w:t>
      </w:r>
      <w:r w:rsidRPr="002E5727">
        <w:rPr>
          <w:rFonts w:ascii="Arial" w:hAnsi="Arial" w:cs="Arial"/>
          <w:bCs/>
          <w:color w:val="000000"/>
          <w:sz w:val="18"/>
          <w:szCs w:val="18"/>
        </w:rPr>
        <w:t xml:space="preserve">. </w:t>
      </w:r>
      <w:r>
        <w:rPr>
          <w:rFonts w:ascii="Arial" w:hAnsi="Arial" w:cs="Arial"/>
          <w:bCs/>
          <w:color w:val="000000"/>
          <w:sz w:val="18"/>
          <w:szCs w:val="18"/>
        </w:rPr>
        <w:t xml:space="preserve">Melbourne: </w:t>
      </w:r>
      <w:r w:rsidRPr="002E5727">
        <w:rPr>
          <w:rFonts w:ascii="Arial" w:hAnsi="Arial" w:cs="Arial"/>
          <w:bCs/>
          <w:color w:val="000000"/>
          <w:sz w:val="18"/>
          <w:szCs w:val="18"/>
        </w:rPr>
        <w:t xml:space="preserve">Cancer Council Victoria. </w:t>
      </w:r>
    </w:p>
  </w:footnote>
  <w:footnote w:id="3">
    <w:p w14:paraId="13E80FEA" w14:textId="77777777" w:rsidR="00545FF4" w:rsidRPr="00692A0F" w:rsidRDefault="00545FF4" w:rsidP="00BB2EB1">
      <w:pPr>
        <w:pStyle w:val="FootnoteText"/>
        <w:jc w:val="left"/>
        <w:rPr>
          <w:rFonts w:ascii="Arial" w:hAnsi="Arial" w:cs="Arial"/>
          <w:sz w:val="18"/>
          <w:szCs w:val="18"/>
          <w:lang w:val="en-AU"/>
        </w:rPr>
      </w:pPr>
      <w:r w:rsidRPr="00692A0F">
        <w:rPr>
          <w:rStyle w:val="FootnoteReference"/>
          <w:rFonts w:eastAsia="Arial"/>
        </w:rPr>
        <w:footnoteRef/>
      </w:r>
      <w:r w:rsidRPr="00692A0F">
        <w:rPr>
          <w:rFonts w:ascii="Arial" w:hAnsi="Arial" w:cs="Arial"/>
          <w:sz w:val="18"/>
          <w:szCs w:val="18"/>
        </w:rPr>
        <w:t xml:space="preserve"> World Health Organization.</w:t>
      </w:r>
      <w:r>
        <w:rPr>
          <w:rFonts w:ascii="Arial" w:hAnsi="Arial" w:cs="Arial"/>
          <w:sz w:val="18"/>
          <w:szCs w:val="18"/>
        </w:rPr>
        <w:t xml:space="preserve"> (2014).</w:t>
      </w:r>
      <w:r w:rsidRPr="00692A0F">
        <w:rPr>
          <w:rFonts w:ascii="Arial" w:hAnsi="Arial" w:cs="Arial"/>
          <w:sz w:val="18"/>
          <w:szCs w:val="18"/>
        </w:rPr>
        <w:t xml:space="preserve"> </w:t>
      </w:r>
      <w:hyperlink r:id="rId2" w:history="1">
        <w:r w:rsidRPr="00DE60ED">
          <w:rPr>
            <w:rStyle w:val="Hyperlink1"/>
            <w:rFonts w:ascii="Arial" w:hAnsi="Arial" w:cs="Arial"/>
            <w:i/>
            <w:sz w:val="18"/>
            <w:szCs w:val="18"/>
          </w:rPr>
          <w:t>Health for the World’s Adolescents: A Second Chance in the Second Decade</w:t>
        </w:r>
      </w:hyperlink>
      <w:r w:rsidRPr="00692A0F">
        <w:rPr>
          <w:rFonts w:ascii="Arial" w:hAnsi="Arial" w:cs="Arial"/>
          <w:sz w:val="18"/>
          <w:szCs w:val="18"/>
        </w:rPr>
        <w:t xml:space="preserve">. Geneva: </w:t>
      </w:r>
      <w:r>
        <w:rPr>
          <w:rFonts w:ascii="Arial" w:hAnsi="Arial" w:cs="Arial"/>
          <w:sz w:val="18"/>
          <w:szCs w:val="18"/>
        </w:rPr>
        <w:t>WHO</w:t>
      </w:r>
      <w:r w:rsidRPr="00692A0F">
        <w:rPr>
          <w:rFonts w:ascii="Arial" w:hAnsi="Arial" w:cs="Arial"/>
          <w:sz w:val="18"/>
          <w:szCs w:val="18"/>
        </w:rPr>
        <w:t>.</w:t>
      </w:r>
    </w:p>
  </w:footnote>
  <w:footnote w:id="4">
    <w:p w14:paraId="48B74678" w14:textId="77777777" w:rsidR="00545FF4" w:rsidRPr="00C564B4" w:rsidRDefault="00545FF4" w:rsidP="00BB2EB1">
      <w:pPr>
        <w:pStyle w:val="FootnoteText"/>
        <w:jc w:val="left"/>
        <w:rPr>
          <w:lang w:val="en-AU"/>
        </w:rPr>
      </w:pPr>
      <w:r>
        <w:rPr>
          <w:rStyle w:val="FootnoteReference"/>
          <w:rFonts w:eastAsia="Arial"/>
        </w:rPr>
        <w:footnoteRef/>
      </w:r>
      <w:r w:rsidRPr="00C564B4">
        <w:rPr>
          <w:rFonts w:ascii="Arial" w:hAnsi="Arial" w:cs="Arial"/>
          <w:sz w:val="18"/>
          <w:szCs w:val="18"/>
        </w:rPr>
        <w:t xml:space="preserve"> Hall, W. D., Patton, G., Stockings, E.,</w:t>
      </w:r>
      <w:r>
        <w:rPr>
          <w:rFonts w:ascii="Arial" w:hAnsi="Arial" w:cs="Arial"/>
          <w:sz w:val="18"/>
          <w:szCs w:val="18"/>
        </w:rPr>
        <w:t xml:space="preserve"> et al</w:t>
      </w:r>
      <w:r w:rsidRPr="00C564B4">
        <w:rPr>
          <w:rFonts w:ascii="Arial" w:hAnsi="Arial" w:cs="Arial"/>
          <w:sz w:val="18"/>
          <w:szCs w:val="18"/>
        </w:rPr>
        <w:t xml:space="preserve">. (2016). </w:t>
      </w:r>
      <w:hyperlink r:id="rId3" w:history="1">
        <w:r w:rsidRPr="00DE60ED">
          <w:rPr>
            <w:rStyle w:val="Hyperlink1"/>
            <w:rFonts w:ascii="Arial" w:hAnsi="Arial" w:cs="Arial"/>
            <w:sz w:val="18"/>
            <w:szCs w:val="18"/>
          </w:rPr>
          <w:t xml:space="preserve">Why young people's substance use matters for global health. </w:t>
        </w:r>
        <w:r w:rsidRPr="00B513FD">
          <w:rPr>
            <w:rStyle w:val="Hyperlink1"/>
            <w:rFonts w:ascii="Arial" w:hAnsi="Arial" w:cs="Arial"/>
            <w:i/>
            <w:iCs/>
            <w:sz w:val="18"/>
            <w:szCs w:val="18"/>
          </w:rPr>
          <w:t>The Lancet Psychiatry</w:t>
        </w:r>
        <w:r w:rsidRPr="00DE60ED">
          <w:rPr>
            <w:rStyle w:val="Hyperlink1"/>
            <w:rFonts w:ascii="Arial" w:hAnsi="Arial" w:cs="Arial"/>
            <w:sz w:val="18"/>
            <w:szCs w:val="18"/>
          </w:rPr>
          <w:t>, 3, 265-279</w:t>
        </w:r>
      </w:hyperlink>
      <w:r w:rsidRPr="00C564B4">
        <w:rPr>
          <w:rFonts w:ascii="Arial" w:hAnsi="Arial" w:cs="Arial"/>
          <w:sz w:val="18"/>
          <w:szCs w:val="18"/>
        </w:rPr>
        <w:t>.</w:t>
      </w:r>
    </w:p>
  </w:footnote>
  <w:footnote w:id="5">
    <w:p w14:paraId="3A1747DB" w14:textId="6D44666E" w:rsidR="00545FF4" w:rsidRPr="00692A0F" w:rsidRDefault="00545FF4" w:rsidP="00BB2EB1">
      <w:pPr>
        <w:pStyle w:val="FootnoteText"/>
        <w:jc w:val="left"/>
        <w:rPr>
          <w:rFonts w:ascii="Arial" w:hAnsi="Arial" w:cs="Arial"/>
          <w:sz w:val="18"/>
          <w:szCs w:val="18"/>
          <w:lang w:val="en-AU"/>
        </w:rPr>
      </w:pPr>
      <w:r w:rsidRPr="00692A0F">
        <w:rPr>
          <w:rStyle w:val="FootnoteReference"/>
          <w:rFonts w:eastAsia="Arial"/>
        </w:rPr>
        <w:footnoteRef/>
      </w:r>
      <w:r w:rsidRPr="00692A0F">
        <w:rPr>
          <w:rFonts w:ascii="Arial" w:hAnsi="Arial" w:cs="Arial"/>
          <w:sz w:val="18"/>
          <w:szCs w:val="18"/>
        </w:rPr>
        <w:t xml:space="preserve"> </w:t>
      </w:r>
      <w:r w:rsidRPr="00692A0F">
        <w:rPr>
          <w:rFonts w:ascii="Arial" w:hAnsi="Arial" w:cs="Arial"/>
          <w:sz w:val="18"/>
          <w:szCs w:val="18"/>
          <w:lang w:val="en-US"/>
        </w:rPr>
        <w:t xml:space="preserve">Johnston, L. D., Mitch, R. A., O’Malley, P. M., </w:t>
      </w:r>
      <w:r>
        <w:rPr>
          <w:rFonts w:ascii="Arial" w:hAnsi="Arial" w:cs="Arial"/>
          <w:sz w:val="18"/>
          <w:szCs w:val="18"/>
          <w:lang w:val="en-US"/>
        </w:rPr>
        <w:t>et al.</w:t>
      </w:r>
      <w:r w:rsidRPr="00692A0F">
        <w:rPr>
          <w:rFonts w:ascii="Arial" w:hAnsi="Arial" w:cs="Arial"/>
          <w:sz w:val="18"/>
          <w:szCs w:val="18"/>
          <w:lang w:val="en-US"/>
        </w:rPr>
        <w:t xml:space="preserve"> (201</w:t>
      </w:r>
      <w:r w:rsidR="00A41911">
        <w:rPr>
          <w:rFonts w:ascii="Arial" w:hAnsi="Arial" w:cs="Arial"/>
          <w:sz w:val="18"/>
          <w:szCs w:val="18"/>
          <w:lang w:val="en-US"/>
        </w:rPr>
        <w:t>9</w:t>
      </w:r>
      <w:r w:rsidRPr="00692A0F">
        <w:rPr>
          <w:rFonts w:ascii="Arial" w:hAnsi="Arial" w:cs="Arial"/>
          <w:sz w:val="18"/>
          <w:szCs w:val="18"/>
          <w:lang w:val="en-US"/>
        </w:rPr>
        <w:t xml:space="preserve">). </w:t>
      </w:r>
      <w:hyperlink r:id="rId4" w:history="1">
        <w:r w:rsidRPr="00844C77">
          <w:rPr>
            <w:rStyle w:val="Hyperlink1"/>
            <w:rFonts w:ascii="Arial" w:hAnsi="Arial" w:cs="Arial"/>
            <w:i/>
            <w:sz w:val="18"/>
            <w:szCs w:val="18"/>
            <w:lang w:val="en-US"/>
          </w:rPr>
          <w:t>Monitoring the Future national survey results on drug use 1975-2018: Overview, key findings on</w:t>
        </w:r>
        <w:r>
          <w:rPr>
            <w:rStyle w:val="Hyperlink1"/>
            <w:rFonts w:ascii="Arial" w:hAnsi="Arial" w:cs="Arial"/>
            <w:i/>
            <w:sz w:val="18"/>
            <w:szCs w:val="18"/>
            <w:lang w:val="en-US"/>
          </w:rPr>
          <w:t xml:space="preserve"> </w:t>
        </w:r>
        <w:r w:rsidRPr="00844C77">
          <w:rPr>
            <w:rStyle w:val="Hyperlink1"/>
            <w:rFonts w:ascii="Arial" w:hAnsi="Arial" w:cs="Arial"/>
            <w:i/>
            <w:sz w:val="18"/>
            <w:szCs w:val="18"/>
            <w:lang w:val="en-US"/>
          </w:rPr>
          <w:t>adolescent drug u</w:t>
        </w:r>
        <w:r>
          <w:rPr>
            <w:rStyle w:val="Hyperlink1"/>
            <w:rFonts w:ascii="Arial" w:hAnsi="Arial" w:cs="Arial"/>
            <w:i/>
            <w:sz w:val="18"/>
            <w:szCs w:val="18"/>
            <w:lang w:val="en-US"/>
          </w:rPr>
          <w:t>se</w:t>
        </w:r>
      </w:hyperlink>
      <w:r w:rsidRPr="00692A0F">
        <w:rPr>
          <w:rFonts w:ascii="Arial" w:hAnsi="Arial" w:cs="Arial"/>
          <w:sz w:val="18"/>
          <w:szCs w:val="18"/>
          <w:lang w:val="en-US"/>
        </w:rPr>
        <w:t>. Ann Arbor: Institute for Social Research, University of Michigan.</w:t>
      </w:r>
    </w:p>
  </w:footnote>
  <w:footnote w:id="6">
    <w:p w14:paraId="2A2C635E" w14:textId="77777777" w:rsidR="00545FF4" w:rsidRPr="00692A0F" w:rsidRDefault="00545FF4" w:rsidP="00BB2EB1">
      <w:pPr>
        <w:pStyle w:val="FootnoteText"/>
        <w:jc w:val="left"/>
        <w:rPr>
          <w:rFonts w:ascii="Arial" w:hAnsi="Arial" w:cs="Arial"/>
          <w:sz w:val="18"/>
          <w:szCs w:val="18"/>
          <w:lang w:val="en-AU"/>
        </w:rPr>
      </w:pPr>
      <w:r w:rsidRPr="00692A0F">
        <w:rPr>
          <w:rStyle w:val="FootnoteReference"/>
          <w:rFonts w:eastAsia="Arial"/>
        </w:rPr>
        <w:footnoteRef/>
      </w:r>
      <w:r w:rsidRPr="00692A0F">
        <w:rPr>
          <w:rFonts w:ascii="Arial" w:hAnsi="Arial" w:cs="Arial"/>
          <w:sz w:val="18"/>
          <w:szCs w:val="18"/>
        </w:rPr>
        <w:t xml:space="preserve"> </w:t>
      </w:r>
      <w:r w:rsidRPr="00692A0F">
        <w:rPr>
          <w:rFonts w:ascii="Arial" w:hAnsi="Arial" w:cs="Arial"/>
          <w:sz w:val="18"/>
          <w:szCs w:val="18"/>
          <w:lang w:val="en-US"/>
        </w:rPr>
        <w:t xml:space="preserve">NHS Digital. (2018). </w:t>
      </w:r>
      <w:hyperlink r:id="rId5" w:history="1">
        <w:r w:rsidRPr="00193CD7">
          <w:rPr>
            <w:rStyle w:val="Hyperlink1"/>
            <w:rFonts w:ascii="Arial" w:hAnsi="Arial" w:cs="Arial"/>
            <w:i/>
            <w:iCs/>
            <w:sz w:val="18"/>
            <w:szCs w:val="18"/>
            <w:lang w:val="en-US"/>
          </w:rPr>
          <w:t>Statistics on Smoking</w:t>
        </w:r>
      </w:hyperlink>
      <w:r w:rsidRPr="00193CD7">
        <w:rPr>
          <w:rFonts w:ascii="Arial" w:hAnsi="Arial" w:cs="Arial"/>
          <w:i/>
          <w:iCs/>
          <w:sz w:val="18"/>
          <w:szCs w:val="18"/>
          <w:lang w:val="en-US"/>
        </w:rPr>
        <w:t>.</w:t>
      </w:r>
      <w:r w:rsidRPr="00692A0F">
        <w:rPr>
          <w:rFonts w:ascii="Arial" w:hAnsi="Arial" w:cs="Arial"/>
          <w:sz w:val="18"/>
          <w:szCs w:val="18"/>
          <w:lang w:val="en-US"/>
        </w:rPr>
        <w:t xml:space="preserve"> </w:t>
      </w:r>
    </w:p>
  </w:footnote>
  <w:footnote w:id="7">
    <w:p w14:paraId="24287622" w14:textId="559B5DED" w:rsidR="00D71FF2" w:rsidRPr="00D71FF2" w:rsidRDefault="00D71FF2">
      <w:pPr>
        <w:pStyle w:val="FootnoteText"/>
        <w:rPr>
          <w:lang w:val="en-AU"/>
        </w:rPr>
      </w:pPr>
      <w:r>
        <w:rPr>
          <w:rStyle w:val="FootnoteReference"/>
        </w:rPr>
        <w:footnoteRef/>
      </w:r>
      <w:r>
        <w:t xml:space="preserve"> </w:t>
      </w:r>
      <w:r w:rsidRPr="00692A0F">
        <w:rPr>
          <w:rFonts w:ascii="Arial" w:hAnsi="Arial" w:cs="Arial"/>
          <w:sz w:val="18"/>
          <w:szCs w:val="18"/>
          <w:lang w:val="en-US"/>
        </w:rPr>
        <w:t>NHS Digital. (201</w:t>
      </w:r>
      <w:r>
        <w:rPr>
          <w:rFonts w:ascii="Arial" w:hAnsi="Arial" w:cs="Arial"/>
          <w:sz w:val="18"/>
          <w:szCs w:val="18"/>
          <w:lang w:val="en-US"/>
        </w:rPr>
        <w:t>9</w:t>
      </w:r>
      <w:r w:rsidRPr="00692A0F">
        <w:rPr>
          <w:rFonts w:ascii="Arial" w:hAnsi="Arial" w:cs="Arial"/>
          <w:sz w:val="18"/>
          <w:szCs w:val="18"/>
          <w:lang w:val="en-US"/>
        </w:rPr>
        <w:t xml:space="preserve">). </w:t>
      </w:r>
      <w:hyperlink r:id="rId6" w:history="1">
        <w:r w:rsidRPr="00193CD7">
          <w:rPr>
            <w:rStyle w:val="Hyperlink1"/>
            <w:rFonts w:ascii="Arial" w:hAnsi="Arial" w:cs="Arial"/>
            <w:i/>
            <w:iCs/>
            <w:sz w:val="18"/>
            <w:szCs w:val="18"/>
            <w:lang w:val="en-US"/>
          </w:rPr>
          <w:t xml:space="preserve">Statistics on </w:t>
        </w:r>
        <w:r>
          <w:rPr>
            <w:rStyle w:val="Hyperlink1"/>
            <w:rFonts w:ascii="Arial" w:hAnsi="Arial" w:cs="Arial"/>
            <w:i/>
            <w:iCs/>
            <w:sz w:val="18"/>
            <w:szCs w:val="18"/>
            <w:lang w:val="en-US"/>
          </w:rPr>
          <w:t>Alcohol</w:t>
        </w:r>
      </w:hyperlink>
      <w:r w:rsidRPr="00193CD7">
        <w:rPr>
          <w:rFonts w:ascii="Arial" w:hAnsi="Arial" w:cs="Arial"/>
          <w:i/>
          <w:iCs/>
          <w:sz w:val="18"/>
          <w:szCs w:val="18"/>
          <w:lang w:val="en-US"/>
        </w:rPr>
        <w:t>.</w:t>
      </w:r>
    </w:p>
  </w:footnote>
  <w:footnote w:id="8">
    <w:p w14:paraId="03ECD994" w14:textId="77777777" w:rsidR="00545FF4" w:rsidRPr="00692A0F" w:rsidRDefault="00545FF4" w:rsidP="00BB2EB1">
      <w:pPr>
        <w:pStyle w:val="FootnoteText"/>
        <w:jc w:val="left"/>
        <w:rPr>
          <w:rFonts w:ascii="Arial" w:hAnsi="Arial" w:cs="Arial"/>
          <w:lang w:val="en-US"/>
        </w:rPr>
      </w:pPr>
      <w:r w:rsidRPr="00692A0F">
        <w:rPr>
          <w:rStyle w:val="FootnoteReference"/>
          <w:rFonts w:eastAsia="Arial"/>
        </w:rPr>
        <w:footnoteRef/>
      </w:r>
      <w:r w:rsidRPr="00692A0F">
        <w:rPr>
          <w:rFonts w:ascii="Arial" w:hAnsi="Arial" w:cs="Arial"/>
          <w:sz w:val="18"/>
        </w:rPr>
        <w:t xml:space="preserve"> </w:t>
      </w:r>
      <w:r w:rsidRPr="00692A0F">
        <w:rPr>
          <w:rFonts w:ascii="Arial" w:hAnsi="Arial" w:cs="Arial"/>
          <w:color w:val="222222"/>
          <w:sz w:val="18"/>
          <w:shd w:val="clear" w:color="auto" w:fill="FFFFFF"/>
        </w:rPr>
        <w:t xml:space="preserve">Blair, A., Siddiqi, A., &amp; Frank, J. (2018). </w:t>
      </w:r>
      <w:hyperlink r:id="rId7" w:history="1">
        <w:r w:rsidRPr="00DE60ED">
          <w:rPr>
            <w:rStyle w:val="Hyperlink1"/>
            <w:rFonts w:ascii="Arial" w:hAnsi="Arial" w:cs="Arial"/>
            <w:sz w:val="18"/>
            <w:shd w:val="clear" w:color="auto" w:fill="FFFFFF"/>
          </w:rPr>
          <w:t>Canadian report card on health equity across the life-course: Analysis of time trends and cross-national comparisons with the United Kingdom. </w:t>
        </w:r>
        <w:r w:rsidRPr="00DE60ED">
          <w:rPr>
            <w:rStyle w:val="Hyperlink1"/>
            <w:rFonts w:ascii="Arial" w:hAnsi="Arial" w:cs="Arial"/>
            <w:i/>
            <w:iCs/>
            <w:sz w:val="18"/>
            <w:shd w:val="clear" w:color="auto" w:fill="FFFFFF"/>
          </w:rPr>
          <w:t>SSM-</w:t>
        </w:r>
        <w:r>
          <w:rPr>
            <w:rStyle w:val="Hyperlink1"/>
            <w:rFonts w:ascii="Arial" w:hAnsi="Arial" w:cs="Arial"/>
            <w:i/>
            <w:iCs/>
            <w:sz w:val="18"/>
            <w:shd w:val="clear" w:color="auto" w:fill="FFFFFF"/>
          </w:rPr>
          <w:t>P</w:t>
        </w:r>
        <w:r w:rsidRPr="00DE60ED">
          <w:rPr>
            <w:rStyle w:val="Hyperlink1"/>
            <w:rFonts w:ascii="Arial" w:hAnsi="Arial" w:cs="Arial"/>
            <w:i/>
            <w:iCs/>
            <w:sz w:val="18"/>
            <w:shd w:val="clear" w:color="auto" w:fill="FFFFFF"/>
          </w:rPr>
          <w:t xml:space="preserve">opulation </w:t>
        </w:r>
        <w:r>
          <w:rPr>
            <w:rStyle w:val="Hyperlink1"/>
            <w:rFonts w:ascii="Arial" w:hAnsi="Arial" w:cs="Arial"/>
            <w:i/>
            <w:iCs/>
            <w:sz w:val="18"/>
            <w:shd w:val="clear" w:color="auto" w:fill="FFFFFF"/>
          </w:rPr>
          <w:t>H</w:t>
        </w:r>
        <w:r w:rsidRPr="00DE60ED">
          <w:rPr>
            <w:rStyle w:val="Hyperlink1"/>
            <w:rFonts w:ascii="Arial" w:hAnsi="Arial" w:cs="Arial"/>
            <w:i/>
            <w:iCs/>
            <w:sz w:val="18"/>
            <w:shd w:val="clear" w:color="auto" w:fill="FFFFFF"/>
          </w:rPr>
          <w:t>ealth</w:t>
        </w:r>
        <w:r w:rsidRPr="00DE60ED">
          <w:rPr>
            <w:rStyle w:val="Hyperlink1"/>
            <w:rFonts w:ascii="Arial" w:hAnsi="Arial" w:cs="Arial"/>
            <w:sz w:val="18"/>
            <w:shd w:val="clear" w:color="auto" w:fill="FFFFFF"/>
          </w:rPr>
          <w:t>, </w:t>
        </w:r>
        <w:r w:rsidRPr="008F50E6">
          <w:rPr>
            <w:rStyle w:val="Hyperlink1"/>
            <w:rFonts w:ascii="Arial" w:hAnsi="Arial" w:cs="Arial"/>
            <w:sz w:val="18"/>
            <w:shd w:val="clear" w:color="auto" w:fill="FFFFFF"/>
          </w:rPr>
          <w:t>6</w:t>
        </w:r>
        <w:r w:rsidRPr="00DE60ED">
          <w:rPr>
            <w:rStyle w:val="Hyperlink1"/>
            <w:rFonts w:ascii="Arial" w:hAnsi="Arial" w:cs="Arial"/>
            <w:sz w:val="18"/>
            <w:shd w:val="clear" w:color="auto" w:fill="FFFFFF"/>
          </w:rPr>
          <w:t>, 158-168</w:t>
        </w:r>
      </w:hyperlink>
      <w:r w:rsidRPr="00692A0F">
        <w:rPr>
          <w:rFonts w:ascii="Arial" w:hAnsi="Arial" w:cs="Arial"/>
          <w:color w:val="222222"/>
          <w:sz w:val="18"/>
          <w:shd w:val="clear" w:color="auto" w:fill="FFFFFF"/>
        </w:rPr>
        <w:t>.</w:t>
      </w:r>
    </w:p>
  </w:footnote>
  <w:footnote w:id="9">
    <w:p w14:paraId="3063C0BC" w14:textId="77777777" w:rsidR="00545FF4" w:rsidRPr="00692A0F" w:rsidRDefault="00545FF4" w:rsidP="00BB2EB1">
      <w:pPr>
        <w:pStyle w:val="FootnoteText"/>
        <w:jc w:val="left"/>
        <w:rPr>
          <w:rFonts w:ascii="Arial" w:hAnsi="Arial" w:cs="Arial"/>
          <w:sz w:val="18"/>
          <w:szCs w:val="18"/>
          <w:highlight w:val="yellow"/>
          <w:lang w:val="en-AU"/>
        </w:rPr>
      </w:pPr>
      <w:r w:rsidRPr="00692A0F">
        <w:rPr>
          <w:rStyle w:val="FootnoteReference"/>
          <w:rFonts w:eastAsia="Arial"/>
        </w:rPr>
        <w:footnoteRef/>
      </w:r>
      <w:r w:rsidRPr="00692A0F">
        <w:rPr>
          <w:rFonts w:ascii="Arial" w:hAnsi="Arial" w:cs="Arial"/>
          <w:sz w:val="18"/>
          <w:szCs w:val="18"/>
        </w:rPr>
        <w:t xml:space="preserve"> Clark, T., Fleming, T., Bullen, P. et al. (2013). </w:t>
      </w:r>
      <w:hyperlink r:id="rId8" w:history="1">
        <w:r w:rsidRPr="00DE60ED">
          <w:rPr>
            <w:rStyle w:val="Hyperlink1"/>
            <w:rFonts w:ascii="Arial" w:hAnsi="Arial" w:cs="Arial"/>
            <w:sz w:val="18"/>
            <w:szCs w:val="18"/>
          </w:rPr>
          <w:t xml:space="preserve">Health and well-being of secondary school students in New Zealand: Trends between 2001, 2007 and 2012. </w:t>
        </w:r>
        <w:r w:rsidRPr="00DE60ED">
          <w:rPr>
            <w:rStyle w:val="Hyperlink1"/>
            <w:rFonts w:ascii="Arial" w:hAnsi="Arial" w:cs="Arial"/>
            <w:i/>
            <w:sz w:val="18"/>
            <w:szCs w:val="18"/>
          </w:rPr>
          <w:t>Journal of Paediatrics &amp; Child Health</w:t>
        </w:r>
        <w:r>
          <w:rPr>
            <w:rStyle w:val="Hyperlink1"/>
            <w:rFonts w:ascii="Arial" w:hAnsi="Arial" w:cs="Arial"/>
            <w:sz w:val="18"/>
            <w:szCs w:val="18"/>
          </w:rPr>
          <w:t>,</w:t>
        </w:r>
        <w:r w:rsidRPr="00DE60ED">
          <w:rPr>
            <w:rStyle w:val="Hyperlink1"/>
            <w:rFonts w:ascii="Arial" w:hAnsi="Arial" w:cs="Arial"/>
            <w:sz w:val="18"/>
            <w:szCs w:val="18"/>
          </w:rPr>
          <w:t xml:space="preserve"> 49</w:t>
        </w:r>
        <w:r>
          <w:rPr>
            <w:rStyle w:val="Hyperlink1"/>
            <w:rFonts w:ascii="Arial" w:hAnsi="Arial" w:cs="Arial"/>
            <w:sz w:val="18"/>
            <w:szCs w:val="18"/>
          </w:rPr>
          <w:t>,</w:t>
        </w:r>
        <w:r w:rsidRPr="00DE60ED">
          <w:rPr>
            <w:rStyle w:val="Hyperlink1"/>
            <w:rFonts w:ascii="Arial" w:hAnsi="Arial" w:cs="Arial"/>
            <w:sz w:val="18"/>
            <w:szCs w:val="18"/>
          </w:rPr>
          <w:t xml:space="preserve"> 925</w:t>
        </w:r>
        <w:r>
          <w:rPr>
            <w:rStyle w:val="Hyperlink1"/>
            <w:rFonts w:ascii="Arial" w:hAnsi="Arial" w:cs="Arial"/>
            <w:sz w:val="18"/>
            <w:szCs w:val="18"/>
          </w:rPr>
          <w:t>-9</w:t>
        </w:r>
        <w:r w:rsidRPr="00DE60ED">
          <w:rPr>
            <w:rStyle w:val="Hyperlink1"/>
            <w:rFonts w:ascii="Arial" w:hAnsi="Arial" w:cs="Arial"/>
            <w:sz w:val="18"/>
            <w:szCs w:val="18"/>
          </w:rPr>
          <w:t>34</w:t>
        </w:r>
      </w:hyperlink>
      <w:r w:rsidRPr="00692A0F">
        <w:rPr>
          <w:rFonts w:ascii="Arial" w:hAnsi="Arial" w:cs="Arial"/>
          <w:sz w:val="18"/>
          <w:szCs w:val="18"/>
        </w:rPr>
        <w:t>.</w:t>
      </w:r>
    </w:p>
  </w:footnote>
  <w:footnote w:id="10">
    <w:p w14:paraId="7DE5A816" w14:textId="77777777" w:rsidR="00545FF4" w:rsidRPr="00692A0F" w:rsidRDefault="00545FF4" w:rsidP="00BB2EB1">
      <w:pPr>
        <w:pStyle w:val="FootnoteText"/>
        <w:jc w:val="left"/>
        <w:rPr>
          <w:rFonts w:ascii="Arial" w:hAnsi="Arial" w:cs="Arial"/>
          <w:sz w:val="18"/>
          <w:szCs w:val="18"/>
          <w:lang w:val="en-AU"/>
        </w:rPr>
      </w:pPr>
      <w:r w:rsidRPr="00692A0F">
        <w:rPr>
          <w:rStyle w:val="FootnoteReference"/>
          <w:rFonts w:eastAsia="Arial"/>
        </w:rPr>
        <w:footnoteRef/>
      </w:r>
      <w:r w:rsidRPr="00692A0F">
        <w:rPr>
          <w:rFonts w:ascii="Arial" w:hAnsi="Arial" w:cs="Arial"/>
          <w:sz w:val="18"/>
          <w:szCs w:val="18"/>
        </w:rPr>
        <w:t xml:space="preserve"> Ball, J., Sim, D., &amp; Edwards, R. (2018). </w:t>
      </w:r>
      <w:hyperlink r:id="rId9" w:history="1">
        <w:r w:rsidRPr="00DE60ED">
          <w:rPr>
            <w:rStyle w:val="Hyperlink1"/>
            <w:rFonts w:ascii="Arial" w:hAnsi="Arial" w:cs="Arial"/>
            <w:sz w:val="18"/>
            <w:szCs w:val="18"/>
          </w:rPr>
          <w:t xml:space="preserve">Why has adolescent smoking declined dramatically? Trend analysis using repeat cross-sectional data from New Zealand 2002–2015. </w:t>
        </w:r>
        <w:r w:rsidRPr="00DE60ED">
          <w:rPr>
            <w:rStyle w:val="Hyperlink1"/>
            <w:rFonts w:ascii="Arial" w:hAnsi="Arial" w:cs="Arial"/>
            <w:i/>
            <w:sz w:val="18"/>
            <w:szCs w:val="18"/>
          </w:rPr>
          <w:t xml:space="preserve">BMJ </w:t>
        </w:r>
        <w:r>
          <w:rPr>
            <w:rStyle w:val="Hyperlink1"/>
            <w:rFonts w:ascii="Arial" w:hAnsi="Arial" w:cs="Arial"/>
            <w:i/>
            <w:sz w:val="18"/>
            <w:szCs w:val="18"/>
          </w:rPr>
          <w:t>O</w:t>
        </w:r>
        <w:r w:rsidRPr="00DE60ED">
          <w:rPr>
            <w:rStyle w:val="Hyperlink1"/>
            <w:rFonts w:ascii="Arial" w:hAnsi="Arial" w:cs="Arial"/>
            <w:i/>
            <w:sz w:val="18"/>
            <w:szCs w:val="18"/>
          </w:rPr>
          <w:t>pen</w:t>
        </w:r>
        <w:r w:rsidRPr="00DE60ED">
          <w:rPr>
            <w:rStyle w:val="Hyperlink1"/>
            <w:rFonts w:ascii="Arial" w:hAnsi="Arial" w:cs="Arial"/>
            <w:sz w:val="18"/>
            <w:szCs w:val="18"/>
          </w:rPr>
          <w:t>, 8, e020320</w:t>
        </w:r>
      </w:hyperlink>
      <w:r w:rsidRPr="00692A0F">
        <w:rPr>
          <w:rFonts w:ascii="Arial" w:hAnsi="Arial" w:cs="Arial"/>
          <w:sz w:val="18"/>
          <w:szCs w:val="18"/>
        </w:rPr>
        <w:t>.</w:t>
      </w:r>
    </w:p>
  </w:footnote>
  <w:footnote w:id="11">
    <w:p w14:paraId="5FE37CDC" w14:textId="77777777" w:rsidR="00545FF4" w:rsidRPr="00DA51B6" w:rsidRDefault="00545FF4" w:rsidP="00D2066F">
      <w:pPr>
        <w:pStyle w:val="FootnoteText"/>
        <w:jc w:val="left"/>
        <w:rPr>
          <w:rFonts w:ascii="Arial" w:hAnsi="Arial" w:cs="Arial"/>
          <w:sz w:val="18"/>
          <w:szCs w:val="18"/>
          <w:highlight w:val="yellow"/>
          <w:lang w:val="en-AU"/>
        </w:rPr>
      </w:pPr>
      <w:r w:rsidRPr="00692A0F">
        <w:rPr>
          <w:rStyle w:val="FootnoteReference"/>
          <w:rFonts w:eastAsia="Arial"/>
        </w:rPr>
        <w:footnoteRef/>
      </w:r>
      <w:r w:rsidRPr="00692A0F">
        <w:rPr>
          <w:rFonts w:ascii="Arial" w:hAnsi="Arial" w:cs="Arial"/>
          <w:sz w:val="18"/>
          <w:szCs w:val="18"/>
        </w:rPr>
        <w:t xml:space="preserve"> Wakefield, M.A., Durkin, S., Spittal, M.J.,</w:t>
      </w:r>
      <w:r>
        <w:rPr>
          <w:rFonts w:ascii="Arial" w:hAnsi="Arial" w:cs="Arial"/>
          <w:sz w:val="18"/>
          <w:szCs w:val="18"/>
        </w:rPr>
        <w:t xml:space="preserve"> </w:t>
      </w:r>
      <w:r w:rsidRPr="00692A0F">
        <w:rPr>
          <w:rFonts w:ascii="Arial" w:hAnsi="Arial" w:cs="Arial"/>
          <w:sz w:val="18"/>
          <w:szCs w:val="18"/>
        </w:rPr>
        <w:t xml:space="preserve">et al. (2008). </w:t>
      </w:r>
      <w:hyperlink r:id="rId10" w:history="1">
        <w:r w:rsidRPr="00DE60ED">
          <w:rPr>
            <w:rStyle w:val="Hyperlink1"/>
            <w:rFonts w:ascii="Arial" w:hAnsi="Arial" w:cs="Arial"/>
            <w:sz w:val="18"/>
            <w:szCs w:val="18"/>
          </w:rPr>
          <w:t xml:space="preserve">Impact of tobacco control policies and mass media campaigns on monthly adult smoking prevalence. </w:t>
        </w:r>
        <w:r w:rsidRPr="00DE60ED">
          <w:rPr>
            <w:rStyle w:val="Hyperlink1"/>
            <w:rFonts w:ascii="Arial" w:hAnsi="Arial" w:cs="Arial"/>
            <w:i/>
            <w:sz w:val="18"/>
            <w:szCs w:val="18"/>
          </w:rPr>
          <w:t>American Journal of Public Health</w:t>
        </w:r>
        <w:r w:rsidRPr="00DE60ED">
          <w:rPr>
            <w:rStyle w:val="Hyperlink1"/>
            <w:rFonts w:ascii="Arial" w:hAnsi="Arial" w:cs="Arial"/>
            <w:sz w:val="18"/>
            <w:szCs w:val="18"/>
          </w:rPr>
          <w:t>, 98</w:t>
        </w:r>
        <w:r>
          <w:rPr>
            <w:rStyle w:val="Hyperlink1"/>
            <w:rFonts w:ascii="Arial" w:hAnsi="Arial" w:cs="Arial"/>
            <w:sz w:val="18"/>
            <w:szCs w:val="18"/>
          </w:rPr>
          <w:t xml:space="preserve">, </w:t>
        </w:r>
        <w:r w:rsidRPr="00DE60ED">
          <w:rPr>
            <w:rStyle w:val="Hyperlink1"/>
            <w:rFonts w:ascii="Arial" w:hAnsi="Arial" w:cs="Arial"/>
            <w:sz w:val="18"/>
            <w:szCs w:val="18"/>
          </w:rPr>
          <w:t>1443-1450</w:t>
        </w:r>
      </w:hyperlink>
      <w:r>
        <w:rPr>
          <w:rFonts w:ascii="Arial" w:hAnsi="Arial" w:cs="Arial"/>
          <w:sz w:val="18"/>
          <w:szCs w:val="18"/>
        </w:rPr>
        <w:t>.</w:t>
      </w:r>
    </w:p>
  </w:footnote>
  <w:footnote w:id="12">
    <w:p w14:paraId="353A0027" w14:textId="77777777" w:rsidR="00545FF4" w:rsidRPr="00EA6470" w:rsidRDefault="00545FF4" w:rsidP="00D2066F">
      <w:pPr>
        <w:pStyle w:val="FootnoteText"/>
        <w:jc w:val="left"/>
        <w:rPr>
          <w:lang w:val="en-AU"/>
        </w:rPr>
      </w:pPr>
      <w:r>
        <w:rPr>
          <w:rStyle w:val="FootnoteReference"/>
          <w:rFonts w:eastAsia="Arial"/>
        </w:rPr>
        <w:footnoteRef/>
      </w:r>
      <w:r>
        <w:t xml:space="preserve"> </w:t>
      </w:r>
      <w:r w:rsidRPr="00EA6470">
        <w:rPr>
          <w:rFonts w:ascii="Arial" w:hAnsi="Arial" w:cs="Arial"/>
          <w:bCs/>
          <w:sz w:val="18"/>
          <w:szCs w:val="18"/>
        </w:rPr>
        <w:t>Wakefield</w:t>
      </w:r>
      <w:r>
        <w:rPr>
          <w:rFonts w:ascii="Arial" w:hAnsi="Arial" w:cs="Arial"/>
          <w:bCs/>
          <w:sz w:val="18"/>
          <w:szCs w:val="18"/>
        </w:rPr>
        <w:t>,</w:t>
      </w:r>
      <w:r w:rsidRPr="00EA6470">
        <w:rPr>
          <w:rFonts w:ascii="Arial" w:hAnsi="Arial" w:cs="Arial"/>
          <w:bCs/>
          <w:sz w:val="18"/>
          <w:szCs w:val="18"/>
        </w:rPr>
        <w:t xml:space="preserve"> </w:t>
      </w:r>
      <w:r>
        <w:rPr>
          <w:rFonts w:ascii="Arial" w:hAnsi="Arial" w:cs="Arial"/>
          <w:bCs/>
          <w:sz w:val="18"/>
          <w:szCs w:val="18"/>
        </w:rPr>
        <w:t>M.</w:t>
      </w:r>
      <w:r w:rsidRPr="00EA6470">
        <w:rPr>
          <w:rFonts w:ascii="Arial" w:hAnsi="Arial" w:cs="Arial"/>
          <w:bCs/>
          <w:sz w:val="18"/>
          <w:szCs w:val="18"/>
        </w:rPr>
        <w:t>A</w:t>
      </w:r>
      <w:r>
        <w:rPr>
          <w:rFonts w:ascii="Arial" w:hAnsi="Arial" w:cs="Arial"/>
          <w:bCs/>
          <w:sz w:val="18"/>
          <w:szCs w:val="18"/>
        </w:rPr>
        <w:t>.</w:t>
      </w:r>
      <w:r w:rsidRPr="00EA6470">
        <w:rPr>
          <w:rFonts w:ascii="Arial" w:hAnsi="Arial" w:cs="Arial"/>
          <w:bCs/>
          <w:sz w:val="18"/>
          <w:szCs w:val="18"/>
        </w:rPr>
        <w:t>, Coomber</w:t>
      </w:r>
      <w:r>
        <w:rPr>
          <w:rFonts w:ascii="Arial" w:hAnsi="Arial" w:cs="Arial"/>
          <w:bCs/>
          <w:sz w:val="18"/>
          <w:szCs w:val="18"/>
        </w:rPr>
        <w:t>,</w:t>
      </w:r>
      <w:r w:rsidRPr="00EA6470">
        <w:rPr>
          <w:rFonts w:ascii="Arial" w:hAnsi="Arial" w:cs="Arial"/>
          <w:bCs/>
          <w:sz w:val="18"/>
          <w:szCs w:val="18"/>
        </w:rPr>
        <w:t xml:space="preserve"> K</w:t>
      </w:r>
      <w:r>
        <w:rPr>
          <w:rFonts w:ascii="Arial" w:hAnsi="Arial" w:cs="Arial"/>
          <w:bCs/>
          <w:sz w:val="18"/>
          <w:szCs w:val="18"/>
        </w:rPr>
        <w:t>.</w:t>
      </w:r>
      <w:r w:rsidRPr="00EA6470">
        <w:rPr>
          <w:rFonts w:ascii="Arial" w:hAnsi="Arial" w:cs="Arial"/>
          <w:bCs/>
          <w:sz w:val="18"/>
          <w:szCs w:val="18"/>
        </w:rPr>
        <w:t>, Durkin</w:t>
      </w:r>
      <w:r>
        <w:rPr>
          <w:rFonts w:ascii="Arial" w:hAnsi="Arial" w:cs="Arial"/>
          <w:bCs/>
          <w:sz w:val="18"/>
          <w:szCs w:val="18"/>
        </w:rPr>
        <w:t>,</w:t>
      </w:r>
      <w:r w:rsidRPr="00EA6470">
        <w:rPr>
          <w:rFonts w:ascii="Arial" w:hAnsi="Arial" w:cs="Arial"/>
          <w:bCs/>
          <w:sz w:val="18"/>
          <w:szCs w:val="18"/>
        </w:rPr>
        <w:t xml:space="preserve"> S</w:t>
      </w:r>
      <w:r>
        <w:rPr>
          <w:rFonts w:ascii="Arial" w:hAnsi="Arial" w:cs="Arial"/>
          <w:bCs/>
          <w:sz w:val="18"/>
          <w:szCs w:val="18"/>
        </w:rPr>
        <w:t>.</w:t>
      </w:r>
      <w:r w:rsidRPr="00EA6470">
        <w:rPr>
          <w:rFonts w:ascii="Arial" w:hAnsi="Arial" w:cs="Arial"/>
          <w:bCs/>
          <w:sz w:val="18"/>
          <w:szCs w:val="18"/>
        </w:rPr>
        <w:t>J</w:t>
      </w:r>
      <w:r>
        <w:rPr>
          <w:rFonts w:ascii="Arial" w:hAnsi="Arial" w:cs="Arial"/>
          <w:bCs/>
          <w:sz w:val="18"/>
          <w:szCs w:val="18"/>
        </w:rPr>
        <w:t>.</w:t>
      </w:r>
      <w:r w:rsidRPr="00EA6470">
        <w:rPr>
          <w:rFonts w:ascii="Arial" w:hAnsi="Arial" w:cs="Arial"/>
          <w:bCs/>
          <w:sz w:val="18"/>
          <w:szCs w:val="18"/>
        </w:rPr>
        <w:t>,</w:t>
      </w:r>
      <w:r>
        <w:rPr>
          <w:rFonts w:ascii="Arial" w:hAnsi="Arial" w:cs="Arial"/>
          <w:bCs/>
          <w:sz w:val="18"/>
          <w:szCs w:val="18"/>
        </w:rPr>
        <w:t xml:space="preserve"> et al.</w:t>
      </w:r>
      <w:r w:rsidRPr="00EA6470">
        <w:rPr>
          <w:rFonts w:ascii="Arial" w:hAnsi="Arial" w:cs="Arial"/>
          <w:bCs/>
          <w:sz w:val="18"/>
          <w:szCs w:val="18"/>
        </w:rPr>
        <w:t xml:space="preserve"> </w:t>
      </w:r>
      <w:r>
        <w:rPr>
          <w:rFonts w:ascii="Arial" w:hAnsi="Arial" w:cs="Arial"/>
          <w:bCs/>
          <w:sz w:val="18"/>
          <w:szCs w:val="18"/>
        </w:rPr>
        <w:t xml:space="preserve">(2014). </w:t>
      </w:r>
      <w:hyperlink r:id="rId11" w:history="1">
        <w:r w:rsidRPr="00DE60ED">
          <w:rPr>
            <w:rStyle w:val="Hyperlink1"/>
            <w:rFonts w:ascii="Arial" w:hAnsi="Arial" w:cs="Arial"/>
            <w:bCs/>
            <w:sz w:val="18"/>
            <w:szCs w:val="18"/>
          </w:rPr>
          <w:t xml:space="preserve">Time series analysis of the impact of tobacco control policies on smoking prevalence among Australian adults, 2001–2011. </w:t>
        </w:r>
        <w:r w:rsidRPr="00DE60ED">
          <w:rPr>
            <w:rStyle w:val="Hyperlink1"/>
            <w:rFonts w:ascii="Arial" w:hAnsi="Arial" w:cs="Arial"/>
            <w:bCs/>
            <w:i/>
            <w:sz w:val="18"/>
            <w:szCs w:val="18"/>
          </w:rPr>
          <w:t>Bulletin of the World Health Organization</w:t>
        </w:r>
        <w:r w:rsidRPr="00DE60ED">
          <w:rPr>
            <w:rStyle w:val="Hyperlink1"/>
            <w:rFonts w:ascii="Arial" w:hAnsi="Arial" w:cs="Arial"/>
            <w:bCs/>
            <w:sz w:val="18"/>
            <w:szCs w:val="18"/>
          </w:rPr>
          <w:t>, 92, 413-422</w:t>
        </w:r>
      </w:hyperlink>
      <w:r w:rsidRPr="00EA6470">
        <w:rPr>
          <w:rFonts w:ascii="Arial" w:hAnsi="Arial" w:cs="Arial"/>
          <w:bCs/>
          <w:sz w:val="18"/>
          <w:szCs w:val="18"/>
        </w:rPr>
        <w:t>.</w:t>
      </w:r>
    </w:p>
  </w:footnote>
  <w:footnote w:id="13">
    <w:p w14:paraId="0D24B828" w14:textId="77777777" w:rsidR="00545FF4" w:rsidRPr="00B70DB1" w:rsidRDefault="00545FF4" w:rsidP="00D2066F">
      <w:pPr>
        <w:pStyle w:val="FootnoteText"/>
        <w:jc w:val="left"/>
        <w:rPr>
          <w:lang w:val="en-AU"/>
        </w:rPr>
      </w:pPr>
      <w:r>
        <w:rPr>
          <w:rStyle w:val="FootnoteReference"/>
          <w:rFonts w:eastAsia="Arial"/>
        </w:rPr>
        <w:footnoteRef/>
      </w:r>
      <w:r>
        <w:t xml:space="preserve"> </w:t>
      </w:r>
      <w:r w:rsidRPr="00B70DB1">
        <w:rPr>
          <w:rFonts w:ascii="Arial" w:hAnsi="Arial" w:cs="Arial"/>
          <w:sz w:val="18"/>
          <w:szCs w:val="18"/>
        </w:rPr>
        <w:t xml:space="preserve">Wilkinson, C., Livingston, M., &amp; Room, R. (2016). </w:t>
      </w:r>
      <w:hyperlink r:id="rId12" w:history="1">
        <w:r w:rsidRPr="006B3D1E">
          <w:rPr>
            <w:rStyle w:val="Hyperlink1"/>
            <w:rFonts w:ascii="Arial" w:hAnsi="Arial" w:cs="Arial"/>
            <w:sz w:val="18"/>
            <w:szCs w:val="18"/>
          </w:rPr>
          <w:t xml:space="preserve">Impacts of changes to trading hours of liquor licences on alcohol-related harm: a systematic review 2005–2015. </w:t>
        </w:r>
        <w:r w:rsidRPr="006B3D1E">
          <w:rPr>
            <w:rStyle w:val="Hyperlink1"/>
            <w:rFonts w:ascii="Arial" w:hAnsi="Arial" w:cs="Arial"/>
            <w:i/>
            <w:sz w:val="18"/>
            <w:szCs w:val="18"/>
          </w:rPr>
          <w:t>Public Health Research &amp; Practice</w:t>
        </w:r>
        <w:r w:rsidRPr="006B3D1E">
          <w:rPr>
            <w:rStyle w:val="Hyperlink1"/>
            <w:rFonts w:ascii="Arial" w:hAnsi="Arial" w:cs="Arial"/>
            <w:sz w:val="18"/>
            <w:szCs w:val="18"/>
          </w:rPr>
          <w:t>, 26, e2641644</w:t>
        </w:r>
      </w:hyperlink>
      <w:r w:rsidRPr="00B70DB1">
        <w:rPr>
          <w:rFonts w:ascii="Arial" w:hAnsi="Arial" w:cs="Arial"/>
          <w:sz w:val="18"/>
          <w:szCs w:val="18"/>
        </w:rPr>
        <w:t>.</w:t>
      </w:r>
    </w:p>
  </w:footnote>
  <w:footnote w:id="14">
    <w:p w14:paraId="54B97DCB" w14:textId="77777777" w:rsidR="00545FF4" w:rsidRPr="00B70DB1" w:rsidRDefault="00545FF4" w:rsidP="00D2066F">
      <w:pPr>
        <w:pStyle w:val="FootnoteText"/>
        <w:jc w:val="left"/>
        <w:rPr>
          <w:lang w:val="en-AU"/>
        </w:rPr>
      </w:pPr>
      <w:r>
        <w:rPr>
          <w:rStyle w:val="FootnoteReference"/>
          <w:rFonts w:eastAsia="Arial"/>
        </w:rPr>
        <w:footnoteRef/>
      </w:r>
      <w:r>
        <w:t xml:space="preserve"> </w:t>
      </w:r>
      <w:r w:rsidRPr="00B70DB1">
        <w:rPr>
          <w:rFonts w:ascii="Arial" w:hAnsi="Arial" w:cs="Arial"/>
          <w:sz w:val="18"/>
          <w:szCs w:val="18"/>
        </w:rPr>
        <w:t>Hobday, M., Chikritzhs, T., Liang, W.,</w:t>
      </w:r>
      <w:r>
        <w:rPr>
          <w:rFonts w:ascii="Arial" w:hAnsi="Arial" w:cs="Arial"/>
          <w:sz w:val="18"/>
          <w:szCs w:val="18"/>
        </w:rPr>
        <w:t xml:space="preserve"> et al.</w:t>
      </w:r>
      <w:r w:rsidRPr="00B70DB1">
        <w:rPr>
          <w:rFonts w:ascii="Arial" w:hAnsi="Arial" w:cs="Arial"/>
          <w:sz w:val="18"/>
          <w:szCs w:val="18"/>
        </w:rPr>
        <w:t xml:space="preserve"> (2015). </w:t>
      </w:r>
      <w:hyperlink r:id="rId13" w:history="1">
        <w:r w:rsidRPr="006B3D1E">
          <w:rPr>
            <w:rStyle w:val="Hyperlink1"/>
            <w:rFonts w:ascii="Arial" w:hAnsi="Arial" w:cs="Arial"/>
            <w:sz w:val="18"/>
            <w:szCs w:val="18"/>
          </w:rPr>
          <w:t>The effect of alcohol outlets, sales and trading hours on alcohol</w:t>
        </w:r>
        <w:r w:rsidRPr="006B3D1E">
          <w:rPr>
            <w:rStyle w:val="Hyperlink1"/>
            <w:rFonts w:ascii="Cambria Math" w:hAnsi="Cambria Math" w:cs="Cambria Math"/>
            <w:sz w:val="18"/>
            <w:szCs w:val="18"/>
          </w:rPr>
          <w:t>‐</w:t>
        </w:r>
        <w:r w:rsidRPr="006B3D1E">
          <w:rPr>
            <w:rStyle w:val="Hyperlink1"/>
            <w:rFonts w:ascii="Arial" w:hAnsi="Arial" w:cs="Arial"/>
            <w:sz w:val="18"/>
            <w:szCs w:val="18"/>
          </w:rPr>
          <w:t xml:space="preserve">related injuries presenting at emergency departments in Perth, Australia, from 2002 to 2010. </w:t>
        </w:r>
        <w:r w:rsidRPr="00B52DC6">
          <w:rPr>
            <w:rStyle w:val="Hyperlink1"/>
            <w:rFonts w:ascii="Arial" w:hAnsi="Arial" w:cs="Arial"/>
            <w:i/>
            <w:iCs/>
            <w:sz w:val="18"/>
            <w:szCs w:val="18"/>
          </w:rPr>
          <w:t>Addiction</w:t>
        </w:r>
        <w:r w:rsidRPr="006B3D1E">
          <w:rPr>
            <w:rStyle w:val="Hyperlink1"/>
            <w:rFonts w:ascii="Arial" w:hAnsi="Arial" w:cs="Arial"/>
            <w:sz w:val="18"/>
            <w:szCs w:val="18"/>
          </w:rPr>
          <w:t>, 110, 1901-1909.</w:t>
        </w:r>
      </w:hyperlink>
    </w:p>
  </w:footnote>
  <w:footnote w:id="15">
    <w:p w14:paraId="1488FE59"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White, V.M., Durkin, S.J., Coomber, K</w:t>
      </w:r>
      <w:r>
        <w:rPr>
          <w:rFonts w:ascii="Arial" w:hAnsi="Arial" w:cs="Arial"/>
          <w:sz w:val="18"/>
          <w:szCs w:val="18"/>
        </w:rPr>
        <w:t>.</w:t>
      </w:r>
      <w:r w:rsidRPr="00B975C8">
        <w:rPr>
          <w:rFonts w:ascii="Arial" w:hAnsi="Arial" w:cs="Arial"/>
          <w:sz w:val="18"/>
          <w:szCs w:val="18"/>
        </w:rPr>
        <w:t xml:space="preserve">, et al. (2015). </w:t>
      </w:r>
      <w:hyperlink r:id="rId14" w:history="1">
        <w:r w:rsidRPr="006B3D1E">
          <w:rPr>
            <w:rStyle w:val="Hyperlink1"/>
            <w:rFonts w:ascii="Arial" w:hAnsi="Arial" w:cs="Arial"/>
            <w:sz w:val="18"/>
            <w:szCs w:val="18"/>
          </w:rPr>
          <w:t xml:space="preserve">What is the role of tobacco control advertising intensity and duration in reducing adolescent smoking prevalence? Findings from 16 years of tobacco control mass media advertising in Australia. </w:t>
        </w:r>
        <w:r w:rsidRPr="006B3D1E">
          <w:rPr>
            <w:rStyle w:val="Hyperlink1"/>
            <w:rFonts w:ascii="Arial" w:hAnsi="Arial" w:cs="Arial"/>
            <w:i/>
            <w:sz w:val="18"/>
            <w:szCs w:val="18"/>
          </w:rPr>
          <w:t>Tobacco Control</w:t>
        </w:r>
        <w:r w:rsidRPr="006B3D1E">
          <w:rPr>
            <w:rStyle w:val="Hyperlink1"/>
            <w:rFonts w:ascii="Arial" w:hAnsi="Arial" w:cs="Arial"/>
            <w:sz w:val="18"/>
            <w:szCs w:val="18"/>
          </w:rPr>
          <w:t>, 24</w:t>
        </w:r>
        <w:r>
          <w:rPr>
            <w:rStyle w:val="Hyperlink1"/>
            <w:rFonts w:ascii="Arial" w:hAnsi="Arial" w:cs="Arial"/>
            <w:sz w:val="18"/>
            <w:szCs w:val="18"/>
          </w:rPr>
          <w:t xml:space="preserve">, </w:t>
        </w:r>
        <w:r w:rsidRPr="006B3D1E">
          <w:rPr>
            <w:rStyle w:val="Hyperlink1"/>
            <w:rFonts w:ascii="Arial" w:hAnsi="Arial" w:cs="Arial"/>
            <w:sz w:val="18"/>
            <w:szCs w:val="18"/>
          </w:rPr>
          <w:t>198–204</w:t>
        </w:r>
      </w:hyperlink>
      <w:r w:rsidRPr="00B975C8">
        <w:rPr>
          <w:rFonts w:ascii="Arial" w:hAnsi="Arial" w:cs="Arial"/>
          <w:sz w:val="18"/>
          <w:szCs w:val="18"/>
        </w:rPr>
        <w:t>.</w:t>
      </w:r>
    </w:p>
  </w:footnote>
  <w:footnote w:id="16">
    <w:p w14:paraId="669248FD" w14:textId="31FB47D6"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White, V.M., Warne, C.D., Spittal, M.J., et al. (2011). </w:t>
      </w:r>
      <w:hyperlink r:id="rId15" w:history="1">
        <w:r w:rsidRPr="006B3D1E">
          <w:rPr>
            <w:rStyle w:val="Hyperlink1"/>
            <w:rFonts w:ascii="Arial" w:hAnsi="Arial" w:cs="Arial"/>
            <w:sz w:val="18"/>
            <w:szCs w:val="18"/>
          </w:rPr>
          <w:t xml:space="preserve">What impact have tobacco control policies, cigarette price and tobacco control programme funding had on Australian adolescents' smoking? Findings over a 15-year period. </w:t>
        </w:r>
        <w:r w:rsidRPr="006B3D1E">
          <w:rPr>
            <w:rStyle w:val="Hyperlink1"/>
            <w:rFonts w:ascii="Arial" w:hAnsi="Arial" w:cs="Arial"/>
            <w:i/>
            <w:sz w:val="18"/>
            <w:szCs w:val="18"/>
          </w:rPr>
          <w:t xml:space="preserve">Addiction, </w:t>
        </w:r>
        <w:r w:rsidRPr="006B3D1E">
          <w:rPr>
            <w:rStyle w:val="Hyperlink1"/>
            <w:rFonts w:ascii="Arial" w:hAnsi="Arial" w:cs="Arial"/>
            <w:sz w:val="18"/>
            <w:szCs w:val="18"/>
          </w:rPr>
          <w:t>106</w:t>
        </w:r>
        <w:r>
          <w:rPr>
            <w:rStyle w:val="Hyperlink1"/>
            <w:rFonts w:ascii="Arial" w:hAnsi="Arial" w:cs="Arial"/>
            <w:sz w:val="18"/>
            <w:szCs w:val="18"/>
          </w:rPr>
          <w:t xml:space="preserve">, </w:t>
        </w:r>
        <w:r w:rsidRPr="006B3D1E">
          <w:rPr>
            <w:rStyle w:val="Hyperlink1"/>
            <w:rFonts w:ascii="Arial" w:hAnsi="Arial" w:cs="Arial"/>
            <w:sz w:val="18"/>
            <w:szCs w:val="18"/>
          </w:rPr>
          <w:t>1493–</w:t>
        </w:r>
        <w:r w:rsidR="00C14BBF">
          <w:rPr>
            <w:rStyle w:val="Hyperlink1"/>
            <w:rFonts w:ascii="Arial" w:hAnsi="Arial" w:cs="Arial"/>
            <w:sz w:val="18"/>
            <w:szCs w:val="18"/>
          </w:rPr>
          <w:t>1</w:t>
        </w:r>
        <w:r w:rsidRPr="006B3D1E">
          <w:rPr>
            <w:rStyle w:val="Hyperlink1"/>
            <w:rFonts w:ascii="Arial" w:hAnsi="Arial" w:cs="Arial"/>
            <w:sz w:val="18"/>
            <w:szCs w:val="18"/>
          </w:rPr>
          <w:t>502</w:t>
        </w:r>
      </w:hyperlink>
      <w:r>
        <w:rPr>
          <w:rStyle w:val="Hyperlink1"/>
          <w:rFonts w:ascii="Arial" w:hAnsi="Arial" w:cs="Arial"/>
          <w:sz w:val="18"/>
          <w:szCs w:val="18"/>
        </w:rPr>
        <w:t>.</w:t>
      </w:r>
    </w:p>
  </w:footnote>
  <w:footnote w:id="17">
    <w:p w14:paraId="1506F5A5"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Scollo, M., Bayly, M., White, S., </w:t>
      </w:r>
      <w:r>
        <w:rPr>
          <w:rFonts w:ascii="Arial" w:hAnsi="Arial" w:cs="Arial"/>
          <w:sz w:val="18"/>
          <w:szCs w:val="18"/>
        </w:rPr>
        <w:t>et al.</w:t>
      </w:r>
      <w:r w:rsidRPr="00B975C8">
        <w:rPr>
          <w:rFonts w:ascii="Arial" w:hAnsi="Arial" w:cs="Arial"/>
          <w:sz w:val="18"/>
          <w:szCs w:val="18"/>
        </w:rPr>
        <w:t xml:space="preserve"> (2018). </w:t>
      </w:r>
      <w:hyperlink r:id="rId16" w:history="1">
        <w:r w:rsidRPr="006B3D1E">
          <w:rPr>
            <w:rStyle w:val="Hyperlink1"/>
            <w:rFonts w:ascii="Arial" w:hAnsi="Arial" w:cs="Arial"/>
            <w:sz w:val="18"/>
            <w:szCs w:val="18"/>
          </w:rPr>
          <w:t xml:space="preserve">Tobacco product developments in the Australian market in the 4 years following plain packaging. </w:t>
        </w:r>
        <w:r w:rsidRPr="006B3D1E">
          <w:rPr>
            <w:rStyle w:val="Hyperlink1"/>
            <w:rFonts w:ascii="Arial" w:hAnsi="Arial" w:cs="Arial"/>
            <w:i/>
            <w:sz w:val="18"/>
            <w:szCs w:val="18"/>
          </w:rPr>
          <w:t xml:space="preserve">Tobacco </w:t>
        </w:r>
        <w:r>
          <w:rPr>
            <w:rStyle w:val="Hyperlink1"/>
            <w:rFonts w:ascii="Arial" w:hAnsi="Arial" w:cs="Arial"/>
            <w:i/>
            <w:sz w:val="18"/>
            <w:szCs w:val="18"/>
          </w:rPr>
          <w:t>C</w:t>
        </w:r>
        <w:r w:rsidRPr="006B3D1E">
          <w:rPr>
            <w:rStyle w:val="Hyperlink1"/>
            <w:rFonts w:ascii="Arial" w:hAnsi="Arial" w:cs="Arial"/>
            <w:i/>
            <w:sz w:val="18"/>
            <w:szCs w:val="18"/>
          </w:rPr>
          <w:t>ontrol</w:t>
        </w:r>
        <w:r w:rsidRPr="006B3D1E">
          <w:rPr>
            <w:rStyle w:val="Hyperlink1"/>
            <w:rFonts w:ascii="Arial" w:hAnsi="Arial" w:cs="Arial"/>
            <w:sz w:val="18"/>
            <w:szCs w:val="18"/>
          </w:rPr>
          <w:t>, 27, 580-584</w:t>
        </w:r>
      </w:hyperlink>
      <w:r w:rsidRPr="00B975C8">
        <w:rPr>
          <w:rFonts w:ascii="Arial" w:hAnsi="Arial" w:cs="Arial"/>
          <w:sz w:val="18"/>
          <w:szCs w:val="18"/>
        </w:rPr>
        <w:t>.</w:t>
      </w:r>
    </w:p>
  </w:footnote>
  <w:footnote w:id="18">
    <w:p w14:paraId="470A655A"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White, V.</w:t>
      </w:r>
      <w:r>
        <w:rPr>
          <w:rFonts w:ascii="Arial" w:hAnsi="Arial" w:cs="Arial"/>
          <w:sz w:val="18"/>
          <w:szCs w:val="18"/>
        </w:rPr>
        <w:t>,</w:t>
      </w:r>
      <w:r w:rsidRPr="00B975C8">
        <w:rPr>
          <w:rFonts w:ascii="Arial" w:hAnsi="Arial" w:cs="Arial"/>
          <w:sz w:val="18"/>
          <w:szCs w:val="18"/>
        </w:rPr>
        <w:t xml:space="preserve"> &amp; Williams, T. (2016). </w:t>
      </w:r>
      <w:hyperlink r:id="rId17" w:history="1">
        <w:r w:rsidRPr="006B3D1E">
          <w:rPr>
            <w:rStyle w:val="Hyperlink1"/>
            <w:rFonts w:ascii="Arial" w:hAnsi="Arial" w:cs="Arial"/>
            <w:sz w:val="18"/>
            <w:szCs w:val="18"/>
          </w:rPr>
          <w:t xml:space="preserve">Australian secondary school students’ use of tobacco, alcohol, and over-the-counter and illicit substances in 2014. </w:t>
        </w:r>
        <w:r>
          <w:rPr>
            <w:rStyle w:val="Hyperlink1"/>
            <w:rFonts w:ascii="Arial" w:hAnsi="Arial" w:cs="Arial"/>
            <w:sz w:val="18"/>
            <w:szCs w:val="18"/>
          </w:rPr>
          <w:t>Melbourne: C</w:t>
        </w:r>
        <w:r w:rsidRPr="00DE7D64">
          <w:rPr>
            <w:rStyle w:val="Hyperlink1"/>
            <w:rFonts w:ascii="Arial" w:hAnsi="Arial" w:cs="Arial"/>
            <w:sz w:val="18"/>
            <w:szCs w:val="18"/>
          </w:rPr>
          <w:t>ancer Council Victoria</w:t>
        </w:r>
        <w:r>
          <w:rPr>
            <w:rStyle w:val="Hyperlink1"/>
            <w:rFonts w:ascii="Arial" w:hAnsi="Arial" w:cs="Arial"/>
            <w:sz w:val="18"/>
            <w:szCs w:val="18"/>
          </w:rPr>
          <w:t>.</w:t>
        </w:r>
      </w:hyperlink>
      <w:r w:rsidRPr="00B975C8">
        <w:rPr>
          <w:rFonts w:ascii="Arial" w:hAnsi="Arial" w:cs="Arial"/>
          <w:sz w:val="18"/>
          <w:szCs w:val="18"/>
        </w:rPr>
        <w:t xml:space="preserve"> </w:t>
      </w:r>
    </w:p>
  </w:footnote>
  <w:footnote w:id="19">
    <w:p w14:paraId="74DF0030"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t>
      </w:r>
      <w:r w:rsidRPr="00B975C8">
        <w:rPr>
          <w:rFonts w:ascii="Arial" w:hAnsi="Arial" w:cs="Arial"/>
          <w:sz w:val="18"/>
          <w:szCs w:val="18"/>
          <w:lang w:val="en-AU"/>
        </w:rPr>
        <w:t>Guerin &amp; White, 20</w:t>
      </w:r>
      <w:r>
        <w:rPr>
          <w:rFonts w:ascii="Arial" w:hAnsi="Arial" w:cs="Arial"/>
          <w:sz w:val="18"/>
          <w:szCs w:val="18"/>
          <w:lang w:val="en-AU"/>
        </w:rPr>
        <w:t>20.</w:t>
      </w:r>
    </w:p>
  </w:footnote>
  <w:footnote w:id="20">
    <w:p w14:paraId="1E479193"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t>
      </w:r>
      <w:r w:rsidRPr="00B975C8">
        <w:rPr>
          <w:rFonts w:ascii="Arial" w:hAnsi="Arial" w:cs="Arial"/>
          <w:color w:val="222222"/>
          <w:sz w:val="18"/>
          <w:szCs w:val="18"/>
          <w:shd w:val="clear" w:color="auto" w:fill="FFFFFF"/>
        </w:rPr>
        <w:t xml:space="preserve">Pierce, J. P., White, V. M., &amp; Emery, S. L. (2012). </w:t>
      </w:r>
      <w:hyperlink r:id="rId18" w:history="1">
        <w:r w:rsidRPr="006B3D1E">
          <w:rPr>
            <w:rStyle w:val="Hyperlink1"/>
            <w:rFonts w:ascii="Arial" w:hAnsi="Arial" w:cs="Arial"/>
            <w:sz w:val="18"/>
            <w:szCs w:val="18"/>
            <w:shd w:val="clear" w:color="auto" w:fill="FFFFFF"/>
          </w:rPr>
          <w:t>What public health strategies are needed to reduce smoking initiation? </w:t>
        </w:r>
        <w:r w:rsidRPr="006B3D1E">
          <w:rPr>
            <w:rStyle w:val="Hyperlink1"/>
            <w:rFonts w:ascii="Arial" w:hAnsi="Arial" w:cs="Arial"/>
            <w:i/>
            <w:iCs/>
            <w:sz w:val="18"/>
            <w:szCs w:val="18"/>
            <w:shd w:val="clear" w:color="auto" w:fill="FFFFFF"/>
          </w:rPr>
          <w:t>Tobacco Control</w:t>
        </w:r>
        <w:r w:rsidRPr="006B3D1E">
          <w:rPr>
            <w:rStyle w:val="Hyperlink1"/>
            <w:rFonts w:ascii="Arial" w:hAnsi="Arial" w:cs="Arial"/>
            <w:sz w:val="18"/>
            <w:szCs w:val="18"/>
            <w:shd w:val="clear" w:color="auto" w:fill="FFFFFF"/>
          </w:rPr>
          <w:t>, </w:t>
        </w:r>
        <w:r w:rsidRPr="00DE7D64">
          <w:rPr>
            <w:rStyle w:val="Hyperlink1"/>
            <w:rFonts w:ascii="Arial" w:hAnsi="Arial" w:cs="Arial"/>
            <w:sz w:val="18"/>
            <w:szCs w:val="18"/>
            <w:shd w:val="clear" w:color="auto" w:fill="FFFFFF"/>
          </w:rPr>
          <w:t>21</w:t>
        </w:r>
        <w:r w:rsidRPr="006B3D1E">
          <w:rPr>
            <w:rStyle w:val="Hyperlink1"/>
            <w:rFonts w:ascii="Arial" w:hAnsi="Arial" w:cs="Arial"/>
            <w:sz w:val="18"/>
            <w:szCs w:val="18"/>
            <w:shd w:val="clear" w:color="auto" w:fill="FFFFFF"/>
          </w:rPr>
          <w:t>, 258-264</w:t>
        </w:r>
      </w:hyperlink>
      <w:r w:rsidRPr="00B975C8">
        <w:rPr>
          <w:rFonts w:ascii="Arial" w:hAnsi="Arial" w:cs="Arial"/>
          <w:color w:val="222222"/>
          <w:sz w:val="18"/>
          <w:szCs w:val="18"/>
          <w:shd w:val="clear" w:color="auto" w:fill="FFFFFF"/>
        </w:rPr>
        <w:t>.</w:t>
      </w:r>
    </w:p>
  </w:footnote>
  <w:footnote w:id="21">
    <w:p w14:paraId="4BD28E37"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Hagström, H., Hemmingsson, T., Discacciati, A.,</w:t>
      </w:r>
      <w:r>
        <w:rPr>
          <w:rFonts w:ascii="Arial" w:hAnsi="Arial" w:cs="Arial"/>
          <w:sz w:val="18"/>
          <w:szCs w:val="18"/>
        </w:rPr>
        <w:t xml:space="preserve"> et al</w:t>
      </w:r>
      <w:r w:rsidRPr="00B975C8">
        <w:rPr>
          <w:rFonts w:ascii="Arial" w:hAnsi="Arial" w:cs="Arial"/>
          <w:sz w:val="18"/>
          <w:szCs w:val="18"/>
        </w:rPr>
        <w:t xml:space="preserve">. (2018). </w:t>
      </w:r>
      <w:hyperlink r:id="rId19" w:history="1">
        <w:r w:rsidRPr="006B3D1E">
          <w:rPr>
            <w:rStyle w:val="Hyperlink1"/>
            <w:rFonts w:ascii="Arial" w:hAnsi="Arial" w:cs="Arial"/>
            <w:sz w:val="18"/>
            <w:szCs w:val="18"/>
          </w:rPr>
          <w:t xml:space="preserve">Alcohol consumption in late adolescence is associated with an increased risk of severe liver disease later in life. </w:t>
        </w:r>
        <w:r w:rsidRPr="006B3D1E">
          <w:rPr>
            <w:rStyle w:val="Hyperlink1"/>
            <w:rFonts w:ascii="Arial" w:hAnsi="Arial" w:cs="Arial"/>
            <w:i/>
            <w:sz w:val="18"/>
            <w:szCs w:val="18"/>
          </w:rPr>
          <w:t>Journal of Hepatology</w:t>
        </w:r>
        <w:r w:rsidRPr="006B3D1E">
          <w:rPr>
            <w:rStyle w:val="Hyperlink1"/>
            <w:rFonts w:ascii="Arial" w:hAnsi="Arial" w:cs="Arial"/>
            <w:sz w:val="18"/>
            <w:szCs w:val="18"/>
          </w:rPr>
          <w:t>, 68, 505-510</w:t>
        </w:r>
      </w:hyperlink>
      <w:r w:rsidRPr="00B975C8">
        <w:rPr>
          <w:rFonts w:ascii="Arial" w:hAnsi="Arial" w:cs="Arial"/>
          <w:sz w:val="18"/>
          <w:szCs w:val="18"/>
        </w:rPr>
        <w:t>.</w:t>
      </w:r>
    </w:p>
  </w:footnote>
  <w:footnote w:id="22">
    <w:p w14:paraId="67A6BC0E"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Waldron, J. S., Malone, S. M., McGue, M.,</w:t>
      </w:r>
      <w:r>
        <w:rPr>
          <w:rFonts w:ascii="Arial" w:hAnsi="Arial" w:cs="Arial"/>
          <w:sz w:val="18"/>
          <w:szCs w:val="18"/>
        </w:rPr>
        <w:t xml:space="preserve"> et al</w:t>
      </w:r>
      <w:r w:rsidRPr="00B975C8">
        <w:rPr>
          <w:rFonts w:ascii="Arial" w:hAnsi="Arial" w:cs="Arial"/>
          <w:sz w:val="18"/>
          <w:szCs w:val="18"/>
        </w:rPr>
        <w:t xml:space="preserve">. (2018). </w:t>
      </w:r>
      <w:hyperlink r:id="rId20" w:history="1">
        <w:r w:rsidRPr="006B3D1E">
          <w:rPr>
            <w:rStyle w:val="Hyperlink1"/>
            <w:rFonts w:ascii="Arial" w:hAnsi="Arial" w:cs="Arial"/>
            <w:sz w:val="18"/>
            <w:szCs w:val="18"/>
          </w:rPr>
          <w:t xml:space="preserve">A co-twin control study of the relationship between adolescent drinking and adult outcomes. </w:t>
        </w:r>
        <w:r w:rsidRPr="006B3D1E">
          <w:rPr>
            <w:rStyle w:val="Hyperlink1"/>
            <w:rFonts w:ascii="Arial" w:hAnsi="Arial" w:cs="Arial"/>
            <w:i/>
            <w:sz w:val="18"/>
            <w:szCs w:val="18"/>
          </w:rPr>
          <w:t>Journal of Studies on Alcohol and Drugs</w:t>
        </w:r>
        <w:r w:rsidRPr="006B3D1E">
          <w:rPr>
            <w:rStyle w:val="Hyperlink1"/>
            <w:rFonts w:ascii="Arial" w:hAnsi="Arial" w:cs="Arial"/>
            <w:sz w:val="18"/>
            <w:szCs w:val="18"/>
          </w:rPr>
          <w:t>, 79, 635-643</w:t>
        </w:r>
      </w:hyperlink>
      <w:r w:rsidRPr="00B975C8">
        <w:rPr>
          <w:rFonts w:ascii="Arial" w:hAnsi="Arial" w:cs="Arial"/>
          <w:sz w:val="18"/>
          <w:szCs w:val="18"/>
        </w:rPr>
        <w:t>.</w:t>
      </w:r>
    </w:p>
  </w:footnote>
  <w:footnote w:id="23">
    <w:p w14:paraId="02894A65" w14:textId="77777777" w:rsidR="00545FF4" w:rsidRPr="00B975C8" w:rsidRDefault="00545FF4" w:rsidP="00D2066F">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Newton</w:t>
      </w:r>
      <w:r w:rsidRPr="00B975C8">
        <w:rPr>
          <w:rFonts w:ascii="Cambria Math" w:hAnsi="Cambria Math" w:cs="Cambria Math"/>
          <w:sz w:val="18"/>
          <w:szCs w:val="18"/>
        </w:rPr>
        <w:t>‐</w:t>
      </w:r>
      <w:r w:rsidRPr="00B975C8">
        <w:rPr>
          <w:rFonts w:ascii="Arial" w:hAnsi="Arial" w:cs="Arial"/>
          <w:sz w:val="18"/>
          <w:szCs w:val="18"/>
        </w:rPr>
        <w:t xml:space="preserve">Howes, G., &amp; Boden, J. M. (2016). </w:t>
      </w:r>
      <w:hyperlink r:id="rId21" w:history="1">
        <w:r w:rsidRPr="006B3D1E">
          <w:rPr>
            <w:rStyle w:val="Hyperlink1"/>
            <w:rFonts w:ascii="Arial" w:hAnsi="Arial" w:cs="Arial"/>
            <w:sz w:val="18"/>
            <w:szCs w:val="18"/>
          </w:rPr>
          <w:t>Relation between age of first drinking and mental health and alcohol and drug disorders in adulthood: evidence from a 35</w:t>
        </w:r>
        <w:r w:rsidRPr="006B3D1E">
          <w:rPr>
            <w:rStyle w:val="Hyperlink1"/>
            <w:rFonts w:ascii="Cambria Math" w:hAnsi="Cambria Math" w:cs="Cambria Math"/>
            <w:sz w:val="18"/>
            <w:szCs w:val="18"/>
          </w:rPr>
          <w:t>‐</w:t>
        </w:r>
        <w:r w:rsidRPr="006B3D1E">
          <w:rPr>
            <w:rStyle w:val="Hyperlink1"/>
            <w:rFonts w:ascii="Arial" w:hAnsi="Arial" w:cs="Arial"/>
            <w:sz w:val="18"/>
            <w:szCs w:val="18"/>
          </w:rPr>
          <w:t xml:space="preserve">year cohort study. </w:t>
        </w:r>
        <w:r w:rsidRPr="006B3D1E">
          <w:rPr>
            <w:rStyle w:val="Hyperlink1"/>
            <w:rFonts w:ascii="Arial" w:hAnsi="Arial" w:cs="Arial"/>
            <w:i/>
            <w:sz w:val="18"/>
            <w:szCs w:val="18"/>
          </w:rPr>
          <w:t>Addiction</w:t>
        </w:r>
        <w:r w:rsidRPr="006B3D1E">
          <w:rPr>
            <w:rStyle w:val="Hyperlink1"/>
            <w:rFonts w:ascii="Arial" w:hAnsi="Arial" w:cs="Arial"/>
            <w:sz w:val="18"/>
            <w:szCs w:val="18"/>
          </w:rPr>
          <w:t>, 111, 637-644</w:t>
        </w:r>
      </w:hyperlink>
      <w:r w:rsidRPr="00B975C8">
        <w:rPr>
          <w:rFonts w:ascii="Arial" w:hAnsi="Arial" w:cs="Arial"/>
          <w:sz w:val="18"/>
          <w:szCs w:val="18"/>
        </w:rPr>
        <w:t>.</w:t>
      </w:r>
    </w:p>
  </w:footnote>
  <w:footnote w:id="24">
    <w:p w14:paraId="0BF60F9E" w14:textId="77777777" w:rsidR="00545FF4" w:rsidRPr="00B975C8" w:rsidRDefault="00545FF4" w:rsidP="00A95D56">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Azar, D., White, V., Coomber, K., </w:t>
      </w:r>
      <w:r>
        <w:rPr>
          <w:rFonts w:ascii="Arial" w:hAnsi="Arial" w:cs="Arial"/>
          <w:sz w:val="18"/>
          <w:szCs w:val="18"/>
        </w:rPr>
        <w:t>et al</w:t>
      </w:r>
      <w:r w:rsidRPr="00B975C8">
        <w:rPr>
          <w:rFonts w:ascii="Arial" w:hAnsi="Arial" w:cs="Arial"/>
          <w:sz w:val="18"/>
          <w:szCs w:val="18"/>
        </w:rPr>
        <w:t xml:space="preserve">. (2016). </w:t>
      </w:r>
      <w:hyperlink r:id="rId22" w:history="1">
        <w:r w:rsidRPr="000B16B2">
          <w:rPr>
            <w:rStyle w:val="Hyperlink1"/>
            <w:rFonts w:ascii="Arial" w:hAnsi="Arial" w:cs="Arial"/>
            <w:sz w:val="18"/>
            <w:szCs w:val="18"/>
          </w:rPr>
          <w:t xml:space="preserve">The association between alcohol outlet density and alcohol use among urban and regional Australian adolescents. </w:t>
        </w:r>
        <w:r w:rsidRPr="000B16B2">
          <w:rPr>
            <w:rStyle w:val="Hyperlink1"/>
            <w:rFonts w:ascii="Arial" w:hAnsi="Arial" w:cs="Arial"/>
            <w:i/>
            <w:sz w:val="18"/>
            <w:szCs w:val="18"/>
          </w:rPr>
          <w:t>Addiction</w:t>
        </w:r>
        <w:r w:rsidRPr="000B16B2">
          <w:rPr>
            <w:rStyle w:val="Hyperlink1"/>
            <w:rFonts w:ascii="Arial" w:hAnsi="Arial" w:cs="Arial"/>
            <w:sz w:val="18"/>
            <w:szCs w:val="18"/>
          </w:rPr>
          <w:t>, 111, 65–72</w:t>
        </w:r>
      </w:hyperlink>
      <w:r w:rsidRPr="00B975C8">
        <w:rPr>
          <w:rFonts w:ascii="Arial" w:hAnsi="Arial" w:cs="Arial"/>
          <w:sz w:val="18"/>
          <w:szCs w:val="18"/>
        </w:rPr>
        <w:t>.</w:t>
      </w:r>
    </w:p>
  </w:footnote>
  <w:footnote w:id="25">
    <w:p w14:paraId="79C1E7BA" w14:textId="77777777" w:rsidR="00545FF4" w:rsidRPr="00B975C8" w:rsidRDefault="00545FF4" w:rsidP="00A95D56">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Sartori, A., Stoneham, M., &amp; Edmunds, M. (2018). </w:t>
      </w:r>
      <w:hyperlink r:id="rId23" w:history="1">
        <w:r w:rsidRPr="000B16B2">
          <w:rPr>
            <w:rStyle w:val="Hyperlink1"/>
            <w:rFonts w:ascii="Arial" w:hAnsi="Arial" w:cs="Arial"/>
            <w:sz w:val="18"/>
            <w:szCs w:val="18"/>
          </w:rPr>
          <w:t xml:space="preserve">Unhealthy sponsorship in sport: a case study of the AFL. </w:t>
        </w:r>
        <w:r w:rsidRPr="000B16B2">
          <w:rPr>
            <w:rStyle w:val="Hyperlink1"/>
            <w:rFonts w:ascii="Arial" w:hAnsi="Arial" w:cs="Arial"/>
            <w:i/>
            <w:sz w:val="18"/>
            <w:szCs w:val="18"/>
          </w:rPr>
          <w:t>Australian and New Zealand Journal of Public Health</w:t>
        </w:r>
        <w:r w:rsidRPr="000B16B2">
          <w:rPr>
            <w:rStyle w:val="Hyperlink1"/>
            <w:rFonts w:ascii="Arial" w:hAnsi="Arial" w:cs="Arial"/>
            <w:sz w:val="18"/>
            <w:szCs w:val="18"/>
          </w:rPr>
          <w:t>, 42, 474-479</w:t>
        </w:r>
      </w:hyperlink>
      <w:r w:rsidRPr="00B975C8">
        <w:rPr>
          <w:rFonts w:ascii="Arial" w:hAnsi="Arial" w:cs="Arial"/>
          <w:sz w:val="18"/>
          <w:szCs w:val="18"/>
        </w:rPr>
        <w:t>.</w:t>
      </w:r>
    </w:p>
  </w:footnote>
  <w:footnote w:id="26">
    <w:p w14:paraId="1EE3C7C7" w14:textId="77777777" w:rsidR="00545FF4" w:rsidRPr="00DA51B6" w:rsidRDefault="00545FF4" w:rsidP="00A95D56">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Anderson, P., De Bruijn, A., Angus, K., </w:t>
      </w:r>
      <w:r>
        <w:rPr>
          <w:rFonts w:ascii="Arial" w:hAnsi="Arial" w:cs="Arial"/>
          <w:sz w:val="18"/>
          <w:szCs w:val="18"/>
        </w:rPr>
        <w:t>et al</w:t>
      </w:r>
      <w:r w:rsidRPr="00B975C8">
        <w:rPr>
          <w:rFonts w:ascii="Arial" w:hAnsi="Arial" w:cs="Arial"/>
          <w:sz w:val="18"/>
          <w:szCs w:val="18"/>
        </w:rPr>
        <w:t xml:space="preserve">. (2009). </w:t>
      </w:r>
      <w:hyperlink r:id="rId24" w:history="1">
        <w:r w:rsidRPr="000B16B2">
          <w:rPr>
            <w:rStyle w:val="Hyperlink1"/>
            <w:rFonts w:ascii="Arial" w:hAnsi="Arial" w:cs="Arial"/>
            <w:sz w:val="18"/>
            <w:szCs w:val="18"/>
          </w:rPr>
          <w:t xml:space="preserve">Impact of alcohol advertising and media exposure on adolescent alcohol use: a systematic review of longitudinal studies. </w:t>
        </w:r>
        <w:r w:rsidRPr="000B16B2">
          <w:rPr>
            <w:rStyle w:val="Hyperlink1"/>
            <w:rFonts w:ascii="Arial" w:hAnsi="Arial" w:cs="Arial"/>
            <w:i/>
            <w:sz w:val="18"/>
            <w:szCs w:val="18"/>
          </w:rPr>
          <w:t>Alcohol and Alcoholism</w:t>
        </w:r>
        <w:r w:rsidRPr="000B16B2">
          <w:rPr>
            <w:rStyle w:val="Hyperlink1"/>
            <w:rFonts w:ascii="Arial" w:hAnsi="Arial" w:cs="Arial"/>
            <w:sz w:val="18"/>
            <w:szCs w:val="18"/>
          </w:rPr>
          <w:t>, 44, 229-243</w:t>
        </w:r>
      </w:hyperlink>
      <w:r w:rsidRPr="00B975C8">
        <w:rPr>
          <w:rFonts w:ascii="Arial" w:hAnsi="Arial" w:cs="Arial"/>
          <w:sz w:val="18"/>
          <w:szCs w:val="18"/>
        </w:rPr>
        <w:t>.</w:t>
      </w:r>
    </w:p>
  </w:footnote>
  <w:footnote w:id="27">
    <w:p w14:paraId="08513201" w14:textId="77777777" w:rsidR="00545FF4" w:rsidRPr="00B975C8" w:rsidRDefault="00545FF4" w:rsidP="00A95D56">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Zuckermann, A. M., Williams, G., Battista, K., </w:t>
      </w:r>
      <w:r>
        <w:rPr>
          <w:rFonts w:ascii="Arial" w:hAnsi="Arial" w:cs="Arial"/>
          <w:sz w:val="18"/>
          <w:szCs w:val="18"/>
        </w:rPr>
        <w:t>et al.</w:t>
      </w:r>
      <w:r w:rsidRPr="00B975C8">
        <w:rPr>
          <w:rFonts w:ascii="Arial" w:hAnsi="Arial" w:cs="Arial"/>
          <w:sz w:val="18"/>
          <w:szCs w:val="18"/>
        </w:rPr>
        <w:t xml:space="preserve"> (2019). </w:t>
      </w:r>
      <w:hyperlink r:id="rId25" w:history="1">
        <w:r w:rsidRPr="00AD0C46">
          <w:rPr>
            <w:rStyle w:val="Hyperlink1"/>
            <w:rFonts w:ascii="Arial" w:hAnsi="Arial" w:cs="Arial"/>
            <w:sz w:val="18"/>
            <w:szCs w:val="18"/>
          </w:rPr>
          <w:t xml:space="preserve">Trends of poly-substance use among Canadian youth. </w:t>
        </w:r>
        <w:r w:rsidRPr="00AD0C46">
          <w:rPr>
            <w:rStyle w:val="Hyperlink1"/>
            <w:rFonts w:ascii="Arial" w:hAnsi="Arial" w:cs="Arial"/>
            <w:i/>
            <w:sz w:val="18"/>
            <w:szCs w:val="18"/>
          </w:rPr>
          <w:t>Addictive Behaviors Reports</w:t>
        </w:r>
        <w:r w:rsidRPr="00AD0C46">
          <w:rPr>
            <w:rStyle w:val="Hyperlink1"/>
            <w:rFonts w:ascii="Arial" w:hAnsi="Arial" w:cs="Arial"/>
            <w:sz w:val="18"/>
            <w:szCs w:val="18"/>
          </w:rPr>
          <w:t>,</w:t>
        </w:r>
        <w:r>
          <w:rPr>
            <w:rStyle w:val="Hyperlink1"/>
            <w:rFonts w:ascii="Arial" w:hAnsi="Arial" w:cs="Arial"/>
            <w:sz w:val="18"/>
            <w:szCs w:val="18"/>
          </w:rPr>
          <w:t xml:space="preserve"> 10,</w:t>
        </w:r>
        <w:r w:rsidRPr="00AD0C46">
          <w:rPr>
            <w:rStyle w:val="Hyperlink1"/>
            <w:rFonts w:ascii="Arial" w:hAnsi="Arial" w:cs="Arial"/>
            <w:sz w:val="18"/>
            <w:szCs w:val="18"/>
          </w:rPr>
          <w:t xml:space="preserve"> 100189</w:t>
        </w:r>
      </w:hyperlink>
      <w:r w:rsidRPr="00B975C8">
        <w:rPr>
          <w:rFonts w:ascii="Arial" w:hAnsi="Arial" w:cs="Arial"/>
          <w:sz w:val="18"/>
          <w:szCs w:val="18"/>
        </w:rPr>
        <w:t>.</w:t>
      </w:r>
    </w:p>
  </w:footnote>
  <w:footnote w:id="28">
    <w:p w14:paraId="2DF8173F" w14:textId="77777777" w:rsidR="00545FF4" w:rsidRPr="00B975C8" w:rsidRDefault="00545FF4" w:rsidP="00A95D56">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t>
      </w:r>
      <w:r w:rsidRPr="00B975C8">
        <w:rPr>
          <w:rFonts w:ascii="Arial" w:hAnsi="Arial" w:cs="Arial"/>
          <w:sz w:val="18"/>
          <w:szCs w:val="18"/>
          <w:lang w:val="en-AU"/>
        </w:rPr>
        <w:t>Guerin &amp; White, 20</w:t>
      </w:r>
      <w:r>
        <w:rPr>
          <w:rFonts w:ascii="Arial" w:hAnsi="Arial" w:cs="Arial"/>
          <w:sz w:val="18"/>
          <w:szCs w:val="18"/>
          <w:lang w:val="en-AU"/>
        </w:rPr>
        <w:t>20.</w:t>
      </w:r>
    </w:p>
  </w:footnote>
  <w:footnote w:id="29">
    <w:p w14:paraId="21A09F49" w14:textId="77777777" w:rsidR="00545FF4" w:rsidRPr="00B975C8" w:rsidRDefault="00545FF4" w:rsidP="00A95D56">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Dodge, K. A., Malone, P. S., Lansford, J. E.,</w:t>
      </w:r>
      <w:r>
        <w:rPr>
          <w:rFonts w:ascii="Arial" w:hAnsi="Arial" w:cs="Arial"/>
          <w:sz w:val="18"/>
          <w:szCs w:val="18"/>
        </w:rPr>
        <w:t xml:space="preserve"> et al. </w:t>
      </w:r>
      <w:r w:rsidRPr="00B975C8">
        <w:rPr>
          <w:rFonts w:ascii="Arial" w:hAnsi="Arial" w:cs="Arial"/>
          <w:sz w:val="18"/>
          <w:szCs w:val="18"/>
        </w:rPr>
        <w:t xml:space="preserve">(2009). </w:t>
      </w:r>
      <w:hyperlink r:id="rId26" w:history="1">
        <w:r w:rsidRPr="00AD0C46">
          <w:rPr>
            <w:rStyle w:val="Hyperlink1"/>
            <w:rFonts w:ascii="Arial" w:hAnsi="Arial" w:cs="Arial"/>
            <w:sz w:val="18"/>
            <w:szCs w:val="18"/>
          </w:rPr>
          <w:t xml:space="preserve">A dynamic cascade model of the development of substance-use onset. </w:t>
        </w:r>
        <w:r w:rsidRPr="00AD0C46">
          <w:rPr>
            <w:rStyle w:val="Hyperlink1"/>
            <w:rFonts w:ascii="Arial" w:hAnsi="Arial" w:cs="Arial"/>
            <w:i/>
            <w:sz w:val="18"/>
            <w:szCs w:val="18"/>
          </w:rPr>
          <w:t>Monographs of the Society for Research in Child Development</w:t>
        </w:r>
        <w:r w:rsidRPr="00AD0C46">
          <w:rPr>
            <w:rStyle w:val="Hyperlink1"/>
            <w:rFonts w:ascii="Arial" w:hAnsi="Arial" w:cs="Arial"/>
            <w:sz w:val="18"/>
            <w:szCs w:val="18"/>
          </w:rPr>
          <w:t>, 74, vii-119</w:t>
        </w:r>
      </w:hyperlink>
      <w:r w:rsidRPr="00B975C8">
        <w:rPr>
          <w:rFonts w:ascii="Arial" w:hAnsi="Arial" w:cs="Arial"/>
          <w:sz w:val="18"/>
          <w:szCs w:val="18"/>
        </w:rPr>
        <w:t>.</w:t>
      </w:r>
    </w:p>
  </w:footnote>
  <w:footnote w:id="30">
    <w:p w14:paraId="39D8ED8E" w14:textId="77777777" w:rsidR="00545FF4" w:rsidRPr="00B975C8" w:rsidRDefault="00545FF4" w:rsidP="00BD401A">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Lewycka, S., Clark, T., Peiris-John, R.,</w:t>
      </w:r>
      <w:r>
        <w:rPr>
          <w:rFonts w:ascii="Arial" w:hAnsi="Arial" w:cs="Arial"/>
          <w:sz w:val="18"/>
          <w:szCs w:val="18"/>
        </w:rPr>
        <w:t xml:space="preserve"> et al. </w:t>
      </w:r>
      <w:r w:rsidRPr="00B975C8">
        <w:rPr>
          <w:rFonts w:ascii="Arial" w:hAnsi="Arial" w:cs="Arial"/>
          <w:sz w:val="18"/>
          <w:szCs w:val="18"/>
        </w:rPr>
        <w:t xml:space="preserve">(2018). </w:t>
      </w:r>
      <w:hyperlink r:id="rId27" w:history="1">
        <w:r w:rsidRPr="00AD0C46">
          <w:rPr>
            <w:rStyle w:val="Hyperlink1"/>
            <w:rFonts w:ascii="Arial" w:hAnsi="Arial" w:cs="Arial"/>
            <w:sz w:val="18"/>
            <w:szCs w:val="18"/>
          </w:rPr>
          <w:t xml:space="preserve">Downwards trends in adolescent risk-taking behaviours in New Zealand: Exploring driving forces for change. </w:t>
        </w:r>
        <w:r w:rsidRPr="00AD0C46">
          <w:rPr>
            <w:rStyle w:val="Hyperlink1"/>
            <w:rFonts w:ascii="Arial" w:hAnsi="Arial" w:cs="Arial"/>
            <w:i/>
            <w:sz w:val="18"/>
            <w:szCs w:val="18"/>
          </w:rPr>
          <w:t>Journal of Paediatrics and Child Health</w:t>
        </w:r>
        <w:r w:rsidRPr="00AD0C46">
          <w:rPr>
            <w:rStyle w:val="Hyperlink1"/>
            <w:rFonts w:ascii="Arial" w:hAnsi="Arial" w:cs="Arial"/>
            <w:sz w:val="18"/>
            <w:szCs w:val="18"/>
          </w:rPr>
          <w:t>, 54</w:t>
        </w:r>
        <w:r>
          <w:rPr>
            <w:rStyle w:val="Hyperlink1"/>
            <w:rFonts w:ascii="Arial" w:hAnsi="Arial" w:cs="Arial"/>
            <w:sz w:val="18"/>
            <w:szCs w:val="18"/>
          </w:rPr>
          <w:t>, 602-608.</w:t>
        </w:r>
      </w:hyperlink>
    </w:p>
  </w:footnote>
  <w:footnote w:id="31">
    <w:p w14:paraId="2B28D85F" w14:textId="77777777" w:rsidR="00545FF4" w:rsidRPr="00B975C8" w:rsidRDefault="00545FF4" w:rsidP="00BD401A">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t>
      </w:r>
      <w:r w:rsidRPr="00B975C8">
        <w:rPr>
          <w:rFonts w:ascii="Arial" w:hAnsi="Arial" w:cs="Arial"/>
          <w:sz w:val="18"/>
          <w:szCs w:val="18"/>
          <w:lang w:val="en-AU"/>
        </w:rPr>
        <w:t>Anderson et al., 2009</w:t>
      </w:r>
      <w:r>
        <w:rPr>
          <w:rFonts w:ascii="Arial" w:hAnsi="Arial" w:cs="Arial"/>
          <w:sz w:val="18"/>
          <w:szCs w:val="18"/>
          <w:lang w:val="en-AU"/>
        </w:rPr>
        <w:t>.</w:t>
      </w:r>
    </w:p>
  </w:footnote>
  <w:footnote w:id="32">
    <w:p w14:paraId="59018D73" w14:textId="77777777" w:rsidR="00545FF4" w:rsidRPr="00B975C8" w:rsidRDefault="00545FF4" w:rsidP="00BD401A">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White, V., Azar, D., Faulkner, A., </w:t>
      </w:r>
      <w:r>
        <w:rPr>
          <w:rFonts w:ascii="Arial" w:hAnsi="Arial" w:cs="Arial"/>
          <w:sz w:val="18"/>
          <w:szCs w:val="18"/>
        </w:rPr>
        <w:t>et al</w:t>
      </w:r>
      <w:r w:rsidRPr="00B975C8">
        <w:rPr>
          <w:rFonts w:ascii="Arial" w:hAnsi="Arial" w:cs="Arial"/>
          <w:sz w:val="18"/>
          <w:szCs w:val="18"/>
        </w:rPr>
        <w:t xml:space="preserve">. (2017). </w:t>
      </w:r>
      <w:hyperlink r:id="rId28" w:history="1">
        <w:r w:rsidRPr="00AD0C46">
          <w:rPr>
            <w:rStyle w:val="Hyperlink1"/>
            <w:rFonts w:ascii="Arial" w:hAnsi="Arial" w:cs="Arial"/>
            <w:sz w:val="18"/>
            <w:szCs w:val="18"/>
          </w:rPr>
          <w:t>Adolescents’ exposure to paid alcohol advertising on television and their alcohol use: exploring associations during a 13</w:t>
        </w:r>
        <w:r w:rsidRPr="00AD0C46">
          <w:rPr>
            <w:rStyle w:val="Hyperlink1"/>
            <w:rFonts w:ascii="Cambria Math" w:hAnsi="Cambria Math" w:cs="Cambria Math"/>
            <w:sz w:val="18"/>
            <w:szCs w:val="18"/>
          </w:rPr>
          <w:t>‐</w:t>
        </w:r>
        <w:r w:rsidRPr="00AD0C46">
          <w:rPr>
            <w:rStyle w:val="Hyperlink1"/>
            <w:rFonts w:ascii="Arial" w:hAnsi="Arial" w:cs="Arial"/>
            <w:sz w:val="18"/>
            <w:szCs w:val="18"/>
          </w:rPr>
          <w:t xml:space="preserve">year period. </w:t>
        </w:r>
        <w:r w:rsidRPr="00AD0C46">
          <w:rPr>
            <w:rStyle w:val="Hyperlink1"/>
            <w:rFonts w:ascii="Arial" w:hAnsi="Arial" w:cs="Arial"/>
            <w:i/>
            <w:sz w:val="18"/>
            <w:szCs w:val="18"/>
          </w:rPr>
          <w:t>Addiction</w:t>
        </w:r>
        <w:r w:rsidRPr="00AD0C46">
          <w:rPr>
            <w:rStyle w:val="Hyperlink1"/>
            <w:rFonts w:ascii="Arial" w:hAnsi="Arial" w:cs="Arial"/>
            <w:sz w:val="18"/>
            <w:szCs w:val="18"/>
          </w:rPr>
          <w:t>, 112, 1742-1751</w:t>
        </w:r>
      </w:hyperlink>
      <w:r w:rsidRPr="00B975C8">
        <w:rPr>
          <w:rFonts w:ascii="Arial" w:hAnsi="Arial" w:cs="Arial"/>
          <w:sz w:val="18"/>
          <w:szCs w:val="18"/>
        </w:rPr>
        <w:t>.</w:t>
      </w:r>
    </w:p>
  </w:footnote>
  <w:footnote w:id="33">
    <w:p w14:paraId="2352BBDA" w14:textId="77777777" w:rsidR="00545FF4" w:rsidRPr="00B975C8" w:rsidRDefault="00545FF4" w:rsidP="00BD401A">
      <w:pPr>
        <w:pStyle w:val="FootnoteText"/>
        <w:jc w:val="left"/>
        <w:rPr>
          <w:rFonts w:ascii="Arial" w:hAnsi="Arial" w:cs="Arial"/>
          <w:sz w:val="18"/>
          <w:szCs w:val="18"/>
          <w:lang w:val="en-AU"/>
        </w:rPr>
      </w:pPr>
      <w:r w:rsidRPr="00B975C8">
        <w:rPr>
          <w:rStyle w:val="FootnoteReference"/>
          <w:rFonts w:eastAsia="Arial"/>
        </w:rPr>
        <w:footnoteRef/>
      </w:r>
      <w:r w:rsidRPr="00B975C8">
        <w:rPr>
          <w:rFonts w:ascii="Arial" w:hAnsi="Arial" w:cs="Arial"/>
          <w:sz w:val="18"/>
          <w:szCs w:val="18"/>
        </w:rPr>
        <w:t xml:space="preserve"> Chaloupka, F. J., Powell, L. M., &amp; Warner, K. E. (2019). </w:t>
      </w:r>
      <w:hyperlink r:id="rId29" w:history="1">
        <w:r w:rsidRPr="00AD0C46">
          <w:rPr>
            <w:rStyle w:val="Hyperlink1"/>
            <w:rFonts w:ascii="Arial" w:hAnsi="Arial" w:cs="Arial"/>
            <w:sz w:val="18"/>
            <w:szCs w:val="18"/>
          </w:rPr>
          <w:t xml:space="preserve">The use of excise taxes to reduce tobacco, alcohol, and sugary beverage consumption. </w:t>
        </w:r>
        <w:r w:rsidRPr="00AD0C46">
          <w:rPr>
            <w:rStyle w:val="Hyperlink1"/>
            <w:rFonts w:ascii="Arial" w:hAnsi="Arial" w:cs="Arial"/>
            <w:i/>
            <w:sz w:val="18"/>
            <w:szCs w:val="18"/>
          </w:rPr>
          <w:t>Annual Review of Public Health</w:t>
        </w:r>
        <w:r w:rsidRPr="00AD0C46">
          <w:rPr>
            <w:rStyle w:val="Hyperlink1"/>
            <w:rFonts w:ascii="Arial" w:hAnsi="Arial" w:cs="Arial"/>
            <w:sz w:val="18"/>
            <w:szCs w:val="18"/>
          </w:rPr>
          <w:t>, 40</w:t>
        </w:r>
      </w:hyperlink>
      <w:r>
        <w:rPr>
          <w:rStyle w:val="Hyperlink1"/>
          <w:rFonts w:ascii="Arial" w:hAnsi="Arial" w:cs="Arial"/>
          <w:sz w:val="18"/>
          <w:szCs w:val="18"/>
        </w:rPr>
        <w:t>, 187-201</w:t>
      </w:r>
      <w:r w:rsidRPr="00B975C8">
        <w:rPr>
          <w:rFonts w:ascii="Arial" w:hAnsi="Arial" w:cs="Arial"/>
          <w:sz w:val="18"/>
          <w:szCs w:val="18"/>
        </w:rPr>
        <w:t>.</w:t>
      </w:r>
    </w:p>
  </w:footnote>
  <w:footnote w:id="34">
    <w:p w14:paraId="2F2F3F31" w14:textId="77777777" w:rsidR="00545FF4" w:rsidRPr="00E12548" w:rsidRDefault="00545FF4" w:rsidP="00BD401A">
      <w:pPr>
        <w:pStyle w:val="FootnoteText"/>
        <w:rPr>
          <w:rFonts w:ascii="Arial" w:hAnsi="Arial" w:cs="Arial"/>
          <w:sz w:val="18"/>
          <w:szCs w:val="18"/>
          <w:lang w:val="en-AU"/>
        </w:rPr>
      </w:pPr>
      <w:r w:rsidRPr="00E12548">
        <w:rPr>
          <w:rStyle w:val="FootnoteReference"/>
          <w:rFonts w:eastAsia="Arial"/>
        </w:rPr>
        <w:footnoteRef/>
      </w:r>
      <w:r w:rsidRPr="00E12548">
        <w:rPr>
          <w:rFonts w:ascii="Arial" w:hAnsi="Arial" w:cs="Arial"/>
          <w:sz w:val="18"/>
          <w:szCs w:val="18"/>
        </w:rPr>
        <w:t xml:space="preserve"> </w:t>
      </w:r>
      <w:r w:rsidRPr="00E12548">
        <w:rPr>
          <w:rFonts w:ascii="Arial" w:hAnsi="Arial" w:cs="Arial"/>
          <w:sz w:val="18"/>
          <w:szCs w:val="18"/>
          <w:lang w:val="en-AU"/>
        </w:rPr>
        <w:t>Wakefield et al., 2008.</w:t>
      </w:r>
    </w:p>
  </w:footnote>
  <w:footnote w:id="35">
    <w:p w14:paraId="166D2AD3" w14:textId="77777777" w:rsidR="00545FF4" w:rsidRPr="00DA51B6" w:rsidRDefault="00545FF4" w:rsidP="00BD401A">
      <w:pPr>
        <w:pStyle w:val="FootnoteText"/>
        <w:jc w:val="left"/>
        <w:rPr>
          <w:rFonts w:ascii="Arial" w:hAnsi="Arial" w:cs="Arial"/>
          <w:sz w:val="18"/>
          <w:szCs w:val="18"/>
          <w:lang w:val="en-AU"/>
        </w:rPr>
      </w:pPr>
      <w:r w:rsidRPr="00B975C8">
        <w:rPr>
          <w:rStyle w:val="FootnoteReference"/>
          <w:rFonts w:eastAsia="Arial"/>
        </w:rPr>
        <w:footnoteRef/>
      </w:r>
      <w:r>
        <w:rPr>
          <w:rFonts w:ascii="Arial" w:hAnsi="Arial" w:cs="Arial"/>
          <w:sz w:val="18"/>
          <w:szCs w:val="18"/>
          <w:lang w:val="en-AU"/>
        </w:rPr>
        <w:t xml:space="preserve"> </w:t>
      </w:r>
      <w:r w:rsidRPr="00B975C8">
        <w:rPr>
          <w:rFonts w:ascii="Arial" w:hAnsi="Arial" w:cs="Arial"/>
          <w:sz w:val="18"/>
          <w:szCs w:val="18"/>
          <w:lang w:val="en-AU"/>
        </w:rPr>
        <w:t xml:space="preserve">Catalano, R.F., Fagan, A.A., Gavin, L.E. et al. (2012). </w:t>
      </w:r>
      <w:hyperlink r:id="rId30" w:history="1">
        <w:r w:rsidRPr="00650E16">
          <w:rPr>
            <w:rStyle w:val="Hyperlink1"/>
            <w:rFonts w:ascii="Arial" w:hAnsi="Arial" w:cs="Arial"/>
            <w:sz w:val="18"/>
            <w:szCs w:val="18"/>
            <w:lang w:val="en-AU"/>
          </w:rPr>
          <w:t xml:space="preserve">Worldwide application of prevention science in adolescent health. </w:t>
        </w:r>
        <w:r w:rsidRPr="00650E16">
          <w:rPr>
            <w:rStyle w:val="Hyperlink1"/>
            <w:rFonts w:ascii="Arial" w:hAnsi="Arial" w:cs="Arial"/>
            <w:i/>
            <w:sz w:val="18"/>
            <w:szCs w:val="18"/>
            <w:lang w:val="en-AU"/>
          </w:rPr>
          <w:t>Lancet,</w:t>
        </w:r>
        <w:r w:rsidRPr="00650E16">
          <w:rPr>
            <w:rStyle w:val="Hyperlink1"/>
            <w:rFonts w:ascii="Arial" w:hAnsi="Arial" w:cs="Arial"/>
            <w:sz w:val="18"/>
            <w:szCs w:val="18"/>
            <w:lang w:val="en-AU"/>
          </w:rPr>
          <w:t xml:space="preserve"> 379, 1653–</w:t>
        </w:r>
        <w:r>
          <w:rPr>
            <w:rStyle w:val="Hyperlink1"/>
            <w:rFonts w:ascii="Arial" w:hAnsi="Arial" w:cs="Arial"/>
            <w:sz w:val="18"/>
            <w:szCs w:val="18"/>
            <w:lang w:val="en-AU"/>
          </w:rPr>
          <w:t>16</w:t>
        </w:r>
        <w:r w:rsidRPr="00650E16">
          <w:rPr>
            <w:rStyle w:val="Hyperlink1"/>
            <w:rFonts w:ascii="Arial" w:hAnsi="Arial" w:cs="Arial"/>
            <w:sz w:val="18"/>
            <w:szCs w:val="18"/>
            <w:lang w:val="en-AU"/>
          </w:rPr>
          <w:t>64</w:t>
        </w:r>
      </w:hyperlink>
      <w:r w:rsidRPr="00B975C8">
        <w:rPr>
          <w:rFonts w:ascii="Arial" w:hAnsi="Arial" w:cs="Arial"/>
          <w:sz w:val="18"/>
          <w:szCs w:val="18"/>
          <w:lang w:val="en-AU"/>
        </w:rPr>
        <w:t>.</w:t>
      </w:r>
    </w:p>
  </w:footnote>
  <w:footnote w:id="36">
    <w:p w14:paraId="64D866EC"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Australian Institute of Health and Welfare </w:t>
      </w:r>
      <w:r>
        <w:rPr>
          <w:rFonts w:ascii="Arial" w:hAnsi="Arial" w:cs="Arial"/>
          <w:sz w:val="18"/>
          <w:szCs w:val="18"/>
        </w:rPr>
        <w:t>(</w:t>
      </w:r>
      <w:r w:rsidRPr="005C6575">
        <w:rPr>
          <w:rFonts w:ascii="Arial" w:hAnsi="Arial" w:cs="Arial"/>
          <w:sz w:val="18"/>
          <w:szCs w:val="18"/>
        </w:rPr>
        <w:t>2017</w:t>
      </w:r>
      <w:r>
        <w:rPr>
          <w:rFonts w:ascii="Arial" w:hAnsi="Arial" w:cs="Arial"/>
          <w:sz w:val="18"/>
          <w:szCs w:val="18"/>
        </w:rPr>
        <w:t>)</w:t>
      </w:r>
      <w:r w:rsidRPr="005C6575">
        <w:rPr>
          <w:rFonts w:ascii="Arial" w:hAnsi="Arial" w:cs="Arial"/>
          <w:sz w:val="18"/>
          <w:szCs w:val="18"/>
        </w:rPr>
        <w:t xml:space="preserve">. National Drug Strategy Household Survey 2016: detailed findings. </w:t>
      </w:r>
      <w:hyperlink r:id="rId31" w:history="1">
        <w:r w:rsidRPr="00844C77">
          <w:rPr>
            <w:rStyle w:val="Hyperlink1"/>
            <w:rFonts w:ascii="Arial" w:hAnsi="Arial" w:cs="Arial"/>
            <w:i/>
            <w:sz w:val="18"/>
            <w:szCs w:val="18"/>
          </w:rPr>
          <w:t xml:space="preserve">Drug Statistics </w:t>
        </w:r>
        <w:r>
          <w:rPr>
            <w:rStyle w:val="Hyperlink1"/>
            <w:rFonts w:ascii="Arial" w:hAnsi="Arial" w:cs="Arial"/>
            <w:i/>
            <w:sz w:val="18"/>
            <w:szCs w:val="18"/>
          </w:rPr>
          <w:t>s</w:t>
        </w:r>
        <w:r w:rsidRPr="00844C77">
          <w:rPr>
            <w:rStyle w:val="Hyperlink1"/>
            <w:rFonts w:ascii="Arial" w:hAnsi="Arial" w:cs="Arial"/>
            <w:i/>
            <w:sz w:val="18"/>
            <w:szCs w:val="18"/>
          </w:rPr>
          <w:t>eries</w:t>
        </w:r>
        <w:r w:rsidRPr="00844C77">
          <w:rPr>
            <w:rStyle w:val="Hyperlink1"/>
            <w:rFonts w:ascii="Arial" w:hAnsi="Arial" w:cs="Arial"/>
            <w:sz w:val="18"/>
            <w:szCs w:val="18"/>
          </w:rPr>
          <w:t xml:space="preserve"> no. 31. Cat. no. PHE 214</w:t>
        </w:r>
      </w:hyperlink>
      <w:r w:rsidRPr="005C6575">
        <w:rPr>
          <w:rFonts w:ascii="Arial" w:hAnsi="Arial" w:cs="Arial"/>
          <w:sz w:val="18"/>
          <w:szCs w:val="18"/>
        </w:rPr>
        <w:t>. Canberra: AIHW.</w:t>
      </w:r>
    </w:p>
  </w:footnote>
  <w:footnote w:id="37">
    <w:p w14:paraId="5CF163FE"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sz w:val="18"/>
          <w:szCs w:val="18"/>
          <w:lang w:val="en-AU"/>
        </w:rPr>
        <w:t xml:space="preserve">Greenhalgh, </w:t>
      </w:r>
      <w:r>
        <w:rPr>
          <w:rFonts w:ascii="Arial" w:hAnsi="Arial" w:cs="Arial"/>
          <w:sz w:val="18"/>
          <w:szCs w:val="18"/>
          <w:lang w:val="en-AU"/>
        </w:rPr>
        <w:t>E. M</w:t>
      </w:r>
      <w:r w:rsidRPr="005C6575">
        <w:rPr>
          <w:rFonts w:ascii="Arial" w:hAnsi="Arial" w:cs="Arial"/>
          <w:sz w:val="18"/>
          <w:szCs w:val="18"/>
          <w:lang w:val="en-AU"/>
        </w:rPr>
        <w:t>., &amp; Bayly, M. (2017). 1.0 Trends in the prevalence of smoking.</w:t>
      </w:r>
      <w:r w:rsidRPr="007D6E9B">
        <w:rPr>
          <w:rFonts w:ascii="Arial" w:hAnsi="Arial" w:cs="Arial"/>
          <w:color w:val="000000"/>
          <w:sz w:val="18"/>
          <w:szCs w:val="18"/>
        </w:rPr>
        <w:t xml:space="preserve"> </w:t>
      </w:r>
      <w:r w:rsidRPr="005C6575">
        <w:rPr>
          <w:rFonts w:ascii="Arial" w:hAnsi="Arial" w:cs="Arial"/>
          <w:color w:val="000000"/>
          <w:sz w:val="18"/>
          <w:szCs w:val="18"/>
        </w:rPr>
        <w:t xml:space="preserve">In Scollo, MM and Winstanley, MH [editors]. </w:t>
      </w:r>
      <w:hyperlink r:id="rId32" w:history="1">
        <w:r w:rsidRPr="00844C77">
          <w:rPr>
            <w:rStyle w:val="Hyperlink1"/>
            <w:rFonts w:ascii="Arial" w:hAnsi="Arial" w:cs="Arial"/>
            <w:i/>
            <w:sz w:val="18"/>
            <w:szCs w:val="18"/>
            <w:lang w:val="en-AU"/>
          </w:rPr>
          <w:t>Tobacco in Australia: Facts &amp; Issues</w:t>
        </w:r>
        <w:r w:rsidRPr="00844C77">
          <w:rPr>
            <w:rStyle w:val="Hyperlink1"/>
            <w:rFonts w:ascii="Arial" w:hAnsi="Arial" w:cs="Arial"/>
            <w:sz w:val="18"/>
            <w:szCs w:val="18"/>
            <w:lang w:val="en-AU"/>
          </w:rPr>
          <w:t xml:space="preserve">. </w:t>
        </w:r>
        <w:r>
          <w:rPr>
            <w:rStyle w:val="Hyperlink1"/>
            <w:rFonts w:ascii="Arial" w:hAnsi="Arial" w:cs="Arial"/>
            <w:sz w:val="18"/>
            <w:szCs w:val="18"/>
            <w:lang w:val="en-AU"/>
          </w:rPr>
          <w:t xml:space="preserve">Melbourne: </w:t>
        </w:r>
        <w:r w:rsidRPr="006A1DFD">
          <w:rPr>
            <w:rStyle w:val="Hyperlink1"/>
            <w:rFonts w:ascii="Arial" w:hAnsi="Arial" w:cs="Arial"/>
            <w:sz w:val="18"/>
            <w:szCs w:val="18"/>
            <w:lang w:val="en-AU"/>
          </w:rPr>
          <w:t>Cancer Council Victoria</w:t>
        </w:r>
      </w:hyperlink>
      <w:r>
        <w:rPr>
          <w:rStyle w:val="Hyperlink1"/>
          <w:rFonts w:ascii="Arial" w:hAnsi="Arial" w:cs="Arial"/>
          <w:sz w:val="18"/>
          <w:szCs w:val="18"/>
          <w:lang w:val="en-AU"/>
        </w:rPr>
        <w:t>.</w:t>
      </w:r>
      <w:r w:rsidRPr="005C6575">
        <w:rPr>
          <w:rFonts w:ascii="Arial" w:hAnsi="Arial" w:cs="Arial"/>
          <w:sz w:val="18"/>
          <w:szCs w:val="18"/>
          <w:lang w:val="en-AU"/>
        </w:rPr>
        <w:t xml:space="preserve"> </w:t>
      </w:r>
    </w:p>
  </w:footnote>
  <w:footnote w:id="38">
    <w:p w14:paraId="79F12E8C"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Hill, D.H., White, V., &amp; Scollo, M. (1998). </w:t>
      </w:r>
      <w:hyperlink r:id="rId33" w:history="1">
        <w:r w:rsidRPr="00650E16">
          <w:rPr>
            <w:rStyle w:val="Hyperlink1"/>
            <w:rFonts w:ascii="Arial" w:hAnsi="Arial" w:cs="Arial"/>
            <w:sz w:val="18"/>
            <w:szCs w:val="18"/>
          </w:rPr>
          <w:t xml:space="preserve">Smoking Behaviours of Australian Adults in 1995: Trends and Concerns. </w:t>
        </w:r>
        <w:r w:rsidRPr="00650E16">
          <w:rPr>
            <w:rStyle w:val="Hyperlink1"/>
            <w:rFonts w:ascii="Arial" w:hAnsi="Arial" w:cs="Arial"/>
            <w:i/>
            <w:sz w:val="18"/>
            <w:szCs w:val="18"/>
          </w:rPr>
          <w:t>The Medical Journal of Australia,</w:t>
        </w:r>
        <w:r w:rsidRPr="00650E16">
          <w:rPr>
            <w:rStyle w:val="Hyperlink1"/>
            <w:rFonts w:ascii="Arial" w:hAnsi="Arial" w:cs="Arial"/>
            <w:sz w:val="18"/>
            <w:szCs w:val="18"/>
          </w:rPr>
          <w:t xml:space="preserve"> 168, 209-</w:t>
        </w:r>
        <w:r>
          <w:rPr>
            <w:rStyle w:val="Hyperlink1"/>
            <w:rFonts w:ascii="Arial" w:hAnsi="Arial" w:cs="Arial"/>
            <w:sz w:val="18"/>
            <w:szCs w:val="18"/>
          </w:rPr>
          <w:t>2</w:t>
        </w:r>
        <w:r w:rsidRPr="00650E16">
          <w:rPr>
            <w:rStyle w:val="Hyperlink1"/>
            <w:rFonts w:ascii="Arial" w:hAnsi="Arial" w:cs="Arial"/>
            <w:sz w:val="18"/>
            <w:szCs w:val="18"/>
          </w:rPr>
          <w:t>13</w:t>
        </w:r>
      </w:hyperlink>
      <w:r>
        <w:rPr>
          <w:rStyle w:val="Hyperlink1"/>
          <w:rFonts w:ascii="Arial" w:hAnsi="Arial" w:cs="Arial"/>
          <w:sz w:val="18"/>
          <w:szCs w:val="18"/>
        </w:rPr>
        <w:t>.</w:t>
      </w:r>
    </w:p>
  </w:footnote>
  <w:footnote w:id="39">
    <w:p w14:paraId="3493BB07"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sz w:val="18"/>
          <w:szCs w:val="18"/>
          <w:lang w:val="en-AU"/>
        </w:rPr>
        <w:t>White et al</w:t>
      </w:r>
      <w:r>
        <w:rPr>
          <w:rFonts w:ascii="Arial" w:hAnsi="Arial" w:cs="Arial"/>
          <w:sz w:val="18"/>
          <w:szCs w:val="18"/>
          <w:lang w:val="en-AU"/>
        </w:rPr>
        <w:t>.,</w:t>
      </w:r>
      <w:r w:rsidRPr="005C6575">
        <w:rPr>
          <w:rFonts w:ascii="Arial" w:hAnsi="Arial" w:cs="Arial"/>
          <w:sz w:val="18"/>
          <w:szCs w:val="18"/>
          <w:lang w:val="en-AU"/>
        </w:rPr>
        <w:t xml:space="preserve"> 2011</w:t>
      </w:r>
    </w:p>
  </w:footnote>
  <w:footnote w:id="40">
    <w:p w14:paraId="227AD349"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Wilkinson, A. L., Scollo, M., Durkin, S. J., </w:t>
      </w:r>
      <w:r>
        <w:rPr>
          <w:rFonts w:ascii="Arial" w:hAnsi="Arial" w:cs="Arial"/>
          <w:sz w:val="18"/>
          <w:szCs w:val="18"/>
        </w:rPr>
        <w:t>et al.</w:t>
      </w:r>
      <w:r w:rsidRPr="005C6575">
        <w:rPr>
          <w:rFonts w:ascii="Arial" w:hAnsi="Arial" w:cs="Arial"/>
          <w:sz w:val="18"/>
          <w:szCs w:val="18"/>
        </w:rPr>
        <w:t xml:space="preserve"> (2018). </w:t>
      </w:r>
      <w:hyperlink r:id="rId34" w:history="1">
        <w:r w:rsidRPr="00650E16">
          <w:rPr>
            <w:rStyle w:val="Hyperlink1"/>
            <w:rFonts w:ascii="Arial" w:hAnsi="Arial" w:cs="Arial"/>
            <w:sz w:val="18"/>
            <w:szCs w:val="18"/>
          </w:rPr>
          <w:t xml:space="preserve">Indexation of </w:t>
        </w:r>
        <w:r>
          <w:rPr>
            <w:rStyle w:val="Hyperlink1"/>
            <w:rFonts w:ascii="Arial" w:hAnsi="Arial" w:cs="Arial"/>
            <w:sz w:val="18"/>
            <w:szCs w:val="18"/>
          </w:rPr>
          <w:t>t</w:t>
        </w:r>
        <w:r w:rsidRPr="00650E16">
          <w:rPr>
            <w:rStyle w:val="Hyperlink1"/>
            <w:rFonts w:ascii="Arial" w:hAnsi="Arial" w:cs="Arial"/>
            <w:sz w:val="18"/>
            <w:szCs w:val="18"/>
          </w:rPr>
          <w:t xml:space="preserve">obacco </w:t>
        </w:r>
        <w:r>
          <w:rPr>
            <w:rStyle w:val="Hyperlink1"/>
            <w:rFonts w:ascii="Arial" w:hAnsi="Arial" w:cs="Arial"/>
            <w:sz w:val="18"/>
            <w:szCs w:val="18"/>
          </w:rPr>
          <w:t>e</w:t>
        </w:r>
        <w:r w:rsidRPr="00650E16">
          <w:rPr>
            <w:rStyle w:val="Hyperlink1"/>
            <w:rFonts w:ascii="Arial" w:hAnsi="Arial" w:cs="Arial"/>
            <w:sz w:val="18"/>
            <w:szCs w:val="18"/>
          </w:rPr>
          <w:t xml:space="preserve">xcise and </w:t>
        </w:r>
        <w:r>
          <w:rPr>
            <w:rStyle w:val="Hyperlink1"/>
            <w:rFonts w:ascii="Arial" w:hAnsi="Arial" w:cs="Arial"/>
            <w:sz w:val="18"/>
            <w:szCs w:val="18"/>
          </w:rPr>
          <w:t>c</w:t>
        </w:r>
        <w:r w:rsidRPr="00650E16">
          <w:rPr>
            <w:rStyle w:val="Hyperlink1"/>
            <w:rFonts w:ascii="Arial" w:hAnsi="Arial" w:cs="Arial"/>
            <w:sz w:val="18"/>
            <w:szCs w:val="18"/>
          </w:rPr>
          <w:t xml:space="preserve">ustoms </w:t>
        </w:r>
        <w:r>
          <w:rPr>
            <w:rStyle w:val="Hyperlink1"/>
            <w:rFonts w:ascii="Arial" w:hAnsi="Arial" w:cs="Arial"/>
            <w:sz w:val="18"/>
            <w:szCs w:val="18"/>
          </w:rPr>
          <w:t>d</w:t>
        </w:r>
        <w:r w:rsidRPr="00650E16">
          <w:rPr>
            <w:rStyle w:val="Hyperlink1"/>
            <w:rFonts w:ascii="Arial" w:hAnsi="Arial" w:cs="Arial"/>
            <w:sz w:val="18"/>
            <w:szCs w:val="18"/>
          </w:rPr>
          <w:t xml:space="preserve">uty and </w:t>
        </w:r>
        <w:r>
          <w:rPr>
            <w:rStyle w:val="Hyperlink1"/>
            <w:rFonts w:ascii="Arial" w:hAnsi="Arial" w:cs="Arial"/>
            <w:sz w:val="18"/>
            <w:szCs w:val="18"/>
          </w:rPr>
          <w:t>s</w:t>
        </w:r>
        <w:r w:rsidRPr="00650E16">
          <w:rPr>
            <w:rStyle w:val="Hyperlink1"/>
            <w:rFonts w:ascii="Arial" w:hAnsi="Arial" w:cs="Arial"/>
            <w:sz w:val="18"/>
            <w:szCs w:val="18"/>
          </w:rPr>
          <w:t xml:space="preserve">moking </w:t>
        </w:r>
        <w:r>
          <w:rPr>
            <w:rStyle w:val="Hyperlink1"/>
            <w:rFonts w:ascii="Arial" w:hAnsi="Arial" w:cs="Arial"/>
            <w:sz w:val="18"/>
            <w:szCs w:val="18"/>
          </w:rPr>
          <w:t>p</w:t>
        </w:r>
        <w:r w:rsidRPr="00650E16">
          <w:rPr>
            <w:rStyle w:val="Hyperlink1"/>
            <w:rFonts w:ascii="Arial" w:hAnsi="Arial" w:cs="Arial"/>
            <w:sz w:val="18"/>
            <w:szCs w:val="18"/>
          </w:rPr>
          <w:t xml:space="preserve">revalence </w:t>
        </w:r>
        <w:r>
          <w:rPr>
            <w:rStyle w:val="Hyperlink1"/>
            <w:rFonts w:ascii="Arial" w:hAnsi="Arial" w:cs="Arial"/>
            <w:sz w:val="18"/>
            <w:szCs w:val="18"/>
          </w:rPr>
          <w:t>a</w:t>
        </w:r>
        <w:r w:rsidRPr="00650E16">
          <w:rPr>
            <w:rStyle w:val="Hyperlink1"/>
            <w:rFonts w:ascii="Arial" w:hAnsi="Arial" w:cs="Arial"/>
            <w:sz w:val="18"/>
            <w:szCs w:val="18"/>
          </w:rPr>
          <w:t xml:space="preserve">mong Australian </w:t>
        </w:r>
        <w:r>
          <w:rPr>
            <w:rStyle w:val="Hyperlink1"/>
            <w:rFonts w:ascii="Arial" w:hAnsi="Arial" w:cs="Arial"/>
            <w:sz w:val="18"/>
            <w:szCs w:val="18"/>
          </w:rPr>
          <w:t>a</w:t>
        </w:r>
        <w:r w:rsidRPr="00650E16">
          <w:rPr>
            <w:rStyle w:val="Hyperlink1"/>
            <w:rFonts w:ascii="Arial" w:hAnsi="Arial" w:cs="Arial"/>
            <w:sz w:val="18"/>
            <w:szCs w:val="18"/>
          </w:rPr>
          <w:t xml:space="preserve">dults, 2001–2010: A </w:t>
        </w:r>
        <w:r>
          <w:rPr>
            <w:rStyle w:val="Hyperlink1"/>
            <w:rFonts w:ascii="Arial" w:hAnsi="Arial" w:cs="Arial"/>
            <w:sz w:val="18"/>
            <w:szCs w:val="18"/>
          </w:rPr>
          <w:t>s</w:t>
        </w:r>
        <w:r w:rsidRPr="00650E16">
          <w:rPr>
            <w:rStyle w:val="Hyperlink1"/>
            <w:rFonts w:ascii="Arial" w:hAnsi="Arial" w:cs="Arial"/>
            <w:sz w:val="18"/>
            <w:szCs w:val="18"/>
          </w:rPr>
          <w:t xml:space="preserve">erial </w:t>
        </w:r>
        <w:r>
          <w:rPr>
            <w:rStyle w:val="Hyperlink1"/>
            <w:rFonts w:ascii="Arial" w:hAnsi="Arial" w:cs="Arial"/>
            <w:sz w:val="18"/>
            <w:szCs w:val="18"/>
          </w:rPr>
          <w:t>c</w:t>
        </w:r>
        <w:r w:rsidRPr="00650E16">
          <w:rPr>
            <w:rStyle w:val="Hyperlink1"/>
            <w:rFonts w:ascii="Arial" w:hAnsi="Arial" w:cs="Arial"/>
            <w:sz w:val="18"/>
            <w:szCs w:val="18"/>
          </w:rPr>
          <w:t xml:space="preserve">ross-sectional </w:t>
        </w:r>
        <w:r>
          <w:rPr>
            <w:rStyle w:val="Hyperlink1"/>
            <w:rFonts w:ascii="Arial" w:hAnsi="Arial" w:cs="Arial"/>
            <w:sz w:val="18"/>
            <w:szCs w:val="18"/>
          </w:rPr>
          <w:t>s</w:t>
        </w:r>
        <w:r w:rsidRPr="00650E16">
          <w:rPr>
            <w:rStyle w:val="Hyperlink1"/>
            <w:rFonts w:ascii="Arial" w:hAnsi="Arial" w:cs="Arial"/>
            <w:sz w:val="18"/>
            <w:szCs w:val="18"/>
          </w:rPr>
          <w:t xml:space="preserve">tudy. </w:t>
        </w:r>
        <w:r w:rsidRPr="00650E16">
          <w:rPr>
            <w:rStyle w:val="Hyperlink1"/>
            <w:rFonts w:ascii="Arial" w:hAnsi="Arial" w:cs="Arial"/>
            <w:i/>
            <w:sz w:val="18"/>
            <w:szCs w:val="18"/>
          </w:rPr>
          <w:t>Nicotine and Tobacco Research</w:t>
        </w:r>
        <w:r w:rsidRPr="00650E16">
          <w:rPr>
            <w:rStyle w:val="Hyperlink1"/>
            <w:rFonts w:ascii="Arial" w:hAnsi="Arial" w:cs="Arial"/>
            <w:sz w:val="18"/>
            <w:szCs w:val="18"/>
          </w:rPr>
          <w:t>, 21, 293-299</w:t>
        </w:r>
      </w:hyperlink>
      <w:r w:rsidRPr="005C6575">
        <w:rPr>
          <w:rFonts w:ascii="Arial" w:hAnsi="Arial" w:cs="Arial"/>
          <w:sz w:val="18"/>
          <w:szCs w:val="18"/>
        </w:rPr>
        <w:t>.</w:t>
      </w:r>
    </w:p>
  </w:footnote>
  <w:footnote w:id="41">
    <w:p w14:paraId="5D0865E5"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color w:val="000000"/>
          <w:sz w:val="18"/>
          <w:szCs w:val="18"/>
        </w:rPr>
        <w:t>Wood, L., Greenhalgh, E</w:t>
      </w:r>
      <w:r>
        <w:rPr>
          <w:rFonts w:ascii="Arial" w:hAnsi="Arial" w:cs="Arial"/>
          <w:color w:val="000000"/>
          <w:sz w:val="18"/>
          <w:szCs w:val="18"/>
        </w:rPr>
        <w:t xml:space="preserve">. </w:t>
      </w:r>
      <w:r w:rsidRPr="005C6575">
        <w:rPr>
          <w:rFonts w:ascii="Arial" w:hAnsi="Arial" w:cs="Arial"/>
          <w:color w:val="000000"/>
          <w:sz w:val="18"/>
          <w:szCs w:val="18"/>
        </w:rPr>
        <w:t>M., &amp; Hanley-Jones, S.</w:t>
      </w:r>
      <w:r>
        <w:rPr>
          <w:rFonts w:ascii="Arial" w:hAnsi="Arial" w:cs="Arial"/>
          <w:color w:val="000000"/>
          <w:sz w:val="18"/>
          <w:szCs w:val="18"/>
        </w:rPr>
        <w:t xml:space="preserve"> (2019).</w:t>
      </w:r>
      <w:r w:rsidRPr="005C6575">
        <w:rPr>
          <w:rFonts w:ascii="Arial" w:hAnsi="Arial" w:cs="Arial"/>
          <w:color w:val="000000"/>
          <w:sz w:val="18"/>
          <w:szCs w:val="18"/>
        </w:rPr>
        <w:t xml:space="preserve"> 5.0 Introduction. In Scollo, MM and Winstanley, MH [editors]. </w:t>
      </w:r>
      <w:hyperlink r:id="rId35" w:history="1">
        <w:r w:rsidRPr="00844C77">
          <w:rPr>
            <w:rStyle w:val="Hyperlink1"/>
            <w:rFonts w:ascii="Arial" w:hAnsi="Arial" w:cs="Arial"/>
            <w:i/>
            <w:sz w:val="18"/>
            <w:szCs w:val="18"/>
          </w:rPr>
          <w:t>Tobacco in Australia: Facts and issues</w:t>
        </w:r>
        <w:r w:rsidRPr="00844C77">
          <w:rPr>
            <w:rStyle w:val="Hyperlink1"/>
            <w:rFonts w:ascii="Arial" w:hAnsi="Arial" w:cs="Arial"/>
            <w:sz w:val="18"/>
            <w:szCs w:val="18"/>
          </w:rPr>
          <w:t xml:space="preserve">. </w:t>
        </w:r>
        <w:r w:rsidRPr="007D6E9B">
          <w:rPr>
            <w:rStyle w:val="Hyperlink1"/>
            <w:rFonts w:ascii="Arial" w:hAnsi="Arial" w:cs="Arial"/>
            <w:sz w:val="18"/>
            <w:szCs w:val="18"/>
          </w:rPr>
          <w:t>Melbourne: Cancer Council Victoria</w:t>
        </w:r>
      </w:hyperlink>
      <w:r w:rsidRPr="005C6575">
        <w:rPr>
          <w:rFonts w:ascii="Arial" w:hAnsi="Arial" w:cs="Arial"/>
          <w:color w:val="000000"/>
          <w:sz w:val="18"/>
          <w:szCs w:val="18"/>
        </w:rPr>
        <w:t>.</w:t>
      </w:r>
      <w:r w:rsidRPr="005C6575">
        <w:rPr>
          <w:rFonts w:ascii="Arial" w:hAnsi="Arial" w:cs="Arial"/>
          <w:sz w:val="18"/>
          <w:szCs w:val="18"/>
          <w:lang w:val="en-AU"/>
        </w:rPr>
        <w:t xml:space="preserve"> </w:t>
      </w:r>
    </w:p>
  </w:footnote>
  <w:footnote w:id="42">
    <w:p w14:paraId="2639DBE2" w14:textId="77777777" w:rsidR="00545FF4" w:rsidRPr="005C6575" w:rsidRDefault="00545FF4" w:rsidP="00FF7F16">
      <w:pPr>
        <w:pStyle w:val="FootnoteText"/>
        <w:jc w:val="left"/>
        <w:rPr>
          <w:rFonts w:ascii="Arial" w:hAnsi="Arial" w:cs="Arial"/>
          <w:sz w:val="18"/>
          <w:szCs w:val="18"/>
          <w:lang w:val="en-US"/>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sz w:val="18"/>
          <w:szCs w:val="18"/>
          <w:lang w:val="en-US"/>
        </w:rPr>
        <w:t>Johnston et al.</w:t>
      </w:r>
      <w:r>
        <w:rPr>
          <w:rFonts w:ascii="Arial" w:hAnsi="Arial" w:cs="Arial"/>
          <w:sz w:val="18"/>
          <w:szCs w:val="18"/>
          <w:lang w:val="en-US"/>
        </w:rPr>
        <w:t>,</w:t>
      </w:r>
      <w:r w:rsidRPr="005C6575">
        <w:rPr>
          <w:rFonts w:ascii="Arial" w:hAnsi="Arial" w:cs="Arial"/>
          <w:sz w:val="18"/>
          <w:szCs w:val="18"/>
          <w:lang w:val="en-US"/>
        </w:rPr>
        <w:t xml:space="preserve"> 2019</w:t>
      </w:r>
    </w:p>
  </w:footnote>
  <w:footnote w:id="43">
    <w:p w14:paraId="14B530D7" w14:textId="77777777" w:rsidR="00545FF4" w:rsidRPr="005C6575" w:rsidRDefault="00545FF4" w:rsidP="00FF7F16">
      <w:pPr>
        <w:pStyle w:val="FootnoteText"/>
        <w:jc w:val="left"/>
        <w:rPr>
          <w:rFonts w:ascii="Arial" w:hAnsi="Arial" w:cs="Arial"/>
          <w:sz w:val="18"/>
          <w:szCs w:val="18"/>
          <w:lang w:val="en-US"/>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sz w:val="18"/>
          <w:szCs w:val="18"/>
          <w:lang w:val="en-US"/>
        </w:rPr>
        <w:t>NHS Digital</w:t>
      </w:r>
      <w:r>
        <w:rPr>
          <w:rFonts w:ascii="Arial" w:hAnsi="Arial" w:cs="Arial"/>
          <w:sz w:val="18"/>
          <w:szCs w:val="18"/>
          <w:lang w:val="en-US"/>
        </w:rPr>
        <w:t xml:space="preserve">, </w:t>
      </w:r>
      <w:r w:rsidRPr="005C6575">
        <w:rPr>
          <w:rFonts w:ascii="Arial" w:hAnsi="Arial" w:cs="Arial"/>
          <w:sz w:val="18"/>
          <w:szCs w:val="18"/>
          <w:lang w:val="en-US"/>
        </w:rPr>
        <w:t>2018.</w:t>
      </w:r>
    </w:p>
  </w:footnote>
  <w:footnote w:id="44">
    <w:p w14:paraId="061F6361"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sz w:val="18"/>
          <w:szCs w:val="18"/>
          <w:lang w:val="en-AU"/>
        </w:rPr>
        <w:t>White et al., 2011</w:t>
      </w:r>
      <w:r>
        <w:rPr>
          <w:rFonts w:ascii="Arial" w:hAnsi="Arial" w:cs="Arial"/>
          <w:sz w:val="18"/>
          <w:szCs w:val="18"/>
          <w:lang w:val="en-AU"/>
        </w:rPr>
        <w:t>.</w:t>
      </w:r>
    </w:p>
  </w:footnote>
  <w:footnote w:id="45">
    <w:p w14:paraId="7D342759"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Wakefield et al., 2008</w:t>
      </w:r>
      <w:r>
        <w:rPr>
          <w:rFonts w:ascii="Arial" w:hAnsi="Arial" w:cs="Arial"/>
          <w:sz w:val="18"/>
          <w:szCs w:val="18"/>
        </w:rPr>
        <w:t>.</w:t>
      </w:r>
    </w:p>
  </w:footnote>
  <w:footnote w:id="46">
    <w:p w14:paraId="54D67A7D" w14:textId="77777777" w:rsidR="00545FF4" w:rsidRPr="001532D9" w:rsidRDefault="00545FF4" w:rsidP="00FF7F16">
      <w:pPr>
        <w:pStyle w:val="FootnoteText"/>
        <w:jc w:val="left"/>
        <w:rPr>
          <w:lang w:val="en-AU"/>
        </w:rPr>
      </w:pPr>
      <w:r>
        <w:rPr>
          <w:rStyle w:val="FootnoteReference"/>
          <w:rFonts w:eastAsia="Arial"/>
        </w:rPr>
        <w:footnoteRef/>
      </w:r>
      <w:r>
        <w:t xml:space="preserve"> </w:t>
      </w:r>
      <w:r w:rsidRPr="001532D9">
        <w:rPr>
          <w:rFonts w:ascii="Arial" w:hAnsi="Arial" w:cs="Arial"/>
          <w:sz w:val="18"/>
          <w:szCs w:val="18"/>
          <w:lang w:val="en-AU"/>
        </w:rPr>
        <w:t>Wakefield et al., 2014.</w:t>
      </w:r>
    </w:p>
  </w:footnote>
  <w:footnote w:id="47">
    <w:p w14:paraId="432602AC" w14:textId="77777777" w:rsidR="00545FF4" w:rsidRPr="005C6575"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w:t>
      </w:r>
      <w:r w:rsidRPr="005C6575">
        <w:rPr>
          <w:rFonts w:ascii="Arial" w:hAnsi="Arial" w:cs="Arial"/>
          <w:sz w:val="18"/>
          <w:szCs w:val="18"/>
          <w:lang w:val="en-AU"/>
        </w:rPr>
        <w:t>White, V.</w:t>
      </w:r>
      <w:r>
        <w:rPr>
          <w:rFonts w:ascii="Arial" w:hAnsi="Arial" w:cs="Arial"/>
          <w:sz w:val="18"/>
          <w:szCs w:val="18"/>
          <w:lang w:val="en-AU"/>
        </w:rPr>
        <w:t xml:space="preserve"> </w:t>
      </w:r>
      <w:r w:rsidRPr="005C6575">
        <w:rPr>
          <w:rFonts w:ascii="Arial" w:hAnsi="Arial" w:cs="Arial"/>
          <w:sz w:val="18"/>
          <w:szCs w:val="18"/>
          <w:lang w:val="en-AU"/>
        </w:rPr>
        <w:t xml:space="preserve">M., Williams, T., &amp; Wakefield, M. (2015). </w:t>
      </w:r>
      <w:hyperlink r:id="rId36" w:history="1">
        <w:r w:rsidRPr="00650E16">
          <w:rPr>
            <w:rStyle w:val="Hyperlink1"/>
            <w:rFonts w:ascii="Arial" w:hAnsi="Arial" w:cs="Arial"/>
            <w:sz w:val="18"/>
            <w:szCs w:val="18"/>
            <w:lang w:val="en-AU"/>
          </w:rPr>
          <w:t>Has the introduction of plain packaging and larger graphic health warnings changed adolescents’ perceptions of cigarette packs and brands?</w:t>
        </w:r>
        <w:r w:rsidRPr="00650E16">
          <w:rPr>
            <w:rStyle w:val="Hyperlink1"/>
            <w:rFonts w:ascii="Arial" w:hAnsi="Arial" w:cs="Arial"/>
            <w:i/>
            <w:sz w:val="18"/>
            <w:szCs w:val="18"/>
            <w:lang w:val="en-AU"/>
          </w:rPr>
          <w:t xml:space="preserve"> Tobacco Control</w:t>
        </w:r>
        <w:r w:rsidRPr="00650E16">
          <w:rPr>
            <w:rStyle w:val="Hyperlink1"/>
            <w:rFonts w:ascii="Arial" w:hAnsi="Arial" w:cs="Arial"/>
            <w:sz w:val="18"/>
            <w:szCs w:val="18"/>
            <w:lang w:val="en-AU"/>
          </w:rPr>
          <w:t>, 24</w:t>
        </w:r>
        <w:r>
          <w:rPr>
            <w:rStyle w:val="Hyperlink1"/>
            <w:rFonts w:ascii="Arial" w:hAnsi="Arial" w:cs="Arial"/>
            <w:sz w:val="18"/>
            <w:szCs w:val="18"/>
            <w:lang w:val="en-AU"/>
          </w:rPr>
          <w:t>(Suppl 2)</w:t>
        </w:r>
        <w:r w:rsidRPr="00650E16">
          <w:rPr>
            <w:rStyle w:val="Hyperlink1"/>
            <w:rFonts w:ascii="Arial" w:hAnsi="Arial" w:cs="Arial"/>
            <w:sz w:val="18"/>
            <w:szCs w:val="18"/>
            <w:lang w:val="en-AU"/>
          </w:rPr>
          <w:t>, ii42-</w:t>
        </w:r>
        <w:r>
          <w:rPr>
            <w:rStyle w:val="Hyperlink1"/>
            <w:rFonts w:ascii="Arial" w:hAnsi="Arial" w:cs="Arial"/>
            <w:sz w:val="18"/>
            <w:szCs w:val="18"/>
            <w:lang w:val="en-AU"/>
          </w:rPr>
          <w:t>ii</w:t>
        </w:r>
        <w:r w:rsidRPr="00650E16">
          <w:rPr>
            <w:rStyle w:val="Hyperlink1"/>
            <w:rFonts w:ascii="Arial" w:hAnsi="Arial" w:cs="Arial"/>
            <w:sz w:val="18"/>
            <w:szCs w:val="18"/>
            <w:lang w:val="en-AU"/>
          </w:rPr>
          <w:t>49</w:t>
        </w:r>
      </w:hyperlink>
      <w:r w:rsidRPr="005C6575">
        <w:rPr>
          <w:rFonts w:ascii="Arial" w:hAnsi="Arial" w:cs="Arial"/>
          <w:sz w:val="18"/>
          <w:szCs w:val="18"/>
          <w:lang w:val="en-AU"/>
        </w:rPr>
        <w:t>.</w:t>
      </w:r>
    </w:p>
  </w:footnote>
  <w:footnote w:id="48">
    <w:p w14:paraId="24416497" w14:textId="77777777" w:rsidR="00545FF4" w:rsidRPr="00DA51B6" w:rsidRDefault="00545FF4" w:rsidP="00FF7F16">
      <w:pPr>
        <w:pStyle w:val="FootnoteText"/>
        <w:jc w:val="left"/>
        <w:rPr>
          <w:rFonts w:ascii="Arial" w:hAnsi="Arial" w:cs="Arial"/>
          <w:sz w:val="18"/>
          <w:szCs w:val="18"/>
          <w:lang w:val="en-AU"/>
        </w:rPr>
      </w:pPr>
      <w:r w:rsidRPr="005C6575">
        <w:rPr>
          <w:rStyle w:val="FootnoteReference"/>
          <w:rFonts w:eastAsia="Arial"/>
        </w:rPr>
        <w:footnoteRef/>
      </w:r>
      <w:r w:rsidRPr="005C6575">
        <w:rPr>
          <w:rFonts w:ascii="Arial" w:hAnsi="Arial" w:cs="Arial"/>
          <w:sz w:val="18"/>
          <w:szCs w:val="18"/>
        </w:rPr>
        <w:t xml:space="preserve"> He, Y., Shang, C., Huang, J., </w:t>
      </w:r>
      <w:r>
        <w:rPr>
          <w:rFonts w:ascii="Arial" w:hAnsi="Arial" w:cs="Arial"/>
          <w:sz w:val="18"/>
          <w:szCs w:val="18"/>
        </w:rPr>
        <w:t>et al.</w:t>
      </w:r>
      <w:r w:rsidRPr="005C6575">
        <w:rPr>
          <w:rFonts w:ascii="Arial" w:hAnsi="Arial" w:cs="Arial"/>
          <w:sz w:val="18"/>
          <w:szCs w:val="18"/>
        </w:rPr>
        <w:t xml:space="preserve"> (2018</w:t>
      </w:r>
      <w:hyperlink r:id="rId37" w:history="1">
        <w:r w:rsidRPr="00650E16">
          <w:rPr>
            <w:rStyle w:val="Hyperlink1"/>
            <w:rFonts w:ascii="Arial" w:hAnsi="Arial" w:cs="Arial"/>
            <w:sz w:val="18"/>
            <w:szCs w:val="18"/>
          </w:rPr>
          <w:t xml:space="preserve">). Global evidence on the effect of point-of-sale display bans on smoking prevalence. </w:t>
        </w:r>
        <w:r w:rsidRPr="00650E16">
          <w:rPr>
            <w:rStyle w:val="Hyperlink1"/>
            <w:rFonts w:ascii="Arial" w:hAnsi="Arial" w:cs="Arial"/>
            <w:i/>
            <w:sz w:val="18"/>
            <w:szCs w:val="18"/>
          </w:rPr>
          <w:t>Tobacco Control</w:t>
        </w:r>
        <w:r w:rsidRPr="00650E16">
          <w:rPr>
            <w:rStyle w:val="Hyperlink1"/>
            <w:rFonts w:ascii="Arial" w:hAnsi="Arial" w:cs="Arial"/>
            <w:sz w:val="18"/>
            <w:szCs w:val="18"/>
          </w:rPr>
          <w:t>, 27, e98-e104</w:t>
        </w:r>
      </w:hyperlink>
      <w:r w:rsidRPr="005C6575">
        <w:rPr>
          <w:rFonts w:ascii="Arial" w:hAnsi="Arial" w:cs="Arial"/>
          <w:sz w:val="18"/>
          <w:szCs w:val="18"/>
        </w:rPr>
        <w:t>.</w:t>
      </w:r>
    </w:p>
  </w:footnote>
  <w:footnote w:id="49">
    <w:p w14:paraId="57070FF9" w14:textId="77777777" w:rsidR="00545FF4" w:rsidRPr="00DA5D97" w:rsidRDefault="00545FF4" w:rsidP="00FF7F16">
      <w:pPr>
        <w:pStyle w:val="FootnoteText"/>
        <w:jc w:val="left"/>
        <w:rPr>
          <w:lang w:val="en-US"/>
        </w:rPr>
      </w:pPr>
      <w:r>
        <w:rPr>
          <w:rStyle w:val="FootnoteReference"/>
          <w:rFonts w:eastAsia="Arial"/>
        </w:rPr>
        <w:footnoteRef/>
      </w:r>
      <w:r>
        <w:t xml:space="preserve"> </w:t>
      </w:r>
      <w:r w:rsidRPr="00DA5D97">
        <w:rPr>
          <w:rFonts w:ascii="Arial" w:hAnsi="Arial" w:cs="Arial"/>
          <w:sz w:val="18"/>
          <w:szCs w:val="18"/>
          <w:lang w:val="en-US"/>
        </w:rPr>
        <w:t>Wakefield et al., 2014.</w:t>
      </w:r>
    </w:p>
  </w:footnote>
  <w:footnote w:id="50">
    <w:p w14:paraId="44FCB725"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sz w:val="18"/>
          <w:szCs w:val="18"/>
          <w:lang w:val="en-AU"/>
        </w:rPr>
        <w:t>Wilkinson et al., 2018.</w:t>
      </w:r>
    </w:p>
  </w:footnote>
  <w:footnote w:id="51">
    <w:p w14:paraId="2E0AF1AA"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sz w:val="18"/>
          <w:szCs w:val="18"/>
          <w:lang w:val="en-AU"/>
        </w:rPr>
        <w:t>Wood et al., 2019</w:t>
      </w:r>
      <w:r>
        <w:rPr>
          <w:rFonts w:ascii="Arial" w:hAnsi="Arial" w:cs="Arial"/>
          <w:sz w:val="18"/>
          <w:szCs w:val="18"/>
          <w:lang w:val="en-AU"/>
        </w:rPr>
        <w:t>.</w:t>
      </w:r>
    </w:p>
  </w:footnote>
  <w:footnote w:id="52">
    <w:p w14:paraId="74E5DDD2"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sz w:val="18"/>
          <w:szCs w:val="18"/>
          <w:lang w:val="en-AU"/>
        </w:rPr>
        <w:t xml:space="preserve">White, V., Guerin, N., Williams, T., </w:t>
      </w:r>
      <w:r>
        <w:rPr>
          <w:rFonts w:ascii="Arial" w:hAnsi="Arial" w:cs="Arial"/>
          <w:sz w:val="18"/>
          <w:szCs w:val="18"/>
          <w:lang w:val="en-AU"/>
        </w:rPr>
        <w:t>et al.</w:t>
      </w:r>
      <w:r w:rsidRPr="0001692F">
        <w:rPr>
          <w:rFonts w:ascii="Arial" w:hAnsi="Arial" w:cs="Arial"/>
          <w:sz w:val="18"/>
          <w:szCs w:val="18"/>
          <w:lang w:val="en-AU"/>
        </w:rPr>
        <w:t xml:space="preserve"> (2019). Long-term impact of plain packaging of cigarettes with larger graphic health warnings: findings from cross-sectional surveys of Australian adolescents between 2011 and 2017. </w:t>
      </w:r>
      <w:r w:rsidRPr="00927712">
        <w:rPr>
          <w:rFonts w:ascii="Arial" w:hAnsi="Arial" w:cs="Arial"/>
          <w:i/>
          <w:color w:val="365F91"/>
          <w:sz w:val="18"/>
          <w:szCs w:val="18"/>
          <w:lang w:val="en-AU"/>
        </w:rPr>
        <w:t>Tobacco Control</w:t>
      </w:r>
      <w:r w:rsidRPr="00927712">
        <w:rPr>
          <w:rFonts w:ascii="Arial" w:hAnsi="Arial" w:cs="Arial"/>
          <w:color w:val="365F91"/>
          <w:sz w:val="18"/>
          <w:szCs w:val="18"/>
          <w:lang w:val="en-AU"/>
        </w:rPr>
        <w:t>, 28, e77-e84.</w:t>
      </w:r>
    </w:p>
  </w:footnote>
  <w:footnote w:id="53">
    <w:p w14:paraId="0CF92B57"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color w:val="000000"/>
          <w:sz w:val="18"/>
          <w:szCs w:val="18"/>
        </w:rPr>
        <w:t>Greenhalgh E</w:t>
      </w:r>
      <w:r>
        <w:rPr>
          <w:rFonts w:ascii="Arial" w:hAnsi="Arial" w:cs="Arial"/>
          <w:color w:val="000000"/>
          <w:sz w:val="18"/>
          <w:szCs w:val="18"/>
        </w:rPr>
        <w:t xml:space="preserve">. </w:t>
      </w:r>
      <w:r w:rsidRPr="0001692F">
        <w:rPr>
          <w:rFonts w:ascii="Arial" w:hAnsi="Arial" w:cs="Arial"/>
          <w:color w:val="000000"/>
          <w:sz w:val="18"/>
          <w:szCs w:val="18"/>
        </w:rPr>
        <w:t>M</w:t>
      </w:r>
      <w:r>
        <w:rPr>
          <w:rFonts w:ascii="Arial" w:hAnsi="Arial" w:cs="Arial"/>
          <w:color w:val="000000"/>
          <w:sz w:val="18"/>
          <w:szCs w:val="18"/>
        </w:rPr>
        <w:t>.</w:t>
      </w:r>
      <w:r w:rsidRPr="0001692F">
        <w:rPr>
          <w:rFonts w:ascii="Arial" w:hAnsi="Arial" w:cs="Arial"/>
          <w:color w:val="000000"/>
          <w:sz w:val="18"/>
          <w:szCs w:val="18"/>
        </w:rPr>
        <w:t>, Stillman S</w:t>
      </w:r>
      <w:r>
        <w:rPr>
          <w:rFonts w:ascii="Arial" w:hAnsi="Arial" w:cs="Arial"/>
          <w:color w:val="000000"/>
          <w:sz w:val="18"/>
          <w:szCs w:val="18"/>
        </w:rPr>
        <w:t>.</w:t>
      </w:r>
      <w:r w:rsidRPr="0001692F">
        <w:rPr>
          <w:rFonts w:ascii="Arial" w:hAnsi="Arial" w:cs="Arial"/>
          <w:color w:val="000000"/>
          <w:sz w:val="18"/>
          <w:szCs w:val="18"/>
        </w:rPr>
        <w:t xml:space="preserve">, &amp; Ford C. </w:t>
      </w:r>
      <w:r>
        <w:rPr>
          <w:rFonts w:ascii="Arial" w:hAnsi="Arial" w:cs="Arial"/>
          <w:color w:val="000000"/>
          <w:sz w:val="18"/>
          <w:szCs w:val="18"/>
        </w:rPr>
        <w:t xml:space="preserve">(2016). </w:t>
      </w:r>
      <w:r w:rsidRPr="0001692F">
        <w:rPr>
          <w:rFonts w:ascii="Arial" w:hAnsi="Arial" w:cs="Arial"/>
          <w:color w:val="000000"/>
          <w:sz w:val="18"/>
          <w:szCs w:val="18"/>
        </w:rPr>
        <w:t>7.7 Factors that predict success or failure in quit attempts. In Scollo, MM and Winstanley, MH [editors]. </w:t>
      </w:r>
      <w:hyperlink r:id="rId38" w:history="1">
        <w:r w:rsidRPr="0056143E">
          <w:rPr>
            <w:rStyle w:val="Hyperlink1"/>
            <w:rFonts w:ascii="Arial" w:hAnsi="Arial" w:cs="Arial"/>
            <w:i/>
            <w:iCs/>
            <w:sz w:val="18"/>
            <w:szCs w:val="18"/>
          </w:rPr>
          <w:t>Tobacco in Australia: Facts and issues.</w:t>
        </w:r>
        <w:r w:rsidRPr="00844C77">
          <w:rPr>
            <w:rStyle w:val="Hyperlink1"/>
            <w:rFonts w:ascii="Arial" w:hAnsi="Arial" w:cs="Arial"/>
            <w:sz w:val="18"/>
            <w:szCs w:val="18"/>
          </w:rPr>
          <w:t xml:space="preserve"> </w:t>
        </w:r>
        <w:r w:rsidRPr="0056143E">
          <w:rPr>
            <w:rStyle w:val="Hyperlink1"/>
            <w:rFonts w:ascii="Arial" w:hAnsi="Arial" w:cs="Arial"/>
            <w:sz w:val="18"/>
            <w:szCs w:val="18"/>
          </w:rPr>
          <w:t>Melbourne: Cancer Council Victori</w:t>
        </w:r>
        <w:r>
          <w:rPr>
            <w:rStyle w:val="Hyperlink1"/>
            <w:rFonts w:ascii="Arial" w:hAnsi="Arial" w:cs="Arial"/>
            <w:sz w:val="18"/>
            <w:szCs w:val="18"/>
          </w:rPr>
          <w:t>a.</w:t>
        </w:r>
      </w:hyperlink>
      <w:r w:rsidRPr="0001692F">
        <w:rPr>
          <w:rFonts w:ascii="Arial" w:hAnsi="Arial" w:cs="Arial"/>
          <w:sz w:val="18"/>
          <w:szCs w:val="18"/>
          <w:lang w:val="en-AU"/>
        </w:rPr>
        <w:t xml:space="preserve"> </w:t>
      </w:r>
    </w:p>
  </w:footnote>
  <w:footnote w:id="54">
    <w:p w14:paraId="4E005F14"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color w:val="222222"/>
          <w:sz w:val="18"/>
          <w:szCs w:val="18"/>
          <w:shd w:val="clear" w:color="auto" w:fill="FFFFFF"/>
        </w:rPr>
        <w:t xml:space="preserve">Bayly, M., Scollo, M. M., &amp; Wakefield, M. A. (2019). </w:t>
      </w:r>
      <w:hyperlink r:id="rId39" w:history="1">
        <w:r w:rsidRPr="00650E16">
          <w:rPr>
            <w:rStyle w:val="Hyperlink1"/>
            <w:rFonts w:ascii="Arial" w:hAnsi="Arial" w:cs="Arial"/>
            <w:sz w:val="18"/>
            <w:szCs w:val="18"/>
            <w:shd w:val="clear" w:color="auto" w:fill="FFFFFF"/>
          </w:rPr>
          <w:t>Who uses rollies? Trends in product offerings, price and use of roll-your-own tobacco in Australia. </w:t>
        </w:r>
        <w:r w:rsidRPr="00650E16">
          <w:rPr>
            <w:rStyle w:val="Hyperlink1"/>
            <w:rFonts w:ascii="Arial" w:hAnsi="Arial" w:cs="Arial"/>
            <w:i/>
            <w:iCs/>
            <w:sz w:val="18"/>
            <w:szCs w:val="18"/>
            <w:shd w:val="clear" w:color="auto" w:fill="FFFFFF"/>
          </w:rPr>
          <w:t xml:space="preserve">Tobacco </w:t>
        </w:r>
        <w:r>
          <w:rPr>
            <w:rStyle w:val="Hyperlink1"/>
            <w:rFonts w:ascii="Arial" w:hAnsi="Arial" w:cs="Arial"/>
            <w:i/>
            <w:iCs/>
            <w:sz w:val="18"/>
            <w:szCs w:val="18"/>
            <w:shd w:val="clear" w:color="auto" w:fill="FFFFFF"/>
          </w:rPr>
          <w:t>C</w:t>
        </w:r>
        <w:r w:rsidRPr="00650E16">
          <w:rPr>
            <w:rStyle w:val="Hyperlink1"/>
            <w:rFonts w:ascii="Arial" w:hAnsi="Arial" w:cs="Arial"/>
            <w:i/>
            <w:iCs/>
            <w:sz w:val="18"/>
            <w:szCs w:val="18"/>
            <w:shd w:val="clear" w:color="auto" w:fill="FFFFFF"/>
          </w:rPr>
          <w:t>ontrol</w:t>
        </w:r>
        <w:r w:rsidRPr="00650E16">
          <w:rPr>
            <w:rStyle w:val="Hyperlink1"/>
            <w:rFonts w:ascii="Arial" w:hAnsi="Arial" w:cs="Arial"/>
            <w:sz w:val="18"/>
            <w:szCs w:val="18"/>
            <w:shd w:val="clear" w:color="auto" w:fill="FFFFFF"/>
          </w:rPr>
          <w:t>, </w:t>
        </w:r>
        <w:r w:rsidRPr="00650E16">
          <w:rPr>
            <w:rStyle w:val="Hyperlink1"/>
            <w:rFonts w:ascii="Arial" w:hAnsi="Arial" w:cs="Arial"/>
            <w:i/>
            <w:iCs/>
            <w:sz w:val="18"/>
            <w:szCs w:val="18"/>
            <w:shd w:val="clear" w:color="auto" w:fill="FFFFFF"/>
          </w:rPr>
          <w:t>28</w:t>
        </w:r>
        <w:r w:rsidRPr="00650E16">
          <w:rPr>
            <w:rStyle w:val="Hyperlink1"/>
            <w:rFonts w:ascii="Arial" w:hAnsi="Arial" w:cs="Arial"/>
            <w:sz w:val="18"/>
            <w:szCs w:val="18"/>
            <w:shd w:val="clear" w:color="auto" w:fill="FFFFFF"/>
          </w:rPr>
          <w:t>, 317-324</w:t>
        </w:r>
      </w:hyperlink>
      <w:r w:rsidRPr="0001692F">
        <w:rPr>
          <w:rFonts w:ascii="Arial" w:hAnsi="Arial" w:cs="Arial"/>
          <w:color w:val="222222"/>
          <w:sz w:val="18"/>
          <w:szCs w:val="18"/>
          <w:shd w:val="clear" w:color="auto" w:fill="FFFFFF"/>
        </w:rPr>
        <w:t>.</w:t>
      </w:r>
    </w:p>
  </w:footnote>
  <w:footnote w:id="55">
    <w:p w14:paraId="7F4C5E20"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color w:val="000000"/>
          <w:sz w:val="18"/>
          <w:szCs w:val="18"/>
        </w:rPr>
        <w:t>Wood, L., Greenhalgh, E</w:t>
      </w:r>
      <w:r>
        <w:rPr>
          <w:rFonts w:ascii="Arial" w:hAnsi="Arial" w:cs="Arial"/>
          <w:color w:val="000000"/>
          <w:sz w:val="18"/>
          <w:szCs w:val="18"/>
        </w:rPr>
        <w:t xml:space="preserve">. </w:t>
      </w:r>
      <w:r w:rsidRPr="0001692F">
        <w:rPr>
          <w:rFonts w:ascii="Arial" w:hAnsi="Arial" w:cs="Arial"/>
          <w:color w:val="000000"/>
          <w:sz w:val="18"/>
          <w:szCs w:val="18"/>
        </w:rPr>
        <w:t xml:space="preserve">M., &amp; Hanley-Jones, S. </w:t>
      </w:r>
      <w:r>
        <w:rPr>
          <w:rFonts w:ascii="Arial" w:hAnsi="Arial" w:cs="Arial"/>
          <w:color w:val="000000"/>
          <w:sz w:val="18"/>
          <w:szCs w:val="18"/>
        </w:rPr>
        <w:t xml:space="preserve">(2019). </w:t>
      </w:r>
      <w:r w:rsidRPr="0001692F">
        <w:rPr>
          <w:rFonts w:ascii="Arial" w:hAnsi="Arial" w:cs="Arial"/>
          <w:color w:val="000000"/>
          <w:sz w:val="18"/>
          <w:szCs w:val="18"/>
        </w:rPr>
        <w:t xml:space="preserve">5.0 Introduction. In Scollo, MM and Winstanley, MH [editors]. </w:t>
      </w:r>
      <w:hyperlink r:id="rId40" w:history="1">
        <w:r w:rsidRPr="00844C77">
          <w:rPr>
            <w:rStyle w:val="Hyperlink1"/>
            <w:rFonts w:ascii="Arial" w:hAnsi="Arial" w:cs="Arial"/>
            <w:i/>
            <w:sz w:val="18"/>
            <w:szCs w:val="18"/>
          </w:rPr>
          <w:t>Tobacco in Australia: Facts and issues</w:t>
        </w:r>
        <w:r w:rsidRPr="00844C77">
          <w:rPr>
            <w:rStyle w:val="Hyperlink1"/>
            <w:rFonts w:ascii="Arial" w:hAnsi="Arial" w:cs="Arial"/>
            <w:sz w:val="18"/>
            <w:szCs w:val="18"/>
          </w:rPr>
          <w:t xml:space="preserve">. </w:t>
        </w:r>
        <w:r w:rsidRPr="0062037D">
          <w:rPr>
            <w:rStyle w:val="Hyperlink1"/>
            <w:rFonts w:ascii="Arial" w:hAnsi="Arial" w:cs="Arial"/>
            <w:sz w:val="18"/>
            <w:szCs w:val="18"/>
          </w:rPr>
          <w:t>Melbourne: Cancer Council Victori</w:t>
        </w:r>
        <w:r>
          <w:rPr>
            <w:rStyle w:val="Hyperlink1"/>
            <w:rFonts w:ascii="Arial" w:hAnsi="Arial" w:cs="Arial"/>
            <w:sz w:val="18"/>
            <w:szCs w:val="18"/>
          </w:rPr>
          <w:t>a.</w:t>
        </w:r>
      </w:hyperlink>
      <w:r w:rsidRPr="0001692F">
        <w:rPr>
          <w:rFonts w:ascii="Arial" w:hAnsi="Arial" w:cs="Arial"/>
          <w:sz w:val="18"/>
          <w:szCs w:val="18"/>
          <w:lang w:val="en-AU"/>
        </w:rPr>
        <w:t xml:space="preserve"> </w:t>
      </w:r>
    </w:p>
  </w:footnote>
  <w:footnote w:id="56">
    <w:p w14:paraId="2FC3E5FD"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sz w:val="18"/>
          <w:szCs w:val="18"/>
          <w:lang w:val="en-AU"/>
        </w:rPr>
        <w:t>White &amp; Williams, 2016.</w:t>
      </w:r>
    </w:p>
  </w:footnote>
  <w:footnote w:id="57">
    <w:p w14:paraId="095AF833" w14:textId="77777777" w:rsidR="00545FF4" w:rsidRPr="0001692F"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sz w:val="18"/>
          <w:szCs w:val="18"/>
          <w:lang w:val="en-AU"/>
        </w:rPr>
        <w:t>Guerin &amp; White, 20</w:t>
      </w:r>
      <w:r>
        <w:rPr>
          <w:rFonts w:ascii="Arial" w:hAnsi="Arial" w:cs="Arial"/>
          <w:sz w:val="18"/>
          <w:szCs w:val="18"/>
          <w:lang w:val="en-AU"/>
        </w:rPr>
        <w:t>20.</w:t>
      </w:r>
    </w:p>
  </w:footnote>
  <w:footnote w:id="58">
    <w:p w14:paraId="5F9C6CC3" w14:textId="77777777" w:rsidR="00545FF4" w:rsidRPr="00FF0787" w:rsidRDefault="00545FF4" w:rsidP="00FF7F16">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sz w:val="18"/>
          <w:szCs w:val="18"/>
          <w:lang w:val="en-AU"/>
        </w:rPr>
        <w:t>Wood et al., 2019</w:t>
      </w:r>
      <w:r>
        <w:rPr>
          <w:rFonts w:ascii="Arial" w:hAnsi="Arial" w:cs="Arial"/>
          <w:sz w:val="18"/>
          <w:szCs w:val="18"/>
          <w:lang w:val="en-AU"/>
        </w:rPr>
        <w:t>.</w:t>
      </w:r>
    </w:p>
  </w:footnote>
  <w:footnote w:id="59">
    <w:p w14:paraId="259D9E75" w14:textId="77777777" w:rsidR="00545FF4" w:rsidRPr="00FF0787" w:rsidRDefault="00545FF4" w:rsidP="00D468CB">
      <w:pPr>
        <w:pStyle w:val="FootnoteText"/>
        <w:jc w:val="left"/>
        <w:rPr>
          <w:rFonts w:ascii="Arial" w:hAnsi="Arial" w:cs="Arial"/>
          <w:sz w:val="18"/>
          <w:szCs w:val="18"/>
          <w:lang w:val="en-AU"/>
        </w:rPr>
      </w:pPr>
      <w:r w:rsidRPr="00FF0787">
        <w:rPr>
          <w:rStyle w:val="FootnoteReference"/>
          <w:rFonts w:eastAsia="Arial"/>
        </w:rPr>
        <w:footnoteRef/>
      </w:r>
      <w:r w:rsidRPr="00FF0787">
        <w:rPr>
          <w:rFonts w:ascii="Arial" w:hAnsi="Arial" w:cs="Arial"/>
          <w:sz w:val="18"/>
          <w:szCs w:val="18"/>
        </w:rPr>
        <w:t xml:space="preserve"> </w:t>
      </w:r>
      <w:r>
        <w:rPr>
          <w:rFonts w:ascii="Arial" w:hAnsi="Arial" w:cs="Arial"/>
          <w:sz w:val="18"/>
          <w:szCs w:val="18"/>
          <w:lang w:val="en-AU"/>
        </w:rPr>
        <w:t xml:space="preserve">Based on </w:t>
      </w:r>
      <w:r w:rsidRPr="00FF0787">
        <w:rPr>
          <w:rFonts w:ascii="Arial" w:hAnsi="Arial" w:cs="Arial"/>
          <w:sz w:val="18"/>
          <w:szCs w:val="18"/>
          <w:lang w:val="en-AU"/>
        </w:rPr>
        <w:t xml:space="preserve">Australian Government Department of Health (2018). Tobacco control timeline. </w:t>
      </w:r>
      <w:hyperlink r:id="rId41" w:history="1">
        <w:r w:rsidRPr="00844C77">
          <w:rPr>
            <w:rStyle w:val="Hyperlink1"/>
            <w:rFonts w:ascii="Arial" w:hAnsi="Arial" w:cs="Arial"/>
            <w:i/>
            <w:sz w:val="18"/>
            <w:szCs w:val="18"/>
            <w:lang w:val="en-AU"/>
          </w:rPr>
          <w:t>Tobacco control key facts and figures</w:t>
        </w:r>
      </w:hyperlink>
      <w:r>
        <w:rPr>
          <w:rFonts w:ascii="Arial" w:hAnsi="Arial" w:cs="Arial"/>
          <w:sz w:val="18"/>
          <w:szCs w:val="18"/>
          <w:lang w:val="en-AU"/>
        </w:rPr>
        <w:t>.</w:t>
      </w:r>
    </w:p>
  </w:footnote>
  <w:footnote w:id="60">
    <w:p w14:paraId="2AD4C007" w14:textId="77777777" w:rsidR="00545FF4" w:rsidRPr="004A04C8" w:rsidRDefault="00545FF4" w:rsidP="00D468CB">
      <w:pPr>
        <w:pStyle w:val="FootnoteText"/>
        <w:rPr>
          <w:rFonts w:ascii="Arial" w:hAnsi="Arial" w:cs="Arial"/>
          <w:sz w:val="18"/>
          <w:szCs w:val="18"/>
          <w:lang w:val="en-US"/>
        </w:rPr>
      </w:pPr>
      <w:r w:rsidRPr="004A04C8">
        <w:rPr>
          <w:rStyle w:val="FootnoteReference"/>
          <w:rFonts w:ascii="Arial" w:hAnsi="Arial"/>
          <w:sz w:val="18"/>
          <w:szCs w:val="18"/>
        </w:rPr>
        <w:footnoteRef/>
      </w:r>
      <w:r w:rsidRPr="004A04C8">
        <w:rPr>
          <w:rFonts w:ascii="Arial" w:hAnsi="Arial" w:cs="Arial"/>
          <w:sz w:val="18"/>
          <w:szCs w:val="18"/>
        </w:rPr>
        <w:t xml:space="preserve"> </w:t>
      </w:r>
      <w:r w:rsidRPr="004A04C8">
        <w:rPr>
          <w:rFonts w:ascii="Arial" w:hAnsi="Arial" w:cs="Arial"/>
          <w:sz w:val="18"/>
          <w:szCs w:val="18"/>
          <w:lang w:val="en-US"/>
        </w:rPr>
        <w:t>Additional</w:t>
      </w:r>
      <w:r>
        <w:rPr>
          <w:rFonts w:ascii="Arial" w:hAnsi="Arial" w:cs="Arial"/>
          <w:sz w:val="18"/>
          <w:szCs w:val="18"/>
          <w:lang w:val="en-US"/>
        </w:rPr>
        <w:t xml:space="preserve"> information obtained from Scollo, M. M., &amp; Winstanley, M. H. (2012). Introduction. In Scollo, MM and Winstanley, MH [Editors]. </w:t>
      </w:r>
      <w:hyperlink r:id="rId42" w:history="1">
        <w:r w:rsidRPr="00844C77">
          <w:rPr>
            <w:rStyle w:val="Hyperlink1"/>
            <w:rFonts w:ascii="Arial" w:hAnsi="Arial" w:cs="Arial"/>
            <w:i/>
            <w:sz w:val="18"/>
            <w:szCs w:val="18"/>
            <w:lang w:val="en-AU"/>
          </w:rPr>
          <w:t>Tobacco</w:t>
        </w:r>
        <w:r>
          <w:rPr>
            <w:rStyle w:val="Hyperlink1"/>
            <w:rFonts w:ascii="Arial" w:hAnsi="Arial" w:cs="Arial"/>
            <w:i/>
            <w:sz w:val="18"/>
            <w:szCs w:val="18"/>
            <w:lang w:val="en-AU"/>
          </w:rPr>
          <w:t xml:space="preserve"> in Australia: Facts and Issues</w:t>
        </w:r>
        <w:r>
          <w:rPr>
            <w:rStyle w:val="Hyperlink1"/>
            <w:rFonts w:ascii="Arial" w:hAnsi="Arial" w:cs="Arial"/>
            <w:iCs/>
            <w:sz w:val="18"/>
            <w:szCs w:val="18"/>
            <w:lang w:val="en-AU"/>
          </w:rPr>
          <w:t xml:space="preserve">. </w:t>
        </w:r>
        <w:r w:rsidRPr="00F0189C">
          <w:rPr>
            <w:rStyle w:val="Hyperlink1"/>
            <w:rFonts w:ascii="Arial" w:hAnsi="Arial" w:cs="Arial"/>
            <w:iCs/>
            <w:sz w:val="18"/>
            <w:szCs w:val="18"/>
            <w:lang w:val="en-AU"/>
          </w:rPr>
          <w:t>Melbourne: Cancer Council Victoria.</w:t>
        </w:r>
      </w:hyperlink>
      <w:r>
        <w:rPr>
          <w:rFonts w:ascii="Arial" w:hAnsi="Arial" w:cs="Arial"/>
          <w:sz w:val="18"/>
          <w:szCs w:val="18"/>
          <w:lang w:val="en-US"/>
        </w:rPr>
        <w:t xml:space="preserve">  </w:t>
      </w:r>
      <w:r w:rsidRPr="004A04C8">
        <w:rPr>
          <w:rFonts w:ascii="Arial" w:hAnsi="Arial" w:cs="Arial"/>
          <w:sz w:val="18"/>
          <w:szCs w:val="18"/>
          <w:lang w:val="en-US"/>
        </w:rPr>
        <w:t xml:space="preserve"> </w:t>
      </w:r>
    </w:p>
  </w:footnote>
  <w:footnote w:id="61">
    <w:p w14:paraId="0DDFA245" w14:textId="77777777" w:rsidR="00545FF4" w:rsidRPr="0001692F" w:rsidRDefault="00545FF4" w:rsidP="002F3DB4">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Johnston et al., 2019</w:t>
      </w:r>
      <w:r>
        <w:rPr>
          <w:rFonts w:ascii="Arial" w:hAnsi="Arial" w:cs="Arial"/>
          <w:sz w:val="18"/>
          <w:szCs w:val="18"/>
        </w:rPr>
        <w:t>.</w:t>
      </w:r>
    </w:p>
  </w:footnote>
  <w:footnote w:id="62">
    <w:p w14:paraId="5760F493" w14:textId="488E7A34" w:rsidR="00545FF4" w:rsidRPr="0001692F" w:rsidRDefault="00545FF4" w:rsidP="002F3DB4">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NHS Digital</w:t>
      </w:r>
      <w:r w:rsidR="00A53410">
        <w:rPr>
          <w:rFonts w:ascii="Arial" w:hAnsi="Arial" w:cs="Arial"/>
          <w:sz w:val="18"/>
          <w:szCs w:val="18"/>
        </w:rPr>
        <w:t>, 2019.</w:t>
      </w:r>
    </w:p>
  </w:footnote>
  <w:footnote w:id="63">
    <w:p w14:paraId="3D939E7E" w14:textId="77777777" w:rsidR="00545FF4" w:rsidRPr="0001692F" w:rsidRDefault="00545FF4" w:rsidP="002F3DB4">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Australian Institute of Health and Welfare</w:t>
      </w:r>
      <w:r>
        <w:rPr>
          <w:rFonts w:ascii="Arial" w:hAnsi="Arial" w:cs="Arial"/>
          <w:sz w:val="18"/>
          <w:szCs w:val="18"/>
        </w:rPr>
        <w:t>, 2017.</w:t>
      </w:r>
      <w:r w:rsidRPr="0001692F">
        <w:rPr>
          <w:rFonts w:ascii="Arial" w:hAnsi="Arial" w:cs="Arial"/>
          <w:sz w:val="18"/>
          <w:szCs w:val="18"/>
        </w:rPr>
        <w:t xml:space="preserve"> </w:t>
      </w:r>
    </w:p>
  </w:footnote>
  <w:footnote w:id="64">
    <w:p w14:paraId="3FA3F172" w14:textId="77777777" w:rsidR="00545FF4" w:rsidRPr="0001692F" w:rsidRDefault="00545FF4" w:rsidP="005A485B">
      <w:pPr>
        <w:pStyle w:val="FootnoteText"/>
        <w:jc w:val="left"/>
        <w:rPr>
          <w:rFonts w:ascii="Arial" w:hAnsi="Arial" w:cs="Arial"/>
          <w:sz w:val="18"/>
          <w:szCs w:val="18"/>
          <w:lang w:val="en-US"/>
        </w:rPr>
      </w:pPr>
      <w:r w:rsidRPr="0001692F">
        <w:rPr>
          <w:rStyle w:val="FootnoteReference"/>
          <w:rFonts w:eastAsia="Arial"/>
        </w:rPr>
        <w:footnoteRef/>
      </w:r>
      <w:r w:rsidRPr="0001692F">
        <w:rPr>
          <w:rFonts w:ascii="Arial" w:hAnsi="Arial" w:cs="Arial"/>
          <w:sz w:val="18"/>
          <w:szCs w:val="18"/>
        </w:rPr>
        <w:t xml:space="preserve"> Azar, D., White, V., Bland, S., </w:t>
      </w:r>
      <w:r>
        <w:rPr>
          <w:rFonts w:ascii="Arial" w:hAnsi="Arial" w:cs="Arial"/>
          <w:sz w:val="18"/>
          <w:szCs w:val="18"/>
        </w:rPr>
        <w:t>et al.</w:t>
      </w:r>
      <w:r w:rsidRPr="0001692F">
        <w:rPr>
          <w:rFonts w:ascii="Arial" w:hAnsi="Arial" w:cs="Arial"/>
          <w:sz w:val="18"/>
          <w:szCs w:val="18"/>
        </w:rPr>
        <w:t xml:space="preserve"> (2013). </w:t>
      </w:r>
      <w:hyperlink r:id="rId43" w:history="1">
        <w:r w:rsidRPr="00650E16">
          <w:rPr>
            <w:rStyle w:val="Hyperlink1"/>
            <w:rFonts w:ascii="Arial" w:hAnsi="Arial" w:cs="Arial"/>
            <w:sz w:val="18"/>
            <w:szCs w:val="18"/>
          </w:rPr>
          <w:t xml:space="preserve">‘Something's brewing’: the changing trends in alcohol coverage in Australian newspapers 2000–2011. </w:t>
        </w:r>
        <w:r w:rsidRPr="00650E16">
          <w:rPr>
            <w:rStyle w:val="Hyperlink1"/>
            <w:rFonts w:ascii="Arial" w:hAnsi="Arial" w:cs="Arial"/>
            <w:i/>
            <w:sz w:val="18"/>
            <w:szCs w:val="18"/>
          </w:rPr>
          <w:t>Alcohol and Alcoholism</w:t>
        </w:r>
        <w:r w:rsidRPr="00650E16">
          <w:rPr>
            <w:rStyle w:val="Hyperlink1"/>
            <w:rFonts w:ascii="Arial" w:hAnsi="Arial" w:cs="Arial"/>
            <w:sz w:val="18"/>
            <w:szCs w:val="18"/>
          </w:rPr>
          <w:t>, 49, 336-342</w:t>
        </w:r>
      </w:hyperlink>
      <w:r w:rsidRPr="0001692F">
        <w:rPr>
          <w:rFonts w:ascii="Arial" w:hAnsi="Arial" w:cs="Arial"/>
          <w:sz w:val="18"/>
          <w:szCs w:val="18"/>
        </w:rPr>
        <w:t>.</w:t>
      </w:r>
    </w:p>
  </w:footnote>
  <w:footnote w:id="65">
    <w:p w14:paraId="0F72688D" w14:textId="77777777" w:rsidR="00545FF4" w:rsidRPr="0001692F" w:rsidRDefault="00545FF4" w:rsidP="005A485B">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Törrönen, J., Roumeliotis, F., Samuelsson, E.,</w:t>
      </w:r>
      <w:r>
        <w:rPr>
          <w:rFonts w:ascii="Arial" w:hAnsi="Arial" w:cs="Arial"/>
          <w:sz w:val="18"/>
          <w:szCs w:val="18"/>
        </w:rPr>
        <w:t xml:space="preserve"> et al.</w:t>
      </w:r>
      <w:r w:rsidRPr="0001692F">
        <w:rPr>
          <w:rFonts w:ascii="Arial" w:hAnsi="Arial" w:cs="Arial"/>
          <w:sz w:val="18"/>
          <w:szCs w:val="18"/>
        </w:rPr>
        <w:t xml:space="preserve"> (2019). </w:t>
      </w:r>
      <w:hyperlink r:id="rId44" w:history="1">
        <w:r w:rsidRPr="00650E16">
          <w:rPr>
            <w:rStyle w:val="Hyperlink1"/>
            <w:rFonts w:ascii="Arial" w:hAnsi="Arial" w:cs="Arial"/>
            <w:sz w:val="18"/>
            <w:szCs w:val="18"/>
          </w:rPr>
          <w:t xml:space="preserve">Why are young people drinking less than earlier? Identifying and specifying social mechanisms with a pragmatist approach. </w:t>
        </w:r>
        <w:r w:rsidRPr="00650E16">
          <w:rPr>
            <w:rStyle w:val="Hyperlink1"/>
            <w:rFonts w:ascii="Arial" w:hAnsi="Arial" w:cs="Arial"/>
            <w:i/>
            <w:sz w:val="18"/>
            <w:szCs w:val="18"/>
          </w:rPr>
          <w:t>International Journal of Drug Policy</w:t>
        </w:r>
        <w:r w:rsidRPr="00650E16">
          <w:rPr>
            <w:rStyle w:val="Hyperlink1"/>
            <w:rFonts w:ascii="Arial" w:hAnsi="Arial" w:cs="Arial"/>
            <w:sz w:val="18"/>
            <w:szCs w:val="18"/>
          </w:rPr>
          <w:t>, 64, 13-20</w:t>
        </w:r>
      </w:hyperlink>
      <w:r w:rsidRPr="0001692F">
        <w:rPr>
          <w:rFonts w:ascii="Arial" w:hAnsi="Arial" w:cs="Arial"/>
          <w:sz w:val="18"/>
          <w:szCs w:val="18"/>
        </w:rPr>
        <w:t>.</w:t>
      </w:r>
    </w:p>
  </w:footnote>
  <w:footnote w:id="66">
    <w:p w14:paraId="33219D4D" w14:textId="77777777" w:rsidR="00545FF4" w:rsidRPr="0001692F" w:rsidRDefault="00545FF4" w:rsidP="005A485B">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Oldham, M., Holmes, J., Whitaker, V.,</w:t>
      </w:r>
      <w:r>
        <w:rPr>
          <w:rFonts w:ascii="Arial" w:hAnsi="Arial" w:cs="Arial"/>
          <w:sz w:val="18"/>
          <w:szCs w:val="18"/>
        </w:rPr>
        <w:t xml:space="preserve"> et al. (2</w:t>
      </w:r>
      <w:r w:rsidRPr="0001692F">
        <w:rPr>
          <w:rFonts w:ascii="Arial" w:hAnsi="Arial" w:cs="Arial"/>
          <w:sz w:val="18"/>
          <w:szCs w:val="18"/>
        </w:rPr>
        <w:t xml:space="preserve">018). </w:t>
      </w:r>
      <w:hyperlink r:id="rId45" w:history="1">
        <w:r w:rsidRPr="00650E16">
          <w:rPr>
            <w:rStyle w:val="Hyperlink1"/>
            <w:rFonts w:ascii="Arial" w:hAnsi="Arial" w:cs="Arial"/>
            <w:sz w:val="18"/>
            <w:szCs w:val="18"/>
          </w:rPr>
          <w:t>Youth drinking in decline. Report.</w:t>
        </w:r>
      </w:hyperlink>
      <w:r>
        <w:rPr>
          <w:rFonts w:ascii="Arial" w:hAnsi="Arial" w:cs="Arial"/>
          <w:sz w:val="18"/>
          <w:szCs w:val="18"/>
        </w:rPr>
        <w:t xml:space="preserve"> Sheffield: University of Sheffield. </w:t>
      </w:r>
    </w:p>
  </w:footnote>
  <w:footnote w:id="67">
    <w:p w14:paraId="35556CBC" w14:textId="77777777" w:rsidR="00545FF4" w:rsidRPr="0001692F" w:rsidRDefault="00545FF4" w:rsidP="005A485B">
      <w:pPr>
        <w:pStyle w:val="FootnoteText"/>
        <w:jc w:val="left"/>
        <w:rPr>
          <w:rFonts w:ascii="Arial" w:hAnsi="Arial" w:cs="Arial"/>
          <w:sz w:val="18"/>
          <w:szCs w:val="18"/>
          <w:lang w:val="en-US"/>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color w:val="222222"/>
          <w:sz w:val="18"/>
          <w:szCs w:val="18"/>
          <w:shd w:val="clear" w:color="auto" w:fill="FFFFFF"/>
        </w:rPr>
        <w:t xml:space="preserve">van Gemert, C., Dietze, P., Gold, J., </w:t>
      </w:r>
      <w:r>
        <w:rPr>
          <w:rFonts w:ascii="Arial" w:hAnsi="Arial" w:cs="Arial"/>
          <w:color w:val="222222"/>
          <w:sz w:val="18"/>
          <w:szCs w:val="18"/>
          <w:shd w:val="clear" w:color="auto" w:fill="FFFFFF"/>
        </w:rPr>
        <w:t>et al.</w:t>
      </w:r>
      <w:r w:rsidRPr="0001692F">
        <w:rPr>
          <w:rFonts w:ascii="Arial" w:hAnsi="Arial" w:cs="Arial"/>
          <w:color w:val="222222"/>
          <w:sz w:val="18"/>
          <w:szCs w:val="18"/>
          <w:shd w:val="clear" w:color="auto" w:fill="FFFFFF"/>
        </w:rPr>
        <w:t xml:space="preserve"> (2011). </w:t>
      </w:r>
      <w:hyperlink r:id="rId46" w:history="1">
        <w:r w:rsidRPr="00650E16">
          <w:rPr>
            <w:rStyle w:val="Hyperlink1"/>
            <w:rFonts w:ascii="Arial" w:hAnsi="Arial" w:cs="Arial"/>
            <w:sz w:val="18"/>
            <w:szCs w:val="18"/>
            <w:shd w:val="clear" w:color="auto" w:fill="FFFFFF"/>
          </w:rPr>
          <w:t>The Australian national binge drinking campaign: campaign recognition among young people at a music festival who report risky drinking. </w:t>
        </w:r>
        <w:r w:rsidRPr="00650E16">
          <w:rPr>
            <w:rStyle w:val="Hyperlink1"/>
            <w:rFonts w:ascii="Arial" w:hAnsi="Arial" w:cs="Arial"/>
            <w:i/>
            <w:iCs/>
            <w:sz w:val="18"/>
            <w:szCs w:val="18"/>
            <w:shd w:val="clear" w:color="auto" w:fill="FFFFFF"/>
          </w:rPr>
          <w:t>BMC Public Health</w:t>
        </w:r>
        <w:r w:rsidRPr="00650E16">
          <w:rPr>
            <w:rStyle w:val="Hyperlink1"/>
            <w:rFonts w:ascii="Arial" w:hAnsi="Arial" w:cs="Arial"/>
            <w:sz w:val="18"/>
            <w:szCs w:val="18"/>
            <w:shd w:val="clear" w:color="auto" w:fill="FFFFFF"/>
          </w:rPr>
          <w:t>, </w:t>
        </w:r>
        <w:r w:rsidRPr="00650E16">
          <w:rPr>
            <w:rStyle w:val="Hyperlink1"/>
            <w:rFonts w:ascii="Arial" w:hAnsi="Arial" w:cs="Arial"/>
            <w:i/>
            <w:iCs/>
            <w:sz w:val="18"/>
            <w:szCs w:val="18"/>
            <w:shd w:val="clear" w:color="auto" w:fill="FFFFFF"/>
          </w:rPr>
          <w:t>11</w:t>
        </w:r>
        <w:r w:rsidRPr="00650E16">
          <w:rPr>
            <w:rStyle w:val="Hyperlink1"/>
            <w:rFonts w:ascii="Arial" w:hAnsi="Arial" w:cs="Arial"/>
            <w:sz w:val="18"/>
            <w:szCs w:val="18"/>
            <w:shd w:val="clear" w:color="auto" w:fill="FFFFFF"/>
          </w:rPr>
          <w:t>, 482</w:t>
        </w:r>
      </w:hyperlink>
      <w:r w:rsidRPr="0001692F">
        <w:rPr>
          <w:rFonts w:ascii="Arial" w:hAnsi="Arial" w:cs="Arial"/>
          <w:color w:val="222222"/>
          <w:sz w:val="18"/>
          <w:szCs w:val="18"/>
          <w:shd w:val="clear" w:color="auto" w:fill="FFFFFF"/>
        </w:rPr>
        <w:t>.</w:t>
      </w:r>
    </w:p>
  </w:footnote>
  <w:footnote w:id="68">
    <w:p w14:paraId="2939382C" w14:textId="77777777" w:rsidR="00545FF4" w:rsidRPr="00DF55C5" w:rsidRDefault="00545FF4" w:rsidP="005A485B">
      <w:pPr>
        <w:pStyle w:val="FootnoteText"/>
        <w:jc w:val="left"/>
        <w:rPr>
          <w:rFonts w:ascii="Arial" w:hAnsi="Arial" w:cs="Arial"/>
          <w:sz w:val="18"/>
          <w:szCs w:val="18"/>
          <w:lang w:val="en-AU"/>
        </w:rPr>
      </w:pPr>
      <w:r w:rsidRPr="0001692F">
        <w:rPr>
          <w:rStyle w:val="FootnoteReference"/>
          <w:rFonts w:eastAsia="Arial"/>
        </w:rPr>
        <w:footnoteRef/>
      </w:r>
      <w:r w:rsidRPr="0001692F">
        <w:rPr>
          <w:rFonts w:ascii="Arial" w:hAnsi="Arial" w:cs="Arial"/>
          <w:sz w:val="18"/>
          <w:szCs w:val="18"/>
        </w:rPr>
        <w:t xml:space="preserve"> </w:t>
      </w:r>
      <w:r w:rsidRPr="0001692F">
        <w:rPr>
          <w:rFonts w:ascii="Arial" w:hAnsi="Arial" w:cs="Arial"/>
          <w:color w:val="222222"/>
          <w:sz w:val="18"/>
          <w:szCs w:val="18"/>
          <w:shd w:val="clear" w:color="auto" w:fill="FFFFFF"/>
        </w:rPr>
        <w:t>Johnston, R. S., Stafford, J., Jongenelis, M. I.,</w:t>
      </w:r>
      <w:r>
        <w:rPr>
          <w:rFonts w:ascii="Arial" w:hAnsi="Arial" w:cs="Arial"/>
          <w:color w:val="222222"/>
          <w:sz w:val="18"/>
          <w:szCs w:val="18"/>
          <w:shd w:val="clear" w:color="auto" w:fill="FFFFFF"/>
        </w:rPr>
        <w:t xml:space="preserve"> et al. (2</w:t>
      </w:r>
      <w:r w:rsidRPr="0001692F">
        <w:rPr>
          <w:rFonts w:ascii="Arial" w:hAnsi="Arial" w:cs="Arial"/>
          <w:color w:val="222222"/>
          <w:sz w:val="18"/>
          <w:szCs w:val="18"/>
          <w:shd w:val="clear" w:color="auto" w:fill="FFFFFF"/>
        </w:rPr>
        <w:t xml:space="preserve">018). </w:t>
      </w:r>
      <w:hyperlink r:id="rId47" w:history="1">
        <w:r w:rsidRPr="00D659B4">
          <w:rPr>
            <w:rStyle w:val="Hyperlink1"/>
            <w:rFonts w:ascii="Arial" w:hAnsi="Arial" w:cs="Arial"/>
            <w:sz w:val="18"/>
            <w:szCs w:val="18"/>
            <w:shd w:val="clear" w:color="auto" w:fill="FFFFFF"/>
          </w:rPr>
          <w:t>Evaluation of a public education campaign to support parents to reduce adolescent alcohol use. </w:t>
        </w:r>
        <w:r w:rsidRPr="00D659B4">
          <w:rPr>
            <w:rStyle w:val="Hyperlink1"/>
            <w:rFonts w:ascii="Arial" w:hAnsi="Arial" w:cs="Arial"/>
            <w:i/>
            <w:iCs/>
            <w:sz w:val="18"/>
            <w:szCs w:val="18"/>
            <w:shd w:val="clear" w:color="auto" w:fill="FFFFFF"/>
          </w:rPr>
          <w:t>Drug and Alcohol Review</w:t>
        </w:r>
        <w:r w:rsidRPr="00D659B4">
          <w:rPr>
            <w:rStyle w:val="Hyperlink1"/>
            <w:rFonts w:ascii="Arial" w:hAnsi="Arial" w:cs="Arial"/>
            <w:sz w:val="18"/>
            <w:szCs w:val="18"/>
            <w:shd w:val="clear" w:color="auto" w:fill="FFFFFF"/>
          </w:rPr>
          <w:t>, </w:t>
        </w:r>
        <w:r w:rsidRPr="00D659B4">
          <w:rPr>
            <w:rStyle w:val="Hyperlink1"/>
            <w:rFonts w:ascii="Arial" w:hAnsi="Arial" w:cs="Arial"/>
            <w:i/>
            <w:iCs/>
            <w:sz w:val="18"/>
            <w:szCs w:val="18"/>
            <w:shd w:val="clear" w:color="auto" w:fill="FFFFFF"/>
          </w:rPr>
          <w:t>37</w:t>
        </w:r>
        <w:r w:rsidRPr="00D659B4">
          <w:rPr>
            <w:rStyle w:val="Hyperlink1"/>
            <w:rFonts w:ascii="Arial" w:hAnsi="Arial" w:cs="Arial"/>
            <w:sz w:val="18"/>
            <w:szCs w:val="18"/>
            <w:shd w:val="clear" w:color="auto" w:fill="FFFFFF"/>
          </w:rPr>
          <w:t>, 588-598</w:t>
        </w:r>
      </w:hyperlink>
      <w:r w:rsidRPr="00DF55C5">
        <w:rPr>
          <w:rFonts w:ascii="Arial" w:hAnsi="Arial" w:cs="Arial"/>
          <w:color w:val="222222"/>
          <w:sz w:val="18"/>
          <w:szCs w:val="18"/>
          <w:shd w:val="clear" w:color="auto" w:fill="FFFFFF"/>
        </w:rPr>
        <w:t>.</w:t>
      </w:r>
    </w:p>
  </w:footnote>
  <w:footnote w:id="69">
    <w:p w14:paraId="132CBB97" w14:textId="77777777" w:rsidR="00545FF4" w:rsidRPr="00DF55C5" w:rsidRDefault="00545FF4" w:rsidP="005A485B">
      <w:pPr>
        <w:pStyle w:val="FootnoteText"/>
        <w:jc w:val="left"/>
        <w:rPr>
          <w:rFonts w:ascii="Arial" w:hAnsi="Arial" w:cs="Arial"/>
          <w:sz w:val="18"/>
          <w:szCs w:val="18"/>
          <w:lang w:val="en-US"/>
        </w:rPr>
      </w:pPr>
      <w:r w:rsidRPr="00DF55C5">
        <w:rPr>
          <w:rStyle w:val="FootnoteReference"/>
          <w:rFonts w:eastAsia="Arial"/>
        </w:rPr>
        <w:footnoteRef/>
      </w:r>
      <w:r w:rsidRPr="00DF55C5">
        <w:rPr>
          <w:rFonts w:ascii="Arial" w:hAnsi="Arial" w:cs="Arial"/>
          <w:sz w:val="18"/>
          <w:szCs w:val="18"/>
        </w:rPr>
        <w:t xml:space="preserve"> Drug, Alcohol and Prevention Services Division, </w:t>
      </w:r>
      <w:r w:rsidRPr="00DF55C5">
        <w:rPr>
          <w:rFonts w:ascii="Arial" w:hAnsi="Arial" w:cs="Arial"/>
          <w:sz w:val="18"/>
          <w:szCs w:val="18"/>
          <w:lang w:val="en-US"/>
        </w:rPr>
        <w:t xml:space="preserve">Mental Health Commission, WA government (2019). </w:t>
      </w:r>
      <w:hyperlink r:id="rId48" w:history="1">
        <w:r w:rsidRPr="004339EC">
          <w:rPr>
            <w:rStyle w:val="Hyperlink1"/>
            <w:rFonts w:ascii="Arial" w:hAnsi="Arial" w:cs="Arial"/>
            <w:sz w:val="18"/>
            <w:szCs w:val="18"/>
            <w:lang w:val="en-US"/>
          </w:rPr>
          <w:t>alcohol think again</w:t>
        </w:r>
      </w:hyperlink>
      <w:r w:rsidRPr="00DF55C5">
        <w:rPr>
          <w:rFonts w:ascii="Arial" w:hAnsi="Arial" w:cs="Arial"/>
          <w:sz w:val="18"/>
          <w:szCs w:val="18"/>
          <w:lang w:val="en-US"/>
        </w:rPr>
        <w:t>.</w:t>
      </w:r>
    </w:p>
  </w:footnote>
  <w:footnote w:id="70">
    <w:p w14:paraId="36254DE6" w14:textId="77777777" w:rsidR="00545FF4" w:rsidRPr="00DF55C5" w:rsidRDefault="00545FF4" w:rsidP="005A485B">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t>
      </w:r>
      <w:r w:rsidRPr="00DF55C5">
        <w:rPr>
          <w:rFonts w:ascii="Arial" w:hAnsi="Arial" w:cs="Arial"/>
          <w:color w:val="222222"/>
          <w:sz w:val="18"/>
          <w:szCs w:val="18"/>
          <w:shd w:val="clear" w:color="auto" w:fill="FFFFFF"/>
        </w:rPr>
        <w:t xml:space="preserve">Young, B., Lewis, S., Katikireddi, S. V., </w:t>
      </w:r>
      <w:r>
        <w:rPr>
          <w:rFonts w:ascii="Arial" w:hAnsi="Arial" w:cs="Arial"/>
          <w:color w:val="222222"/>
          <w:sz w:val="18"/>
          <w:szCs w:val="18"/>
          <w:shd w:val="clear" w:color="auto" w:fill="FFFFFF"/>
        </w:rPr>
        <w:t>et al.</w:t>
      </w:r>
      <w:r w:rsidRPr="00DF55C5">
        <w:rPr>
          <w:rFonts w:ascii="Arial" w:hAnsi="Arial" w:cs="Arial"/>
          <w:color w:val="222222"/>
          <w:sz w:val="18"/>
          <w:szCs w:val="18"/>
          <w:shd w:val="clear" w:color="auto" w:fill="FFFFFF"/>
        </w:rPr>
        <w:t xml:space="preserve"> (2018). </w:t>
      </w:r>
      <w:hyperlink r:id="rId49" w:history="1">
        <w:r w:rsidRPr="00D659B4">
          <w:rPr>
            <w:rStyle w:val="Hyperlink1"/>
            <w:rFonts w:ascii="Arial" w:hAnsi="Arial" w:cs="Arial"/>
            <w:sz w:val="18"/>
            <w:szCs w:val="18"/>
            <w:shd w:val="clear" w:color="auto" w:fill="FFFFFF"/>
          </w:rPr>
          <w:t>Effectiveness of mass media campaigns to reduce alcohol consumption and harm: a systematic review. </w:t>
        </w:r>
        <w:r w:rsidRPr="00D659B4">
          <w:rPr>
            <w:rStyle w:val="Hyperlink1"/>
            <w:rFonts w:ascii="Arial" w:hAnsi="Arial" w:cs="Arial"/>
            <w:i/>
            <w:iCs/>
            <w:sz w:val="18"/>
            <w:szCs w:val="18"/>
            <w:shd w:val="clear" w:color="auto" w:fill="FFFFFF"/>
          </w:rPr>
          <w:t xml:space="preserve">Alcohol and </w:t>
        </w:r>
        <w:r>
          <w:rPr>
            <w:rStyle w:val="Hyperlink1"/>
            <w:rFonts w:ascii="Arial" w:hAnsi="Arial" w:cs="Arial"/>
            <w:i/>
            <w:iCs/>
            <w:sz w:val="18"/>
            <w:szCs w:val="18"/>
            <w:shd w:val="clear" w:color="auto" w:fill="FFFFFF"/>
          </w:rPr>
          <w:t>A</w:t>
        </w:r>
        <w:r w:rsidRPr="00D659B4">
          <w:rPr>
            <w:rStyle w:val="Hyperlink1"/>
            <w:rFonts w:ascii="Arial" w:hAnsi="Arial" w:cs="Arial"/>
            <w:i/>
            <w:iCs/>
            <w:sz w:val="18"/>
            <w:szCs w:val="18"/>
            <w:shd w:val="clear" w:color="auto" w:fill="FFFFFF"/>
          </w:rPr>
          <w:t>lcoholism</w:t>
        </w:r>
        <w:r w:rsidRPr="00D659B4">
          <w:rPr>
            <w:rStyle w:val="Hyperlink1"/>
            <w:rFonts w:ascii="Arial" w:hAnsi="Arial" w:cs="Arial"/>
            <w:sz w:val="18"/>
            <w:szCs w:val="18"/>
            <w:shd w:val="clear" w:color="auto" w:fill="FFFFFF"/>
          </w:rPr>
          <w:t>, </w:t>
        </w:r>
        <w:r w:rsidRPr="00D659B4">
          <w:rPr>
            <w:rStyle w:val="Hyperlink1"/>
            <w:rFonts w:ascii="Arial" w:hAnsi="Arial" w:cs="Arial"/>
            <w:i/>
            <w:iCs/>
            <w:sz w:val="18"/>
            <w:szCs w:val="18"/>
            <w:shd w:val="clear" w:color="auto" w:fill="FFFFFF"/>
          </w:rPr>
          <w:t>53</w:t>
        </w:r>
        <w:r w:rsidRPr="00D659B4">
          <w:rPr>
            <w:rStyle w:val="Hyperlink1"/>
            <w:rFonts w:ascii="Arial" w:hAnsi="Arial" w:cs="Arial"/>
            <w:sz w:val="18"/>
            <w:szCs w:val="18"/>
            <w:shd w:val="clear" w:color="auto" w:fill="FFFFFF"/>
          </w:rPr>
          <w:t>, 302-316</w:t>
        </w:r>
      </w:hyperlink>
      <w:r w:rsidRPr="00DF55C5">
        <w:rPr>
          <w:rFonts w:ascii="Arial" w:hAnsi="Arial" w:cs="Arial"/>
          <w:color w:val="222222"/>
          <w:sz w:val="18"/>
          <w:szCs w:val="18"/>
          <w:shd w:val="clear" w:color="auto" w:fill="FFFFFF"/>
        </w:rPr>
        <w:t>.</w:t>
      </w:r>
    </w:p>
  </w:footnote>
  <w:footnote w:id="71">
    <w:p w14:paraId="502A3351" w14:textId="77777777" w:rsidR="00545FF4" w:rsidRPr="00DF55C5" w:rsidRDefault="00545FF4" w:rsidP="005A485B">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t>
      </w:r>
      <w:r w:rsidRPr="00DF55C5">
        <w:rPr>
          <w:rFonts w:ascii="Arial" w:hAnsi="Arial" w:cs="Arial"/>
          <w:color w:val="222222"/>
          <w:sz w:val="18"/>
          <w:szCs w:val="18"/>
          <w:shd w:val="clear" w:color="auto" w:fill="FFFFFF"/>
        </w:rPr>
        <w:t xml:space="preserve">Elder, R. W., Shults, R. A., Sleet, D. A., </w:t>
      </w:r>
      <w:r>
        <w:rPr>
          <w:rFonts w:ascii="Arial" w:hAnsi="Arial" w:cs="Arial"/>
          <w:color w:val="222222"/>
          <w:sz w:val="18"/>
          <w:szCs w:val="18"/>
          <w:shd w:val="clear" w:color="auto" w:fill="FFFFFF"/>
        </w:rPr>
        <w:t xml:space="preserve">et al. </w:t>
      </w:r>
      <w:r w:rsidRPr="00DF55C5">
        <w:rPr>
          <w:rFonts w:ascii="Arial" w:hAnsi="Arial" w:cs="Arial"/>
          <w:color w:val="222222"/>
          <w:sz w:val="18"/>
          <w:szCs w:val="18"/>
          <w:shd w:val="clear" w:color="auto" w:fill="FFFFFF"/>
        </w:rPr>
        <w:t xml:space="preserve">(2004). </w:t>
      </w:r>
      <w:hyperlink r:id="rId50" w:history="1">
        <w:r w:rsidRPr="00D659B4">
          <w:rPr>
            <w:rStyle w:val="Hyperlink1"/>
            <w:rFonts w:ascii="Arial" w:hAnsi="Arial" w:cs="Arial"/>
            <w:sz w:val="18"/>
            <w:szCs w:val="18"/>
            <w:shd w:val="clear" w:color="auto" w:fill="FFFFFF"/>
          </w:rPr>
          <w:t>Effectiveness of mass media campaigns for reducing drinking and driving and alcohol-involved crashes: a systematic review. </w:t>
        </w:r>
        <w:r w:rsidRPr="00D659B4">
          <w:rPr>
            <w:rStyle w:val="Hyperlink1"/>
            <w:rFonts w:ascii="Arial" w:hAnsi="Arial" w:cs="Arial"/>
            <w:i/>
            <w:iCs/>
            <w:sz w:val="18"/>
            <w:szCs w:val="18"/>
            <w:shd w:val="clear" w:color="auto" w:fill="FFFFFF"/>
          </w:rPr>
          <w:t>American Journal of Preventive Medicine</w:t>
        </w:r>
        <w:r w:rsidRPr="00D659B4">
          <w:rPr>
            <w:rStyle w:val="Hyperlink1"/>
            <w:rFonts w:ascii="Arial" w:hAnsi="Arial" w:cs="Arial"/>
            <w:sz w:val="18"/>
            <w:szCs w:val="18"/>
            <w:shd w:val="clear" w:color="auto" w:fill="FFFFFF"/>
          </w:rPr>
          <w:t>, </w:t>
        </w:r>
        <w:r w:rsidRPr="003D4E38">
          <w:rPr>
            <w:rStyle w:val="Hyperlink1"/>
            <w:rFonts w:ascii="Arial" w:hAnsi="Arial" w:cs="Arial"/>
            <w:sz w:val="18"/>
            <w:szCs w:val="18"/>
            <w:shd w:val="clear" w:color="auto" w:fill="FFFFFF"/>
          </w:rPr>
          <w:t>27,</w:t>
        </w:r>
        <w:r w:rsidRPr="00D659B4">
          <w:rPr>
            <w:rStyle w:val="Hyperlink1"/>
            <w:rFonts w:ascii="Arial" w:hAnsi="Arial" w:cs="Arial"/>
            <w:sz w:val="18"/>
            <w:szCs w:val="18"/>
            <w:shd w:val="clear" w:color="auto" w:fill="FFFFFF"/>
          </w:rPr>
          <w:t xml:space="preserve"> 57-65</w:t>
        </w:r>
      </w:hyperlink>
      <w:r w:rsidRPr="00DF55C5">
        <w:rPr>
          <w:rFonts w:ascii="Arial" w:hAnsi="Arial" w:cs="Arial"/>
          <w:color w:val="222222"/>
          <w:sz w:val="18"/>
          <w:szCs w:val="18"/>
          <w:shd w:val="clear" w:color="auto" w:fill="FFFFFF"/>
        </w:rPr>
        <w:t>.</w:t>
      </w:r>
    </w:p>
  </w:footnote>
  <w:footnote w:id="72">
    <w:p w14:paraId="7DFF7E31" w14:textId="7A2B1D03" w:rsidR="00545FF4" w:rsidRPr="00DF55C5" w:rsidRDefault="00545FF4" w:rsidP="005A485B">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t>
      </w:r>
      <w:r w:rsidR="00B9590E" w:rsidRPr="00B975C8">
        <w:rPr>
          <w:rFonts w:ascii="Arial" w:hAnsi="Arial" w:cs="Arial"/>
          <w:sz w:val="18"/>
          <w:szCs w:val="18"/>
        </w:rPr>
        <w:t xml:space="preserve">Pape, H., Rossow, I., &amp; Brunborg, G. S. (2018). </w:t>
      </w:r>
      <w:hyperlink r:id="rId51" w:history="1">
        <w:r w:rsidR="00B9590E" w:rsidRPr="006B3D1E">
          <w:rPr>
            <w:rStyle w:val="Hyperlink1"/>
            <w:rFonts w:ascii="Arial" w:hAnsi="Arial" w:cs="Arial"/>
            <w:sz w:val="18"/>
            <w:szCs w:val="18"/>
          </w:rPr>
          <w:t xml:space="preserve">Adolescents drink less: How, who and why? A review of the recent research literature. </w:t>
        </w:r>
        <w:r w:rsidR="00B9590E" w:rsidRPr="006B3D1E">
          <w:rPr>
            <w:rStyle w:val="Hyperlink1"/>
            <w:rFonts w:ascii="Arial" w:hAnsi="Arial" w:cs="Arial"/>
            <w:i/>
            <w:sz w:val="18"/>
            <w:szCs w:val="18"/>
          </w:rPr>
          <w:t>Drug and Alcohol Review</w:t>
        </w:r>
        <w:r w:rsidR="00B9590E" w:rsidRPr="006B3D1E">
          <w:rPr>
            <w:rStyle w:val="Hyperlink1"/>
            <w:rFonts w:ascii="Arial" w:hAnsi="Arial" w:cs="Arial"/>
            <w:sz w:val="18"/>
            <w:szCs w:val="18"/>
          </w:rPr>
          <w:t>, 37, S98-S114</w:t>
        </w:r>
      </w:hyperlink>
      <w:r w:rsidR="00B9590E">
        <w:rPr>
          <w:rStyle w:val="Hyperlink1"/>
          <w:rFonts w:ascii="Arial" w:hAnsi="Arial" w:cs="Arial"/>
          <w:sz w:val="18"/>
          <w:szCs w:val="18"/>
        </w:rPr>
        <w:t>.</w:t>
      </w:r>
    </w:p>
  </w:footnote>
  <w:footnote w:id="73">
    <w:p w14:paraId="4D9920DA" w14:textId="77777777" w:rsidR="00545FF4" w:rsidRPr="00DF55C5" w:rsidRDefault="00545FF4" w:rsidP="005A485B">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t>
      </w:r>
      <w:r w:rsidRPr="00DF55C5">
        <w:rPr>
          <w:rFonts w:ascii="Arial" w:hAnsi="Arial" w:cs="Arial"/>
          <w:color w:val="222222"/>
          <w:sz w:val="18"/>
          <w:szCs w:val="18"/>
          <w:shd w:val="clear" w:color="auto" w:fill="FFFFFF"/>
        </w:rPr>
        <w:t xml:space="preserve">Wakefield, M. A., Loken, B., &amp; Hornik, R. C. (2010). </w:t>
      </w:r>
      <w:hyperlink r:id="rId52" w:history="1">
        <w:r w:rsidRPr="00D659B4">
          <w:rPr>
            <w:rStyle w:val="Hyperlink1"/>
            <w:rFonts w:ascii="Arial" w:hAnsi="Arial" w:cs="Arial"/>
            <w:sz w:val="18"/>
            <w:szCs w:val="18"/>
            <w:shd w:val="clear" w:color="auto" w:fill="FFFFFF"/>
          </w:rPr>
          <w:t>Use of mass media campaigns to change health behaviour. </w:t>
        </w:r>
        <w:r w:rsidRPr="00D659B4">
          <w:rPr>
            <w:rStyle w:val="Hyperlink1"/>
            <w:rFonts w:ascii="Arial" w:hAnsi="Arial" w:cs="Arial"/>
            <w:i/>
            <w:iCs/>
            <w:sz w:val="18"/>
            <w:szCs w:val="18"/>
            <w:shd w:val="clear" w:color="auto" w:fill="FFFFFF"/>
          </w:rPr>
          <w:t>The Lancet</w:t>
        </w:r>
        <w:r w:rsidRPr="00D659B4">
          <w:rPr>
            <w:rStyle w:val="Hyperlink1"/>
            <w:rFonts w:ascii="Arial" w:hAnsi="Arial" w:cs="Arial"/>
            <w:sz w:val="18"/>
            <w:szCs w:val="18"/>
            <w:shd w:val="clear" w:color="auto" w:fill="FFFFFF"/>
          </w:rPr>
          <w:t>, </w:t>
        </w:r>
        <w:r w:rsidRPr="003D4E38">
          <w:rPr>
            <w:rStyle w:val="Hyperlink1"/>
            <w:rFonts w:ascii="Arial" w:hAnsi="Arial" w:cs="Arial"/>
            <w:sz w:val="18"/>
            <w:szCs w:val="18"/>
            <w:shd w:val="clear" w:color="auto" w:fill="FFFFFF"/>
          </w:rPr>
          <w:t xml:space="preserve">376, </w:t>
        </w:r>
        <w:r w:rsidRPr="00D659B4">
          <w:rPr>
            <w:rStyle w:val="Hyperlink1"/>
            <w:rFonts w:ascii="Arial" w:hAnsi="Arial" w:cs="Arial"/>
            <w:sz w:val="18"/>
            <w:szCs w:val="18"/>
            <w:shd w:val="clear" w:color="auto" w:fill="FFFFFF"/>
          </w:rPr>
          <w:t>1261-1271</w:t>
        </w:r>
      </w:hyperlink>
      <w:r w:rsidRPr="00DF55C5">
        <w:rPr>
          <w:rFonts w:ascii="Arial" w:hAnsi="Arial" w:cs="Arial"/>
          <w:color w:val="222222"/>
          <w:sz w:val="18"/>
          <w:szCs w:val="18"/>
          <w:shd w:val="clear" w:color="auto" w:fill="FFFFFF"/>
        </w:rPr>
        <w:t>.</w:t>
      </w:r>
    </w:p>
  </w:footnote>
  <w:footnote w:id="74">
    <w:p w14:paraId="437859A4" w14:textId="77777777" w:rsidR="00545FF4" w:rsidRPr="00DF55C5" w:rsidRDefault="00545FF4" w:rsidP="005A485B">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t>
      </w:r>
      <w:r w:rsidRPr="00DF55C5">
        <w:rPr>
          <w:rFonts w:ascii="Arial" w:hAnsi="Arial" w:cs="Arial"/>
          <w:color w:val="222222"/>
          <w:sz w:val="18"/>
          <w:szCs w:val="18"/>
          <w:shd w:val="clear" w:color="auto" w:fill="FFFFFF"/>
        </w:rPr>
        <w:t xml:space="preserve">Australian Government National Health and Medical Research Council. (2009). </w:t>
      </w:r>
      <w:hyperlink r:id="rId53" w:history="1">
        <w:r w:rsidRPr="00D659B4">
          <w:rPr>
            <w:rStyle w:val="Hyperlink1"/>
            <w:rFonts w:ascii="Arial" w:hAnsi="Arial" w:cs="Arial"/>
            <w:sz w:val="18"/>
            <w:szCs w:val="18"/>
            <w:shd w:val="clear" w:color="auto" w:fill="FFFFFF"/>
          </w:rPr>
          <w:t>Australian guidelines to reduce health risks from drinking alcohol.</w:t>
        </w:r>
        <w:r>
          <w:rPr>
            <w:rStyle w:val="Hyperlink1"/>
            <w:rFonts w:ascii="Arial" w:hAnsi="Arial" w:cs="Arial"/>
            <w:sz w:val="18"/>
            <w:szCs w:val="18"/>
            <w:shd w:val="clear" w:color="auto" w:fill="FFFFFF"/>
          </w:rPr>
          <w:t xml:space="preserve"> </w:t>
        </w:r>
        <w:r w:rsidRPr="003D4E38">
          <w:rPr>
            <w:rStyle w:val="Hyperlink1"/>
            <w:rFonts w:ascii="Arial" w:hAnsi="Arial" w:cs="Arial"/>
            <w:sz w:val="18"/>
            <w:szCs w:val="18"/>
            <w:shd w:val="clear" w:color="auto" w:fill="FFFFFF"/>
          </w:rPr>
          <w:t xml:space="preserve">Canberra: </w:t>
        </w:r>
        <w:r>
          <w:rPr>
            <w:rStyle w:val="Hyperlink1"/>
            <w:rFonts w:ascii="Arial" w:hAnsi="Arial" w:cs="Arial"/>
            <w:sz w:val="18"/>
            <w:szCs w:val="18"/>
            <w:shd w:val="clear" w:color="auto" w:fill="FFFFFF"/>
          </w:rPr>
          <w:t>Commonwealth of Australia</w:t>
        </w:r>
        <w:r w:rsidRPr="003D4E38">
          <w:rPr>
            <w:rStyle w:val="Hyperlink1"/>
            <w:rFonts w:ascii="Arial" w:hAnsi="Arial" w:cs="Arial"/>
            <w:sz w:val="18"/>
            <w:szCs w:val="18"/>
            <w:shd w:val="clear" w:color="auto" w:fill="FFFFFF"/>
          </w:rPr>
          <w:t>.</w:t>
        </w:r>
      </w:hyperlink>
    </w:p>
  </w:footnote>
  <w:footnote w:id="75">
    <w:p w14:paraId="78262331" w14:textId="77777777" w:rsidR="00545FF4" w:rsidRPr="00DF55C5" w:rsidRDefault="00545FF4" w:rsidP="005A485B">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Törrönen et al.</w:t>
      </w:r>
      <w:r>
        <w:rPr>
          <w:rFonts w:ascii="Arial" w:hAnsi="Arial" w:cs="Arial"/>
          <w:sz w:val="18"/>
          <w:szCs w:val="18"/>
        </w:rPr>
        <w:t xml:space="preserve">, </w:t>
      </w:r>
      <w:r w:rsidRPr="00DF55C5">
        <w:rPr>
          <w:rFonts w:ascii="Arial" w:hAnsi="Arial" w:cs="Arial"/>
          <w:sz w:val="18"/>
          <w:szCs w:val="18"/>
        </w:rPr>
        <w:t>2019.</w:t>
      </w:r>
    </w:p>
  </w:footnote>
  <w:footnote w:id="76">
    <w:p w14:paraId="64A4CBED" w14:textId="510182B0" w:rsidR="00545FF4" w:rsidRPr="00CF1985" w:rsidRDefault="00545FF4" w:rsidP="004E3746">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Hagström</w:t>
      </w:r>
      <w:r w:rsidR="00A15F37">
        <w:rPr>
          <w:rFonts w:ascii="Arial" w:hAnsi="Arial" w:cs="Arial"/>
          <w:sz w:val="18"/>
          <w:szCs w:val="18"/>
        </w:rPr>
        <w:t xml:space="preserve"> et al., 2018.</w:t>
      </w:r>
      <w:r w:rsidR="00A15F37" w:rsidRPr="00CF1985">
        <w:rPr>
          <w:rFonts w:ascii="Arial" w:hAnsi="Arial" w:cs="Arial"/>
          <w:sz w:val="18"/>
          <w:szCs w:val="18"/>
          <w:lang w:val="en-AU"/>
        </w:rPr>
        <w:t xml:space="preserve"> </w:t>
      </w:r>
    </w:p>
  </w:footnote>
  <w:footnote w:id="77">
    <w:p w14:paraId="213023D5" w14:textId="3085F8EB" w:rsidR="00545FF4" w:rsidRPr="00CF1985" w:rsidRDefault="00545FF4" w:rsidP="004E3746">
      <w:pPr>
        <w:pStyle w:val="FootnoteText"/>
        <w:jc w:val="left"/>
        <w:rPr>
          <w:rFonts w:ascii="Arial" w:hAnsi="Arial" w:cs="Arial"/>
          <w:sz w:val="18"/>
          <w:szCs w:val="18"/>
          <w:lang w:val="en-AU"/>
        </w:rPr>
      </w:pPr>
      <w:r w:rsidRPr="00CF1985">
        <w:rPr>
          <w:rStyle w:val="FootnoteReference"/>
          <w:rFonts w:eastAsia="Arial"/>
        </w:rPr>
        <w:footnoteRef/>
      </w:r>
      <w:r w:rsidRPr="00CF1985">
        <w:rPr>
          <w:rFonts w:ascii="Arial" w:hAnsi="Arial" w:cs="Arial"/>
          <w:sz w:val="18"/>
          <w:szCs w:val="18"/>
        </w:rPr>
        <w:t xml:space="preserve"> Waldron</w:t>
      </w:r>
      <w:r>
        <w:rPr>
          <w:rFonts w:ascii="Arial" w:hAnsi="Arial" w:cs="Arial"/>
          <w:sz w:val="18"/>
          <w:szCs w:val="18"/>
        </w:rPr>
        <w:t xml:space="preserve"> et al.,</w:t>
      </w:r>
      <w:r w:rsidR="008F21A3">
        <w:rPr>
          <w:rFonts w:ascii="Arial" w:hAnsi="Arial" w:cs="Arial"/>
          <w:sz w:val="18"/>
          <w:szCs w:val="18"/>
        </w:rPr>
        <w:t xml:space="preserve"> </w:t>
      </w:r>
      <w:r w:rsidRPr="00CF1985">
        <w:rPr>
          <w:rFonts w:ascii="Arial" w:hAnsi="Arial" w:cs="Arial"/>
          <w:sz w:val="18"/>
          <w:szCs w:val="18"/>
        </w:rPr>
        <w:t>2018.</w:t>
      </w:r>
    </w:p>
  </w:footnote>
  <w:footnote w:id="78">
    <w:p w14:paraId="4EDB68F6" w14:textId="77777777" w:rsidR="00545FF4" w:rsidRPr="00CF1985" w:rsidRDefault="00545FF4" w:rsidP="004E3746">
      <w:pPr>
        <w:pStyle w:val="FootnoteText"/>
        <w:jc w:val="left"/>
        <w:rPr>
          <w:rFonts w:ascii="Arial" w:hAnsi="Arial" w:cs="Arial"/>
          <w:sz w:val="18"/>
          <w:szCs w:val="18"/>
          <w:lang w:val="en-AU"/>
        </w:rPr>
      </w:pPr>
      <w:r w:rsidRPr="00CF1985">
        <w:rPr>
          <w:rStyle w:val="FootnoteReference"/>
          <w:rFonts w:eastAsia="Arial"/>
        </w:rPr>
        <w:footnoteRef/>
      </w:r>
      <w:r w:rsidRPr="00CF1985">
        <w:rPr>
          <w:rFonts w:ascii="Arial" w:hAnsi="Arial" w:cs="Arial"/>
          <w:sz w:val="18"/>
          <w:szCs w:val="18"/>
        </w:rPr>
        <w:t xml:space="preserve"> Newton</w:t>
      </w:r>
      <w:r w:rsidRPr="00CF1985">
        <w:rPr>
          <w:rFonts w:ascii="Cambria Math" w:hAnsi="Cambria Math" w:cs="Cambria Math"/>
          <w:sz w:val="18"/>
          <w:szCs w:val="18"/>
        </w:rPr>
        <w:t>‐</w:t>
      </w:r>
      <w:r w:rsidRPr="00CF1985">
        <w:rPr>
          <w:rFonts w:ascii="Arial" w:hAnsi="Arial" w:cs="Arial"/>
          <w:sz w:val="18"/>
          <w:szCs w:val="18"/>
        </w:rPr>
        <w:t xml:space="preserve">Howes &amp; Boden, 2016. </w:t>
      </w:r>
    </w:p>
  </w:footnote>
  <w:footnote w:id="79">
    <w:p w14:paraId="52568340" w14:textId="77777777" w:rsidR="00545FF4" w:rsidRPr="00821276" w:rsidRDefault="00545FF4" w:rsidP="004E3746">
      <w:pPr>
        <w:pStyle w:val="FootnoteText"/>
        <w:jc w:val="left"/>
        <w:rPr>
          <w:lang w:val="en-US"/>
        </w:rPr>
      </w:pPr>
      <w:r>
        <w:rPr>
          <w:rStyle w:val="FootnoteReference"/>
        </w:rPr>
        <w:footnoteRef/>
      </w:r>
      <w:r>
        <w:t xml:space="preserve"> </w:t>
      </w:r>
      <w:r w:rsidRPr="00DF55C5">
        <w:rPr>
          <w:rFonts w:ascii="Arial" w:hAnsi="Arial" w:cs="Arial"/>
          <w:color w:val="222222"/>
          <w:sz w:val="18"/>
          <w:szCs w:val="18"/>
          <w:shd w:val="clear" w:color="auto" w:fill="FFFFFF"/>
        </w:rPr>
        <w:t>W</w:t>
      </w:r>
      <w:r>
        <w:rPr>
          <w:rFonts w:ascii="Arial" w:hAnsi="Arial" w:cs="Arial"/>
          <w:color w:val="222222"/>
          <w:sz w:val="18"/>
          <w:szCs w:val="18"/>
          <w:shd w:val="clear" w:color="auto" w:fill="FFFFFF"/>
        </w:rPr>
        <w:t>hite, V., Azar, D., Faulkner, A., et al.</w:t>
      </w:r>
      <w:r w:rsidRPr="00DF55C5">
        <w:rPr>
          <w:rFonts w:ascii="Arial" w:hAnsi="Arial" w:cs="Arial"/>
          <w:color w:val="222222"/>
          <w:sz w:val="18"/>
          <w:szCs w:val="18"/>
          <w:shd w:val="clear" w:color="auto" w:fill="FFFFFF"/>
        </w:rPr>
        <w:t xml:space="preserve"> (201</w:t>
      </w:r>
      <w:r>
        <w:rPr>
          <w:rFonts w:ascii="Arial" w:hAnsi="Arial" w:cs="Arial"/>
          <w:color w:val="222222"/>
          <w:sz w:val="18"/>
          <w:szCs w:val="18"/>
          <w:shd w:val="clear" w:color="auto" w:fill="FFFFFF"/>
        </w:rPr>
        <w:t>8</w:t>
      </w:r>
      <w:r w:rsidRPr="00DF55C5">
        <w:rPr>
          <w:rFonts w:ascii="Arial" w:hAnsi="Arial" w:cs="Arial"/>
          <w:color w:val="222222"/>
          <w:sz w:val="18"/>
          <w:szCs w:val="18"/>
          <w:shd w:val="clear" w:color="auto" w:fill="FFFFFF"/>
        </w:rPr>
        <w:t xml:space="preserve">). </w:t>
      </w:r>
      <w:hyperlink r:id="rId54" w:history="1">
        <w:r>
          <w:rPr>
            <w:rStyle w:val="Hyperlink1"/>
            <w:rFonts w:ascii="Arial" w:hAnsi="Arial" w:cs="Arial"/>
            <w:sz w:val="18"/>
            <w:szCs w:val="18"/>
            <w:shd w:val="clear" w:color="auto" w:fill="FFFFFF"/>
          </w:rPr>
          <w:t xml:space="preserve">Adolescents’ alcohol use and strength of policy relating to youth access, trading hours and driving under the influence: findings from Australia. </w:t>
        </w:r>
        <w:r>
          <w:rPr>
            <w:rStyle w:val="Hyperlink1"/>
            <w:rFonts w:ascii="Arial" w:hAnsi="Arial" w:cs="Arial"/>
            <w:i/>
            <w:iCs/>
            <w:sz w:val="18"/>
            <w:szCs w:val="18"/>
            <w:shd w:val="clear" w:color="auto" w:fill="FFFFFF"/>
          </w:rPr>
          <w:t>Addiction</w:t>
        </w:r>
        <w:r>
          <w:rPr>
            <w:rStyle w:val="Hyperlink1"/>
            <w:rFonts w:ascii="Arial" w:hAnsi="Arial" w:cs="Arial"/>
            <w:sz w:val="18"/>
            <w:szCs w:val="18"/>
            <w:shd w:val="clear" w:color="auto" w:fill="FFFFFF"/>
          </w:rPr>
          <w:t>, 113, 1030-1042</w:t>
        </w:r>
      </w:hyperlink>
      <w:r w:rsidRPr="00DF55C5">
        <w:rPr>
          <w:rFonts w:ascii="Arial" w:hAnsi="Arial" w:cs="Arial"/>
          <w:color w:val="222222"/>
          <w:sz w:val="18"/>
          <w:szCs w:val="18"/>
          <w:shd w:val="clear" w:color="auto" w:fill="FFFFFF"/>
        </w:rPr>
        <w:t>.</w:t>
      </w:r>
    </w:p>
  </w:footnote>
  <w:footnote w:id="80">
    <w:p w14:paraId="59F3A82D" w14:textId="77777777" w:rsidR="00545FF4" w:rsidRPr="00CF1985" w:rsidRDefault="00545FF4" w:rsidP="004E3746">
      <w:pPr>
        <w:pStyle w:val="ASSAD2017CWBody1"/>
        <w:spacing w:after="0"/>
        <w:rPr>
          <w:sz w:val="18"/>
          <w:szCs w:val="18"/>
        </w:rPr>
      </w:pPr>
      <w:r w:rsidRPr="00CF1985">
        <w:rPr>
          <w:rStyle w:val="FootnoteReference"/>
          <w:rFonts w:eastAsia="Arial"/>
        </w:rPr>
        <w:footnoteRef/>
      </w:r>
      <w:r w:rsidRPr="00CF1985">
        <w:rPr>
          <w:sz w:val="18"/>
          <w:szCs w:val="18"/>
        </w:rPr>
        <w:t xml:space="preserve"> Azar et al. 2016</w:t>
      </w:r>
      <w:r>
        <w:rPr>
          <w:sz w:val="18"/>
          <w:szCs w:val="18"/>
        </w:rPr>
        <w:t>.</w:t>
      </w:r>
    </w:p>
  </w:footnote>
  <w:footnote w:id="81">
    <w:p w14:paraId="6354F639" w14:textId="77777777" w:rsidR="00545FF4" w:rsidRPr="00CF1985" w:rsidRDefault="00545FF4" w:rsidP="004E3746">
      <w:pPr>
        <w:pStyle w:val="ASSAD2017CWBody1"/>
        <w:spacing w:after="0"/>
        <w:rPr>
          <w:sz w:val="18"/>
          <w:szCs w:val="18"/>
        </w:rPr>
      </w:pPr>
      <w:r w:rsidRPr="00CF1985">
        <w:rPr>
          <w:rStyle w:val="FootnoteReference"/>
          <w:rFonts w:eastAsia="Arial"/>
        </w:rPr>
        <w:footnoteRef/>
      </w:r>
      <w:r w:rsidRPr="00CF1985">
        <w:rPr>
          <w:sz w:val="18"/>
          <w:szCs w:val="18"/>
        </w:rPr>
        <w:t xml:space="preserve"> </w:t>
      </w:r>
      <w:r w:rsidRPr="00CF1985">
        <w:rPr>
          <w:color w:val="222222"/>
          <w:sz w:val="18"/>
          <w:szCs w:val="18"/>
          <w:shd w:val="clear" w:color="auto" w:fill="FFFFFF"/>
        </w:rPr>
        <w:t xml:space="preserve">Faulkner, A., Azar, D., &amp; White, V. (2017). </w:t>
      </w:r>
      <w:hyperlink r:id="rId55" w:history="1">
        <w:r w:rsidRPr="00D659B4">
          <w:rPr>
            <w:rStyle w:val="Hyperlink1"/>
            <w:sz w:val="18"/>
            <w:szCs w:val="18"/>
            <w:shd w:val="clear" w:color="auto" w:fill="FFFFFF"/>
          </w:rPr>
          <w:t>‘Unintended‘</w:t>
        </w:r>
        <w:r>
          <w:rPr>
            <w:rStyle w:val="Hyperlink1"/>
            <w:sz w:val="18"/>
            <w:szCs w:val="18"/>
            <w:shd w:val="clear" w:color="auto" w:fill="FFFFFF"/>
          </w:rPr>
          <w:t xml:space="preserve"> </w:t>
        </w:r>
        <w:r w:rsidRPr="00D659B4">
          <w:rPr>
            <w:rStyle w:val="Hyperlink1"/>
            <w:sz w:val="18"/>
            <w:szCs w:val="18"/>
            <w:shd w:val="clear" w:color="auto" w:fill="FFFFFF"/>
          </w:rPr>
          <w:t>audiences of alcohol advertising: exposure and drinking behaviors among Australian adolescents. </w:t>
        </w:r>
        <w:r w:rsidRPr="00D659B4">
          <w:rPr>
            <w:rStyle w:val="Hyperlink1"/>
            <w:i/>
            <w:iCs/>
            <w:sz w:val="18"/>
            <w:szCs w:val="18"/>
            <w:shd w:val="clear" w:color="auto" w:fill="FFFFFF"/>
          </w:rPr>
          <w:t>Journal of Substance Use</w:t>
        </w:r>
        <w:r w:rsidRPr="00D659B4">
          <w:rPr>
            <w:rStyle w:val="Hyperlink1"/>
            <w:sz w:val="18"/>
            <w:szCs w:val="18"/>
            <w:shd w:val="clear" w:color="auto" w:fill="FFFFFF"/>
          </w:rPr>
          <w:t>, </w:t>
        </w:r>
        <w:r w:rsidRPr="00245419">
          <w:rPr>
            <w:rStyle w:val="Hyperlink1"/>
            <w:sz w:val="18"/>
            <w:szCs w:val="18"/>
            <w:shd w:val="clear" w:color="auto" w:fill="FFFFFF"/>
          </w:rPr>
          <w:t>22,</w:t>
        </w:r>
        <w:r w:rsidRPr="00D659B4">
          <w:rPr>
            <w:rStyle w:val="Hyperlink1"/>
            <w:sz w:val="18"/>
            <w:szCs w:val="18"/>
            <w:shd w:val="clear" w:color="auto" w:fill="FFFFFF"/>
          </w:rPr>
          <w:t xml:space="preserve"> 108-112</w:t>
        </w:r>
      </w:hyperlink>
      <w:r w:rsidRPr="00CF1985">
        <w:rPr>
          <w:color w:val="222222"/>
          <w:sz w:val="18"/>
          <w:szCs w:val="18"/>
          <w:shd w:val="clear" w:color="auto" w:fill="FFFFFF"/>
        </w:rPr>
        <w:t>.</w:t>
      </w:r>
    </w:p>
  </w:footnote>
  <w:footnote w:id="82">
    <w:p w14:paraId="4D76CB16" w14:textId="77777777" w:rsidR="00545FF4" w:rsidRPr="006B28CB" w:rsidRDefault="00545FF4" w:rsidP="004E3746">
      <w:pPr>
        <w:pStyle w:val="FootnoteText"/>
        <w:jc w:val="left"/>
        <w:rPr>
          <w:rFonts w:ascii="Arial" w:hAnsi="Arial" w:cs="Arial"/>
          <w:sz w:val="18"/>
          <w:szCs w:val="18"/>
          <w:lang w:val="en-AU"/>
        </w:rPr>
      </w:pPr>
      <w:r w:rsidRPr="006B28CB">
        <w:rPr>
          <w:rStyle w:val="FootnoteReference"/>
          <w:rFonts w:eastAsia="Arial"/>
        </w:rPr>
        <w:footnoteRef/>
      </w:r>
      <w:r w:rsidRPr="006B28CB">
        <w:rPr>
          <w:rFonts w:ascii="Arial" w:hAnsi="Arial" w:cs="Arial"/>
          <w:sz w:val="18"/>
          <w:szCs w:val="18"/>
        </w:rPr>
        <w:t xml:space="preserve"> Brown, K. (2016). </w:t>
      </w:r>
      <w:hyperlink r:id="rId56" w:history="1">
        <w:r w:rsidRPr="00D659B4">
          <w:rPr>
            <w:rStyle w:val="Hyperlink1"/>
            <w:rFonts w:ascii="Arial" w:hAnsi="Arial" w:cs="Arial"/>
            <w:sz w:val="18"/>
            <w:szCs w:val="18"/>
          </w:rPr>
          <w:t xml:space="preserve">Association between alcohol sports sponsorship and consumption: a systematic review. </w:t>
        </w:r>
        <w:r w:rsidRPr="00245419">
          <w:rPr>
            <w:rStyle w:val="Hyperlink1"/>
            <w:rFonts w:ascii="Arial" w:hAnsi="Arial" w:cs="Arial"/>
            <w:i/>
            <w:iCs/>
            <w:sz w:val="18"/>
            <w:szCs w:val="18"/>
          </w:rPr>
          <w:t>Alcohol and Alcoholism</w:t>
        </w:r>
        <w:r w:rsidRPr="00D659B4">
          <w:rPr>
            <w:rStyle w:val="Hyperlink1"/>
            <w:rFonts w:ascii="Arial" w:hAnsi="Arial" w:cs="Arial"/>
            <w:sz w:val="18"/>
            <w:szCs w:val="18"/>
          </w:rPr>
          <w:t>, 51, 747-755</w:t>
        </w:r>
      </w:hyperlink>
      <w:r w:rsidRPr="006B28CB">
        <w:rPr>
          <w:rFonts w:ascii="Arial" w:hAnsi="Arial" w:cs="Arial"/>
          <w:sz w:val="18"/>
          <w:szCs w:val="18"/>
        </w:rPr>
        <w:t>.</w:t>
      </w:r>
    </w:p>
  </w:footnote>
  <w:footnote w:id="83">
    <w:p w14:paraId="6159F7C9" w14:textId="77777777" w:rsidR="00545FF4" w:rsidRPr="00834885" w:rsidRDefault="00545FF4" w:rsidP="004E3746">
      <w:pPr>
        <w:pStyle w:val="FootnoteText"/>
        <w:jc w:val="left"/>
        <w:rPr>
          <w:rFonts w:ascii="Arial" w:hAnsi="Arial" w:cs="Arial"/>
          <w:sz w:val="18"/>
          <w:szCs w:val="18"/>
          <w:lang w:val="en-US"/>
        </w:rPr>
      </w:pPr>
      <w:r w:rsidRPr="00CF1985">
        <w:rPr>
          <w:rStyle w:val="FootnoteReference"/>
          <w:rFonts w:eastAsia="Arial"/>
        </w:rPr>
        <w:footnoteRef/>
      </w:r>
      <w:r w:rsidRPr="00CF1985">
        <w:rPr>
          <w:rFonts w:ascii="Arial" w:hAnsi="Arial" w:cs="Arial"/>
          <w:sz w:val="18"/>
          <w:szCs w:val="18"/>
        </w:rPr>
        <w:t xml:space="preserve"> </w:t>
      </w:r>
      <w:r w:rsidRPr="00CF1985">
        <w:rPr>
          <w:rFonts w:ascii="Arial" w:hAnsi="Arial" w:cs="Arial"/>
          <w:color w:val="222222"/>
          <w:sz w:val="18"/>
          <w:szCs w:val="18"/>
          <w:shd w:val="clear" w:color="auto" w:fill="FFFFFF"/>
        </w:rPr>
        <w:t xml:space="preserve">White, V., Faulkner, A., Coomber, K., </w:t>
      </w:r>
      <w:r>
        <w:rPr>
          <w:rFonts w:ascii="Arial" w:hAnsi="Arial" w:cs="Arial"/>
          <w:color w:val="222222"/>
          <w:sz w:val="18"/>
          <w:szCs w:val="18"/>
          <w:shd w:val="clear" w:color="auto" w:fill="FFFFFF"/>
        </w:rPr>
        <w:t xml:space="preserve">et al. </w:t>
      </w:r>
      <w:r w:rsidRPr="00CF1985">
        <w:rPr>
          <w:rFonts w:ascii="Arial" w:hAnsi="Arial" w:cs="Arial"/>
          <w:color w:val="222222"/>
          <w:sz w:val="18"/>
          <w:szCs w:val="18"/>
          <w:shd w:val="clear" w:color="auto" w:fill="FFFFFF"/>
        </w:rPr>
        <w:t xml:space="preserve">(2015). </w:t>
      </w:r>
      <w:hyperlink r:id="rId57" w:history="1">
        <w:r w:rsidRPr="00D659B4">
          <w:rPr>
            <w:rStyle w:val="Hyperlink1"/>
            <w:rFonts w:ascii="Arial" w:hAnsi="Arial" w:cs="Arial"/>
            <w:sz w:val="18"/>
            <w:szCs w:val="18"/>
            <w:shd w:val="clear" w:color="auto" w:fill="FFFFFF"/>
          </w:rPr>
          <w:t>How has alcohol advertising in traditional and online media in Australia changed? Trends in advertising expenditure 1997–2011. </w:t>
        </w:r>
        <w:r w:rsidRPr="00D659B4">
          <w:rPr>
            <w:rStyle w:val="Hyperlink1"/>
            <w:rFonts w:ascii="Arial" w:hAnsi="Arial" w:cs="Arial"/>
            <w:i/>
            <w:iCs/>
            <w:sz w:val="18"/>
            <w:szCs w:val="18"/>
            <w:shd w:val="clear" w:color="auto" w:fill="FFFFFF"/>
          </w:rPr>
          <w:t xml:space="preserve">Drug and </w:t>
        </w:r>
        <w:r>
          <w:rPr>
            <w:rStyle w:val="Hyperlink1"/>
            <w:rFonts w:ascii="Arial" w:hAnsi="Arial" w:cs="Arial"/>
            <w:i/>
            <w:iCs/>
            <w:sz w:val="18"/>
            <w:szCs w:val="18"/>
            <w:shd w:val="clear" w:color="auto" w:fill="FFFFFF"/>
          </w:rPr>
          <w:t>A</w:t>
        </w:r>
        <w:r w:rsidRPr="00D659B4">
          <w:rPr>
            <w:rStyle w:val="Hyperlink1"/>
            <w:rFonts w:ascii="Arial" w:hAnsi="Arial" w:cs="Arial"/>
            <w:i/>
            <w:iCs/>
            <w:sz w:val="18"/>
            <w:szCs w:val="18"/>
            <w:shd w:val="clear" w:color="auto" w:fill="FFFFFF"/>
          </w:rPr>
          <w:t xml:space="preserve">lcohol </w:t>
        </w:r>
        <w:r>
          <w:rPr>
            <w:rStyle w:val="Hyperlink1"/>
            <w:rFonts w:ascii="Arial" w:hAnsi="Arial" w:cs="Arial"/>
            <w:i/>
            <w:iCs/>
            <w:sz w:val="18"/>
            <w:szCs w:val="18"/>
            <w:shd w:val="clear" w:color="auto" w:fill="FFFFFF"/>
          </w:rPr>
          <w:t>R</w:t>
        </w:r>
        <w:r w:rsidRPr="00D659B4">
          <w:rPr>
            <w:rStyle w:val="Hyperlink1"/>
            <w:rFonts w:ascii="Arial" w:hAnsi="Arial" w:cs="Arial"/>
            <w:i/>
            <w:iCs/>
            <w:sz w:val="18"/>
            <w:szCs w:val="18"/>
            <w:shd w:val="clear" w:color="auto" w:fill="FFFFFF"/>
          </w:rPr>
          <w:t>eview</w:t>
        </w:r>
        <w:r w:rsidRPr="00D659B4">
          <w:rPr>
            <w:rStyle w:val="Hyperlink1"/>
            <w:rFonts w:ascii="Arial" w:hAnsi="Arial" w:cs="Arial"/>
            <w:sz w:val="18"/>
            <w:szCs w:val="18"/>
            <w:shd w:val="clear" w:color="auto" w:fill="FFFFFF"/>
          </w:rPr>
          <w:t>, </w:t>
        </w:r>
        <w:r w:rsidRPr="00245419">
          <w:rPr>
            <w:rStyle w:val="Hyperlink1"/>
            <w:rFonts w:ascii="Arial" w:hAnsi="Arial" w:cs="Arial"/>
            <w:sz w:val="18"/>
            <w:szCs w:val="18"/>
            <w:shd w:val="clear" w:color="auto" w:fill="FFFFFF"/>
          </w:rPr>
          <w:t>34, 521-530</w:t>
        </w:r>
      </w:hyperlink>
      <w:r w:rsidRPr="00834885">
        <w:rPr>
          <w:rFonts w:ascii="Arial" w:hAnsi="Arial" w:cs="Arial"/>
          <w:color w:val="222222"/>
          <w:sz w:val="18"/>
          <w:szCs w:val="18"/>
          <w:shd w:val="clear" w:color="auto" w:fill="FFFFFF"/>
        </w:rPr>
        <w:t>.</w:t>
      </w:r>
    </w:p>
  </w:footnote>
  <w:footnote w:id="84">
    <w:p w14:paraId="5383D055" w14:textId="77777777" w:rsidR="00545FF4" w:rsidRPr="00066800" w:rsidRDefault="00545FF4" w:rsidP="004E3746">
      <w:pPr>
        <w:pStyle w:val="FootnoteText"/>
        <w:jc w:val="left"/>
        <w:rPr>
          <w:lang w:val="en-AU"/>
        </w:rPr>
      </w:pPr>
      <w:r w:rsidRPr="00821276">
        <w:rPr>
          <w:rStyle w:val="FootnoteReference"/>
          <w:rFonts w:eastAsia="Arial"/>
        </w:rPr>
        <w:footnoteRef/>
      </w:r>
      <w:r w:rsidRPr="00821276">
        <w:rPr>
          <w:rFonts w:ascii="Arial" w:hAnsi="Arial" w:cs="Arial"/>
          <w:sz w:val="18"/>
        </w:rPr>
        <w:t xml:space="preserve"> </w:t>
      </w:r>
      <w:r w:rsidRPr="00821276">
        <w:rPr>
          <w:rFonts w:ascii="Arial" w:hAnsi="Arial" w:cs="Arial"/>
          <w:sz w:val="18"/>
          <w:lang w:val="en-AU"/>
        </w:rPr>
        <w:t xml:space="preserve">Nuss, T., Scully, M., Wakefield, M., </w:t>
      </w:r>
      <w:r>
        <w:rPr>
          <w:rFonts w:ascii="Arial" w:hAnsi="Arial" w:cs="Arial"/>
          <w:sz w:val="18"/>
          <w:lang w:val="en-AU"/>
        </w:rPr>
        <w:t>et al.</w:t>
      </w:r>
      <w:r w:rsidRPr="00821276">
        <w:rPr>
          <w:rFonts w:ascii="Arial" w:hAnsi="Arial" w:cs="Arial"/>
          <w:sz w:val="18"/>
          <w:lang w:val="en-AU"/>
        </w:rPr>
        <w:t xml:space="preserve"> (2019). </w:t>
      </w:r>
      <w:r w:rsidRPr="00821276">
        <w:rPr>
          <w:rFonts w:ascii="Arial" w:hAnsi="Arial" w:cs="Arial"/>
          <w:color w:val="365F91"/>
          <w:sz w:val="18"/>
          <w:lang w:val="en-AU"/>
        </w:rPr>
        <w:t xml:space="preserve">Unhealthy sport sponsorship at the 2017 AFL Grand Final: </w:t>
      </w:r>
      <w:r>
        <w:rPr>
          <w:rFonts w:ascii="Arial" w:hAnsi="Arial" w:cs="Arial"/>
          <w:color w:val="365F91"/>
          <w:sz w:val="18"/>
          <w:lang w:val="en-AU"/>
        </w:rPr>
        <w:t>a</w:t>
      </w:r>
      <w:r w:rsidRPr="00821276">
        <w:rPr>
          <w:rFonts w:ascii="Arial" w:hAnsi="Arial" w:cs="Arial"/>
          <w:color w:val="365F91"/>
          <w:sz w:val="18"/>
          <w:lang w:val="en-AU"/>
        </w:rPr>
        <w:t xml:space="preserve"> case study of its frequency, duration and nature. </w:t>
      </w:r>
      <w:r w:rsidRPr="00821276">
        <w:rPr>
          <w:rFonts w:ascii="Arial" w:hAnsi="Arial" w:cs="Arial"/>
          <w:i/>
          <w:color w:val="365F91"/>
          <w:sz w:val="18"/>
          <w:lang w:val="en-AU"/>
        </w:rPr>
        <w:t xml:space="preserve">Australian </w:t>
      </w:r>
      <w:r>
        <w:rPr>
          <w:rFonts w:ascii="Arial" w:hAnsi="Arial" w:cs="Arial"/>
          <w:i/>
          <w:color w:val="365F91"/>
          <w:sz w:val="18"/>
          <w:lang w:val="en-AU"/>
        </w:rPr>
        <w:t>and</w:t>
      </w:r>
      <w:r w:rsidRPr="00821276">
        <w:rPr>
          <w:rFonts w:ascii="Arial" w:hAnsi="Arial" w:cs="Arial"/>
          <w:i/>
          <w:color w:val="365F91"/>
          <w:sz w:val="18"/>
          <w:lang w:val="en-AU"/>
        </w:rPr>
        <w:t xml:space="preserve"> New Zealand Journal of Public Health</w:t>
      </w:r>
      <w:r>
        <w:rPr>
          <w:rFonts w:ascii="Arial" w:hAnsi="Arial" w:cs="Arial"/>
          <w:iCs/>
          <w:color w:val="365F91"/>
          <w:sz w:val="18"/>
          <w:lang w:val="en-AU"/>
        </w:rPr>
        <w:t>, 43, 366-372</w:t>
      </w:r>
      <w:r w:rsidRPr="00821276">
        <w:rPr>
          <w:rFonts w:ascii="Arial" w:hAnsi="Arial" w:cs="Arial"/>
          <w:i/>
          <w:color w:val="365F91"/>
          <w:sz w:val="18"/>
          <w:lang w:val="en-AU"/>
        </w:rPr>
        <w:t>.</w:t>
      </w:r>
    </w:p>
  </w:footnote>
  <w:footnote w:id="85">
    <w:p w14:paraId="47A79077" w14:textId="77777777" w:rsidR="00545FF4" w:rsidRPr="00DF55C5" w:rsidRDefault="00545FF4" w:rsidP="004E3746">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Sartori, et al. 2018.</w:t>
      </w:r>
    </w:p>
  </w:footnote>
  <w:footnote w:id="86">
    <w:p w14:paraId="6F863ABB" w14:textId="77777777" w:rsidR="00545FF4" w:rsidRPr="00DF55C5" w:rsidRDefault="00545FF4" w:rsidP="004E3746">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Vandenberg, B., Jiang, H., &amp; Livingston, M. (2019). </w:t>
      </w:r>
      <w:hyperlink r:id="rId58" w:history="1">
        <w:r w:rsidRPr="00905095">
          <w:rPr>
            <w:rStyle w:val="Hyperlink1"/>
            <w:rFonts w:ascii="Arial" w:hAnsi="Arial" w:cs="Arial"/>
            <w:sz w:val="18"/>
            <w:szCs w:val="18"/>
          </w:rPr>
          <w:t xml:space="preserve">Effects of changes to the taxation of beer on alcohol consumption and government revenue in Australia. </w:t>
        </w:r>
        <w:r w:rsidRPr="00C373B1">
          <w:rPr>
            <w:rStyle w:val="Hyperlink1"/>
            <w:rFonts w:ascii="Arial" w:hAnsi="Arial" w:cs="Arial"/>
            <w:i/>
            <w:iCs/>
            <w:sz w:val="18"/>
            <w:szCs w:val="18"/>
          </w:rPr>
          <w:t>International Jo</w:t>
        </w:r>
        <w:r w:rsidRPr="00905095">
          <w:rPr>
            <w:rStyle w:val="Hyperlink1"/>
            <w:rFonts w:ascii="Arial" w:hAnsi="Arial" w:cs="Arial"/>
            <w:i/>
            <w:sz w:val="18"/>
            <w:szCs w:val="18"/>
          </w:rPr>
          <w:t>urnal of Drug Policy</w:t>
        </w:r>
        <w:r w:rsidRPr="00905095">
          <w:rPr>
            <w:rStyle w:val="Hyperlink1"/>
            <w:rFonts w:ascii="Arial" w:hAnsi="Arial" w:cs="Arial"/>
            <w:sz w:val="18"/>
            <w:szCs w:val="18"/>
          </w:rPr>
          <w:t>, 70, 1-7</w:t>
        </w:r>
      </w:hyperlink>
      <w:r w:rsidRPr="00DF55C5">
        <w:rPr>
          <w:rFonts w:ascii="Arial" w:hAnsi="Arial" w:cs="Arial"/>
          <w:sz w:val="18"/>
          <w:szCs w:val="18"/>
        </w:rPr>
        <w:t>.</w:t>
      </w:r>
    </w:p>
  </w:footnote>
  <w:footnote w:id="87">
    <w:p w14:paraId="53759DA2" w14:textId="77777777" w:rsidR="00545FF4" w:rsidRPr="00DF55C5" w:rsidRDefault="00545FF4" w:rsidP="007A78BA">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Chaloupka</w:t>
      </w:r>
      <w:r>
        <w:rPr>
          <w:rFonts w:ascii="Arial" w:hAnsi="Arial" w:cs="Arial"/>
          <w:sz w:val="18"/>
          <w:szCs w:val="18"/>
        </w:rPr>
        <w:t xml:space="preserve"> et al</w:t>
      </w:r>
      <w:r w:rsidRPr="00DF55C5">
        <w:rPr>
          <w:rFonts w:ascii="Arial" w:hAnsi="Arial" w:cs="Arial"/>
          <w:sz w:val="18"/>
          <w:szCs w:val="18"/>
        </w:rPr>
        <w:t>.</w:t>
      </w:r>
      <w:r>
        <w:rPr>
          <w:rFonts w:ascii="Arial" w:hAnsi="Arial" w:cs="Arial"/>
          <w:sz w:val="18"/>
          <w:szCs w:val="18"/>
        </w:rPr>
        <w:t>,</w:t>
      </w:r>
      <w:r w:rsidRPr="00DF55C5">
        <w:rPr>
          <w:rFonts w:ascii="Arial" w:hAnsi="Arial" w:cs="Arial"/>
          <w:sz w:val="18"/>
          <w:szCs w:val="18"/>
        </w:rPr>
        <w:t xml:space="preserve"> 2019.</w:t>
      </w:r>
    </w:p>
  </w:footnote>
  <w:footnote w:id="88">
    <w:p w14:paraId="14258DF7" w14:textId="77777777" w:rsidR="00545FF4" w:rsidRPr="00DF55C5" w:rsidRDefault="00545FF4" w:rsidP="007A78BA">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t>
      </w:r>
      <w:r w:rsidRPr="00DF55C5">
        <w:rPr>
          <w:rFonts w:ascii="Arial" w:hAnsi="Arial" w:cs="Arial"/>
          <w:sz w:val="18"/>
          <w:szCs w:val="18"/>
          <w:lang w:val="en-AU"/>
        </w:rPr>
        <w:t>Anderson et al., 2009</w:t>
      </w:r>
      <w:r>
        <w:rPr>
          <w:rFonts w:ascii="Arial" w:hAnsi="Arial" w:cs="Arial"/>
          <w:sz w:val="18"/>
          <w:szCs w:val="18"/>
          <w:lang w:val="en-AU"/>
        </w:rPr>
        <w:t>.</w:t>
      </w:r>
    </w:p>
  </w:footnote>
  <w:footnote w:id="89">
    <w:p w14:paraId="7FC4046F" w14:textId="77777777" w:rsidR="00545FF4" w:rsidRPr="00DF55C5" w:rsidRDefault="00545FF4" w:rsidP="007A78BA">
      <w:pPr>
        <w:pStyle w:val="FootnoteText"/>
        <w:jc w:val="left"/>
        <w:rPr>
          <w:rFonts w:ascii="Arial" w:hAnsi="Arial" w:cs="Arial"/>
          <w:sz w:val="18"/>
          <w:szCs w:val="18"/>
          <w:lang w:val="en-AU"/>
        </w:rPr>
      </w:pPr>
      <w:r w:rsidRPr="00DF55C5">
        <w:rPr>
          <w:rStyle w:val="FootnoteReference"/>
          <w:rFonts w:eastAsia="Arial"/>
        </w:rPr>
        <w:footnoteRef/>
      </w:r>
      <w:r w:rsidRPr="00DF55C5">
        <w:rPr>
          <w:rFonts w:ascii="Arial" w:hAnsi="Arial" w:cs="Arial"/>
          <w:sz w:val="18"/>
          <w:szCs w:val="18"/>
        </w:rPr>
        <w:t xml:space="preserve"> White et al.</w:t>
      </w:r>
      <w:r>
        <w:rPr>
          <w:rFonts w:ascii="Arial" w:hAnsi="Arial" w:cs="Arial"/>
          <w:sz w:val="18"/>
          <w:szCs w:val="18"/>
        </w:rPr>
        <w:t>,</w:t>
      </w:r>
      <w:r w:rsidRPr="00DF55C5">
        <w:rPr>
          <w:rFonts w:ascii="Arial" w:hAnsi="Arial" w:cs="Arial"/>
          <w:sz w:val="18"/>
          <w:szCs w:val="18"/>
        </w:rPr>
        <w:t xml:space="preserve"> 2017.</w:t>
      </w:r>
    </w:p>
  </w:footnote>
  <w:footnote w:id="90">
    <w:p w14:paraId="09BF23A2" w14:textId="77777777" w:rsidR="00545FF4" w:rsidRPr="001F3486" w:rsidRDefault="00545FF4" w:rsidP="007A78BA">
      <w:pPr>
        <w:pStyle w:val="FootnoteText"/>
        <w:jc w:val="left"/>
        <w:rPr>
          <w:rFonts w:ascii="Arial" w:hAnsi="Arial" w:cs="Arial"/>
          <w:sz w:val="18"/>
          <w:szCs w:val="18"/>
          <w:lang w:val="en-AU"/>
        </w:rPr>
      </w:pPr>
      <w:r w:rsidRPr="001F3486">
        <w:rPr>
          <w:rStyle w:val="FootnoteReference"/>
          <w:rFonts w:ascii="Arial" w:hAnsi="Arial"/>
          <w:sz w:val="18"/>
          <w:szCs w:val="18"/>
        </w:rPr>
        <w:footnoteRef/>
      </w:r>
      <w:r w:rsidRPr="001F3486">
        <w:rPr>
          <w:rFonts w:ascii="Arial" w:hAnsi="Arial" w:cs="Arial"/>
          <w:sz w:val="18"/>
          <w:szCs w:val="18"/>
        </w:rPr>
        <w:t xml:space="preserve"> </w:t>
      </w:r>
      <w:r w:rsidRPr="001F3486">
        <w:rPr>
          <w:rFonts w:ascii="Arial" w:hAnsi="Arial" w:cs="Arial"/>
          <w:sz w:val="18"/>
          <w:szCs w:val="18"/>
          <w:lang w:val="en-AU"/>
        </w:rPr>
        <w:t xml:space="preserve">Kelly, S. J., Ireland, M., Mangan, J., </w:t>
      </w:r>
      <w:r>
        <w:rPr>
          <w:rFonts w:ascii="Arial" w:hAnsi="Arial" w:cs="Arial"/>
          <w:sz w:val="18"/>
          <w:szCs w:val="18"/>
          <w:lang w:val="en-AU"/>
        </w:rPr>
        <w:t>et al.</w:t>
      </w:r>
      <w:r w:rsidRPr="001F3486">
        <w:rPr>
          <w:rFonts w:ascii="Arial" w:hAnsi="Arial" w:cs="Arial"/>
          <w:sz w:val="18"/>
          <w:szCs w:val="18"/>
          <w:lang w:val="en-AU"/>
        </w:rPr>
        <w:t xml:space="preserve"> (2018). </w:t>
      </w:r>
      <w:r w:rsidRPr="001F3486">
        <w:rPr>
          <w:rFonts w:ascii="Arial" w:hAnsi="Arial" w:cs="Arial"/>
          <w:color w:val="365F91"/>
          <w:sz w:val="18"/>
          <w:szCs w:val="18"/>
          <w:lang w:val="en-AU"/>
        </w:rPr>
        <w:t xml:space="preserve">Can alcohol sponsorship be diluted by health messaging? </w:t>
      </w:r>
      <w:r w:rsidRPr="001F3486">
        <w:rPr>
          <w:rFonts w:ascii="Arial" w:hAnsi="Arial" w:cs="Arial"/>
          <w:i/>
          <w:iCs/>
          <w:color w:val="365F91"/>
          <w:sz w:val="18"/>
          <w:szCs w:val="18"/>
          <w:lang w:val="en-AU"/>
        </w:rPr>
        <w:t>Sport in Society</w:t>
      </w:r>
      <w:r w:rsidRPr="001F3486">
        <w:rPr>
          <w:rFonts w:ascii="Arial" w:hAnsi="Arial" w:cs="Arial"/>
          <w:color w:val="365F91"/>
          <w:sz w:val="18"/>
          <w:szCs w:val="18"/>
          <w:lang w:val="en-AU"/>
        </w:rPr>
        <w:t>, 21, 434-451.</w:t>
      </w:r>
    </w:p>
  </w:footnote>
  <w:footnote w:id="91">
    <w:p w14:paraId="67C02F72" w14:textId="77777777" w:rsidR="00545FF4" w:rsidRPr="001F3486" w:rsidRDefault="00545FF4" w:rsidP="007A78BA">
      <w:pPr>
        <w:pStyle w:val="FootnoteText"/>
        <w:jc w:val="left"/>
        <w:rPr>
          <w:rFonts w:ascii="Arial" w:hAnsi="Arial" w:cs="Arial"/>
          <w:sz w:val="18"/>
          <w:szCs w:val="18"/>
          <w:lang w:val="en-US"/>
        </w:rPr>
      </w:pPr>
      <w:r w:rsidRPr="001F3486">
        <w:rPr>
          <w:rStyle w:val="FootnoteReference"/>
          <w:rFonts w:ascii="Arial" w:eastAsia="Arial" w:hAnsi="Arial"/>
          <w:sz w:val="18"/>
          <w:szCs w:val="18"/>
        </w:rPr>
        <w:footnoteRef/>
      </w:r>
      <w:r w:rsidRPr="001F3486">
        <w:rPr>
          <w:rFonts w:ascii="Arial" w:hAnsi="Arial" w:cs="Arial"/>
          <w:sz w:val="18"/>
          <w:szCs w:val="18"/>
        </w:rPr>
        <w:t xml:space="preserve"> </w:t>
      </w:r>
      <w:r w:rsidRPr="001F3486">
        <w:rPr>
          <w:rFonts w:ascii="Arial" w:hAnsi="Arial" w:cs="Arial"/>
          <w:sz w:val="18"/>
          <w:szCs w:val="18"/>
          <w:lang w:val="en-US"/>
        </w:rPr>
        <w:t xml:space="preserve">DrinkWise (2019). </w:t>
      </w:r>
      <w:hyperlink r:id="rId59" w:history="1">
        <w:r w:rsidRPr="001F3486">
          <w:rPr>
            <w:rStyle w:val="Hyperlink1"/>
            <w:rFonts w:ascii="Arial" w:hAnsi="Arial" w:cs="Arial"/>
            <w:sz w:val="18"/>
            <w:szCs w:val="18"/>
            <w:lang w:val="en-US"/>
          </w:rPr>
          <w:t>Get the Facts</w:t>
        </w:r>
      </w:hyperlink>
      <w:r w:rsidRPr="001F3486">
        <w:rPr>
          <w:rFonts w:ascii="Arial" w:hAnsi="Arial" w:cs="Arial"/>
          <w:sz w:val="18"/>
          <w:szCs w:val="18"/>
          <w:lang w:val="en-US"/>
        </w:rPr>
        <w:t xml:space="preserve">. </w:t>
      </w:r>
    </w:p>
  </w:footnote>
  <w:footnote w:id="92">
    <w:p w14:paraId="52E924CC" w14:textId="77777777" w:rsidR="00545FF4" w:rsidRPr="00727695" w:rsidRDefault="00545FF4" w:rsidP="007A78BA">
      <w:pPr>
        <w:pStyle w:val="FootnoteText"/>
        <w:jc w:val="left"/>
        <w:rPr>
          <w:lang w:val="en-US"/>
        </w:rPr>
      </w:pPr>
      <w:r w:rsidRPr="00DF55C5">
        <w:rPr>
          <w:rStyle w:val="FootnoteReference"/>
          <w:rFonts w:eastAsia="Arial"/>
        </w:rPr>
        <w:footnoteRef/>
      </w:r>
      <w:r w:rsidRPr="00DF55C5">
        <w:rPr>
          <w:rFonts w:ascii="Arial" w:hAnsi="Arial" w:cs="Arial"/>
          <w:sz w:val="18"/>
          <w:szCs w:val="18"/>
        </w:rPr>
        <w:t xml:space="preserve"> Wakefield, M. A., Brennan, E., Dunstone, K.,</w:t>
      </w:r>
      <w:r>
        <w:rPr>
          <w:rFonts w:ascii="Arial" w:hAnsi="Arial" w:cs="Arial"/>
          <w:sz w:val="18"/>
          <w:szCs w:val="18"/>
        </w:rPr>
        <w:t xml:space="preserve"> et al.</w:t>
      </w:r>
      <w:r w:rsidRPr="00DF55C5">
        <w:rPr>
          <w:rFonts w:ascii="Arial" w:hAnsi="Arial" w:cs="Arial"/>
          <w:sz w:val="18"/>
          <w:szCs w:val="18"/>
        </w:rPr>
        <w:t xml:space="preserve"> (2018). </w:t>
      </w:r>
      <w:hyperlink r:id="rId60" w:history="1">
        <w:r w:rsidRPr="00905095">
          <w:rPr>
            <w:rStyle w:val="Hyperlink1"/>
            <w:rFonts w:ascii="Arial" w:hAnsi="Arial" w:cs="Arial"/>
            <w:sz w:val="18"/>
            <w:szCs w:val="18"/>
          </w:rPr>
          <w:t xml:space="preserve">Immediate effects on adult drinkers of exposure to alcohol harm reduction advertisements with and without drinking guideline messages: experimental study. </w:t>
        </w:r>
        <w:r w:rsidRPr="00905095">
          <w:rPr>
            <w:rStyle w:val="Hyperlink1"/>
            <w:rFonts w:ascii="Arial" w:hAnsi="Arial" w:cs="Arial"/>
            <w:i/>
            <w:sz w:val="18"/>
            <w:szCs w:val="18"/>
          </w:rPr>
          <w:t>Addiction</w:t>
        </w:r>
        <w:r w:rsidRPr="00905095">
          <w:rPr>
            <w:rStyle w:val="Hyperlink1"/>
            <w:rFonts w:ascii="Arial" w:hAnsi="Arial" w:cs="Arial"/>
            <w:sz w:val="18"/>
            <w:szCs w:val="18"/>
          </w:rPr>
          <w:t>, 113, 1019-1029</w:t>
        </w:r>
      </w:hyperlink>
      <w:r w:rsidRPr="00DF55C5">
        <w:rPr>
          <w:rFonts w:ascii="Arial" w:hAnsi="Arial" w:cs="Arial"/>
          <w:sz w:val="18"/>
          <w:szCs w:val="18"/>
        </w:rPr>
        <w:t>.</w:t>
      </w:r>
    </w:p>
  </w:footnote>
  <w:footnote w:id="93">
    <w:p w14:paraId="42B82B4A" w14:textId="77777777" w:rsidR="000F7E29" w:rsidRPr="001B072E" w:rsidDel="00B33B6B" w:rsidRDefault="000F7E29" w:rsidP="000F7E29">
      <w:pPr>
        <w:pStyle w:val="ASSAD2017CWTablenote1"/>
        <w:ind w:left="142" w:hanging="142"/>
      </w:pPr>
      <w:r>
        <w:rPr>
          <w:rStyle w:val="FootnoteReference"/>
        </w:rPr>
        <w:footnoteRef/>
      </w:r>
      <w:r>
        <w:t xml:space="preserve"> </w:t>
      </w:r>
      <w:r w:rsidRPr="001B072E" w:rsidDel="00B33B6B">
        <w:t xml:space="preserve">Students who </w:t>
      </w:r>
      <w:r>
        <w:t>drank</w:t>
      </w:r>
      <w:r w:rsidRPr="001B072E" w:rsidDel="00B33B6B">
        <w:t xml:space="preserve"> alcohol at least once in the past </w:t>
      </w:r>
      <w:r>
        <w:t>week</w:t>
      </w:r>
      <w:r w:rsidRPr="001B072E" w:rsidDel="00B33B6B">
        <w:t xml:space="preserve"> </w:t>
      </w:r>
      <w:r>
        <w:t>we</w:t>
      </w:r>
      <w:r w:rsidRPr="001B072E" w:rsidDel="00B33B6B">
        <w:t xml:space="preserve">re defined as current drinkers. </w:t>
      </w:r>
      <w:r>
        <w:t>T</w:t>
      </w:r>
      <w:r w:rsidRPr="001B072E" w:rsidDel="00B33B6B">
        <w:t xml:space="preserve">he 2009 NHMRC Australian drinking guidelines recommend </w:t>
      </w:r>
      <w:r>
        <w:t>no</w:t>
      </w:r>
      <w:r w:rsidRPr="001B072E" w:rsidDel="00B33B6B">
        <w:t xml:space="preserve"> alcohol consumption </w:t>
      </w:r>
      <w:r>
        <w:t>a</w:t>
      </w:r>
      <w:r w:rsidRPr="001B072E" w:rsidDel="00B33B6B">
        <w:t xml:space="preserve">s the safest option for people under </w:t>
      </w:r>
      <w:r>
        <w:t>18. Therefore, drinking prevalence</w:t>
      </w:r>
      <w:r w:rsidRPr="001B072E" w:rsidDel="00B33B6B">
        <w:t xml:space="preserve"> reflects t</w:t>
      </w:r>
      <w:r>
        <w:t>he proportion of students who did</w:t>
      </w:r>
      <w:r w:rsidRPr="001B072E" w:rsidDel="00B33B6B">
        <w:t xml:space="preserve"> not adhere to this guideline.</w:t>
      </w:r>
    </w:p>
    <w:p w14:paraId="4EC357FB" w14:textId="2E6182FC" w:rsidR="000F7E29" w:rsidRPr="000F7E29" w:rsidRDefault="000F7E29" w:rsidP="000F7E29">
      <w:pPr>
        <w:pStyle w:val="FootnoteText"/>
        <w:ind w:left="142"/>
        <w:rPr>
          <w:rFonts w:ascii="Arial" w:hAnsi="Arial" w:cs="Arial"/>
          <w:sz w:val="18"/>
          <w:szCs w:val="18"/>
          <w:lang w:val="en-AU"/>
        </w:rPr>
      </w:pPr>
      <w:r w:rsidRPr="000F7E29" w:rsidDel="00B33B6B">
        <w:rPr>
          <w:rFonts w:ascii="Arial" w:hAnsi="Arial" w:cs="Arial"/>
          <w:sz w:val="18"/>
          <w:szCs w:val="18"/>
        </w:rPr>
        <w:t xml:space="preserve">Those that </w:t>
      </w:r>
      <w:r w:rsidRPr="000F7E29">
        <w:rPr>
          <w:rFonts w:ascii="Arial" w:hAnsi="Arial" w:cs="Arial"/>
          <w:sz w:val="18"/>
          <w:szCs w:val="18"/>
        </w:rPr>
        <w:t>drank</w:t>
      </w:r>
      <w:r w:rsidRPr="000F7E29" w:rsidDel="00B33B6B">
        <w:rPr>
          <w:rFonts w:ascii="Arial" w:hAnsi="Arial" w:cs="Arial"/>
          <w:sz w:val="18"/>
          <w:szCs w:val="18"/>
        </w:rPr>
        <w:t xml:space="preserve"> five or more drinks on one occasion were putting themselves at risk of short-term harm according to the 2009 NHMRC drinking guidelines for adults</w:t>
      </w:r>
      <w:r w:rsidRPr="000F7E29">
        <w:rPr>
          <w:rFonts w:ascii="Arial" w:hAnsi="Arial" w:cs="Arial"/>
          <w:sz w:val="18"/>
          <w:szCs w:val="18"/>
        </w:rPr>
        <w:t>.</w:t>
      </w:r>
    </w:p>
  </w:footnote>
  <w:footnote w:id="94">
    <w:p w14:paraId="5664D2EE" w14:textId="77777777" w:rsidR="00545FF4" w:rsidRPr="00DB2399" w:rsidRDefault="00545FF4" w:rsidP="00CB10CD">
      <w:pPr>
        <w:pStyle w:val="FootnoteText"/>
        <w:jc w:val="left"/>
        <w:rPr>
          <w:rFonts w:ascii="Arial" w:hAnsi="Arial" w:cs="Arial"/>
          <w:lang w:val="en-AU"/>
        </w:rPr>
      </w:pPr>
      <w:r w:rsidRPr="00DB2399">
        <w:rPr>
          <w:rStyle w:val="FootnoteReference"/>
          <w:rFonts w:eastAsia="Arial"/>
        </w:rPr>
        <w:footnoteRef/>
      </w:r>
      <w:r w:rsidRPr="00DB2399">
        <w:rPr>
          <w:rFonts w:ascii="Arial" w:hAnsi="Arial" w:cs="Arial"/>
          <w:sz w:val="18"/>
        </w:rPr>
        <w:t xml:space="preserve"> Wen, H., Hockenberry, J. M., &amp; Cummings, J. R. (2015). </w:t>
      </w:r>
      <w:hyperlink r:id="rId61" w:history="1">
        <w:r w:rsidRPr="00905095">
          <w:rPr>
            <w:rStyle w:val="Hyperlink1"/>
            <w:rFonts w:ascii="Arial" w:hAnsi="Arial" w:cs="Arial"/>
            <w:sz w:val="18"/>
          </w:rPr>
          <w:t xml:space="preserve">The effect of medical marijuana laws on adolescent and adult use of marijuana, alcohol, and other substances. </w:t>
        </w:r>
        <w:r w:rsidRPr="00905095">
          <w:rPr>
            <w:rStyle w:val="Hyperlink1"/>
            <w:rFonts w:ascii="Arial" w:hAnsi="Arial" w:cs="Arial"/>
            <w:i/>
            <w:sz w:val="18"/>
          </w:rPr>
          <w:t>Journal of Health Economics</w:t>
        </w:r>
        <w:r w:rsidRPr="00905095">
          <w:rPr>
            <w:rStyle w:val="Hyperlink1"/>
            <w:rFonts w:ascii="Arial" w:hAnsi="Arial" w:cs="Arial"/>
            <w:sz w:val="18"/>
          </w:rPr>
          <w:t>, 42, 64-80</w:t>
        </w:r>
      </w:hyperlink>
      <w:r w:rsidRPr="00DB2399">
        <w:rPr>
          <w:rFonts w:ascii="Arial" w:hAnsi="Arial" w:cs="Arial"/>
          <w:sz w:val="18"/>
        </w:rPr>
        <w:t>.</w:t>
      </w:r>
    </w:p>
  </w:footnote>
  <w:footnote w:id="95">
    <w:p w14:paraId="4093E759" w14:textId="77777777" w:rsidR="00545FF4" w:rsidRPr="003800EE" w:rsidRDefault="00545FF4" w:rsidP="009E42F3">
      <w:pPr>
        <w:pStyle w:val="FootnoteText"/>
        <w:rPr>
          <w:rFonts w:ascii="Arial" w:hAnsi="Arial" w:cs="Arial"/>
          <w:sz w:val="18"/>
          <w:szCs w:val="18"/>
          <w:lang w:val="en-AU"/>
        </w:rPr>
      </w:pPr>
      <w:r w:rsidRPr="003800EE">
        <w:rPr>
          <w:rStyle w:val="FootnoteReference"/>
          <w:rFonts w:ascii="Arial" w:hAnsi="Arial" w:cs="Arial"/>
          <w:sz w:val="18"/>
          <w:szCs w:val="18"/>
        </w:rPr>
        <w:footnoteRef/>
      </w:r>
      <w:r w:rsidRPr="003800EE">
        <w:rPr>
          <w:rFonts w:ascii="Arial" w:hAnsi="Arial" w:cs="Arial"/>
          <w:sz w:val="18"/>
          <w:szCs w:val="18"/>
        </w:rPr>
        <w:t xml:space="preserve"> </w:t>
      </w:r>
      <w:r w:rsidRPr="003800EE">
        <w:rPr>
          <w:rFonts w:ascii="Arial" w:hAnsi="Arial" w:cs="Arial"/>
          <w:sz w:val="18"/>
          <w:szCs w:val="18"/>
          <w:lang w:val="en-AU"/>
        </w:rPr>
        <w:t>Australian Institute of Health and Welfare, 2017.</w:t>
      </w:r>
    </w:p>
  </w:footnote>
  <w:footnote w:id="96">
    <w:p w14:paraId="224E73DB" w14:textId="77777777" w:rsidR="00545FF4" w:rsidRPr="00FF7B7E" w:rsidRDefault="00545FF4" w:rsidP="00A22804">
      <w:pPr>
        <w:pStyle w:val="FootnoteText"/>
        <w:jc w:val="left"/>
        <w:rPr>
          <w:rFonts w:ascii="Arial" w:hAnsi="Arial" w:cs="Arial"/>
          <w:sz w:val="18"/>
          <w:szCs w:val="18"/>
          <w:lang w:val="en-AU"/>
        </w:rPr>
      </w:pPr>
      <w:r w:rsidRPr="00FF7B7E">
        <w:rPr>
          <w:rStyle w:val="FootnoteReference"/>
          <w:rFonts w:eastAsia="Arial"/>
        </w:rPr>
        <w:footnoteRef/>
      </w:r>
      <w:r w:rsidRPr="00FF7B7E">
        <w:rPr>
          <w:rFonts w:ascii="Arial" w:hAnsi="Arial" w:cs="Arial"/>
          <w:sz w:val="18"/>
          <w:szCs w:val="18"/>
        </w:rPr>
        <w:t xml:space="preserve"> Guerin &amp; White, 20</w:t>
      </w:r>
      <w:r>
        <w:rPr>
          <w:rFonts w:ascii="Arial" w:hAnsi="Arial" w:cs="Arial"/>
          <w:sz w:val="18"/>
          <w:szCs w:val="18"/>
        </w:rPr>
        <w:t>20.</w:t>
      </w:r>
    </w:p>
  </w:footnote>
  <w:footnote w:id="97">
    <w:p w14:paraId="23802D29" w14:textId="77777777" w:rsidR="00545FF4" w:rsidRPr="00FF7B7E" w:rsidRDefault="00545FF4" w:rsidP="0005637F">
      <w:pPr>
        <w:pStyle w:val="FootnoteText"/>
        <w:jc w:val="left"/>
        <w:rPr>
          <w:rFonts w:ascii="Arial" w:hAnsi="Arial" w:cs="Arial"/>
          <w:sz w:val="18"/>
          <w:szCs w:val="18"/>
          <w:lang w:val="en-AU"/>
        </w:rPr>
      </w:pPr>
      <w:r w:rsidRPr="00FF7B7E">
        <w:rPr>
          <w:rStyle w:val="FootnoteReference"/>
          <w:rFonts w:eastAsia="Arial"/>
        </w:rPr>
        <w:footnoteRef/>
      </w:r>
      <w:r w:rsidRPr="00FF7B7E">
        <w:rPr>
          <w:rFonts w:ascii="Arial" w:hAnsi="Arial" w:cs="Arial"/>
          <w:sz w:val="18"/>
          <w:szCs w:val="18"/>
        </w:rPr>
        <w:t xml:space="preserve"> </w:t>
      </w:r>
      <w:r w:rsidRPr="00FF7B7E">
        <w:rPr>
          <w:rFonts w:ascii="Arial" w:hAnsi="Arial" w:cs="Arial"/>
          <w:color w:val="222222"/>
          <w:sz w:val="18"/>
          <w:szCs w:val="18"/>
          <w:shd w:val="clear" w:color="auto" w:fill="FFFFFF"/>
        </w:rPr>
        <w:t>Australian Government National Health and Medical Research Council</w:t>
      </w:r>
      <w:r>
        <w:rPr>
          <w:rFonts w:ascii="Arial" w:hAnsi="Arial" w:cs="Arial"/>
          <w:color w:val="222222"/>
          <w:sz w:val="18"/>
          <w:szCs w:val="18"/>
          <w:shd w:val="clear" w:color="auto" w:fill="FFFFFF"/>
        </w:rPr>
        <w:t>, 2009</w:t>
      </w:r>
      <w:r w:rsidRPr="00FF7B7E">
        <w:rPr>
          <w:rFonts w:ascii="Arial" w:hAnsi="Arial" w:cs="Arial"/>
          <w:color w:val="222222"/>
          <w:sz w:val="18"/>
          <w:szCs w:val="18"/>
          <w:shd w:val="clear" w:color="auto" w:fill="FFFFFF"/>
        </w:rPr>
        <w:t xml:space="preserve">. </w:t>
      </w:r>
    </w:p>
  </w:footnote>
  <w:footnote w:id="98">
    <w:p w14:paraId="7BEB7F4E" w14:textId="77777777" w:rsidR="00545FF4" w:rsidRPr="000B0F86" w:rsidRDefault="00545FF4" w:rsidP="00CA4F24">
      <w:pPr>
        <w:pStyle w:val="FootnoteText"/>
        <w:jc w:val="left"/>
        <w:rPr>
          <w:lang w:val="en-AU"/>
        </w:rPr>
      </w:pPr>
      <w:r w:rsidRPr="00FF7B7E">
        <w:rPr>
          <w:rStyle w:val="FootnoteReference"/>
          <w:rFonts w:eastAsia="Arial"/>
        </w:rPr>
        <w:footnoteRef/>
      </w:r>
      <w:r w:rsidRPr="00FF7B7E">
        <w:rPr>
          <w:rFonts w:ascii="Arial" w:hAnsi="Arial" w:cs="Arial"/>
          <w:sz w:val="18"/>
          <w:szCs w:val="18"/>
        </w:rPr>
        <w:t xml:space="preserve"> Australian Bureau of Statistics. </w:t>
      </w:r>
      <w:r>
        <w:rPr>
          <w:rFonts w:ascii="Arial" w:hAnsi="Arial" w:cs="Arial"/>
          <w:sz w:val="18"/>
          <w:szCs w:val="18"/>
        </w:rPr>
        <w:t>(</w:t>
      </w:r>
      <w:r w:rsidRPr="00FF7B7E">
        <w:rPr>
          <w:rFonts w:ascii="Arial" w:hAnsi="Arial" w:cs="Arial"/>
          <w:sz w:val="18"/>
          <w:szCs w:val="18"/>
        </w:rPr>
        <w:t>2017</w:t>
      </w:r>
      <w:r>
        <w:rPr>
          <w:rFonts w:ascii="Arial" w:hAnsi="Arial" w:cs="Arial"/>
          <w:sz w:val="18"/>
          <w:szCs w:val="18"/>
        </w:rPr>
        <w:t>)</w:t>
      </w:r>
      <w:r w:rsidRPr="00FF7B7E">
        <w:rPr>
          <w:rFonts w:ascii="Arial" w:hAnsi="Arial" w:cs="Arial"/>
          <w:sz w:val="18"/>
          <w:szCs w:val="18"/>
        </w:rPr>
        <w:t xml:space="preserve">. </w:t>
      </w:r>
      <w:r w:rsidRPr="0014377A">
        <w:rPr>
          <w:rFonts w:ascii="Arial" w:hAnsi="Arial" w:cs="Arial"/>
          <w:color w:val="365F91"/>
          <w:sz w:val="18"/>
          <w:szCs w:val="18"/>
        </w:rPr>
        <w:t xml:space="preserve">4221.0 - </w:t>
      </w:r>
      <w:hyperlink r:id="rId62" w:history="1">
        <w:r w:rsidRPr="0014377A">
          <w:rPr>
            <w:rStyle w:val="Hyperlink1"/>
            <w:rFonts w:ascii="Arial" w:hAnsi="Arial" w:cs="Arial"/>
            <w:sz w:val="18"/>
            <w:szCs w:val="18"/>
          </w:rPr>
          <w:t>Schools, Australia, 2017</w:t>
        </w:r>
      </w:hyperlink>
      <w:r w:rsidRPr="00FF7B7E">
        <w:rPr>
          <w:rFonts w:ascii="Arial" w:hAnsi="Arial" w:cs="Arial"/>
          <w:sz w:val="18"/>
          <w:szCs w:val="18"/>
        </w:rPr>
        <w:t>. NSSC Table 42b Number of Full-time and Part-time Students by Affiliation, Sex, Grade, Age and Indigenous Status, States and Territories, 2006-2017.</w:t>
      </w:r>
    </w:p>
  </w:footnote>
  <w:footnote w:id="99">
    <w:p w14:paraId="48016031" w14:textId="77777777" w:rsidR="00545FF4" w:rsidRPr="00A90CD8" w:rsidRDefault="00545FF4" w:rsidP="00CA4F24">
      <w:pPr>
        <w:pStyle w:val="FootnoteText"/>
        <w:jc w:val="left"/>
        <w:rPr>
          <w:rFonts w:ascii="Arial" w:hAnsi="Arial" w:cs="Arial"/>
          <w:sz w:val="18"/>
          <w:szCs w:val="18"/>
        </w:rPr>
      </w:pPr>
      <w:r w:rsidRPr="00FF7B7E">
        <w:rPr>
          <w:rStyle w:val="FootnoteReference"/>
          <w:rFonts w:eastAsia="Arial"/>
        </w:rPr>
        <w:footnoteRef/>
      </w:r>
      <w:r w:rsidRPr="00FF7B7E">
        <w:rPr>
          <w:rFonts w:ascii="Arial" w:hAnsi="Arial" w:cs="Arial"/>
          <w:sz w:val="18"/>
          <w:szCs w:val="18"/>
        </w:rPr>
        <w:t xml:space="preserve"> Australian Institute of Health and Welfare, 2017</w:t>
      </w:r>
      <w:r>
        <w:rPr>
          <w:rFonts w:ascii="Arial" w:hAnsi="Arial" w:cs="Arial"/>
          <w:sz w:val="18"/>
          <w:szCs w:val="18"/>
        </w:rPr>
        <w:t>.</w:t>
      </w:r>
    </w:p>
  </w:footnote>
  <w:footnote w:id="100">
    <w:p w14:paraId="77D41DA0" w14:textId="77777777" w:rsidR="00545FF4" w:rsidRPr="00610D3F" w:rsidRDefault="00545FF4" w:rsidP="00CA4F24">
      <w:pPr>
        <w:pStyle w:val="FootnoteText"/>
        <w:jc w:val="left"/>
        <w:rPr>
          <w:lang w:val="en-AU"/>
        </w:rPr>
      </w:pPr>
      <w:r w:rsidRPr="00FF7B7E">
        <w:rPr>
          <w:rStyle w:val="FootnoteReference"/>
          <w:rFonts w:eastAsia="Arial"/>
        </w:rPr>
        <w:footnoteRef/>
      </w:r>
      <w:r w:rsidRPr="00FF7B7E">
        <w:rPr>
          <w:rFonts w:ascii="Arial" w:hAnsi="Arial" w:cs="Arial"/>
          <w:sz w:val="18"/>
          <w:szCs w:val="18"/>
        </w:rPr>
        <w:t xml:space="preserve"> Mackie, R. S., Tscharke, B. J., O'Brien, J. W.,</w:t>
      </w:r>
      <w:r>
        <w:rPr>
          <w:rFonts w:ascii="Arial" w:hAnsi="Arial" w:cs="Arial"/>
          <w:sz w:val="18"/>
          <w:szCs w:val="18"/>
        </w:rPr>
        <w:t xml:space="preserve"> et al.</w:t>
      </w:r>
      <w:r w:rsidRPr="00FF7B7E">
        <w:rPr>
          <w:rFonts w:ascii="Arial" w:hAnsi="Arial" w:cs="Arial"/>
          <w:sz w:val="18"/>
          <w:szCs w:val="18"/>
        </w:rPr>
        <w:t xml:space="preserve"> (2019). </w:t>
      </w:r>
      <w:hyperlink r:id="rId63" w:history="1">
        <w:r w:rsidRPr="00905095">
          <w:rPr>
            <w:rStyle w:val="Hyperlink1"/>
            <w:rFonts w:ascii="Arial" w:hAnsi="Arial" w:cs="Arial"/>
            <w:sz w:val="18"/>
            <w:szCs w:val="18"/>
          </w:rPr>
          <w:t xml:space="preserve">Trends in nicotine consumption between 2010 and 2017 in an Australian city using the wastewater-based epidemiology approach. </w:t>
        </w:r>
        <w:r w:rsidRPr="00905095">
          <w:rPr>
            <w:rStyle w:val="Hyperlink1"/>
            <w:rFonts w:ascii="Arial" w:hAnsi="Arial" w:cs="Arial"/>
            <w:i/>
            <w:sz w:val="18"/>
            <w:szCs w:val="18"/>
          </w:rPr>
          <w:t xml:space="preserve">Environment </w:t>
        </w:r>
        <w:r>
          <w:rPr>
            <w:rStyle w:val="Hyperlink1"/>
            <w:rFonts w:ascii="Arial" w:hAnsi="Arial" w:cs="Arial"/>
            <w:i/>
            <w:sz w:val="18"/>
            <w:szCs w:val="18"/>
          </w:rPr>
          <w:t>I</w:t>
        </w:r>
        <w:r w:rsidRPr="00905095">
          <w:rPr>
            <w:rStyle w:val="Hyperlink1"/>
            <w:rFonts w:ascii="Arial" w:hAnsi="Arial" w:cs="Arial"/>
            <w:i/>
            <w:sz w:val="18"/>
            <w:szCs w:val="18"/>
          </w:rPr>
          <w:t>nternational</w:t>
        </w:r>
        <w:r w:rsidRPr="00905095">
          <w:rPr>
            <w:rStyle w:val="Hyperlink1"/>
            <w:rFonts w:ascii="Arial" w:hAnsi="Arial" w:cs="Arial"/>
            <w:sz w:val="18"/>
            <w:szCs w:val="18"/>
          </w:rPr>
          <w:t>, 125, 184-190</w:t>
        </w:r>
      </w:hyperlink>
      <w:r w:rsidRPr="00FF7B7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4E23" w14:textId="77777777" w:rsidR="00545FF4" w:rsidRDefault="00545FF4" w:rsidP="00D83D73">
    <w:pPr>
      <w:pStyle w:val="assadtablehe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69BBD" w14:textId="77777777" w:rsidR="00545FF4" w:rsidRDefault="00545FF4" w:rsidP="002B0A31">
    <w:pPr>
      <w:pStyle w:val="assadtablehe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0C1EF" w14:textId="77777777" w:rsidR="00545FF4" w:rsidRDefault="00545FF4">
    <w:pPr>
      <w:pStyle w:val="assadtablehe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6D0D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3BA0C68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bullet"/>
      <w:lvlText w:val=""/>
      <w:lvlJc w:val="left"/>
      <w:pPr>
        <w:tabs>
          <w:tab w:val="num" w:pos="0"/>
        </w:tabs>
        <w:ind w:left="1287" w:hanging="360"/>
      </w:pPr>
      <w:rPr>
        <w:rFonts w:ascii="Wingdings" w:hAnsi="Wingdings"/>
      </w:rPr>
    </w:lvl>
  </w:abstractNum>
  <w:abstractNum w:abstractNumId="3" w15:restartNumberingAfterBreak="0">
    <w:nsid w:val="00000003"/>
    <w:multiLevelType w:val="multilevel"/>
    <w:tmpl w:val="00000003"/>
    <w:name w:val="WW8StyleNum"/>
    <w:lvl w:ilvl="0">
      <w:numFmt w:val="decimal"/>
      <w:pStyle w:val="BlockQuotation"/>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0D009B"/>
    <w:multiLevelType w:val="hybridMultilevel"/>
    <w:tmpl w:val="688E6F98"/>
    <w:lvl w:ilvl="0" w:tplc="0C090001">
      <w:start w:val="7"/>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3111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0E97149"/>
    <w:multiLevelType w:val="hybridMultilevel"/>
    <w:tmpl w:val="C0FAD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F818AB"/>
    <w:multiLevelType w:val="hybridMultilevel"/>
    <w:tmpl w:val="FD7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A725A"/>
    <w:multiLevelType w:val="hybridMultilevel"/>
    <w:tmpl w:val="CBB693DC"/>
    <w:lvl w:ilvl="0" w:tplc="8C6C9C18">
      <w:start w:val="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5340CC"/>
    <w:multiLevelType w:val="hybridMultilevel"/>
    <w:tmpl w:val="C9C07980"/>
    <w:name w:val="WW8Num32"/>
    <w:lvl w:ilvl="0" w:tplc="D3F609B0">
      <w:start w:val="1"/>
      <w:numFmt w:val="bullet"/>
      <w:lvlText w:val=""/>
      <w:lvlJc w:val="left"/>
      <w:pPr>
        <w:ind w:left="1287" w:hanging="360"/>
      </w:pPr>
      <w:rPr>
        <w:rFonts w:ascii="Wingdings" w:hAnsi="Wingdings" w:hint="default"/>
        <w:color w:val="999999"/>
        <w:sz w:val="22"/>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5C10A04"/>
    <w:multiLevelType w:val="hybridMultilevel"/>
    <w:tmpl w:val="F3A6C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DE208B"/>
    <w:multiLevelType w:val="multilevel"/>
    <w:tmpl w:val="77765D5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2" w15:restartNumberingAfterBreak="0">
    <w:nsid w:val="5DE143F9"/>
    <w:multiLevelType w:val="hybridMultilevel"/>
    <w:tmpl w:val="DDBAE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7958A6"/>
    <w:multiLevelType w:val="hybridMultilevel"/>
    <w:tmpl w:val="A0345F7C"/>
    <w:lvl w:ilvl="0" w:tplc="7F5A4432">
      <w:start w:val="86"/>
      <w:numFmt w:val="bullet"/>
      <w:lvlText w:val=""/>
      <w:lvlJc w:val="left"/>
      <w:pPr>
        <w:ind w:left="720" w:hanging="360"/>
      </w:pPr>
      <w:rPr>
        <w:rFonts w:ascii="Wingdings" w:eastAsia="Times New Roman" w:hAnsi="Wingdings"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3C3B91"/>
    <w:multiLevelType w:val="hybridMultilevel"/>
    <w:tmpl w:val="DCA07D0A"/>
    <w:lvl w:ilvl="0" w:tplc="524486E0">
      <w:start w:val="4"/>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842FA1"/>
    <w:multiLevelType w:val="hybridMultilevel"/>
    <w:tmpl w:val="D0222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1"/>
  </w:num>
  <w:num w:numId="5">
    <w:abstractNumId w:val="9"/>
  </w:num>
  <w:num w:numId="6">
    <w:abstractNumId w:val="0"/>
  </w:num>
  <w:num w:numId="7">
    <w:abstractNumId w:val="4"/>
  </w:num>
  <w:num w:numId="8">
    <w:abstractNumId w:val="1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4"/>
  </w:num>
  <w:num w:numId="22">
    <w:abstractNumId w:val="5"/>
  </w:num>
  <w:num w:numId="23">
    <w:abstractNumId w:val="15"/>
  </w:num>
  <w:num w:numId="24">
    <w:abstractNumId w:val="1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1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readOnly" w:enforcement="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BRC reports&lt;/Style&gt;&lt;LeftDelim&gt;{&lt;/LeftDelim&gt;&lt;RightDelim&gt;}&lt;/RightDelim&gt;&lt;FontName&gt;Helvetica&lt;/FontName&gt;&lt;FontSize&gt;16&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9f5rdtqesaftepzf855zakfw29dfasxptw&quot;&gt;ASSAD endote library&lt;record-ids&gt;&lt;item&gt;326&lt;/item&gt;&lt;item&gt;454&lt;/item&gt;&lt;item&gt;611&lt;/item&gt;&lt;item&gt;737&lt;/item&gt;&lt;item&gt;1624&lt;/item&gt;&lt;item&gt;1795&lt;/item&gt;&lt;item&gt;1799&lt;/item&gt;&lt;/record-ids&gt;&lt;/item&gt;&lt;/Libraries&gt;"/>
  </w:docVars>
  <w:rsids>
    <w:rsidRoot w:val="006D12CF"/>
    <w:rsid w:val="0000076F"/>
    <w:rsid w:val="00000DE7"/>
    <w:rsid w:val="00001099"/>
    <w:rsid w:val="0000157D"/>
    <w:rsid w:val="000018A5"/>
    <w:rsid w:val="00001DDF"/>
    <w:rsid w:val="00003006"/>
    <w:rsid w:val="00003F48"/>
    <w:rsid w:val="00005F98"/>
    <w:rsid w:val="00007C12"/>
    <w:rsid w:val="0001018E"/>
    <w:rsid w:val="00010654"/>
    <w:rsid w:val="00010E16"/>
    <w:rsid w:val="00011540"/>
    <w:rsid w:val="00011D4D"/>
    <w:rsid w:val="00011EEA"/>
    <w:rsid w:val="00012576"/>
    <w:rsid w:val="000129B9"/>
    <w:rsid w:val="00012CC6"/>
    <w:rsid w:val="00013A30"/>
    <w:rsid w:val="00014037"/>
    <w:rsid w:val="00014323"/>
    <w:rsid w:val="00014A58"/>
    <w:rsid w:val="00014D16"/>
    <w:rsid w:val="00014DB7"/>
    <w:rsid w:val="00014DBB"/>
    <w:rsid w:val="00014E76"/>
    <w:rsid w:val="00014F95"/>
    <w:rsid w:val="00016000"/>
    <w:rsid w:val="000168E2"/>
    <w:rsid w:val="000169C9"/>
    <w:rsid w:val="00016DAA"/>
    <w:rsid w:val="00016DB4"/>
    <w:rsid w:val="00017AD7"/>
    <w:rsid w:val="000203EA"/>
    <w:rsid w:val="00020845"/>
    <w:rsid w:val="00020AD1"/>
    <w:rsid w:val="00020B0D"/>
    <w:rsid w:val="00021314"/>
    <w:rsid w:val="00021C32"/>
    <w:rsid w:val="00022810"/>
    <w:rsid w:val="000236C7"/>
    <w:rsid w:val="000239EB"/>
    <w:rsid w:val="00024A61"/>
    <w:rsid w:val="00025A51"/>
    <w:rsid w:val="00025F1B"/>
    <w:rsid w:val="00026F53"/>
    <w:rsid w:val="0002710B"/>
    <w:rsid w:val="00027502"/>
    <w:rsid w:val="000302DF"/>
    <w:rsid w:val="000308CC"/>
    <w:rsid w:val="00030F2C"/>
    <w:rsid w:val="00030F59"/>
    <w:rsid w:val="00031479"/>
    <w:rsid w:val="00031A26"/>
    <w:rsid w:val="000321ED"/>
    <w:rsid w:val="000327D4"/>
    <w:rsid w:val="000329D6"/>
    <w:rsid w:val="00032F0C"/>
    <w:rsid w:val="000336C7"/>
    <w:rsid w:val="000339A7"/>
    <w:rsid w:val="00033A50"/>
    <w:rsid w:val="00033A86"/>
    <w:rsid w:val="00033F94"/>
    <w:rsid w:val="000358B0"/>
    <w:rsid w:val="00035BAA"/>
    <w:rsid w:val="00035BBC"/>
    <w:rsid w:val="0003630A"/>
    <w:rsid w:val="00036694"/>
    <w:rsid w:val="000368A5"/>
    <w:rsid w:val="00036D16"/>
    <w:rsid w:val="00037216"/>
    <w:rsid w:val="000372A5"/>
    <w:rsid w:val="0003738A"/>
    <w:rsid w:val="0003767E"/>
    <w:rsid w:val="00037C31"/>
    <w:rsid w:val="000407FB"/>
    <w:rsid w:val="000409C1"/>
    <w:rsid w:val="00041265"/>
    <w:rsid w:val="000412C8"/>
    <w:rsid w:val="00041548"/>
    <w:rsid w:val="00041D88"/>
    <w:rsid w:val="00041EC1"/>
    <w:rsid w:val="000424BC"/>
    <w:rsid w:val="000424BE"/>
    <w:rsid w:val="000427C6"/>
    <w:rsid w:val="000431E6"/>
    <w:rsid w:val="00043726"/>
    <w:rsid w:val="00044301"/>
    <w:rsid w:val="0004437A"/>
    <w:rsid w:val="00044C10"/>
    <w:rsid w:val="00045242"/>
    <w:rsid w:val="00045AC1"/>
    <w:rsid w:val="00045B91"/>
    <w:rsid w:val="000460D9"/>
    <w:rsid w:val="00046AA2"/>
    <w:rsid w:val="00046C33"/>
    <w:rsid w:val="00047D0F"/>
    <w:rsid w:val="00047E36"/>
    <w:rsid w:val="00047FA7"/>
    <w:rsid w:val="000508A8"/>
    <w:rsid w:val="00050F2B"/>
    <w:rsid w:val="0005131F"/>
    <w:rsid w:val="0005187C"/>
    <w:rsid w:val="00051FF9"/>
    <w:rsid w:val="000520E6"/>
    <w:rsid w:val="00052DC5"/>
    <w:rsid w:val="00052E1E"/>
    <w:rsid w:val="00052E4E"/>
    <w:rsid w:val="00052E53"/>
    <w:rsid w:val="00053194"/>
    <w:rsid w:val="00054422"/>
    <w:rsid w:val="000545C0"/>
    <w:rsid w:val="00054763"/>
    <w:rsid w:val="00054936"/>
    <w:rsid w:val="00055362"/>
    <w:rsid w:val="00055556"/>
    <w:rsid w:val="000555A2"/>
    <w:rsid w:val="00055974"/>
    <w:rsid w:val="00055B3A"/>
    <w:rsid w:val="00055B8B"/>
    <w:rsid w:val="0005637F"/>
    <w:rsid w:val="000563C4"/>
    <w:rsid w:val="00056CF6"/>
    <w:rsid w:val="0005749C"/>
    <w:rsid w:val="0005781B"/>
    <w:rsid w:val="000608CC"/>
    <w:rsid w:val="00060F98"/>
    <w:rsid w:val="0006108B"/>
    <w:rsid w:val="00061967"/>
    <w:rsid w:val="00061BCF"/>
    <w:rsid w:val="000623E9"/>
    <w:rsid w:val="00062884"/>
    <w:rsid w:val="00062DEB"/>
    <w:rsid w:val="0006359B"/>
    <w:rsid w:val="00065028"/>
    <w:rsid w:val="0006508B"/>
    <w:rsid w:val="000662EC"/>
    <w:rsid w:val="00066BA5"/>
    <w:rsid w:val="00066D6F"/>
    <w:rsid w:val="00067B7D"/>
    <w:rsid w:val="00070427"/>
    <w:rsid w:val="00070A29"/>
    <w:rsid w:val="00070A91"/>
    <w:rsid w:val="00071020"/>
    <w:rsid w:val="00071128"/>
    <w:rsid w:val="0007116E"/>
    <w:rsid w:val="00072862"/>
    <w:rsid w:val="0007288D"/>
    <w:rsid w:val="00072C08"/>
    <w:rsid w:val="000741F3"/>
    <w:rsid w:val="00074FD4"/>
    <w:rsid w:val="000752C6"/>
    <w:rsid w:val="00075597"/>
    <w:rsid w:val="00075ACF"/>
    <w:rsid w:val="00075C7C"/>
    <w:rsid w:val="00075F62"/>
    <w:rsid w:val="00076040"/>
    <w:rsid w:val="00076310"/>
    <w:rsid w:val="0007688B"/>
    <w:rsid w:val="00076DF1"/>
    <w:rsid w:val="000776DC"/>
    <w:rsid w:val="0007782C"/>
    <w:rsid w:val="00080390"/>
    <w:rsid w:val="00080922"/>
    <w:rsid w:val="00082741"/>
    <w:rsid w:val="000837A1"/>
    <w:rsid w:val="000837BF"/>
    <w:rsid w:val="00084324"/>
    <w:rsid w:val="00084448"/>
    <w:rsid w:val="0008466D"/>
    <w:rsid w:val="00084CAD"/>
    <w:rsid w:val="00084E16"/>
    <w:rsid w:val="000850FA"/>
    <w:rsid w:val="00085720"/>
    <w:rsid w:val="00086923"/>
    <w:rsid w:val="00086B17"/>
    <w:rsid w:val="00086C94"/>
    <w:rsid w:val="00087056"/>
    <w:rsid w:val="0008727E"/>
    <w:rsid w:val="00087440"/>
    <w:rsid w:val="000874B9"/>
    <w:rsid w:val="00087F4D"/>
    <w:rsid w:val="0009027E"/>
    <w:rsid w:val="0009055E"/>
    <w:rsid w:val="000908E6"/>
    <w:rsid w:val="000919B7"/>
    <w:rsid w:val="00091E6A"/>
    <w:rsid w:val="0009220E"/>
    <w:rsid w:val="000931A8"/>
    <w:rsid w:val="00093596"/>
    <w:rsid w:val="00093DF5"/>
    <w:rsid w:val="000946E8"/>
    <w:rsid w:val="000948AB"/>
    <w:rsid w:val="00094ACC"/>
    <w:rsid w:val="00094FA1"/>
    <w:rsid w:val="000950D1"/>
    <w:rsid w:val="00095461"/>
    <w:rsid w:val="00095B16"/>
    <w:rsid w:val="00096A85"/>
    <w:rsid w:val="00096E4C"/>
    <w:rsid w:val="000974B4"/>
    <w:rsid w:val="00097556"/>
    <w:rsid w:val="00097832"/>
    <w:rsid w:val="000A15CC"/>
    <w:rsid w:val="000A1AA2"/>
    <w:rsid w:val="000A2162"/>
    <w:rsid w:val="000A22B3"/>
    <w:rsid w:val="000A2476"/>
    <w:rsid w:val="000A269B"/>
    <w:rsid w:val="000A2D1E"/>
    <w:rsid w:val="000A301B"/>
    <w:rsid w:val="000A305F"/>
    <w:rsid w:val="000A3750"/>
    <w:rsid w:val="000A4945"/>
    <w:rsid w:val="000A551D"/>
    <w:rsid w:val="000A5628"/>
    <w:rsid w:val="000A5794"/>
    <w:rsid w:val="000A5A8D"/>
    <w:rsid w:val="000A5D14"/>
    <w:rsid w:val="000A6235"/>
    <w:rsid w:val="000A64FE"/>
    <w:rsid w:val="000A64FF"/>
    <w:rsid w:val="000A6C13"/>
    <w:rsid w:val="000A7AD5"/>
    <w:rsid w:val="000A7CB4"/>
    <w:rsid w:val="000A7D48"/>
    <w:rsid w:val="000B0127"/>
    <w:rsid w:val="000B0291"/>
    <w:rsid w:val="000B0737"/>
    <w:rsid w:val="000B0A1D"/>
    <w:rsid w:val="000B0B78"/>
    <w:rsid w:val="000B16F5"/>
    <w:rsid w:val="000B1D0B"/>
    <w:rsid w:val="000B3C77"/>
    <w:rsid w:val="000B4FD3"/>
    <w:rsid w:val="000B52A9"/>
    <w:rsid w:val="000B52E2"/>
    <w:rsid w:val="000B5354"/>
    <w:rsid w:val="000B619D"/>
    <w:rsid w:val="000B6943"/>
    <w:rsid w:val="000B70B3"/>
    <w:rsid w:val="000B728A"/>
    <w:rsid w:val="000B7304"/>
    <w:rsid w:val="000B7475"/>
    <w:rsid w:val="000B766D"/>
    <w:rsid w:val="000B76C0"/>
    <w:rsid w:val="000B78E7"/>
    <w:rsid w:val="000C0122"/>
    <w:rsid w:val="000C095D"/>
    <w:rsid w:val="000C1386"/>
    <w:rsid w:val="000C1E6F"/>
    <w:rsid w:val="000C20D5"/>
    <w:rsid w:val="000C25E6"/>
    <w:rsid w:val="000C2988"/>
    <w:rsid w:val="000C2F23"/>
    <w:rsid w:val="000C3250"/>
    <w:rsid w:val="000C36D1"/>
    <w:rsid w:val="000C4C83"/>
    <w:rsid w:val="000C4DFB"/>
    <w:rsid w:val="000C4F6A"/>
    <w:rsid w:val="000C55DD"/>
    <w:rsid w:val="000C569F"/>
    <w:rsid w:val="000C60FE"/>
    <w:rsid w:val="000C6FE1"/>
    <w:rsid w:val="000C709D"/>
    <w:rsid w:val="000C724F"/>
    <w:rsid w:val="000C7630"/>
    <w:rsid w:val="000C77B5"/>
    <w:rsid w:val="000D00F3"/>
    <w:rsid w:val="000D08A6"/>
    <w:rsid w:val="000D1762"/>
    <w:rsid w:val="000D196B"/>
    <w:rsid w:val="000D1BB6"/>
    <w:rsid w:val="000D1BCC"/>
    <w:rsid w:val="000D2282"/>
    <w:rsid w:val="000D2449"/>
    <w:rsid w:val="000D2640"/>
    <w:rsid w:val="000D281F"/>
    <w:rsid w:val="000D3287"/>
    <w:rsid w:val="000D4080"/>
    <w:rsid w:val="000D44F1"/>
    <w:rsid w:val="000D49C3"/>
    <w:rsid w:val="000D4A64"/>
    <w:rsid w:val="000D50CB"/>
    <w:rsid w:val="000D5639"/>
    <w:rsid w:val="000D6CDB"/>
    <w:rsid w:val="000D6D6B"/>
    <w:rsid w:val="000D7C62"/>
    <w:rsid w:val="000D7D82"/>
    <w:rsid w:val="000D7F4C"/>
    <w:rsid w:val="000D7F52"/>
    <w:rsid w:val="000E02AB"/>
    <w:rsid w:val="000E0395"/>
    <w:rsid w:val="000E05F4"/>
    <w:rsid w:val="000E18CD"/>
    <w:rsid w:val="000E1EA2"/>
    <w:rsid w:val="000E310C"/>
    <w:rsid w:val="000E32DF"/>
    <w:rsid w:val="000E445F"/>
    <w:rsid w:val="000E49C1"/>
    <w:rsid w:val="000E5C6D"/>
    <w:rsid w:val="000E6191"/>
    <w:rsid w:val="000E629A"/>
    <w:rsid w:val="000E6C0A"/>
    <w:rsid w:val="000E718C"/>
    <w:rsid w:val="000E72AA"/>
    <w:rsid w:val="000F0851"/>
    <w:rsid w:val="000F08AF"/>
    <w:rsid w:val="000F2133"/>
    <w:rsid w:val="000F2196"/>
    <w:rsid w:val="000F35A4"/>
    <w:rsid w:val="000F4A95"/>
    <w:rsid w:val="000F500B"/>
    <w:rsid w:val="000F753C"/>
    <w:rsid w:val="000F7E29"/>
    <w:rsid w:val="001001CD"/>
    <w:rsid w:val="00100269"/>
    <w:rsid w:val="00101931"/>
    <w:rsid w:val="001020BE"/>
    <w:rsid w:val="0010291F"/>
    <w:rsid w:val="00102F21"/>
    <w:rsid w:val="00103114"/>
    <w:rsid w:val="00103381"/>
    <w:rsid w:val="00103B84"/>
    <w:rsid w:val="00104144"/>
    <w:rsid w:val="0010455F"/>
    <w:rsid w:val="00104A2E"/>
    <w:rsid w:val="00105490"/>
    <w:rsid w:val="00105889"/>
    <w:rsid w:val="00105B24"/>
    <w:rsid w:val="00105D82"/>
    <w:rsid w:val="00105FE5"/>
    <w:rsid w:val="001060DA"/>
    <w:rsid w:val="00106DEC"/>
    <w:rsid w:val="00107E26"/>
    <w:rsid w:val="001103AC"/>
    <w:rsid w:val="00110CB8"/>
    <w:rsid w:val="00111314"/>
    <w:rsid w:val="00111909"/>
    <w:rsid w:val="00112ABB"/>
    <w:rsid w:val="00112DFE"/>
    <w:rsid w:val="0011301F"/>
    <w:rsid w:val="00113028"/>
    <w:rsid w:val="00113829"/>
    <w:rsid w:val="00114204"/>
    <w:rsid w:val="001142F3"/>
    <w:rsid w:val="001145AF"/>
    <w:rsid w:val="00114C21"/>
    <w:rsid w:val="0011607B"/>
    <w:rsid w:val="00116C8A"/>
    <w:rsid w:val="0011745E"/>
    <w:rsid w:val="001177D4"/>
    <w:rsid w:val="00117D57"/>
    <w:rsid w:val="0012002D"/>
    <w:rsid w:val="001201B0"/>
    <w:rsid w:val="00120A2B"/>
    <w:rsid w:val="00120E5B"/>
    <w:rsid w:val="00121286"/>
    <w:rsid w:val="00121712"/>
    <w:rsid w:val="00121A3B"/>
    <w:rsid w:val="00121B0F"/>
    <w:rsid w:val="001220F6"/>
    <w:rsid w:val="00122A41"/>
    <w:rsid w:val="00124DAC"/>
    <w:rsid w:val="00125C5F"/>
    <w:rsid w:val="0012662A"/>
    <w:rsid w:val="00127206"/>
    <w:rsid w:val="0012745F"/>
    <w:rsid w:val="00127D51"/>
    <w:rsid w:val="00127DED"/>
    <w:rsid w:val="00130452"/>
    <w:rsid w:val="00130AC3"/>
    <w:rsid w:val="001317B5"/>
    <w:rsid w:val="00131A53"/>
    <w:rsid w:val="00131AF6"/>
    <w:rsid w:val="00131DA1"/>
    <w:rsid w:val="001322DE"/>
    <w:rsid w:val="00132C0D"/>
    <w:rsid w:val="00133441"/>
    <w:rsid w:val="001338B5"/>
    <w:rsid w:val="00133F47"/>
    <w:rsid w:val="001346C0"/>
    <w:rsid w:val="0013485B"/>
    <w:rsid w:val="00134AD0"/>
    <w:rsid w:val="00135221"/>
    <w:rsid w:val="0013597E"/>
    <w:rsid w:val="00136379"/>
    <w:rsid w:val="001369FC"/>
    <w:rsid w:val="00137301"/>
    <w:rsid w:val="0013738B"/>
    <w:rsid w:val="00137F7F"/>
    <w:rsid w:val="00140A0D"/>
    <w:rsid w:val="00140C12"/>
    <w:rsid w:val="00140F63"/>
    <w:rsid w:val="001417B5"/>
    <w:rsid w:val="00142231"/>
    <w:rsid w:val="001428B5"/>
    <w:rsid w:val="00142BA6"/>
    <w:rsid w:val="0014375E"/>
    <w:rsid w:val="001438B8"/>
    <w:rsid w:val="001439C3"/>
    <w:rsid w:val="00143C44"/>
    <w:rsid w:val="00143D02"/>
    <w:rsid w:val="00143D17"/>
    <w:rsid w:val="00143F33"/>
    <w:rsid w:val="00145F25"/>
    <w:rsid w:val="0014735A"/>
    <w:rsid w:val="001509E6"/>
    <w:rsid w:val="00150A56"/>
    <w:rsid w:val="00150B3B"/>
    <w:rsid w:val="00150EB3"/>
    <w:rsid w:val="0015116E"/>
    <w:rsid w:val="00152163"/>
    <w:rsid w:val="00152219"/>
    <w:rsid w:val="00152AB7"/>
    <w:rsid w:val="00152CCA"/>
    <w:rsid w:val="00154210"/>
    <w:rsid w:val="00154425"/>
    <w:rsid w:val="00154536"/>
    <w:rsid w:val="0015503B"/>
    <w:rsid w:val="00155298"/>
    <w:rsid w:val="00155721"/>
    <w:rsid w:val="00155852"/>
    <w:rsid w:val="001562BA"/>
    <w:rsid w:val="00156AC5"/>
    <w:rsid w:val="00157720"/>
    <w:rsid w:val="00157828"/>
    <w:rsid w:val="00157A6F"/>
    <w:rsid w:val="00157B31"/>
    <w:rsid w:val="00157DDD"/>
    <w:rsid w:val="00160692"/>
    <w:rsid w:val="001609D0"/>
    <w:rsid w:val="00160A20"/>
    <w:rsid w:val="001637D5"/>
    <w:rsid w:val="00163C30"/>
    <w:rsid w:val="00163FD7"/>
    <w:rsid w:val="00164416"/>
    <w:rsid w:val="00164A3E"/>
    <w:rsid w:val="001657A3"/>
    <w:rsid w:val="00166186"/>
    <w:rsid w:val="001666B6"/>
    <w:rsid w:val="00166824"/>
    <w:rsid w:val="00166E6F"/>
    <w:rsid w:val="00166E81"/>
    <w:rsid w:val="001671F7"/>
    <w:rsid w:val="0016765E"/>
    <w:rsid w:val="00167D1A"/>
    <w:rsid w:val="00170D34"/>
    <w:rsid w:val="001713E6"/>
    <w:rsid w:val="00171C5A"/>
    <w:rsid w:val="0017354A"/>
    <w:rsid w:val="00173DDF"/>
    <w:rsid w:val="0017445E"/>
    <w:rsid w:val="00174611"/>
    <w:rsid w:val="0017496E"/>
    <w:rsid w:val="0017500D"/>
    <w:rsid w:val="0017559B"/>
    <w:rsid w:val="001757A4"/>
    <w:rsid w:val="00175879"/>
    <w:rsid w:val="0017604D"/>
    <w:rsid w:val="00177D25"/>
    <w:rsid w:val="00180E59"/>
    <w:rsid w:val="00181585"/>
    <w:rsid w:val="001819C2"/>
    <w:rsid w:val="00182123"/>
    <w:rsid w:val="00182989"/>
    <w:rsid w:val="00183623"/>
    <w:rsid w:val="00184162"/>
    <w:rsid w:val="00184AE4"/>
    <w:rsid w:val="0018576A"/>
    <w:rsid w:val="00185B65"/>
    <w:rsid w:val="00186016"/>
    <w:rsid w:val="00186321"/>
    <w:rsid w:val="00186349"/>
    <w:rsid w:val="00186D50"/>
    <w:rsid w:val="00190422"/>
    <w:rsid w:val="00190B8C"/>
    <w:rsid w:val="0019122B"/>
    <w:rsid w:val="00191900"/>
    <w:rsid w:val="00191F48"/>
    <w:rsid w:val="0019220A"/>
    <w:rsid w:val="00192E61"/>
    <w:rsid w:val="00192F83"/>
    <w:rsid w:val="00193052"/>
    <w:rsid w:val="00193201"/>
    <w:rsid w:val="001937F0"/>
    <w:rsid w:val="00195055"/>
    <w:rsid w:val="00195B18"/>
    <w:rsid w:val="00196A20"/>
    <w:rsid w:val="00196AAD"/>
    <w:rsid w:val="00196D13"/>
    <w:rsid w:val="00196D18"/>
    <w:rsid w:val="00197240"/>
    <w:rsid w:val="0019782A"/>
    <w:rsid w:val="00197B53"/>
    <w:rsid w:val="001A1774"/>
    <w:rsid w:val="001A19E7"/>
    <w:rsid w:val="001A1AC0"/>
    <w:rsid w:val="001A1D82"/>
    <w:rsid w:val="001A21F1"/>
    <w:rsid w:val="001A3216"/>
    <w:rsid w:val="001A33C3"/>
    <w:rsid w:val="001A35F4"/>
    <w:rsid w:val="001A3A26"/>
    <w:rsid w:val="001A4D07"/>
    <w:rsid w:val="001A561B"/>
    <w:rsid w:val="001A58C2"/>
    <w:rsid w:val="001A5965"/>
    <w:rsid w:val="001A5C46"/>
    <w:rsid w:val="001A6307"/>
    <w:rsid w:val="001A649E"/>
    <w:rsid w:val="001B0037"/>
    <w:rsid w:val="001B02DD"/>
    <w:rsid w:val="001B072E"/>
    <w:rsid w:val="001B0AEE"/>
    <w:rsid w:val="001B1911"/>
    <w:rsid w:val="001B1D5C"/>
    <w:rsid w:val="001B20DA"/>
    <w:rsid w:val="001B2156"/>
    <w:rsid w:val="001B25EB"/>
    <w:rsid w:val="001B2B4F"/>
    <w:rsid w:val="001B3188"/>
    <w:rsid w:val="001B32E2"/>
    <w:rsid w:val="001B387B"/>
    <w:rsid w:val="001B46F7"/>
    <w:rsid w:val="001B4E00"/>
    <w:rsid w:val="001B6231"/>
    <w:rsid w:val="001B68C9"/>
    <w:rsid w:val="001B72AE"/>
    <w:rsid w:val="001B779D"/>
    <w:rsid w:val="001C0068"/>
    <w:rsid w:val="001C0705"/>
    <w:rsid w:val="001C0A3F"/>
    <w:rsid w:val="001C0C2D"/>
    <w:rsid w:val="001C1468"/>
    <w:rsid w:val="001C279F"/>
    <w:rsid w:val="001C3046"/>
    <w:rsid w:val="001C3FAC"/>
    <w:rsid w:val="001C4AB6"/>
    <w:rsid w:val="001C4AF9"/>
    <w:rsid w:val="001C4E44"/>
    <w:rsid w:val="001C5552"/>
    <w:rsid w:val="001C5A3A"/>
    <w:rsid w:val="001C6567"/>
    <w:rsid w:val="001C675B"/>
    <w:rsid w:val="001C6928"/>
    <w:rsid w:val="001C6E61"/>
    <w:rsid w:val="001C6E7E"/>
    <w:rsid w:val="001C7498"/>
    <w:rsid w:val="001C7CCC"/>
    <w:rsid w:val="001C7F5A"/>
    <w:rsid w:val="001D01ED"/>
    <w:rsid w:val="001D020B"/>
    <w:rsid w:val="001D0A5E"/>
    <w:rsid w:val="001D11EA"/>
    <w:rsid w:val="001D1C25"/>
    <w:rsid w:val="001D1C79"/>
    <w:rsid w:val="001D27DD"/>
    <w:rsid w:val="001D2CDF"/>
    <w:rsid w:val="001D2F06"/>
    <w:rsid w:val="001D3482"/>
    <w:rsid w:val="001D3E75"/>
    <w:rsid w:val="001D3E7A"/>
    <w:rsid w:val="001D47F4"/>
    <w:rsid w:val="001D5012"/>
    <w:rsid w:val="001D52E7"/>
    <w:rsid w:val="001D57E4"/>
    <w:rsid w:val="001D5B86"/>
    <w:rsid w:val="001D5C54"/>
    <w:rsid w:val="001D5F8C"/>
    <w:rsid w:val="001D7630"/>
    <w:rsid w:val="001D78DB"/>
    <w:rsid w:val="001D7B0E"/>
    <w:rsid w:val="001E00C4"/>
    <w:rsid w:val="001E0D9A"/>
    <w:rsid w:val="001E12D3"/>
    <w:rsid w:val="001E164B"/>
    <w:rsid w:val="001E1B5C"/>
    <w:rsid w:val="001E1E7F"/>
    <w:rsid w:val="001E1FD3"/>
    <w:rsid w:val="001E1FF4"/>
    <w:rsid w:val="001E22E0"/>
    <w:rsid w:val="001E2495"/>
    <w:rsid w:val="001E2925"/>
    <w:rsid w:val="001E2BA8"/>
    <w:rsid w:val="001E2E28"/>
    <w:rsid w:val="001E3434"/>
    <w:rsid w:val="001E3AE2"/>
    <w:rsid w:val="001E4342"/>
    <w:rsid w:val="001E5E03"/>
    <w:rsid w:val="001E6B2B"/>
    <w:rsid w:val="001E6CAC"/>
    <w:rsid w:val="001E73F5"/>
    <w:rsid w:val="001E7B40"/>
    <w:rsid w:val="001F1202"/>
    <w:rsid w:val="001F1437"/>
    <w:rsid w:val="001F27B5"/>
    <w:rsid w:val="001F28A9"/>
    <w:rsid w:val="001F2C06"/>
    <w:rsid w:val="001F314B"/>
    <w:rsid w:val="001F337B"/>
    <w:rsid w:val="001F42FA"/>
    <w:rsid w:val="001F535C"/>
    <w:rsid w:val="001F5625"/>
    <w:rsid w:val="001F5B2A"/>
    <w:rsid w:val="001F5E43"/>
    <w:rsid w:val="001F612B"/>
    <w:rsid w:val="001F63AA"/>
    <w:rsid w:val="001F644A"/>
    <w:rsid w:val="001F6524"/>
    <w:rsid w:val="001F6631"/>
    <w:rsid w:val="001F6E11"/>
    <w:rsid w:val="001F7A96"/>
    <w:rsid w:val="001F7C99"/>
    <w:rsid w:val="00200511"/>
    <w:rsid w:val="00201D2C"/>
    <w:rsid w:val="00202325"/>
    <w:rsid w:val="002025EE"/>
    <w:rsid w:val="002032F5"/>
    <w:rsid w:val="00203B73"/>
    <w:rsid w:val="00204248"/>
    <w:rsid w:val="00204F56"/>
    <w:rsid w:val="002050B5"/>
    <w:rsid w:val="00205BA1"/>
    <w:rsid w:val="00205D32"/>
    <w:rsid w:val="002069F6"/>
    <w:rsid w:val="00207146"/>
    <w:rsid w:val="002073F6"/>
    <w:rsid w:val="00207D52"/>
    <w:rsid w:val="0021028A"/>
    <w:rsid w:val="0021101A"/>
    <w:rsid w:val="00211A2D"/>
    <w:rsid w:val="00212313"/>
    <w:rsid w:val="00213074"/>
    <w:rsid w:val="00213242"/>
    <w:rsid w:val="002135F9"/>
    <w:rsid w:val="002139E6"/>
    <w:rsid w:val="002139F9"/>
    <w:rsid w:val="00213F38"/>
    <w:rsid w:val="00214234"/>
    <w:rsid w:val="00214334"/>
    <w:rsid w:val="002153FD"/>
    <w:rsid w:val="00215734"/>
    <w:rsid w:val="00215A81"/>
    <w:rsid w:val="0021668D"/>
    <w:rsid w:val="002167B5"/>
    <w:rsid w:val="002169C2"/>
    <w:rsid w:val="00216CF3"/>
    <w:rsid w:val="00217061"/>
    <w:rsid w:val="00217581"/>
    <w:rsid w:val="00217F56"/>
    <w:rsid w:val="00220274"/>
    <w:rsid w:val="00220AD2"/>
    <w:rsid w:val="00221404"/>
    <w:rsid w:val="00222D4D"/>
    <w:rsid w:val="00223318"/>
    <w:rsid w:val="00223DDD"/>
    <w:rsid w:val="002242CA"/>
    <w:rsid w:val="0022480C"/>
    <w:rsid w:val="00225CA7"/>
    <w:rsid w:val="00225DD9"/>
    <w:rsid w:val="00225E78"/>
    <w:rsid w:val="00225F74"/>
    <w:rsid w:val="00226C14"/>
    <w:rsid w:val="002271B9"/>
    <w:rsid w:val="0022739C"/>
    <w:rsid w:val="00227AE4"/>
    <w:rsid w:val="00230014"/>
    <w:rsid w:val="002300F2"/>
    <w:rsid w:val="002309F6"/>
    <w:rsid w:val="00231496"/>
    <w:rsid w:val="00231C02"/>
    <w:rsid w:val="00231EFE"/>
    <w:rsid w:val="00231F64"/>
    <w:rsid w:val="002332A9"/>
    <w:rsid w:val="00233587"/>
    <w:rsid w:val="00233604"/>
    <w:rsid w:val="00233819"/>
    <w:rsid w:val="0023385C"/>
    <w:rsid w:val="0023526E"/>
    <w:rsid w:val="00235F32"/>
    <w:rsid w:val="002365AE"/>
    <w:rsid w:val="00236629"/>
    <w:rsid w:val="002372FD"/>
    <w:rsid w:val="002375E3"/>
    <w:rsid w:val="00237651"/>
    <w:rsid w:val="00240E78"/>
    <w:rsid w:val="002414E2"/>
    <w:rsid w:val="00241920"/>
    <w:rsid w:val="002422FF"/>
    <w:rsid w:val="0024243E"/>
    <w:rsid w:val="002432A1"/>
    <w:rsid w:val="002434C6"/>
    <w:rsid w:val="00243B89"/>
    <w:rsid w:val="00243D23"/>
    <w:rsid w:val="00244A21"/>
    <w:rsid w:val="0024504C"/>
    <w:rsid w:val="002456B6"/>
    <w:rsid w:val="002458D8"/>
    <w:rsid w:val="002468FE"/>
    <w:rsid w:val="00246942"/>
    <w:rsid w:val="00247A66"/>
    <w:rsid w:val="00251017"/>
    <w:rsid w:val="0025153B"/>
    <w:rsid w:val="00251639"/>
    <w:rsid w:val="00251EE6"/>
    <w:rsid w:val="00252094"/>
    <w:rsid w:val="00252214"/>
    <w:rsid w:val="002530A8"/>
    <w:rsid w:val="00253704"/>
    <w:rsid w:val="002539DB"/>
    <w:rsid w:val="00253BD2"/>
    <w:rsid w:val="00253D51"/>
    <w:rsid w:val="00253EA0"/>
    <w:rsid w:val="00253FBA"/>
    <w:rsid w:val="0025464D"/>
    <w:rsid w:val="00254BBF"/>
    <w:rsid w:val="00254D65"/>
    <w:rsid w:val="002551D0"/>
    <w:rsid w:val="002555A2"/>
    <w:rsid w:val="0025590E"/>
    <w:rsid w:val="00255CB9"/>
    <w:rsid w:val="00255CC0"/>
    <w:rsid w:val="002571CE"/>
    <w:rsid w:val="002574EB"/>
    <w:rsid w:val="00257678"/>
    <w:rsid w:val="00257BD5"/>
    <w:rsid w:val="002600BD"/>
    <w:rsid w:val="00260781"/>
    <w:rsid w:val="00261505"/>
    <w:rsid w:val="002616E1"/>
    <w:rsid w:val="002622E6"/>
    <w:rsid w:val="0026237B"/>
    <w:rsid w:val="00263B64"/>
    <w:rsid w:val="00263BB9"/>
    <w:rsid w:val="0026414A"/>
    <w:rsid w:val="002666A6"/>
    <w:rsid w:val="00267248"/>
    <w:rsid w:val="002673AB"/>
    <w:rsid w:val="00267696"/>
    <w:rsid w:val="002679D7"/>
    <w:rsid w:val="0027042C"/>
    <w:rsid w:val="0027092D"/>
    <w:rsid w:val="00270990"/>
    <w:rsid w:val="00270A50"/>
    <w:rsid w:val="00271B3C"/>
    <w:rsid w:val="00271BA6"/>
    <w:rsid w:val="002727D8"/>
    <w:rsid w:val="00272903"/>
    <w:rsid w:val="00272A13"/>
    <w:rsid w:val="00273399"/>
    <w:rsid w:val="00273520"/>
    <w:rsid w:val="00273643"/>
    <w:rsid w:val="00273880"/>
    <w:rsid w:val="00273BF6"/>
    <w:rsid w:val="00273F5C"/>
    <w:rsid w:val="00275D87"/>
    <w:rsid w:val="00276C35"/>
    <w:rsid w:val="00276C6D"/>
    <w:rsid w:val="002772F2"/>
    <w:rsid w:val="0027734B"/>
    <w:rsid w:val="002778EC"/>
    <w:rsid w:val="00277EA0"/>
    <w:rsid w:val="0028018D"/>
    <w:rsid w:val="00280362"/>
    <w:rsid w:val="00280707"/>
    <w:rsid w:val="002811EB"/>
    <w:rsid w:val="00281210"/>
    <w:rsid w:val="00281477"/>
    <w:rsid w:val="00282BA2"/>
    <w:rsid w:val="00283475"/>
    <w:rsid w:val="00283963"/>
    <w:rsid w:val="00283D02"/>
    <w:rsid w:val="00283FDF"/>
    <w:rsid w:val="0028560B"/>
    <w:rsid w:val="00285683"/>
    <w:rsid w:val="00285AF9"/>
    <w:rsid w:val="00285F09"/>
    <w:rsid w:val="00286F3A"/>
    <w:rsid w:val="002874B0"/>
    <w:rsid w:val="00287923"/>
    <w:rsid w:val="00290BDE"/>
    <w:rsid w:val="00291049"/>
    <w:rsid w:val="00292060"/>
    <w:rsid w:val="002925F9"/>
    <w:rsid w:val="00292640"/>
    <w:rsid w:val="002932A5"/>
    <w:rsid w:val="00293345"/>
    <w:rsid w:val="0029352F"/>
    <w:rsid w:val="00293561"/>
    <w:rsid w:val="002942ED"/>
    <w:rsid w:val="00294EE5"/>
    <w:rsid w:val="00295042"/>
    <w:rsid w:val="0029578C"/>
    <w:rsid w:val="00295E5A"/>
    <w:rsid w:val="00296DFE"/>
    <w:rsid w:val="00296F0D"/>
    <w:rsid w:val="002973DB"/>
    <w:rsid w:val="00297E37"/>
    <w:rsid w:val="00297E4B"/>
    <w:rsid w:val="00297E7D"/>
    <w:rsid w:val="002A0026"/>
    <w:rsid w:val="002A065F"/>
    <w:rsid w:val="002A0860"/>
    <w:rsid w:val="002A0CC8"/>
    <w:rsid w:val="002A0D14"/>
    <w:rsid w:val="002A12B3"/>
    <w:rsid w:val="002A1C7C"/>
    <w:rsid w:val="002A26D6"/>
    <w:rsid w:val="002A29D4"/>
    <w:rsid w:val="002A2CE2"/>
    <w:rsid w:val="002A313A"/>
    <w:rsid w:val="002A44FB"/>
    <w:rsid w:val="002A55FE"/>
    <w:rsid w:val="002A5626"/>
    <w:rsid w:val="002A63E6"/>
    <w:rsid w:val="002A6795"/>
    <w:rsid w:val="002A67CE"/>
    <w:rsid w:val="002A68F5"/>
    <w:rsid w:val="002A72E5"/>
    <w:rsid w:val="002A789B"/>
    <w:rsid w:val="002A7A45"/>
    <w:rsid w:val="002A7ACE"/>
    <w:rsid w:val="002B065E"/>
    <w:rsid w:val="002B0A31"/>
    <w:rsid w:val="002B0E10"/>
    <w:rsid w:val="002B163B"/>
    <w:rsid w:val="002B2727"/>
    <w:rsid w:val="002B30A1"/>
    <w:rsid w:val="002B3370"/>
    <w:rsid w:val="002B339B"/>
    <w:rsid w:val="002B345F"/>
    <w:rsid w:val="002B376C"/>
    <w:rsid w:val="002B3BAB"/>
    <w:rsid w:val="002B3E38"/>
    <w:rsid w:val="002B44F6"/>
    <w:rsid w:val="002B45A7"/>
    <w:rsid w:val="002B5086"/>
    <w:rsid w:val="002B51AC"/>
    <w:rsid w:val="002B5431"/>
    <w:rsid w:val="002B5460"/>
    <w:rsid w:val="002B565D"/>
    <w:rsid w:val="002B5681"/>
    <w:rsid w:val="002B5A94"/>
    <w:rsid w:val="002B6328"/>
    <w:rsid w:val="002B70A5"/>
    <w:rsid w:val="002B775B"/>
    <w:rsid w:val="002B7BC1"/>
    <w:rsid w:val="002B7F52"/>
    <w:rsid w:val="002C017D"/>
    <w:rsid w:val="002C034E"/>
    <w:rsid w:val="002C0BCC"/>
    <w:rsid w:val="002C0EDE"/>
    <w:rsid w:val="002C1A24"/>
    <w:rsid w:val="002C1DD4"/>
    <w:rsid w:val="002C2013"/>
    <w:rsid w:val="002C243B"/>
    <w:rsid w:val="002C2456"/>
    <w:rsid w:val="002C27D1"/>
    <w:rsid w:val="002C2E48"/>
    <w:rsid w:val="002C3188"/>
    <w:rsid w:val="002C3A13"/>
    <w:rsid w:val="002C3E77"/>
    <w:rsid w:val="002C4B5E"/>
    <w:rsid w:val="002C54C4"/>
    <w:rsid w:val="002C5C50"/>
    <w:rsid w:val="002C5E67"/>
    <w:rsid w:val="002C6D54"/>
    <w:rsid w:val="002C799F"/>
    <w:rsid w:val="002C7A2D"/>
    <w:rsid w:val="002C7ACF"/>
    <w:rsid w:val="002C7CC5"/>
    <w:rsid w:val="002D01AC"/>
    <w:rsid w:val="002D055C"/>
    <w:rsid w:val="002D05D0"/>
    <w:rsid w:val="002D14A0"/>
    <w:rsid w:val="002D159E"/>
    <w:rsid w:val="002D1873"/>
    <w:rsid w:val="002D1D7A"/>
    <w:rsid w:val="002D24DE"/>
    <w:rsid w:val="002D336B"/>
    <w:rsid w:val="002D35E7"/>
    <w:rsid w:val="002D3BB7"/>
    <w:rsid w:val="002D3EBF"/>
    <w:rsid w:val="002D45AD"/>
    <w:rsid w:val="002D4DA7"/>
    <w:rsid w:val="002D5AF0"/>
    <w:rsid w:val="002D5C53"/>
    <w:rsid w:val="002D5CD5"/>
    <w:rsid w:val="002D5DA2"/>
    <w:rsid w:val="002D662D"/>
    <w:rsid w:val="002D6903"/>
    <w:rsid w:val="002D6CEF"/>
    <w:rsid w:val="002D77CA"/>
    <w:rsid w:val="002D7902"/>
    <w:rsid w:val="002E0196"/>
    <w:rsid w:val="002E055F"/>
    <w:rsid w:val="002E1312"/>
    <w:rsid w:val="002E1BFA"/>
    <w:rsid w:val="002E25EF"/>
    <w:rsid w:val="002E2677"/>
    <w:rsid w:val="002E2BB2"/>
    <w:rsid w:val="002E35FE"/>
    <w:rsid w:val="002E3763"/>
    <w:rsid w:val="002E3D83"/>
    <w:rsid w:val="002E4694"/>
    <w:rsid w:val="002E4911"/>
    <w:rsid w:val="002E4967"/>
    <w:rsid w:val="002E543E"/>
    <w:rsid w:val="002E5720"/>
    <w:rsid w:val="002E5DD2"/>
    <w:rsid w:val="002E610F"/>
    <w:rsid w:val="002E6276"/>
    <w:rsid w:val="002E6326"/>
    <w:rsid w:val="002E6793"/>
    <w:rsid w:val="002E6ADB"/>
    <w:rsid w:val="002E6D02"/>
    <w:rsid w:val="002E70E0"/>
    <w:rsid w:val="002E7381"/>
    <w:rsid w:val="002E7879"/>
    <w:rsid w:val="002E7ABC"/>
    <w:rsid w:val="002E7BE9"/>
    <w:rsid w:val="002F001D"/>
    <w:rsid w:val="002F03FE"/>
    <w:rsid w:val="002F14D3"/>
    <w:rsid w:val="002F2150"/>
    <w:rsid w:val="002F2480"/>
    <w:rsid w:val="002F3CA4"/>
    <w:rsid w:val="002F3DB4"/>
    <w:rsid w:val="002F4A33"/>
    <w:rsid w:val="002F4FA9"/>
    <w:rsid w:val="002F50CA"/>
    <w:rsid w:val="002F5AB0"/>
    <w:rsid w:val="002F5B43"/>
    <w:rsid w:val="002F6023"/>
    <w:rsid w:val="002F60B1"/>
    <w:rsid w:val="002F625D"/>
    <w:rsid w:val="002F625F"/>
    <w:rsid w:val="002F6452"/>
    <w:rsid w:val="002F64A8"/>
    <w:rsid w:val="002F7838"/>
    <w:rsid w:val="002F7C1E"/>
    <w:rsid w:val="0030037C"/>
    <w:rsid w:val="003003D9"/>
    <w:rsid w:val="00300E7A"/>
    <w:rsid w:val="0030174D"/>
    <w:rsid w:val="00301CFD"/>
    <w:rsid w:val="00302246"/>
    <w:rsid w:val="003023B0"/>
    <w:rsid w:val="00302A29"/>
    <w:rsid w:val="00303AF4"/>
    <w:rsid w:val="003040F0"/>
    <w:rsid w:val="0030497F"/>
    <w:rsid w:val="00304F7F"/>
    <w:rsid w:val="00305335"/>
    <w:rsid w:val="00305D19"/>
    <w:rsid w:val="0030685D"/>
    <w:rsid w:val="003069A7"/>
    <w:rsid w:val="00310033"/>
    <w:rsid w:val="00310BA9"/>
    <w:rsid w:val="00310FB3"/>
    <w:rsid w:val="00312041"/>
    <w:rsid w:val="003122EB"/>
    <w:rsid w:val="003124C9"/>
    <w:rsid w:val="003128BF"/>
    <w:rsid w:val="0031325F"/>
    <w:rsid w:val="0031335A"/>
    <w:rsid w:val="003146AF"/>
    <w:rsid w:val="00314959"/>
    <w:rsid w:val="003151AE"/>
    <w:rsid w:val="00315BD7"/>
    <w:rsid w:val="00315F6D"/>
    <w:rsid w:val="00315FF7"/>
    <w:rsid w:val="0031656D"/>
    <w:rsid w:val="003168B8"/>
    <w:rsid w:val="00317028"/>
    <w:rsid w:val="003174B0"/>
    <w:rsid w:val="003179B2"/>
    <w:rsid w:val="00317BCB"/>
    <w:rsid w:val="0032038B"/>
    <w:rsid w:val="00320E81"/>
    <w:rsid w:val="0032146B"/>
    <w:rsid w:val="0032192D"/>
    <w:rsid w:val="00322284"/>
    <w:rsid w:val="0032231F"/>
    <w:rsid w:val="00322969"/>
    <w:rsid w:val="003232BA"/>
    <w:rsid w:val="0032331C"/>
    <w:rsid w:val="00323414"/>
    <w:rsid w:val="003239A2"/>
    <w:rsid w:val="00323A7F"/>
    <w:rsid w:val="00324006"/>
    <w:rsid w:val="00324283"/>
    <w:rsid w:val="00324A80"/>
    <w:rsid w:val="00324C62"/>
    <w:rsid w:val="00324FAB"/>
    <w:rsid w:val="003258D0"/>
    <w:rsid w:val="003258D5"/>
    <w:rsid w:val="003266FC"/>
    <w:rsid w:val="00326BD8"/>
    <w:rsid w:val="00326F06"/>
    <w:rsid w:val="00327A17"/>
    <w:rsid w:val="00327B42"/>
    <w:rsid w:val="0033001C"/>
    <w:rsid w:val="00330791"/>
    <w:rsid w:val="00330F88"/>
    <w:rsid w:val="003310F0"/>
    <w:rsid w:val="003313C5"/>
    <w:rsid w:val="003316BE"/>
    <w:rsid w:val="00331D11"/>
    <w:rsid w:val="00331D23"/>
    <w:rsid w:val="00331E70"/>
    <w:rsid w:val="003320BA"/>
    <w:rsid w:val="00332767"/>
    <w:rsid w:val="00333019"/>
    <w:rsid w:val="00334297"/>
    <w:rsid w:val="003346D5"/>
    <w:rsid w:val="00334F07"/>
    <w:rsid w:val="00334F3E"/>
    <w:rsid w:val="003357BB"/>
    <w:rsid w:val="00337B45"/>
    <w:rsid w:val="00337C2E"/>
    <w:rsid w:val="00337C7A"/>
    <w:rsid w:val="00340206"/>
    <w:rsid w:val="00340E9C"/>
    <w:rsid w:val="00341118"/>
    <w:rsid w:val="00341A5E"/>
    <w:rsid w:val="00341AEE"/>
    <w:rsid w:val="00341DA8"/>
    <w:rsid w:val="0034224F"/>
    <w:rsid w:val="00342504"/>
    <w:rsid w:val="003429DC"/>
    <w:rsid w:val="0034305E"/>
    <w:rsid w:val="00343456"/>
    <w:rsid w:val="0034371E"/>
    <w:rsid w:val="0034492E"/>
    <w:rsid w:val="00344EB7"/>
    <w:rsid w:val="00345AE3"/>
    <w:rsid w:val="00345B35"/>
    <w:rsid w:val="00345DA2"/>
    <w:rsid w:val="00345F38"/>
    <w:rsid w:val="00346A90"/>
    <w:rsid w:val="003472D2"/>
    <w:rsid w:val="00350566"/>
    <w:rsid w:val="00350C25"/>
    <w:rsid w:val="003513C5"/>
    <w:rsid w:val="0035148A"/>
    <w:rsid w:val="00351D2B"/>
    <w:rsid w:val="00351D50"/>
    <w:rsid w:val="00351D94"/>
    <w:rsid w:val="003520EF"/>
    <w:rsid w:val="00352AB9"/>
    <w:rsid w:val="00352FC8"/>
    <w:rsid w:val="00353292"/>
    <w:rsid w:val="00354B0C"/>
    <w:rsid w:val="00355674"/>
    <w:rsid w:val="003556E6"/>
    <w:rsid w:val="00356069"/>
    <w:rsid w:val="003560C7"/>
    <w:rsid w:val="0035685C"/>
    <w:rsid w:val="00356CD5"/>
    <w:rsid w:val="00356F3E"/>
    <w:rsid w:val="0036056A"/>
    <w:rsid w:val="003615D6"/>
    <w:rsid w:val="00361A08"/>
    <w:rsid w:val="00361C82"/>
    <w:rsid w:val="0036266D"/>
    <w:rsid w:val="00362874"/>
    <w:rsid w:val="00362F2D"/>
    <w:rsid w:val="00364051"/>
    <w:rsid w:val="00364256"/>
    <w:rsid w:val="003647FC"/>
    <w:rsid w:val="0036508F"/>
    <w:rsid w:val="00365997"/>
    <w:rsid w:val="00365BDB"/>
    <w:rsid w:val="00365F78"/>
    <w:rsid w:val="00365FCF"/>
    <w:rsid w:val="003677D3"/>
    <w:rsid w:val="00367C62"/>
    <w:rsid w:val="00367FAE"/>
    <w:rsid w:val="00370460"/>
    <w:rsid w:val="003708FF"/>
    <w:rsid w:val="00370FA2"/>
    <w:rsid w:val="003711FA"/>
    <w:rsid w:val="00371E3F"/>
    <w:rsid w:val="0037311C"/>
    <w:rsid w:val="00373771"/>
    <w:rsid w:val="00373A33"/>
    <w:rsid w:val="00373D63"/>
    <w:rsid w:val="00373E4B"/>
    <w:rsid w:val="0037526E"/>
    <w:rsid w:val="00375442"/>
    <w:rsid w:val="00375BA3"/>
    <w:rsid w:val="00376425"/>
    <w:rsid w:val="0037649B"/>
    <w:rsid w:val="00376559"/>
    <w:rsid w:val="00376652"/>
    <w:rsid w:val="003768AA"/>
    <w:rsid w:val="00377112"/>
    <w:rsid w:val="003800EE"/>
    <w:rsid w:val="003800FC"/>
    <w:rsid w:val="00380A37"/>
    <w:rsid w:val="00380E9F"/>
    <w:rsid w:val="0038120F"/>
    <w:rsid w:val="00381D88"/>
    <w:rsid w:val="003820DF"/>
    <w:rsid w:val="00382CDF"/>
    <w:rsid w:val="00382E16"/>
    <w:rsid w:val="00383666"/>
    <w:rsid w:val="00384026"/>
    <w:rsid w:val="00384502"/>
    <w:rsid w:val="00384EFA"/>
    <w:rsid w:val="003854E8"/>
    <w:rsid w:val="003864EA"/>
    <w:rsid w:val="003868B3"/>
    <w:rsid w:val="00386EDC"/>
    <w:rsid w:val="00387DEE"/>
    <w:rsid w:val="0039055D"/>
    <w:rsid w:val="00390899"/>
    <w:rsid w:val="003908AB"/>
    <w:rsid w:val="00391C8E"/>
    <w:rsid w:val="00392316"/>
    <w:rsid w:val="0039250D"/>
    <w:rsid w:val="0039269F"/>
    <w:rsid w:val="003926AD"/>
    <w:rsid w:val="00393FE9"/>
    <w:rsid w:val="00394123"/>
    <w:rsid w:val="003946A1"/>
    <w:rsid w:val="003948B5"/>
    <w:rsid w:val="003948C2"/>
    <w:rsid w:val="00394E83"/>
    <w:rsid w:val="003953A0"/>
    <w:rsid w:val="00395C34"/>
    <w:rsid w:val="003972DA"/>
    <w:rsid w:val="003972DB"/>
    <w:rsid w:val="003973FE"/>
    <w:rsid w:val="003979B8"/>
    <w:rsid w:val="00397A37"/>
    <w:rsid w:val="00397A43"/>
    <w:rsid w:val="003A009E"/>
    <w:rsid w:val="003A010D"/>
    <w:rsid w:val="003A01B9"/>
    <w:rsid w:val="003A1C21"/>
    <w:rsid w:val="003A204F"/>
    <w:rsid w:val="003A27AE"/>
    <w:rsid w:val="003A2ADA"/>
    <w:rsid w:val="003A37CB"/>
    <w:rsid w:val="003A453F"/>
    <w:rsid w:val="003A48EC"/>
    <w:rsid w:val="003A550F"/>
    <w:rsid w:val="003A557B"/>
    <w:rsid w:val="003A5655"/>
    <w:rsid w:val="003A5FF0"/>
    <w:rsid w:val="003A63C2"/>
    <w:rsid w:val="003A69AB"/>
    <w:rsid w:val="003A7104"/>
    <w:rsid w:val="003A713A"/>
    <w:rsid w:val="003A7497"/>
    <w:rsid w:val="003A76CF"/>
    <w:rsid w:val="003A76E7"/>
    <w:rsid w:val="003A7829"/>
    <w:rsid w:val="003B00D8"/>
    <w:rsid w:val="003B0752"/>
    <w:rsid w:val="003B0B55"/>
    <w:rsid w:val="003B0EB0"/>
    <w:rsid w:val="003B1094"/>
    <w:rsid w:val="003B18FA"/>
    <w:rsid w:val="003B1D46"/>
    <w:rsid w:val="003B1F50"/>
    <w:rsid w:val="003B2BE4"/>
    <w:rsid w:val="003B3E57"/>
    <w:rsid w:val="003B3EA4"/>
    <w:rsid w:val="003B45F1"/>
    <w:rsid w:val="003B4A55"/>
    <w:rsid w:val="003B4AE6"/>
    <w:rsid w:val="003B59CC"/>
    <w:rsid w:val="003B5BD2"/>
    <w:rsid w:val="003B5E38"/>
    <w:rsid w:val="003B5FF3"/>
    <w:rsid w:val="003B612F"/>
    <w:rsid w:val="003B695A"/>
    <w:rsid w:val="003B7A81"/>
    <w:rsid w:val="003C141C"/>
    <w:rsid w:val="003C14D5"/>
    <w:rsid w:val="003C167C"/>
    <w:rsid w:val="003C24B8"/>
    <w:rsid w:val="003C2570"/>
    <w:rsid w:val="003C30DA"/>
    <w:rsid w:val="003C34F8"/>
    <w:rsid w:val="003C40FA"/>
    <w:rsid w:val="003C4E12"/>
    <w:rsid w:val="003C761F"/>
    <w:rsid w:val="003D01AE"/>
    <w:rsid w:val="003D09B7"/>
    <w:rsid w:val="003D0CC6"/>
    <w:rsid w:val="003D0FCE"/>
    <w:rsid w:val="003D16C0"/>
    <w:rsid w:val="003D1979"/>
    <w:rsid w:val="003D2892"/>
    <w:rsid w:val="003D3DAF"/>
    <w:rsid w:val="003D46F7"/>
    <w:rsid w:val="003D49B9"/>
    <w:rsid w:val="003D54AB"/>
    <w:rsid w:val="003D56A5"/>
    <w:rsid w:val="003D7125"/>
    <w:rsid w:val="003D71D0"/>
    <w:rsid w:val="003D745E"/>
    <w:rsid w:val="003D7834"/>
    <w:rsid w:val="003D7F13"/>
    <w:rsid w:val="003E0615"/>
    <w:rsid w:val="003E0637"/>
    <w:rsid w:val="003E080B"/>
    <w:rsid w:val="003E0CBA"/>
    <w:rsid w:val="003E0F48"/>
    <w:rsid w:val="003E23E8"/>
    <w:rsid w:val="003E2E19"/>
    <w:rsid w:val="003E3B17"/>
    <w:rsid w:val="003E467D"/>
    <w:rsid w:val="003E47E1"/>
    <w:rsid w:val="003E4B09"/>
    <w:rsid w:val="003E537C"/>
    <w:rsid w:val="003E55DB"/>
    <w:rsid w:val="003E571F"/>
    <w:rsid w:val="003E5F0A"/>
    <w:rsid w:val="003E6876"/>
    <w:rsid w:val="003E6926"/>
    <w:rsid w:val="003E69AD"/>
    <w:rsid w:val="003E7096"/>
    <w:rsid w:val="003E7BA1"/>
    <w:rsid w:val="003E7FD6"/>
    <w:rsid w:val="003F0507"/>
    <w:rsid w:val="003F08EB"/>
    <w:rsid w:val="003F16F0"/>
    <w:rsid w:val="003F1707"/>
    <w:rsid w:val="003F1E35"/>
    <w:rsid w:val="003F29F4"/>
    <w:rsid w:val="003F2B1E"/>
    <w:rsid w:val="003F2B90"/>
    <w:rsid w:val="003F2FE4"/>
    <w:rsid w:val="003F3E19"/>
    <w:rsid w:val="003F489E"/>
    <w:rsid w:val="003F5AFF"/>
    <w:rsid w:val="003F6071"/>
    <w:rsid w:val="003F6921"/>
    <w:rsid w:val="003F6BB4"/>
    <w:rsid w:val="003F6C93"/>
    <w:rsid w:val="003F6D23"/>
    <w:rsid w:val="003F749C"/>
    <w:rsid w:val="003F7BBE"/>
    <w:rsid w:val="00400C5E"/>
    <w:rsid w:val="00402008"/>
    <w:rsid w:val="004025AB"/>
    <w:rsid w:val="00402968"/>
    <w:rsid w:val="00403F93"/>
    <w:rsid w:val="00403FFD"/>
    <w:rsid w:val="00404216"/>
    <w:rsid w:val="00404392"/>
    <w:rsid w:val="00404720"/>
    <w:rsid w:val="004049BB"/>
    <w:rsid w:val="004049EC"/>
    <w:rsid w:val="00404DF9"/>
    <w:rsid w:val="00404E18"/>
    <w:rsid w:val="00405963"/>
    <w:rsid w:val="00405C8E"/>
    <w:rsid w:val="00405F8B"/>
    <w:rsid w:val="004069DC"/>
    <w:rsid w:val="00406B7E"/>
    <w:rsid w:val="00406C6F"/>
    <w:rsid w:val="00407034"/>
    <w:rsid w:val="0040721D"/>
    <w:rsid w:val="0041050D"/>
    <w:rsid w:val="00410798"/>
    <w:rsid w:val="00410D84"/>
    <w:rsid w:val="00411DF0"/>
    <w:rsid w:val="00411FFC"/>
    <w:rsid w:val="004122AF"/>
    <w:rsid w:val="004126D1"/>
    <w:rsid w:val="00412890"/>
    <w:rsid w:val="00412F2F"/>
    <w:rsid w:val="00413308"/>
    <w:rsid w:val="00413338"/>
    <w:rsid w:val="0041465E"/>
    <w:rsid w:val="004164D9"/>
    <w:rsid w:val="00416959"/>
    <w:rsid w:val="00416B3F"/>
    <w:rsid w:val="00417AD8"/>
    <w:rsid w:val="00420B6A"/>
    <w:rsid w:val="00420C7E"/>
    <w:rsid w:val="004214A3"/>
    <w:rsid w:val="0042151C"/>
    <w:rsid w:val="00421585"/>
    <w:rsid w:val="004226ED"/>
    <w:rsid w:val="00422C26"/>
    <w:rsid w:val="0042343E"/>
    <w:rsid w:val="00424609"/>
    <w:rsid w:val="0042464E"/>
    <w:rsid w:val="004247B8"/>
    <w:rsid w:val="00424AD4"/>
    <w:rsid w:val="004255A4"/>
    <w:rsid w:val="00425697"/>
    <w:rsid w:val="00426ABB"/>
    <w:rsid w:val="00426C14"/>
    <w:rsid w:val="00426D4D"/>
    <w:rsid w:val="00426E48"/>
    <w:rsid w:val="00427879"/>
    <w:rsid w:val="00427CEB"/>
    <w:rsid w:val="004310F1"/>
    <w:rsid w:val="00431264"/>
    <w:rsid w:val="00432041"/>
    <w:rsid w:val="00432CD7"/>
    <w:rsid w:val="00432D3B"/>
    <w:rsid w:val="00433A8A"/>
    <w:rsid w:val="00433DEA"/>
    <w:rsid w:val="00435F01"/>
    <w:rsid w:val="00436968"/>
    <w:rsid w:val="00436BF0"/>
    <w:rsid w:val="00436C32"/>
    <w:rsid w:val="00436EED"/>
    <w:rsid w:val="00437569"/>
    <w:rsid w:val="0043765F"/>
    <w:rsid w:val="00437937"/>
    <w:rsid w:val="00437CA8"/>
    <w:rsid w:val="004403A0"/>
    <w:rsid w:val="004406A7"/>
    <w:rsid w:val="00440923"/>
    <w:rsid w:val="00440E9B"/>
    <w:rsid w:val="00441096"/>
    <w:rsid w:val="00441CE6"/>
    <w:rsid w:val="00441F9F"/>
    <w:rsid w:val="0044259D"/>
    <w:rsid w:val="004427D7"/>
    <w:rsid w:val="00443025"/>
    <w:rsid w:val="00443649"/>
    <w:rsid w:val="00443904"/>
    <w:rsid w:val="004445C0"/>
    <w:rsid w:val="00444BF8"/>
    <w:rsid w:val="00444F5A"/>
    <w:rsid w:val="004453FA"/>
    <w:rsid w:val="00445BC4"/>
    <w:rsid w:val="004465EB"/>
    <w:rsid w:val="00447198"/>
    <w:rsid w:val="004473F6"/>
    <w:rsid w:val="00447834"/>
    <w:rsid w:val="00447A62"/>
    <w:rsid w:val="004508C4"/>
    <w:rsid w:val="00450957"/>
    <w:rsid w:val="00450CAE"/>
    <w:rsid w:val="004514D3"/>
    <w:rsid w:val="004520A6"/>
    <w:rsid w:val="004539FC"/>
    <w:rsid w:val="00453BD1"/>
    <w:rsid w:val="00454368"/>
    <w:rsid w:val="00456329"/>
    <w:rsid w:val="0045666B"/>
    <w:rsid w:val="00457861"/>
    <w:rsid w:val="004578F7"/>
    <w:rsid w:val="00457F65"/>
    <w:rsid w:val="00460B1B"/>
    <w:rsid w:val="00461876"/>
    <w:rsid w:val="00461EEA"/>
    <w:rsid w:val="0046225D"/>
    <w:rsid w:val="004622E4"/>
    <w:rsid w:val="0046244F"/>
    <w:rsid w:val="004624AD"/>
    <w:rsid w:val="0046254F"/>
    <w:rsid w:val="00462942"/>
    <w:rsid w:val="00462ACB"/>
    <w:rsid w:val="00463680"/>
    <w:rsid w:val="00463910"/>
    <w:rsid w:val="00463A3A"/>
    <w:rsid w:val="00463DAC"/>
    <w:rsid w:val="0046446A"/>
    <w:rsid w:val="004651ED"/>
    <w:rsid w:val="0046584B"/>
    <w:rsid w:val="00465952"/>
    <w:rsid w:val="00466964"/>
    <w:rsid w:val="00466E27"/>
    <w:rsid w:val="00466E47"/>
    <w:rsid w:val="00467047"/>
    <w:rsid w:val="004670D5"/>
    <w:rsid w:val="0046788F"/>
    <w:rsid w:val="00467A0D"/>
    <w:rsid w:val="00467FD0"/>
    <w:rsid w:val="0047059C"/>
    <w:rsid w:val="00470A4E"/>
    <w:rsid w:val="00471068"/>
    <w:rsid w:val="00471820"/>
    <w:rsid w:val="004719DD"/>
    <w:rsid w:val="00471F58"/>
    <w:rsid w:val="00474021"/>
    <w:rsid w:val="004749B1"/>
    <w:rsid w:val="00474FCE"/>
    <w:rsid w:val="00475696"/>
    <w:rsid w:val="00475B21"/>
    <w:rsid w:val="00475C4B"/>
    <w:rsid w:val="0047693F"/>
    <w:rsid w:val="0048058A"/>
    <w:rsid w:val="00480A44"/>
    <w:rsid w:val="00480AAF"/>
    <w:rsid w:val="00480E14"/>
    <w:rsid w:val="00481200"/>
    <w:rsid w:val="004817C1"/>
    <w:rsid w:val="00481834"/>
    <w:rsid w:val="00481B24"/>
    <w:rsid w:val="00482908"/>
    <w:rsid w:val="0048308A"/>
    <w:rsid w:val="004832A3"/>
    <w:rsid w:val="00484FD6"/>
    <w:rsid w:val="004851DD"/>
    <w:rsid w:val="00485F8E"/>
    <w:rsid w:val="0048681F"/>
    <w:rsid w:val="00486A2A"/>
    <w:rsid w:val="004877DE"/>
    <w:rsid w:val="00487E83"/>
    <w:rsid w:val="00490258"/>
    <w:rsid w:val="004906E4"/>
    <w:rsid w:val="004907C6"/>
    <w:rsid w:val="00491048"/>
    <w:rsid w:val="004916C0"/>
    <w:rsid w:val="00491A89"/>
    <w:rsid w:val="0049258D"/>
    <w:rsid w:val="0049349D"/>
    <w:rsid w:val="00493D6E"/>
    <w:rsid w:val="00493E3B"/>
    <w:rsid w:val="00494342"/>
    <w:rsid w:val="004946E8"/>
    <w:rsid w:val="0049477E"/>
    <w:rsid w:val="004947D9"/>
    <w:rsid w:val="0049491E"/>
    <w:rsid w:val="00494BCA"/>
    <w:rsid w:val="004957AB"/>
    <w:rsid w:val="004959F3"/>
    <w:rsid w:val="00495BEF"/>
    <w:rsid w:val="00495D1E"/>
    <w:rsid w:val="004967B4"/>
    <w:rsid w:val="00496B4E"/>
    <w:rsid w:val="00497176"/>
    <w:rsid w:val="004972D8"/>
    <w:rsid w:val="00497A03"/>
    <w:rsid w:val="00497A21"/>
    <w:rsid w:val="004A0266"/>
    <w:rsid w:val="004A0CA0"/>
    <w:rsid w:val="004A2D7D"/>
    <w:rsid w:val="004A368C"/>
    <w:rsid w:val="004A39DD"/>
    <w:rsid w:val="004A3BEF"/>
    <w:rsid w:val="004A3D96"/>
    <w:rsid w:val="004A4F18"/>
    <w:rsid w:val="004A518D"/>
    <w:rsid w:val="004A5A24"/>
    <w:rsid w:val="004A6B1B"/>
    <w:rsid w:val="004A7564"/>
    <w:rsid w:val="004B0583"/>
    <w:rsid w:val="004B1096"/>
    <w:rsid w:val="004B122E"/>
    <w:rsid w:val="004B1260"/>
    <w:rsid w:val="004B1308"/>
    <w:rsid w:val="004B1334"/>
    <w:rsid w:val="004B1609"/>
    <w:rsid w:val="004B1912"/>
    <w:rsid w:val="004B2902"/>
    <w:rsid w:val="004B2D45"/>
    <w:rsid w:val="004B3041"/>
    <w:rsid w:val="004B338A"/>
    <w:rsid w:val="004B4C71"/>
    <w:rsid w:val="004B5826"/>
    <w:rsid w:val="004B74BC"/>
    <w:rsid w:val="004B7BD7"/>
    <w:rsid w:val="004C08EB"/>
    <w:rsid w:val="004C0910"/>
    <w:rsid w:val="004C129D"/>
    <w:rsid w:val="004C15EE"/>
    <w:rsid w:val="004C1A49"/>
    <w:rsid w:val="004C1ED1"/>
    <w:rsid w:val="004C2137"/>
    <w:rsid w:val="004C2F1B"/>
    <w:rsid w:val="004C3731"/>
    <w:rsid w:val="004C3747"/>
    <w:rsid w:val="004C3C06"/>
    <w:rsid w:val="004C3EF0"/>
    <w:rsid w:val="004C4146"/>
    <w:rsid w:val="004C41FF"/>
    <w:rsid w:val="004C5333"/>
    <w:rsid w:val="004C5EDE"/>
    <w:rsid w:val="004C6C63"/>
    <w:rsid w:val="004C7049"/>
    <w:rsid w:val="004C74FB"/>
    <w:rsid w:val="004C796C"/>
    <w:rsid w:val="004C7E38"/>
    <w:rsid w:val="004D0347"/>
    <w:rsid w:val="004D077A"/>
    <w:rsid w:val="004D0900"/>
    <w:rsid w:val="004D0F3C"/>
    <w:rsid w:val="004D191A"/>
    <w:rsid w:val="004D1BE7"/>
    <w:rsid w:val="004D2043"/>
    <w:rsid w:val="004D22A2"/>
    <w:rsid w:val="004D2BBE"/>
    <w:rsid w:val="004D2FB4"/>
    <w:rsid w:val="004D31BB"/>
    <w:rsid w:val="004D32C2"/>
    <w:rsid w:val="004D477F"/>
    <w:rsid w:val="004D521F"/>
    <w:rsid w:val="004D52D8"/>
    <w:rsid w:val="004D5616"/>
    <w:rsid w:val="004D5F9D"/>
    <w:rsid w:val="004D6822"/>
    <w:rsid w:val="004D7379"/>
    <w:rsid w:val="004E05FF"/>
    <w:rsid w:val="004E0864"/>
    <w:rsid w:val="004E0C0E"/>
    <w:rsid w:val="004E1194"/>
    <w:rsid w:val="004E2E8C"/>
    <w:rsid w:val="004E3746"/>
    <w:rsid w:val="004E40EE"/>
    <w:rsid w:val="004E4199"/>
    <w:rsid w:val="004E446E"/>
    <w:rsid w:val="004E525C"/>
    <w:rsid w:val="004E5515"/>
    <w:rsid w:val="004E5CFB"/>
    <w:rsid w:val="004E64C6"/>
    <w:rsid w:val="004E6774"/>
    <w:rsid w:val="004E6E43"/>
    <w:rsid w:val="004E756F"/>
    <w:rsid w:val="004E79B6"/>
    <w:rsid w:val="004E7A2E"/>
    <w:rsid w:val="004F0AC0"/>
    <w:rsid w:val="004F1A60"/>
    <w:rsid w:val="004F1C82"/>
    <w:rsid w:val="004F1CB6"/>
    <w:rsid w:val="004F2816"/>
    <w:rsid w:val="004F2AEC"/>
    <w:rsid w:val="004F304D"/>
    <w:rsid w:val="004F365D"/>
    <w:rsid w:val="004F4881"/>
    <w:rsid w:val="004F4E60"/>
    <w:rsid w:val="004F4F5C"/>
    <w:rsid w:val="004F564F"/>
    <w:rsid w:val="004F633F"/>
    <w:rsid w:val="004F6962"/>
    <w:rsid w:val="004F6C7C"/>
    <w:rsid w:val="004F6F29"/>
    <w:rsid w:val="0050070E"/>
    <w:rsid w:val="00501708"/>
    <w:rsid w:val="0050189E"/>
    <w:rsid w:val="00501986"/>
    <w:rsid w:val="005026B0"/>
    <w:rsid w:val="00502905"/>
    <w:rsid w:val="005037B8"/>
    <w:rsid w:val="00504CB5"/>
    <w:rsid w:val="00504EB2"/>
    <w:rsid w:val="005058C8"/>
    <w:rsid w:val="00505D03"/>
    <w:rsid w:val="00505DB9"/>
    <w:rsid w:val="005076C9"/>
    <w:rsid w:val="00507A9B"/>
    <w:rsid w:val="00507DBC"/>
    <w:rsid w:val="00507FA9"/>
    <w:rsid w:val="0051061D"/>
    <w:rsid w:val="00510981"/>
    <w:rsid w:val="00510A3B"/>
    <w:rsid w:val="00510DB2"/>
    <w:rsid w:val="00511024"/>
    <w:rsid w:val="0051131A"/>
    <w:rsid w:val="0051286D"/>
    <w:rsid w:val="00512945"/>
    <w:rsid w:val="00512BFA"/>
    <w:rsid w:val="00512BFB"/>
    <w:rsid w:val="00512F61"/>
    <w:rsid w:val="00513B9C"/>
    <w:rsid w:val="0051485E"/>
    <w:rsid w:val="005160BF"/>
    <w:rsid w:val="0051614C"/>
    <w:rsid w:val="005169AF"/>
    <w:rsid w:val="00517368"/>
    <w:rsid w:val="00517497"/>
    <w:rsid w:val="00517A2F"/>
    <w:rsid w:val="005205AC"/>
    <w:rsid w:val="0052201E"/>
    <w:rsid w:val="00522826"/>
    <w:rsid w:val="00522ABC"/>
    <w:rsid w:val="00522EB3"/>
    <w:rsid w:val="00522F01"/>
    <w:rsid w:val="0052306D"/>
    <w:rsid w:val="0052396F"/>
    <w:rsid w:val="00523A36"/>
    <w:rsid w:val="00523B4E"/>
    <w:rsid w:val="00523BE0"/>
    <w:rsid w:val="00524557"/>
    <w:rsid w:val="00524AF0"/>
    <w:rsid w:val="00524B5D"/>
    <w:rsid w:val="00525244"/>
    <w:rsid w:val="00526113"/>
    <w:rsid w:val="00526348"/>
    <w:rsid w:val="0052676E"/>
    <w:rsid w:val="005270B1"/>
    <w:rsid w:val="00530219"/>
    <w:rsid w:val="0053037E"/>
    <w:rsid w:val="00530D28"/>
    <w:rsid w:val="00532C21"/>
    <w:rsid w:val="00534C29"/>
    <w:rsid w:val="00534DB4"/>
    <w:rsid w:val="0053517C"/>
    <w:rsid w:val="005363F8"/>
    <w:rsid w:val="0053697E"/>
    <w:rsid w:val="00536AEA"/>
    <w:rsid w:val="00536DD0"/>
    <w:rsid w:val="00536E31"/>
    <w:rsid w:val="00537482"/>
    <w:rsid w:val="00537599"/>
    <w:rsid w:val="00537762"/>
    <w:rsid w:val="0054058B"/>
    <w:rsid w:val="00540D0A"/>
    <w:rsid w:val="00540EE5"/>
    <w:rsid w:val="0054105C"/>
    <w:rsid w:val="00541117"/>
    <w:rsid w:val="00541602"/>
    <w:rsid w:val="0054165F"/>
    <w:rsid w:val="00541AA4"/>
    <w:rsid w:val="00542618"/>
    <w:rsid w:val="0054307D"/>
    <w:rsid w:val="00543653"/>
    <w:rsid w:val="0054492C"/>
    <w:rsid w:val="00544BAD"/>
    <w:rsid w:val="005452D2"/>
    <w:rsid w:val="005458D5"/>
    <w:rsid w:val="00545E37"/>
    <w:rsid w:val="00545FF4"/>
    <w:rsid w:val="005460C3"/>
    <w:rsid w:val="0054646E"/>
    <w:rsid w:val="00546AC9"/>
    <w:rsid w:val="00546C37"/>
    <w:rsid w:val="00546C47"/>
    <w:rsid w:val="0054765E"/>
    <w:rsid w:val="00550349"/>
    <w:rsid w:val="00550C73"/>
    <w:rsid w:val="00551447"/>
    <w:rsid w:val="00551C42"/>
    <w:rsid w:val="00551EA5"/>
    <w:rsid w:val="00552094"/>
    <w:rsid w:val="0055262D"/>
    <w:rsid w:val="00552B27"/>
    <w:rsid w:val="005539C6"/>
    <w:rsid w:val="00553B4A"/>
    <w:rsid w:val="0055545B"/>
    <w:rsid w:val="00555F86"/>
    <w:rsid w:val="00556CCD"/>
    <w:rsid w:val="00556DDD"/>
    <w:rsid w:val="00556E70"/>
    <w:rsid w:val="0055745E"/>
    <w:rsid w:val="00557540"/>
    <w:rsid w:val="00557AD6"/>
    <w:rsid w:val="00557D2D"/>
    <w:rsid w:val="00557FB6"/>
    <w:rsid w:val="00560450"/>
    <w:rsid w:val="00560C72"/>
    <w:rsid w:val="00561FBF"/>
    <w:rsid w:val="0056208C"/>
    <w:rsid w:val="00562E12"/>
    <w:rsid w:val="00563514"/>
    <w:rsid w:val="005636CA"/>
    <w:rsid w:val="00563A59"/>
    <w:rsid w:val="00563A9A"/>
    <w:rsid w:val="00563D51"/>
    <w:rsid w:val="00563FAF"/>
    <w:rsid w:val="0056437B"/>
    <w:rsid w:val="00564821"/>
    <w:rsid w:val="00565093"/>
    <w:rsid w:val="005654BB"/>
    <w:rsid w:val="00565577"/>
    <w:rsid w:val="00565B5A"/>
    <w:rsid w:val="00565EB0"/>
    <w:rsid w:val="0056671B"/>
    <w:rsid w:val="00566845"/>
    <w:rsid w:val="00567020"/>
    <w:rsid w:val="00567746"/>
    <w:rsid w:val="005701CD"/>
    <w:rsid w:val="00570C05"/>
    <w:rsid w:val="00570ED6"/>
    <w:rsid w:val="00572422"/>
    <w:rsid w:val="00572B7D"/>
    <w:rsid w:val="00572D6C"/>
    <w:rsid w:val="00573425"/>
    <w:rsid w:val="00573481"/>
    <w:rsid w:val="00573520"/>
    <w:rsid w:val="00573BBF"/>
    <w:rsid w:val="0057411E"/>
    <w:rsid w:val="005742A7"/>
    <w:rsid w:val="005745CB"/>
    <w:rsid w:val="005746B8"/>
    <w:rsid w:val="005747C3"/>
    <w:rsid w:val="00574D5D"/>
    <w:rsid w:val="0057538D"/>
    <w:rsid w:val="005754F7"/>
    <w:rsid w:val="00576815"/>
    <w:rsid w:val="00576E60"/>
    <w:rsid w:val="00577851"/>
    <w:rsid w:val="005779C6"/>
    <w:rsid w:val="005779F5"/>
    <w:rsid w:val="005819F3"/>
    <w:rsid w:val="00581BF4"/>
    <w:rsid w:val="00582627"/>
    <w:rsid w:val="0058299B"/>
    <w:rsid w:val="00582B19"/>
    <w:rsid w:val="005830B6"/>
    <w:rsid w:val="00583F62"/>
    <w:rsid w:val="005845D2"/>
    <w:rsid w:val="00584EEE"/>
    <w:rsid w:val="00584FDA"/>
    <w:rsid w:val="00585195"/>
    <w:rsid w:val="00585732"/>
    <w:rsid w:val="00585970"/>
    <w:rsid w:val="00586171"/>
    <w:rsid w:val="0058634D"/>
    <w:rsid w:val="00586669"/>
    <w:rsid w:val="005868A4"/>
    <w:rsid w:val="00586A65"/>
    <w:rsid w:val="005872FE"/>
    <w:rsid w:val="0058739B"/>
    <w:rsid w:val="0058748C"/>
    <w:rsid w:val="00587637"/>
    <w:rsid w:val="00590B28"/>
    <w:rsid w:val="005911B0"/>
    <w:rsid w:val="0059125F"/>
    <w:rsid w:val="005918D4"/>
    <w:rsid w:val="00591C74"/>
    <w:rsid w:val="0059238D"/>
    <w:rsid w:val="005923B7"/>
    <w:rsid w:val="00592A94"/>
    <w:rsid w:val="00592B18"/>
    <w:rsid w:val="00594BA6"/>
    <w:rsid w:val="005951EB"/>
    <w:rsid w:val="00595408"/>
    <w:rsid w:val="00595558"/>
    <w:rsid w:val="00595961"/>
    <w:rsid w:val="005964AA"/>
    <w:rsid w:val="005969F4"/>
    <w:rsid w:val="00596E1C"/>
    <w:rsid w:val="005972CA"/>
    <w:rsid w:val="00597EED"/>
    <w:rsid w:val="005A0263"/>
    <w:rsid w:val="005A0671"/>
    <w:rsid w:val="005A1CB3"/>
    <w:rsid w:val="005A2361"/>
    <w:rsid w:val="005A2AF8"/>
    <w:rsid w:val="005A350A"/>
    <w:rsid w:val="005A3B4C"/>
    <w:rsid w:val="005A3C8A"/>
    <w:rsid w:val="005A3D6E"/>
    <w:rsid w:val="005A42CA"/>
    <w:rsid w:val="005A485B"/>
    <w:rsid w:val="005A4A00"/>
    <w:rsid w:val="005A4DAD"/>
    <w:rsid w:val="005A4E6F"/>
    <w:rsid w:val="005A55C5"/>
    <w:rsid w:val="005A5B0B"/>
    <w:rsid w:val="005A60D5"/>
    <w:rsid w:val="005B0275"/>
    <w:rsid w:val="005B083F"/>
    <w:rsid w:val="005B1355"/>
    <w:rsid w:val="005B1C1C"/>
    <w:rsid w:val="005B2493"/>
    <w:rsid w:val="005B33AE"/>
    <w:rsid w:val="005B3418"/>
    <w:rsid w:val="005B4C96"/>
    <w:rsid w:val="005B55F2"/>
    <w:rsid w:val="005B5AFA"/>
    <w:rsid w:val="005B5DFC"/>
    <w:rsid w:val="005B642B"/>
    <w:rsid w:val="005B64FB"/>
    <w:rsid w:val="005B6E54"/>
    <w:rsid w:val="005B6FFD"/>
    <w:rsid w:val="005B720B"/>
    <w:rsid w:val="005B7AA8"/>
    <w:rsid w:val="005B7EC7"/>
    <w:rsid w:val="005C00C2"/>
    <w:rsid w:val="005C0804"/>
    <w:rsid w:val="005C10BC"/>
    <w:rsid w:val="005C1119"/>
    <w:rsid w:val="005C11A1"/>
    <w:rsid w:val="005C1760"/>
    <w:rsid w:val="005C21A7"/>
    <w:rsid w:val="005C2FED"/>
    <w:rsid w:val="005C33B4"/>
    <w:rsid w:val="005C3DE0"/>
    <w:rsid w:val="005C4E74"/>
    <w:rsid w:val="005C574B"/>
    <w:rsid w:val="005C5B03"/>
    <w:rsid w:val="005C6661"/>
    <w:rsid w:val="005C6F22"/>
    <w:rsid w:val="005C7380"/>
    <w:rsid w:val="005D0086"/>
    <w:rsid w:val="005D018C"/>
    <w:rsid w:val="005D066E"/>
    <w:rsid w:val="005D083E"/>
    <w:rsid w:val="005D0D57"/>
    <w:rsid w:val="005D19C4"/>
    <w:rsid w:val="005D1EF1"/>
    <w:rsid w:val="005D2075"/>
    <w:rsid w:val="005D21D7"/>
    <w:rsid w:val="005D2414"/>
    <w:rsid w:val="005D24E4"/>
    <w:rsid w:val="005D3617"/>
    <w:rsid w:val="005D3E10"/>
    <w:rsid w:val="005D45C4"/>
    <w:rsid w:val="005D4BA5"/>
    <w:rsid w:val="005D54E4"/>
    <w:rsid w:val="005D5551"/>
    <w:rsid w:val="005D5795"/>
    <w:rsid w:val="005D66FC"/>
    <w:rsid w:val="005D6965"/>
    <w:rsid w:val="005D69A1"/>
    <w:rsid w:val="005D7018"/>
    <w:rsid w:val="005D7099"/>
    <w:rsid w:val="005D748D"/>
    <w:rsid w:val="005D79B1"/>
    <w:rsid w:val="005D7C5E"/>
    <w:rsid w:val="005D7F81"/>
    <w:rsid w:val="005E0A4E"/>
    <w:rsid w:val="005E1CD0"/>
    <w:rsid w:val="005E36FE"/>
    <w:rsid w:val="005E3733"/>
    <w:rsid w:val="005E4907"/>
    <w:rsid w:val="005E4BD0"/>
    <w:rsid w:val="005E4F24"/>
    <w:rsid w:val="005E545E"/>
    <w:rsid w:val="005E5AF7"/>
    <w:rsid w:val="005E6303"/>
    <w:rsid w:val="005E645B"/>
    <w:rsid w:val="005E67B6"/>
    <w:rsid w:val="005E67CC"/>
    <w:rsid w:val="005E6AD7"/>
    <w:rsid w:val="005E71F7"/>
    <w:rsid w:val="005E7632"/>
    <w:rsid w:val="005E781F"/>
    <w:rsid w:val="005E78D4"/>
    <w:rsid w:val="005E7DD9"/>
    <w:rsid w:val="005F037F"/>
    <w:rsid w:val="005F048D"/>
    <w:rsid w:val="005F0DCB"/>
    <w:rsid w:val="005F10EE"/>
    <w:rsid w:val="005F126B"/>
    <w:rsid w:val="005F14C3"/>
    <w:rsid w:val="005F14D3"/>
    <w:rsid w:val="005F1F70"/>
    <w:rsid w:val="005F24A5"/>
    <w:rsid w:val="005F2C20"/>
    <w:rsid w:val="005F3FF8"/>
    <w:rsid w:val="005F4429"/>
    <w:rsid w:val="005F451F"/>
    <w:rsid w:val="005F4A67"/>
    <w:rsid w:val="005F5A5D"/>
    <w:rsid w:val="005F5C96"/>
    <w:rsid w:val="005F6579"/>
    <w:rsid w:val="005F678B"/>
    <w:rsid w:val="005F76D3"/>
    <w:rsid w:val="005F7E5D"/>
    <w:rsid w:val="0060041D"/>
    <w:rsid w:val="00601136"/>
    <w:rsid w:val="00601292"/>
    <w:rsid w:val="00601AFB"/>
    <w:rsid w:val="00602B29"/>
    <w:rsid w:val="00602DC0"/>
    <w:rsid w:val="00602FA0"/>
    <w:rsid w:val="0060309C"/>
    <w:rsid w:val="00603524"/>
    <w:rsid w:val="00603FB5"/>
    <w:rsid w:val="00604744"/>
    <w:rsid w:val="00604AB0"/>
    <w:rsid w:val="00604AB9"/>
    <w:rsid w:val="00605D98"/>
    <w:rsid w:val="00606050"/>
    <w:rsid w:val="00606B37"/>
    <w:rsid w:val="00607490"/>
    <w:rsid w:val="0061059F"/>
    <w:rsid w:val="0061082E"/>
    <w:rsid w:val="006108CF"/>
    <w:rsid w:val="00610F58"/>
    <w:rsid w:val="0061163F"/>
    <w:rsid w:val="00611F9D"/>
    <w:rsid w:val="00612293"/>
    <w:rsid w:val="006122D1"/>
    <w:rsid w:val="0061236D"/>
    <w:rsid w:val="006125B1"/>
    <w:rsid w:val="006134D8"/>
    <w:rsid w:val="00613CCB"/>
    <w:rsid w:val="00614860"/>
    <w:rsid w:val="00614E62"/>
    <w:rsid w:val="00615F0F"/>
    <w:rsid w:val="0061651B"/>
    <w:rsid w:val="006169BA"/>
    <w:rsid w:val="00617486"/>
    <w:rsid w:val="006208D8"/>
    <w:rsid w:val="006209FB"/>
    <w:rsid w:val="00620F17"/>
    <w:rsid w:val="00621622"/>
    <w:rsid w:val="00621DAC"/>
    <w:rsid w:val="00621FE7"/>
    <w:rsid w:val="006222FC"/>
    <w:rsid w:val="00622E01"/>
    <w:rsid w:val="00624068"/>
    <w:rsid w:val="00624559"/>
    <w:rsid w:val="006246C5"/>
    <w:rsid w:val="006246D0"/>
    <w:rsid w:val="00624A3E"/>
    <w:rsid w:val="00624A50"/>
    <w:rsid w:val="006253B2"/>
    <w:rsid w:val="00625A3A"/>
    <w:rsid w:val="006265FE"/>
    <w:rsid w:val="00626672"/>
    <w:rsid w:val="006267D3"/>
    <w:rsid w:val="00626AAB"/>
    <w:rsid w:val="00627382"/>
    <w:rsid w:val="006276DF"/>
    <w:rsid w:val="00627C4D"/>
    <w:rsid w:val="00630C54"/>
    <w:rsid w:val="00630F44"/>
    <w:rsid w:val="0063107A"/>
    <w:rsid w:val="00631371"/>
    <w:rsid w:val="006320CD"/>
    <w:rsid w:val="0063263A"/>
    <w:rsid w:val="00632B6C"/>
    <w:rsid w:val="00633530"/>
    <w:rsid w:val="006336B2"/>
    <w:rsid w:val="00633BC4"/>
    <w:rsid w:val="00633C47"/>
    <w:rsid w:val="00633DA4"/>
    <w:rsid w:val="00633E94"/>
    <w:rsid w:val="00633EC8"/>
    <w:rsid w:val="006345C1"/>
    <w:rsid w:val="006346EF"/>
    <w:rsid w:val="006347AE"/>
    <w:rsid w:val="00634871"/>
    <w:rsid w:val="00634FE2"/>
    <w:rsid w:val="0063606E"/>
    <w:rsid w:val="00636F2E"/>
    <w:rsid w:val="006371CC"/>
    <w:rsid w:val="006379E6"/>
    <w:rsid w:val="00640243"/>
    <w:rsid w:val="00640E92"/>
    <w:rsid w:val="0064179D"/>
    <w:rsid w:val="00641AAB"/>
    <w:rsid w:val="006425DB"/>
    <w:rsid w:val="00643929"/>
    <w:rsid w:val="00643947"/>
    <w:rsid w:val="006448E8"/>
    <w:rsid w:val="00644D2C"/>
    <w:rsid w:val="00644EA6"/>
    <w:rsid w:val="00645438"/>
    <w:rsid w:val="00645814"/>
    <w:rsid w:val="006462F2"/>
    <w:rsid w:val="0064645E"/>
    <w:rsid w:val="006470FB"/>
    <w:rsid w:val="006519E7"/>
    <w:rsid w:val="00652835"/>
    <w:rsid w:val="00652B28"/>
    <w:rsid w:val="00652EC6"/>
    <w:rsid w:val="00653DF7"/>
    <w:rsid w:val="0065428B"/>
    <w:rsid w:val="00654A76"/>
    <w:rsid w:val="00654A8D"/>
    <w:rsid w:val="00655A0F"/>
    <w:rsid w:val="00655B9E"/>
    <w:rsid w:val="00655BD0"/>
    <w:rsid w:val="0065604B"/>
    <w:rsid w:val="0065669F"/>
    <w:rsid w:val="006575E2"/>
    <w:rsid w:val="0065767D"/>
    <w:rsid w:val="00660843"/>
    <w:rsid w:val="00660E2E"/>
    <w:rsid w:val="00660F68"/>
    <w:rsid w:val="00661DD7"/>
    <w:rsid w:val="00661F83"/>
    <w:rsid w:val="006621AC"/>
    <w:rsid w:val="00662B3B"/>
    <w:rsid w:val="00662D3A"/>
    <w:rsid w:val="006636DB"/>
    <w:rsid w:val="00663EF3"/>
    <w:rsid w:val="00664B7A"/>
    <w:rsid w:val="00664C8A"/>
    <w:rsid w:val="00664D18"/>
    <w:rsid w:val="00664FD0"/>
    <w:rsid w:val="00665246"/>
    <w:rsid w:val="00665766"/>
    <w:rsid w:val="006658B9"/>
    <w:rsid w:val="00666A2A"/>
    <w:rsid w:val="00666D10"/>
    <w:rsid w:val="00666E30"/>
    <w:rsid w:val="00670842"/>
    <w:rsid w:val="00670E70"/>
    <w:rsid w:val="00670F5E"/>
    <w:rsid w:val="006711DA"/>
    <w:rsid w:val="006724D2"/>
    <w:rsid w:val="00672A09"/>
    <w:rsid w:val="00673AE6"/>
    <w:rsid w:val="006745D7"/>
    <w:rsid w:val="00674BE4"/>
    <w:rsid w:val="0067535F"/>
    <w:rsid w:val="00675CEE"/>
    <w:rsid w:val="0067624C"/>
    <w:rsid w:val="00677D99"/>
    <w:rsid w:val="00680360"/>
    <w:rsid w:val="00680A10"/>
    <w:rsid w:val="0068110D"/>
    <w:rsid w:val="006815EE"/>
    <w:rsid w:val="00682395"/>
    <w:rsid w:val="0068348A"/>
    <w:rsid w:val="0068355D"/>
    <w:rsid w:val="0068491D"/>
    <w:rsid w:val="00684982"/>
    <w:rsid w:val="0068523F"/>
    <w:rsid w:val="00685729"/>
    <w:rsid w:val="00685E2F"/>
    <w:rsid w:val="00686CC0"/>
    <w:rsid w:val="00687534"/>
    <w:rsid w:val="006876C1"/>
    <w:rsid w:val="00687C4B"/>
    <w:rsid w:val="0069174B"/>
    <w:rsid w:val="0069185A"/>
    <w:rsid w:val="006919C8"/>
    <w:rsid w:val="00691C2A"/>
    <w:rsid w:val="00692275"/>
    <w:rsid w:val="006926EA"/>
    <w:rsid w:val="00692732"/>
    <w:rsid w:val="00692AB9"/>
    <w:rsid w:val="00692AD9"/>
    <w:rsid w:val="00692D41"/>
    <w:rsid w:val="0069342D"/>
    <w:rsid w:val="00693A9D"/>
    <w:rsid w:val="00693D22"/>
    <w:rsid w:val="00694099"/>
    <w:rsid w:val="00694855"/>
    <w:rsid w:val="00694A12"/>
    <w:rsid w:val="0069541F"/>
    <w:rsid w:val="0069622A"/>
    <w:rsid w:val="006969A4"/>
    <w:rsid w:val="006A0318"/>
    <w:rsid w:val="006A03A7"/>
    <w:rsid w:val="006A0884"/>
    <w:rsid w:val="006A08F8"/>
    <w:rsid w:val="006A0F73"/>
    <w:rsid w:val="006A1BE7"/>
    <w:rsid w:val="006A223D"/>
    <w:rsid w:val="006A2BF0"/>
    <w:rsid w:val="006A2CC0"/>
    <w:rsid w:val="006A3725"/>
    <w:rsid w:val="006A4C74"/>
    <w:rsid w:val="006A5048"/>
    <w:rsid w:val="006A5750"/>
    <w:rsid w:val="006A5965"/>
    <w:rsid w:val="006A6462"/>
    <w:rsid w:val="006A65A8"/>
    <w:rsid w:val="006A6EBE"/>
    <w:rsid w:val="006A7277"/>
    <w:rsid w:val="006A751A"/>
    <w:rsid w:val="006A7F83"/>
    <w:rsid w:val="006B00CF"/>
    <w:rsid w:val="006B098A"/>
    <w:rsid w:val="006B0B84"/>
    <w:rsid w:val="006B1486"/>
    <w:rsid w:val="006B2185"/>
    <w:rsid w:val="006B33BF"/>
    <w:rsid w:val="006B3CA3"/>
    <w:rsid w:val="006B48F5"/>
    <w:rsid w:val="006B4F21"/>
    <w:rsid w:val="006B5143"/>
    <w:rsid w:val="006B520B"/>
    <w:rsid w:val="006B5592"/>
    <w:rsid w:val="006B57F7"/>
    <w:rsid w:val="006B5C56"/>
    <w:rsid w:val="006B5C7F"/>
    <w:rsid w:val="006B6204"/>
    <w:rsid w:val="006B6243"/>
    <w:rsid w:val="006B742E"/>
    <w:rsid w:val="006B774B"/>
    <w:rsid w:val="006B780F"/>
    <w:rsid w:val="006B7F5D"/>
    <w:rsid w:val="006C0087"/>
    <w:rsid w:val="006C01DC"/>
    <w:rsid w:val="006C0218"/>
    <w:rsid w:val="006C07FC"/>
    <w:rsid w:val="006C07FE"/>
    <w:rsid w:val="006C0867"/>
    <w:rsid w:val="006C08D4"/>
    <w:rsid w:val="006C0B05"/>
    <w:rsid w:val="006C12A4"/>
    <w:rsid w:val="006C196E"/>
    <w:rsid w:val="006C28B0"/>
    <w:rsid w:val="006C2B2A"/>
    <w:rsid w:val="006C2C5A"/>
    <w:rsid w:val="006C2EC0"/>
    <w:rsid w:val="006C3172"/>
    <w:rsid w:val="006C3300"/>
    <w:rsid w:val="006C34DF"/>
    <w:rsid w:val="006C4756"/>
    <w:rsid w:val="006C51D3"/>
    <w:rsid w:val="006C5E4A"/>
    <w:rsid w:val="006C6090"/>
    <w:rsid w:val="006C7900"/>
    <w:rsid w:val="006C79C2"/>
    <w:rsid w:val="006C7B24"/>
    <w:rsid w:val="006D0926"/>
    <w:rsid w:val="006D0E09"/>
    <w:rsid w:val="006D0F6B"/>
    <w:rsid w:val="006D1273"/>
    <w:rsid w:val="006D12CF"/>
    <w:rsid w:val="006D130F"/>
    <w:rsid w:val="006D1F82"/>
    <w:rsid w:val="006D2490"/>
    <w:rsid w:val="006D2510"/>
    <w:rsid w:val="006D396E"/>
    <w:rsid w:val="006D3D61"/>
    <w:rsid w:val="006D45BE"/>
    <w:rsid w:val="006D4C82"/>
    <w:rsid w:val="006D510C"/>
    <w:rsid w:val="006D6574"/>
    <w:rsid w:val="006D6735"/>
    <w:rsid w:val="006D6FE8"/>
    <w:rsid w:val="006D720D"/>
    <w:rsid w:val="006E0B62"/>
    <w:rsid w:val="006E0BBC"/>
    <w:rsid w:val="006E1102"/>
    <w:rsid w:val="006E139F"/>
    <w:rsid w:val="006E1804"/>
    <w:rsid w:val="006E43CE"/>
    <w:rsid w:val="006E44F2"/>
    <w:rsid w:val="006E455B"/>
    <w:rsid w:val="006E542A"/>
    <w:rsid w:val="006E794C"/>
    <w:rsid w:val="006F0332"/>
    <w:rsid w:val="006F075D"/>
    <w:rsid w:val="006F091C"/>
    <w:rsid w:val="006F0F60"/>
    <w:rsid w:val="006F174A"/>
    <w:rsid w:val="006F1BBF"/>
    <w:rsid w:val="006F1BCF"/>
    <w:rsid w:val="006F2809"/>
    <w:rsid w:val="006F31C3"/>
    <w:rsid w:val="006F3B89"/>
    <w:rsid w:val="006F4048"/>
    <w:rsid w:val="006F4120"/>
    <w:rsid w:val="006F421F"/>
    <w:rsid w:val="006F5357"/>
    <w:rsid w:val="006F621C"/>
    <w:rsid w:val="006F63BC"/>
    <w:rsid w:val="006F6867"/>
    <w:rsid w:val="006F7081"/>
    <w:rsid w:val="006F7750"/>
    <w:rsid w:val="006F7856"/>
    <w:rsid w:val="00701D3B"/>
    <w:rsid w:val="0070219F"/>
    <w:rsid w:val="0070260D"/>
    <w:rsid w:val="00702D9F"/>
    <w:rsid w:val="007030F1"/>
    <w:rsid w:val="00704F6A"/>
    <w:rsid w:val="00704FDC"/>
    <w:rsid w:val="00706265"/>
    <w:rsid w:val="00706306"/>
    <w:rsid w:val="0070715C"/>
    <w:rsid w:val="007108FA"/>
    <w:rsid w:val="0071115C"/>
    <w:rsid w:val="00712E81"/>
    <w:rsid w:val="007133EC"/>
    <w:rsid w:val="00713520"/>
    <w:rsid w:val="00714536"/>
    <w:rsid w:val="0071525E"/>
    <w:rsid w:val="007153AB"/>
    <w:rsid w:val="00715633"/>
    <w:rsid w:val="00715F6E"/>
    <w:rsid w:val="00716855"/>
    <w:rsid w:val="00716FBD"/>
    <w:rsid w:val="0071707D"/>
    <w:rsid w:val="00717366"/>
    <w:rsid w:val="00720602"/>
    <w:rsid w:val="00722C47"/>
    <w:rsid w:val="00724E1F"/>
    <w:rsid w:val="00725EBD"/>
    <w:rsid w:val="007265CD"/>
    <w:rsid w:val="00727F66"/>
    <w:rsid w:val="00731184"/>
    <w:rsid w:val="0073131B"/>
    <w:rsid w:val="007315EF"/>
    <w:rsid w:val="00731A78"/>
    <w:rsid w:val="0073224D"/>
    <w:rsid w:val="007329CA"/>
    <w:rsid w:val="00732F1D"/>
    <w:rsid w:val="00732FEA"/>
    <w:rsid w:val="00733263"/>
    <w:rsid w:val="007335C2"/>
    <w:rsid w:val="00733886"/>
    <w:rsid w:val="00733BB8"/>
    <w:rsid w:val="00733E1F"/>
    <w:rsid w:val="00734D16"/>
    <w:rsid w:val="0073525C"/>
    <w:rsid w:val="0073584A"/>
    <w:rsid w:val="00735B46"/>
    <w:rsid w:val="007368CB"/>
    <w:rsid w:val="0073691B"/>
    <w:rsid w:val="00736D75"/>
    <w:rsid w:val="00736F3D"/>
    <w:rsid w:val="00737076"/>
    <w:rsid w:val="00737829"/>
    <w:rsid w:val="007378A9"/>
    <w:rsid w:val="0073799E"/>
    <w:rsid w:val="00737C61"/>
    <w:rsid w:val="00740008"/>
    <w:rsid w:val="00740139"/>
    <w:rsid w:val="007401F4"/>
    <w:rsid w:val="00740E5E"/>
    <w:rsid w:val="00740F5D"/>
    <w:rsid w:val="007411A0"/>
    <w:rsid w:val="007417CF"/>
    <w:rsid w:val="00743388"/>
    <w:rsid w:val="00744DE5"/>
    <w:rsid w:val="00745B8E"/>
    <w:rsid w:val="00745D9C"/>
    <w:rsid w:val="00745EF9"/>
    <w:rsid w:val="007477FB"/>
    <w:rsid w:val="007506C8"/>
    <w:rsid w:val="00750C47"/>
    <w:rsid w:val="007510D9"/>
    <w:rsid w:val="007516D5"/>
    <w:rsid w:val="007517C1"/>
    <w:rsid w:val="007517F6"/>
    <w:rsid w:val="007522A2"/>
    <w:rsid w:val="00752494"/>
    <w:rsid w:val="00752980"/>
    <w:rsid w:val="0075365C"/>
    <w:rsid w:val="007536A4"/>
    <w:rsid w:val="007538EA"/>
    <w:rsid w:val="0075392F"/>
    <w:rsid w:val="00753969"/>
    <w:rsid w:val="007540B6"/>
    <w:rsid w:val="007544F2"/>
    <w:rsid w:val="00755026"/>
    <w:rsid w:val="00755D57"/>
    <w:rsid w:val="0075665D"/>
    <w:rsid w:val="00756861"/>
    <w:rsid w:val="00756AF2"/>
    <w:rsid w:val="00756ECA"/>
    <w:rsid w:val="0075700F"/>
    <w:rsid w:val="0075759C"/>
    <w:rsid w:val="00757725"/>
    <w:rsid w:val="00757992"/>
    <w:rsid w:val="007600CE"/>
    <w:rsid w:val="00760780"/>
    <w:rsid w:val="007611BE"/>
    <w:rsid w:val="0076150C"/>
    <w:rsid w:val="00761D17"/>
    <w:rsid w:val="00762063"/>
    <w:rsid w:val="00762EC8"/>
    <w:rsid w:val="007630EB"/>
    <w:rsid w:val="0076323C"/>
    <w:rsid w:val="0076377E"/>
    <w:rsid w:val="00763E22"/>
    <w:rsid w:val="00765072"/>
    <w:rsid w:val="007652B7"/>
    <w:rsid w:val="00766137"/>
    <w:rsid w:val="00766C27"/>
    <w:rsid w:val="00766DB1"/>
    <w:rsid w:val="00767443"/>
    <w:rsid w:val="0076779F"/>
    <w:rsid w:val="0076795D"/>
    <w:rsid w:val="00770013"/>
    <w:rsid w:val="00770224"/>
    <w:rsid w:val="00770349"/>
    <w:rsid w:val="0077072C"/>
    <w:rsid w:val="00770FA4"/>
    <w:rsid w:val="00771BDB"/>
    <w:rsid w:val="00771F71"/>
    <w:rsid w:val="007724CB"/>
    <w:rsid w:val="00772C68"/>
    <w:rsid w:val="00772F37"/>
    <w:rsid w:val="00773531"/>
    <w:rsid w:val="00773597"/>
    <w:rsid w:val="007744DE"/>
    <w:rsid w:val="00774699"/>
    <w:rsid w:val="007746D5"/>
    <w:rsid w:val="00774BE2"/>
    <w:rsid w:val="007751D5"/>
    <w:rsid w:val="007753EC"/>
    <w:rsid w:val="007753FF"/>
    <w:rsid w:val="007758E9"/>
    <w:rsid w:val="00775D0D"/>
    <w:rsid w:val="00775DBB"/>
    <w:rsid w:val="00776697"/>
    <w:rsid w:val="00776B8E"/>
    <w:rsid w:val="00776F3D"/>
    <w:rsid w:val="00777B69"/>
    <w:rsid w:val="00780039"/>
    <w:rsid w:val="007806DB"/>
    <w:rsid w:val="007808BF"/>
    <w:rsid w:val="00781810"/>
    <w:rsid w:val="00782959"/>
    <w:rsid w:val="0078303C"/>
    <w:rsid w:val="00783089"/>
    <w:rsid w:val="007836FE"/>
    <w:rsid w:val="007837F0"/>
    <w:rsid w:val="007838CE"/>
    <w:rsid w:val="00783E5C"/>
    <w:rsid w:val="007845AC"/>
    <w:rsid w:val="00785791"/>
    <w:rsid w:val="00787627"/>
    <w:rsid w:val="007876AB"/>
    <w:rsid w:val="00787E12"/>
    <w:rsid w:val="00787FCD"/>
    <w:rsid w:val="00787FD9"/>
    <w:rsid w:val="007901D5"/>
    <w:rsid w:val="00790B7F"/>
    <w:rsid w:val="0079143F"/>
    <w:rsid w:val="0079191E"/>
    <w:rsid w:val="00791CA6"/>
    <w:rsid w:val="00792D89"/>
    <w:rsid w:val="0079327A"/>
    <w:rsid w:val="007937D6"/>
    <w:rsid w:val="00793DF4"/>
    <w:rsid w:val="00793FCB"/>
    <w:rsid w:val="00794552"/>
    <w:rsid w:val="007948CA"/>
    <w:rsid w:val="00794C55"/>
    <w:rsid w:val="00795244"/>
    <w:rsid w:val="00795774"/>
    <w:rsid w:val="007965DA"/>
    <w:rsid w:val="00796799"/>
    <w:rsid w:val="00796CB6"/>
    <w:rsid w:val="007972F8"/>
    <w:rsid w:val="00797731"/>
    <w:rsid w:val="0079793E"/>
    <w:rsid w:val="007A0B7C"/>
    <w:rsid w:val="007A0BD1"/>
    <w:rsid w:val="007A0CBB"/>
    <w:rsid w:val="007A0D3D"/>
    <w:rsid w:val="007A1936"/>
    <w:rsid w:val="007A1D4F"/>
    <w:rsid w:val="007A3009"/>
    <w:rsid w:val="007A3390"/>
    <w:rsid w:val="007A3A09"/>
    <w:rsid w:val="007A3B0E"/>
    <w:rsid w:val="007A3B9C"/>
    <w:rsid w:val="007A484B"/>
    <w:rsid w:val="007A4857"/>
    <w:rsid w:val="007A56D9"/>
    <w:rsid w:val="007A59CA"/>
    <w:rsid w:val="007A5DA1"/>
    <w:rsid w:val="007A5EF7"/>
    <w:rsid w:val="007A6149"/>
    <w:rsid w:val="007A647C"/>
    <w:rsid w:val="007A71BC"/>
    <w:rsid w:val="007A73A5"/>
    <w:rsid w:val="007A760C"/>
    <w:rsid w:val="007A78BA"/>
    <w:rsid w:val="007B0306"/>
    <w:rsid w:val="007B05AC"/>
    <w:rsid w:val="007B0AB6"/>
    <w:rsid w:val="007B119E"/>
    <w:rsid w:val="007B2A37"/>
    <w:rsid w:val="007B30DD"/>
    <w:rsid w:val="007B385F"/>
    <w:rsid w:val="007B3B25"/>
    <w:rsid w:val="007B4348"/>
    <w:rsid w:val="007B514C"/>
    <w:rsid w:val="007B51C0"/>
    <w:rsid w:val="007B562A"/>
    <w:rsid w:val="007B5860"/>
    <w:rsid w:val="007B60EF"/>
    <w:rsid w:val="007B6B28"/>
    <w:rsid w:val="007B6CDF"/>
    <w:rsid w:val="007B6CF7"/>
    <w:rsid w:val="007B6EDA"/>
    <w:rsid w:val="007B79B1"/>
    <w:rsid w:val="007B7B5D"/>
    <w:rsid w:val="007B7FF0"/>
    <w:rsid w:val="007C00FE"/>
    <w:rsid w:val="007C0487"/>
    <w:rsid w:val="007C0BB1"/>
    <w:rsid w:val="007C12EC"/>
    <w:rsid w:val="007C1347"/>
    <w:rsid w:val="007C1355"/>
    <w:rsid w:val="007C16BB"/>
    <w:rsid w:val="007C1BD6"/>
    <w:rsid w:val="007C1D5E"/>
    <w:rsid w:val="007C270E"/>
    <w:rsid w:val="007C2BC4"/>
    <w:rsid w:val="007C3213"/>
    <w:rsid w:val="007C359B"/>
    <w:rsid w:val="007C36BD"/>
    <w:rsid w:val="007C3927"/>
    <w:rsid w:val="007C3A49"/>
    <w:rsid w:val="007C3B3A"/>
    <w:rsid w:val="007C429D"/>
    <w:rsid w:val="007C4494"/>
    <w:rsid w:val="007C4599"/>
    <w:rsid w:val="007C4DB2"/>
    <w:rsid w:val="007C51D4"/>
    <w:rsid w:val="007C5220"/>
    <w:rsid w:val="007C612C"/>
    <w:rsid w:val="007C6B83"/>
    <w:rsid w:val="007C7A38"/>
    <w:rsid w:val="007C7AC6"/>
    <w:rsid w:val="007C7DB7"/>
    <w:rsid w:val="007D058C"/>
    <w:rsid w:val="007D0D5B"/>
    <w:rsid w:val="007D10CF"/>
    <w:rsid w:val="007D119B"/>
    <w:rsid w:val="007D1252"/>
    <w:rsid w:val="007D1528"/>
    <w:rsid w:val="007D2031"/>
    <w:rsid w:val="007D24E6"/>
    <w:rsid w:val="007D305A"/>
    <w:rsid w:val="007D3116"/>
    <w:rsid w:val="007D37F5"/>
    <w:rsid w:val="007D4480"/>
    <w:rsid w:val="007D586A"/>
    <w:rsid w:val="007D59FA"/>
    <w:rsid w:val="007D5C30"/>
    <w:rsid w:val="007D5D69"/>
    <w:rsid w:val="007D645D"/>
    <w:rsid w:val="007D6677"/>
    <w:rsid w:val="007D6A41"/>
    <w:rsid w:val="007D6C1E"/>
    <w:rsid w:val="007D7088"/>
    <w:rsid w:val="007E0E6F"/>
    <w:rsid w:val="007E14DF"/>
    <w:rsid w:val="007E183B"/>
    <w:rsid w:val="007E2624"/>
    <w:rsid w:val="007E2E86"/>
    <w:rsid w:val="007E3449"/>
    <w:rsid w:val="007E34CF"/>
    <w:rsid w:val="007E35A7"/>
    <w:rsid w:val="007E3A14"/>
    <w:rsid w:val="007E3AC7"/>
    <w:rsid w:val="007E4095"/>
    <w:rsid w:val="007E6067"/>
    <w:rsid w:val="007E6F2D"/>
    <w:rsid w:val="007E7108"/>
    <w:rsid w:val="007E764E"/>
    <w:rsid w:val="007F005B"/>
    <w:rsid w:val="007F02DD"/>
    <w:rsid w:val="007F03F7"/>
    <w:rsid w:val="007F0BBF"/>
    <w:rsid w:val="007F10B5"/>
    <w:rsid w:val="007F17EB"/>
    <w:rsid w:val="007F184D"/>
    <w:rsid w:val="007F2554"/>
    <w:rsid w:val="007F27B9"/>
    <w:rsid w:val="007F29F0"/>
    <w:rsid w:val="007F3687"/>
    <w:rsid w:val="007F3AC6"/>
    <w:rsid w:val="007F3CCE"/>
    <w:rsid w:val="007F3F5D"/>
    <w:rsid w:val="007F497B"/>
    <w:rsid w:val="007F515C"/>
    <w:rsid w:val="007F6674"/>
    <w:rsid w:val="007F6727"/>
    <w:rsid w:val="007F7FC0"/>
    <w:rsid w:val="0080023C"/>
    <w:rsid w:val="00800329"/>
    <w:rsid w:val="00800F40"/>
    <w:rsid w:val="008021A3"/>
    <w:rsid w:val="00802C0F"/>
    <w:rsid w:val="00802C71"/>
    <w:rsid w:val="008031B6"/>
    <w:rsid w:val="0080324D"/>
    <w:rsid w:val="0080367F"/>
    <w:rsid w:val="00803E65"/>
    <w:rsid w:val="00805335"/>
    <w:rsid w:val="00805650"/>
    <w:rsid w:val="008058DA"/>
    <w:rsid w:val="008059E8"/>
    <w:rsid w:val="00805DB8"/>
    <w:rsid w:val="00805F61"/>
    <w:rsid w:val="0080724D"/>
    <w:rsid w:val="00810D05"/>
    <w:rsid w:val="0081123E"/>
    <w:rsid w:val="0081130E"/>
    <w:rsid w:val="00811724"/>
    <w:rsid w:val="008134C8"/>
    <w:rsid w:val="00813B0C"/>
    <w:rsid w:val="008143CB"/>
    <w:rsid w:val="00814B4C"/>
    <w:rsid w:val="00815940"/>
    <w:rsid w:val="00815AA3"/>
    <w:rsid w:val="00815BEB"/>
    <w:rsid w:val="00815E85"/>
    <w:rsid w:val="00816816"/>
    <w:rsid w:val="008168D0"/>
    <w:rsid w:val="008206EF"/>
    <w:rsid w:val="00820CA2"/>
    <w:rsid w:val="008218B4"/>
    <w:rsid w:val="008225C5"/>
    <w:rsid w:val="00822EDD"/>
    <w:rsid w:val="00822EF2"/>
    <w:rsid w:val="00823595"/>
    <w:rsid w:val="00823944"/>
    <w:rsid w:val="00823B77"/>
    <w:rsid w:val="00824658"/>
    <w:rsid w:val="00824889"/>
    <w:rsid w:val="00824FA2"/>
    <w:rsid w:val="008256AC"/>
    <w:rsid w:val="008257DD"/>
    <w:rsid w:val="00825B5C"/>
    <w:rsid w:val="00825EC5"/>
    <w:rsid w:val="00826FCB"/>
    <w:rsid w:val="00827847"/>
    <w:rsid w:val="00830BB8"/>
    <w:rsid w:val="008316C3"/>
    <w:rsid w:val="0083177C"/>
    <w:rsid w:val="008318A6"/>
    <w:rsid w:val="00831C9B"/>
    <w:rsid w:val="00832121"/>
    <w:rsid w:val="00832542"/>
    <w:rsid w:val="00832627"/>
    <w:rsid w:val="008329C4"/>
    <w:rsid w:val="00832D38"/>
    <w:rsid w:val="00833277"/>
    <w:rsid w:val="008339C3"/>
    <w:rsid w:val="008346F9"/>
    <w:rsid w:val="00834A35"/>
    <w:rsid w:val="0083509A"/>
    <w:rsid w:val="008352A6"/>
    <w:rsid w:val="0083558F"/>
    <w:rsid w:val="0083561C"/>
    <w:rsid w:val="00836AAE"/>
    <w:rsid w:val="008373F9"/>
    <w:rsid w:val="008378EB"/>
    <w:rsid w:val="00837BB1"/>
    <w:rsid w:val="00837C6D"/>
    <w:rsid w:val="00837FD4"/>
    <w:rsid w:val="00840082"/>
    <w:rsid w:val="008401C4"/>
    <w:rsid w:val="0084078A"/>
    <w:rsid w:val="008416F1"/>
    <w:rsid w:val="00841984"/>
    <w:rsid w:val="00843468"/>
    <w:rsid w:val="00843818"/>
    <w:rsid w:val="00843FC3"/>
    <w:rsid w:val="008445E1"/>
    <w:rsid w:val="0084468C"/>
    <w:rsid w:val="00844B37"/>
    <w:rsid w:val="008452FE"/>
    <w:rsid w:val="0084578E"/>
    <w:rsid w:val="008464C7"/>
    <w:rsid w:val="008470A4"/>
    <w:rsid w:val="00847773"/>
    <w:rsid w:val="008478E5"/>
    <w:rsid w:val="0085006E"/>
    <w:rsid w:val="008506A5"/>
    <w:rsid w:val="008519D1"/>
    <w:rsid w:val="008520CE"/>
    <w:rsid w:val="0085262A"/>
    <w:rsid w:val="00852656"/>
    <w:rsid w:val="00853134"/>
    <w:rsid w:val="00853420"/>
    <w:rsid w:val="00854876"/>
    <w:rsid w:val="008549D8"/>
    <w:rsid w:val="00854C7B"/>
    <w:rsid w:val="00854FC0"/>
    <w:rsid w:val="008554EF"/>
    <w:rsid w:val="00855D82"/>
    <w:rsid w:val="00855E48"/>
    <w:rsid w:val="00856CC7"/>
    <w:rsid w:val="00856F95"/>
    <w:rsid w:val="00857EF5"/>
    <w:rsid w:val="0086104F"/>
    <w:rsid w:val="00861E97"/>
    <w:rsid w:val="008622AF"/>
    <w:rsid w:val="00862AAD"/>
    <w:rsid w:val="00863213"/>
    <w:rsid w:val="0086368B"/>
    <w:rsid w:val="00863FC3"/>
    <w:rsid w:val="0086472C"/>
    <w:rsid w:val="00864C0D"/>
    <w:rsid w:val="008651B3"/>
    <w:rsid w:val="00865346"/>
    <w:rsid w:val="00865507"/>
    <w:rsid w:val="00865E22"/>
    <w:rsid w:val="0086670A"/>
    <w:rsid w:val="008672CE"/>
    <w:rsid w:val="0087013D"/>
    <w:rsid w:val="008707BB"/>
    <w:rsid w:val="00870B86"/>
    <w:rsid w:val="008711ED"/>
    <w:rsid w:val="00871578"/>
    <w:rsid w:val="00871681"/>
    <w:rsid w:val="00871701"/>
    <w:rsid w:val="00871B41"/>
    <w:rsid w:val="008730A9"/>
    <w:rsid w:val="00873282"/>
    <w:rsid w:val="00873AE7"/>
    <w:rsid w:val="00873F86"/>
    <w:rsid w:val="00874178"/>
    <w:rsid w:val="008747FD"/>
    <w:rsid w:val="008749DF"/>
    <w:rsid w:val="00874DAF"/>
    <w:rsid w:val="008754ED"/>
    <w:rsid w:val="00875643"/>
    <w:rsid w:val="00875924"/>
    <w:rsid w:val="00875AAE"/>
    <w:rsid w:val="00875CE9"/>
    <w:rsid w:val="008766C4"/>
    <w:rsid w:val="008766D9"/>
    <w:rsid w:val="00876AFE"/>
    <w:rsid w:val="00876F5B"/>
    <w:rsid w:val="00877127"/>
    <w:rsid w:val="008778F4"/>
    <w:rsid w:val="00877F41"/>
    <w:rsid w:val="00881704"/>
    <w:rsid w:val="008819E7"/>
    <w:rsid w:val="008822F6"/>
    <w:rsid w:val="00882D88"/>
    <w:rsid w:val="00882DC2"/>
    <w:rsid w:val="00883C99"/>
    <w:rsid w:val="00883CFD"/>
    <w:rsid w:val="00883EF3"/>
    <w:rsid w:val="0088430B"/>
    <w:rsid w:val="00884F35"/>
    <w:rsid w:val="008851C4"/>
    <w:rsid w:val="008859A5"/>
    <w:rsid w:val="00885C6E"/>
    <w:rsid w:val="0088687E"/>
    <w:rsid w:val="00886ADE"/>
    <w:rsid w:val="0088772E"/>
    <w:rsid w:val="0088782B"/>
    <w:rsid w:val="00890126"/>
    <w:rsid w:val="008902CF"/>
    <w:rsid w:val="0089053E"/>
    <w:rsid w:val="0089081A"/>
    <w:rsid w:val="00890A2A"/>
    <w:rsid w:val="00890B4B"/>
    <w:rsid w:val="00890F40"/>
    <w:rsid w:val="0089114F"/>
    <w:rsid w:val="00891607"/>
    <w:rsid w:val="008916D7"/>
    <w:rsid w:val="00891DFC"/>
    <w:rsid w:val="00892264"/>
    <w:rsid w:val="00892368"/>
    <w:rsid w:val="00892A9A"/>
    <w:rsid w:val="00892B49"/>
    <w:rsid w:val="00892C34"/>
    <w:rsid w:val="008933A6"/>
    <w:rsid w:val="00893B15"/>
    <w:rsid w:val="00893D15"/>
    <w:rsid w:val="00893D4D"/>
    <w:rsid w:val="00893D8C"/>
    <w:rsid w:val="00894819"/>
    <w:rsid w:val="00894A3D"/>
    <w:rsid w:val="00894B90"/>
    <w:rsid w:val="008950E0"/>
    <w:rsid w:val="008954D2"/>
    <w:rsid w:val="0089558F"/>
    <w:rsid w:val="0089599D"/>
    <w:rsid w:val="00895F38"/>
    <w:rsid w:val="008965BC"/>
    <w:rsid w:val="0089661C"/>
    <w:rsid w:val="00897792"/>
    <w:rsid w:val="00897EB0"/>
    <w:rsid w:val="008A020A"/>
    <w:rsid w:val="008A02FF"/>
    <w:rsid w:val="008A0FD3"/>
    <w:rsid w:val="008A17C6"/>
    <w:rsid w:val="008A30B7"/>
    <w:rsid w:val="008A30BA"/>
    <w:rsid w:val="008A33D2"/>
    <w:rsid w:val="008A34F9"/>
    <w:rsid w:val="008A39A9"/>
    <w:rsid w:val="008A40F2"/>
    <w:rsid w:val="008A5549"/>
    <w:rsid w:val="008A561A"/>
    <w:rsid w:val="008A56EF"/>
    <w:rsid w:val="008A5B4C"/>
    <w:rsid w:val="008A5ECB"/>
    <w:rsid w:val="008A635B"/>
    <w:rsid w:val="008A6F68"/>
    <w:rsid w:val="008A6F84"/>
    <w:rsid w:val="008A7779"/>
    <w:rsid w:val="008A7AC3"/>
    <w:rsid w:val="008B0480"/>
    <w:rsid w:val="008B0636"/>
    <w:rsid w:val="008B0713"/>
    <w:rsid w:val="008B0ACD"/>
    <w:rsid w:val="008B0B4F"/>
    <w:rsid w:val="008B13E0"/>
    <w:rsid w:val="008B1B16"/>
    <w:rsid w:val="008B2542"/>
    <w:rsid w:val="008B333F"/>
    <w:rsid w:val="008B3868"/>
    <w:rsid w:val="008B3CDD"/>
    <w:rsid w:val="008B428A"/>
    <w:rsid w:val="008B4AD2"/>
    <w:rsid w:val="008B4B75"/>
    <w:rsid w:val="008B4EA1"/>
    <w:rsid w:val="008B597C"/>
    <w:rsid w:val="008B5CF7"/>
    <w:rsid w:val="008B5CFA"/>
    <w:rsid w:val="008B6215"/>
    <w:rsid w:val="008B71BB"/>
    <w:rsid w:val="008B7A61"/>
    <w:rsid w:val="008B7E47"/>
    <w:rsid w:val="008C0B50"/>
    <w:rsid w:val="008C2D3F"/>
    <w:rsid w:val="008C309C"/>
    <w:rsid w:val="008C4165"/>
    <w:rsid w:val="008C47B8"/>
    <w:rsid w:val="008C4E77"/>
    <w:rsid w:val="008C5EF6"/>
    <w:rsid w:val="008C6D83"/>
    <w:rsid w:val="008C6F25"/>
    <w:rsid w:val="008C707D"/>
    <w:rsid w:val="008C70D7"/>
    <w:rsid w:val="008C7621"/>
    <w:rsid w:val="008C7C37"/>
    <w:rsid w:val="008D06BF"/>
    <w:rsid w:val="008D1553"/>
    <w:rsid w:val="008D1BD8"/>
    <w:rsid w:val="008D1DBA"/>
    <w:rsid w:val="008D1E1F"/>
    <w:rsid w:val="008D2139"/>
    <w:rsid w:val="008D257D"/>
    <w:rsid w:val="008D28DB"/>
    <w:rsid w:val="008D2A96"/>
    <w:rsid w:val="008D36C3"/>
    <w:rsid w:val="008D3ED8"/>
    <w:rsid w:val="008D4128"/>
    <w:rsid w:val="008D44CB"/>
    <w:rsid w:val="008D4A1E"/>
    <w:rsid w:val="008D4C22"/>
    <w:rsid w:val="008D4C27"/>
    <w:rsid w:val="008D51D3"/>
    <w:rsid w:val="008D5309"/>
    <w:rsid w:val="008D59F4"/>
    <w:rsid w:val="008D5F28"/>
    <w:rsid w:val="008D60F8"/>
    <w:rsid w:val="008D6D93"/>
    <w:rsid w:val="008D7110"/>
    <w:rsid w:val="008D732A"/>
    <w:rsid w:val="008D7B16"/>
    <w:rsid w:val="008E0625"/>
    <w:rsid w:val="008E0EC7"/>
    <w:rsid w:val="008E1099"/>
    <w:rsid w:val="008E1533"/>
    <w:rsid w:val="008E1793"/>
    <w:rsid w:val="008E1E8C"/>
    <w:rsid w:val="008E3557"/>
    <w:rsid w:val="008E37A5"/>
    <w:rsid w:val="008E3D08"/>
    <w:rsid w:val="008E3EA9"/>
    <w:rsid w:val="008E3EF4"/>
    <w:rsid w:val="008E52A4"/>
    <w:rsid w:val="008E5B45"/>
    <w:rsid w:val="008E5E45"/>
    <w:rsid w:val="008E6156"/>
    <w:rsid w:val="008E6C67"/>
    <w:rsid w:val="008E6EB3"/>
    <w:rsid w:val="008E7789"/>
    <w:rsid w:val="008F04C3"/>
    <w:rsid w:val="008F0830"/>
    <w:rsid w:val="008F0D6C"/>
    <w:rsid w:val="008F0F0D"/>
    <w:rsid w:val="008F21A3"/>
    <w:rsid w:val="008F2802"/>
    <w:rsid w:val="008F37B4"/>
    <w:rsid w:val="008F3E7B"/>
    <w:rsid w:val="008F3EDB"/>
    <w:rsid w:val="008F5BCC"/>
    <w:rsid w:val="008F5FE5"/>
    <w:rsid w:val="008F617C"/>
    <w:rsid w:val="008F66FF"/>
    <w:rsid w:val="008F6842"/>
    <w:rsid w:val="008F6878"/>
    <w:rsid w:val="008F7284"/>
    <w:rsid w:val="008F72ED"/>
    <w:rsid w:val="008F7336"/>
    <w:rsid w:val="008F77AF"/>
    <w:rsid w:val="008F7893"/>
    <w:rsid w:val="009007B4"/>
    <w:rsid w:val="00900D04"/>
    <w:rsid w:val="009026EB"/>
    <w:rsid w:val="00902C11"/>
    <w:rsid w:val="00902CA3"/>
    <w:rsid w:val="00902DD6"/>
    <w:rsid w:val="009033BB"/>
    <w:rsid w:val="009045E9"/>
    <w:rsid w:val="00904A80"/>
    <w:rsid w:val="00904E6A"/>
    <w:rsid w:val="00904E98"/>
    <w:rsid w:val="009053F1"/>
    <w:rsid w:val="00905CB6"/>
    <w:rsid w:val="009060CB"/>
    <w:rsid w:val="0090652A"/>
    <w:rsid w:val="00906E08"/>
    <w:rsid w:val="009077CE"/>
    <w:rsid w:val="00907806"/>
    <w:rsid w:val="00907D9A"/>
    <w:rsid w:val="00907EF8"/>
    <w:rsid w:val="00910DBD"/>
    <w:rsid w:val="009129B4"/>
    <w:rsid w:val="0091328E"/>
    <w:rsid w:val="009138CD"/>
    <w:rsid w:val="00913E03"/>
    <w:rsid w:val="00914193"/>
    <w:rsid w:val="009146DB"/>
    <w:rsid w:val="00914824"/>
    <w:rsid w:val="00914BFC"/>
    <w:rsid w:val="0091517D"/>
    <w:rsid w:val="00915438"/>
    <w:rsid w:val="0091578E"/>
    <w:rsid w:val="0091583B"/>
    <w:rsid w:val="00916571"/>
    <w:rsid w:val="00916FD9"/>
    <w:rsid w:val="00917865"/>
    <w:rsid w:val="009178E1"/>
    <w:rsid w:val="009202DC"/>
    <w:rsid w:val="009203CE"/>
    <w:rsid w:val="009206E1"/>
    <w:rsid w:val="009209D8"/>
    <w:rsid w:val="00920AE7"/>
    <w:rsid w:val="00920B9E"/>
    <w:rsid w:val="0092122F"/>
    <w:rsid w:val="00921E5F"/>
    <w:rsid w:val="00922B76"/>
    <w:rsid w:val="0092350E"/>
    <w:rsid w:val="00923552"/>
    <w:rsid w:val="0092382F"/>
    <w:rsid w:val="00925A65"/>
    <w:rsid w:val="00925C53"/>
    <w:rsid w:val="00925FBC"/>
    <w:rsid w:val="009261D3"/>
    <w:rsid w:val="009274D1"/>
    <w:rsid w:val="0092751C"/>
    <w:rsid w:val="00927942"/>
    <w:rsid w:val="00927D3D"/>
    <w:rsid w:val="009301AE"/>
    <w:rsid w:val="00931B98"/>
    <w:rsid w:val="009328F6"/>
    <w:rsid w:val="00933128"/>
    <w:rsid w:val="009334BD"/>
    <w:rsid w:val="00933A76"/>
    <w:rsid w:val="00933C55"/>
    <w:rsid w:val="00934482"/>
    <w:rsid w:val="00934A14"/>
    <w:rsid w:val="00935018"/>
    <w:rsid w:val="00935131"/>
    <w:rsid w:val="009353CE"/>
    <w:rsid w:val="009374BC"/>
    <w:rsid w:val="009375A1"/>
    <w:rsid w:val="009379C8"/>
    <w:rsid w:val="00937A00"/>
    <w:rsid w:val="00940ADA"/>
    <w:rsid w:val="00940CA6"/>
    <w:rsid w:val="00940EC5"/>
    <w:rsid w:val="0094170E"/>
    <w:rsid w:val="009421D6"/>
    <w:rsid w:val="0094228C"/>
    <w:rsid w:val="00942D59"/>
    <w:rsid w:val="00943251"/>
    <w:rsid w:val="009434C0"/>
    <w:rsid w:val="009434FC"/>
    <w:rsid w:val="0094383A"/>
    <w:rsid w:val="0094394E"/>
    <w:rsid w:val="00943EC3"/>
    <w:rsid w:val="00943F87"/>
    <w:rsid w:val="00944444"/>
    <w:rsid w:val="00944594"/>
    <w:rsid w:val="00945124"/>
    <w:rsid w:val="00945579"/>
    <w:rsid w:val="00945A2C"/>
    <w:rsid w:val="00946517"/>
    <w:rsid w:val="009469C3"/>
    <w:rsid w:val="00947009"/>
    <w:rsid w:val="00950F87"/>
    <w:rsid w:val="009516EA"/>
    <w:rsid w:val="00952050"/>
    <w:rsid w:val="00952890"/>
    <w:rsid w:val="00953450"/>
    <w:rsid w:val="009537E4"/>
    <w:rsid w:val="00953897"/>
    <w:rsid w:val="009539B8"/>
    <w:rsid w:val="009539FC"/>
    <w:rsid w:val="00953C0E"/>
    <w:rsid w:val="00953C88"/>
    <w:rsid w:val="00953DB8"/>
    <w:rsid w:val="00954028"/>
    <w:rsid w:val="009548A0"/>
    <w:rsid w:val="009548CB"/>
    <w:rsid w:val="00954B7D"/>
    <w:rsid w:val="00954EA6"/>
    <w:rsid w:val="00955E32"/>
    <w:rsid w:val="00956017"/>
    <w:rsid w:val="009566B5"/>
    <w:rsid w:val="00957941"/>
    <w:rsid w:val="009600C7"/>
    <w:rsid w:val="0096039B"/>
    <w:rsid w:val="00960BC7"/>
    <w:rsid w:val="00960F0C"/>
    <w:rsid w:val="009613CF"/>
    <w:rsid w:val="00961782"/>
    <w:rsid w:val="00962444"/>
    <w:rsid w:val="009636BF"/>
    <w:rsid w:val="00963AE9"/>
    <w:rsid w:val="00964A87"/>
    <w:rsid w:val="00964D19"/>
    <w:rsid w:val="00964D8D"/>
    <w:rsid w:val="00965063"/>
    <w:rsid w:val="00965ECF"/>
    <w:rsid w:val="00966601"/>
    <w:rsid w:val="00966D84"/>
    <w:rsid w:val="00966E70"/>
    <w:rsid w:val="00967C4B"/>
    <w:rsid w:val="00967DAD"/>
    <w:rsid w:val="0097029A"/>
    <w:rsid w:val="00970C3D"/>
    <w:rsid w:val="00970EED"/>
    <w:rsid w:val="00971180"/>
    <w:rsid w:val="009715C0"/>
    <w:rsid w:val="00971762"/>
    <w:rsid w:val="00971A16"/>
    <w:rsid w:val="00971C51"/>
    <w:rsid w:val="009722AD"/>
    <w:rsid w:val="0097307C"/>
    <w:rsid w:val="009730C5"/>
    <w:rsid w:val="00973C18"/>
    <w:rsid w:val="00973C82"/>
    <w:rsid w:val="00973EAF"/>
    <w:rsid w:val="00974059"/>
    <w:rsid w:val="00974769"/>
    <w:rsid w:val="00974AFC"/>
    <w:rsid w:val="00974C79"/>
    <w:rsid w:val="00974CF1"/>
    <w:rsid w:val="00975608"/>
    <w:rsid w:val="009758AC"/>
    <w:rsid w:val="00975DAC"/>
    <w:rsid w:val="00976033"/>
    <w:rsid w:val="0097619A"/>
    <w:rsid w:val="00976860"/>
    <w:rsid w:val="00976D4F"/>
    <w:rsid w:val="00977BC1"/>
    <w:rsid w:val="0098028E"/>
    <w:rsid w:val="0098042B"/>
    <w:rsid w:val="00980650"/>
    <w:rsid w:val="00981A60"/>
    <w:rsid w:val="009820DD"/>
    <w:rsid w:val="00982D5F"/>
    <w:rsid w:val="00982EBE"/>
    <w:rsid w:val="009841D6"/>
    <w:rsid w:val="0098448E"/>
    <w:rsid w:val="00984BFF"/>
    <w:rsid w:val="00985355"/>
    <w:rsid w:val="00985808"/>
    <w:rsid w:val="009866D0"/>
    <w:rsid w:val="00986CAC"/>
    <w:rsid w:val="00986CB0"/>
    <w:rsid w:val="00986FA3"/>
    <w:rsid w:val="00987193"/>
    <w:rsid w:val="0098726B"/>
    <w:rsid w:val="009879B6"/>
    <w:rsid w:val="00987D88"/>
    <w:rsid w:val="00987F26"/>
    <w:rsid w:val="0099009A"/>
    <w:rsid w:val="00990507"/>
    <w:rsid w:val="00990BD7"/>
    <w:rsid w:val="00990BE0"/>
    <w:rsid w:val="00991A93"/>
    <w:rsid w:val="00991DE1"/>
    <w:rsid w:val="009923E0"/>
    <w:rsid w:val="0099344E"/>
    <w:rsid w:val="00993709"/>
    <w:rsid w:val="00993DB6"/>
    <w:rsid w:val="00994729"/>
    <w:rsid w:val="0099513B"/>
    <w:rsid w:val="0099558D"/>
    <w:rsid w:val="0099580B"/>
    <w:rsid w:val="009965C1"/>
    <w:rsid w:val="009969CF"/>
    <w:rsid w:val="00996E35"/>
    <w:rsid w:val="00997403"/>
    <w:rsid w:val="00997F0D"/>
    <w:rsid w:val="009A00BE"/>
    <w:rsid w:val="009A0834"/>
    <w:rsid w:val="009A0AFE"/>
    <w:rsid w:val="009A1733"/>
    <w:rsid w:val="009A22F2"/>
    <w:rsid w:val="009A376D"/>
    <w:rsid w:val="009A4272"/>
    <w:rsid w:val="009A43BE"/>
    <w:rsid w:val="009A46BC"/>
    <w:rsid w:val="009A4AFD"/>
    <w:rsid w:val="009A4B4B"/>
    <w:rsid w:val="009A4CB5"/>
    <w:rsid w:val="009A4DE1"/>
    <w:rsid w:val="009A5121"/>
    <w:rsid w:val="009A5609"/>
    <w:rsid w:val="009A5C09"/>
    <w:rsid w:val="009A5DF8"/>
    <w:rsid w:val="009A6E16"/>
    <w:rsid w:val="009A7CEB"/>
    <w:rsid w:val="009A7EC3"/>
    <w:rsid w:val="009B024F"/>
    <w:rsid w:val="009B16C3"/>
    <w:rsid w:val="009B1D9B"/>
    <w:rsid w:val="009B2057"/>
    <w:rsid w:val="009B269F"/>
    <w:rsid w:val="009B2EF8"/>
    <w:rsid w:val="009B35FB"/>
    <w:rsid w:val="009B3A40"/>
    <w:rsid w:val="009B3E18"/>
    <w:rsid w:val="009B46A6"/>
    <w:rsid w:val="009B49BA"/>
    <w:rsid w:val="009B4E91"/>
    <w:rsid w:val="009B54DB"/>
    <w:rsid w:val="009B5561"/>
    <w:rsid w:val="009B6592"/>
    <w:rsid w:val="009B69FA"/>
    <w:rsid w:val="009B7453"/>
    <w:rsid w:val="009B789F"/>
    <w:rsid w:val="009B7B28"/>
    <w:rsid w:val="009B7E80"/>
    <w:rsid w:val="009C00D2"/>
    <w:rsid w:val="009C018F"/>
    <w:rsid w:val="009C11FD"/>
    <w:rsid w:val="009C19D8"/>
    <w:rsid w:val="009C1C88"/>
    <w:rsid w:val="009C20CF"/>
    <w:rsid w:val="009C24AC"/>
    <w:rsid w:val="009C2C9B"/>
    <w:rsid w:val="009C2CAB"/>
    <w:rsid w:val="009C3209"/>
    <w:rsid w:val="009C35A4"/>
    <w:rsid w:val="009C360D"/>
    <w:rsid w:val="009C4689"/>
    <w:rsid w:val="009C5976"/>
    <w:rsid w:val="009C5A84"/>
    <w:rsid w:val="009C5C13"/>
    <w:rsid w:val="009C5FF5"/>
    <w:rsid w:val="009C62A5"/>
    <w:rsid w:val="009C77CF"/>
    <w:rsid w:val="009C7D17"/>
    <w:rsid w:val="009D0932"/>
    <w:rsid w:val="009D0B13"/>
    <w:rsid w:val="009D1043"/>
    <w:rsid w:val="009D1E0E"/>
    <w:rsid w:val="009D219A"/>
    <w:rsid w:val="009D22A3"/>
    <w:rsid w:val="009D2941"/>
    <w:rsid w:val="009D305A"/>
    <w:rsid w:val="009D3451"/>
    <w:rsid w:val="009D3D32"/>
    <w:rsid w:val="009D40B9"/>
    <w:rsid w:val="009D4A20"/>
    <w:rsid w:val="009D55A8"/>
    <w:rsid w:val="009D5C42"/>
    <w:rsid w:val="009D5EE7"/>
    <w:rsid w:val="009D60CC"/>
    <w:rsid w:val="009D725E"/>
    <w:rsid w:val="009D75E0"/>
    <w:rsid w:val="009D771B"/>
    <w:rsid w:val="009D7837"/>
    <w:rsid w:val="009D7DD7"/>
    <w:rsid w:val="009E024B"/>
    <w:rsid w:val="009E0BCB"/>
    <w:rsid w:val="009E182E"/>
    <w:rsid w:val="009E1A68"/>
    <w:rsid w:val="009E3B6D"/>
    <w:rsid w:val="009E3C16"/>
    <w:rsid w:val="009E3E9B"/>
    <w:rsid w:val="009E4277"/>
    <w:rsid w:val="009E42F3"/>
    <w:rsid w:val="009E453F"/>
    <w:rsid w:val="009E47BF"/>
    <w:rsid w:val="009E4930"/>
    <w:rsid w:val="009E4A14"/>
    <w:rsid w:val="009E4CB8"/>
    <w:rsid w:val="009E52AA"/>
    <w:rsid w:val="009E5467"/>
    <w:rsid w:val="009E63C6"/>
    <w:rsid w:val="009E6763"/>
    <w:rsid w:val="009E68F5"/>
    <w:rsid w:val="009E6E3C"/>
    <w:rsid w:val="009E7D4A"/>
    <w:rsid w:val="009E7F04"/>
    <w:rsid w:val="009F0394"/>
    <w:rsid w:val="009F040A"/>
    <w:rsid w:val="009F14AD"/>
    <w:rsid w:val="009F159A"/>
    <w:rsid w:val="009F1F05"/>
    <w:rsid w:val="009F1FEA"/>
    <w:rsid w:val="009F2334"/>
    <w:rsid w:val="009F2691"/>
    <w:rsid w:val="009F273E"/>
    <w:rsid w:val="009F3038"/>
    <w:rsid w:val="009F3DFB"/>
    <w:rsid w:val="009F4133"/>
    <w:rsid w:val="009F4695"/>
    <w:rsid w:val="009F46D5"/>
    <w:rsid w:val="009F4942"/>
    <w:rsid w:val="009F49FB"/>
    <w:rsid w:val="009F4D21"/>
    <w:rsid w:val="009F4E70"/>
    <w:rsid w:val="009F56B2"/>
    <w:rsid w:val="009F573A"/>
    <w:rsid w:val="009F579C"/>
    <w:rsid w:val="009F615E"/>
    <w:rsid w:val="009F6703"/>
    <w:rsid w:val="009F675E"/>
    <w:rsid w:val="009F6BE2"/>
    <w:rsid w:val="009F6C5D"/>
    <w:rsid w:val="009F6F71"/>
    <w:rsid w:val="009F7430"/>
    <w:rsid w:val="009F756D"/>
    <w:rsid w:val="009F7F41"/>
    <w:rsid w:val="00A001E3"/>
    <w:rsid w:val="00A00D01"/>
    <w:rsid w:val="00A010FE"/>
    <w:rsid w:val="00A01F18"/>
    <w:rsid w:val="00A024E4"/>
    <w:rsid w:val="00A02F52"/>
    <w:rsid w:val="00A0456E"/>
    <w:rsid w:val="00A0481B"/>
    <w:rsid w:val="00A04A84"/>
    <w:rsid w:val="00A04AFD"/>
    <w:rsid w:val="00A04CDD"/>
    <w:rsid w:val="00A0539A"/>
    <w:rsid w:val="00A0578C"/>
    <w:rsid w:val="00A05EE2"/>
    <w:rsid w:val="00A06538"/>
    <w:rsid w:val="00A065DC"/>
    <w:rsid w:val="00A0715B"/>
    <w:rsid w:val="00A072E7"/>
    <w:rsid w:val="00A076D5"/>
    <w:rsid w:val="00A07C53"/>
    <w:rsid w:val="00A10BD8"/>
    <w:rsid w:val="00A10DB5"/>
    <w:rsid w:val="00A11247"/>
    <w:rsid w:val="00A12727"/>
    <w:rsid w:val="00A12FB8"/>
    <w:rsid w:val="00A13002"/>
    <w:rsid w:val="00A135B0"/>
    <w:rsid w:val="00A1382F"/>
    <w:rsid w:val="00A13A33"/>
    <w:rsid w:val="00A13C63"/>
    <w:rsid w:val="00A141B7"/>
    <w:rsid w:val="00A14562"/>
    <w:rsid w:val="00A14676"/>
    <w:rsid w:val="00A149C8"/>
    <w:rsid w:val="00A14C07"/>
    <w:rsid w:val="00A14D1C"/>
    <w:rsid w:val="00A14D71"/>
    <w:rsid w:val="00A14E63"/>
    <w:rsid w:val="00A1501C"/>
    <w:rsid w:val="00A15278"/>
    <w:rsid w:val="00A1552B"/>
    <w:rsid w:val="00A156E2"/>
    <w:rsid w:val="00A15942"/>
    <w:rsid w:val="00A159BD"/>
    <w:rsid w:val="00A15C6A"/>
    <w:rsid w:val="00A15E59"/>
    <w:rsid w:val="00A15F37"/>
    <w:rsid w:val="00A16685"/>
    <w:rsid w:val="00A16784"/>
    <w:rsid w:val="00A16ADA"/>
    <w:rsid w:val="00A173C7"/>
    <w:rsid w:val="00A179F8"/>
    <w:rsid w:val="00A17A86"/>
    <w:rsid w:val="00A209EA"/>
    <w:rsid w:val="00A20F99"/>
    <w:rsid w:val="00A21369"/>
    <w:rsid w:val="00A214DE"/>
    <w:rsid w:val="00A22032"/>
    <w:rsid w:val="00A22463"/>
    <w:rsid w:val="00A22804"/>
    <w:rsid w:val="00A2286F"/>
    <w:rsid w:val="00A247D8"/>
    <w:rsid w:val="00A24901"/>
    <w:rsid w:val="00A24CE7"/>
    <w:rsid w:val="00A250F0"/>
    <w:rsid w:val="00A252A2"/>
    <w:rsid w:val="00A25531"/>
    <w:rsid w:val="00A25BED"/>
    <w:rsid w:val="00A25DE8"/>
    <w:rsid w:val="00A266D1"/>
    <w:rsid w:val="00A26B53"/>
    <w:rsid w:val="00A278B0"/>
    <w:rsid w:val="00A279C9"/>
    <w:rsid w:val="00A27F83"/>
    <w:rsid w:val="00A30FE9"/>
    <w:rsid w:val="00A32245"/>
    <w:rsid w:val="00A32F82"/>
    <w:rsid w:val="00A33125"/>
    <w:rsid w:val="00A34D6F"/>
    <w:rsid w:val="00A35792"/>
    <w:rsid w:val="00A35CFB"/>
    <w:rsid w:val="00A36549"/>
    <w:rsid w:val="00A36A70"/>
    <w:rsid w:val="00A376ED"/>
    <w:rsid w:val="00A3785B"/>
    <w:rsid w:val="00A37D26"/>
    <w:rsid w:val="00A37D2A"/>
    <w:rsid w:val="00A40425"/>
    <w:rsid w:val="00A4045E"/>
    <w:rsid w:val="00A40AD7"/>
    <w:rsid w:val="00A40C49"/>
    <w:rsid w:val="00A410A4"/>
    <w:rsid w:val="00A41280"/>
    <w:rsid w:val="00A41911"/>
    <w:rsid w:val="00A4193D"/>
    <w:rsid w:val="00A41DA8"/>
    <w:rsid w:val="00A41EEA"/>
    <w:rsid w:val="00A42C30"/>
    <w:rsid w:val="00A43201"/>
    <w:rsid w:val="00A4356C"/>
    <w:rsid w:val="00A4537E"/>
    <w:rsid w:val="00A45A1E"/>
    <w:rsid w:val="00A45EE6"/>
    <w:rsid w:val="00A466B6"/>
    <w:rsid w:val="00A47326"/>
    <w:rsid w:val="00A47379"/>
    <w:rsid w:val="00A475B7"/>
    <w:rsid w:val="00A47DB4"/>
    <w:rsid w:val="00A5032E"/>
    <w:rsid w:val="00A505C4"/>
    <w:rsid w:val="00A505DA"/>
    <w:rsid w:val="00A50706"/>
    <w:rsid w:val="00A5075C"/>
    <w:rsid w:val="00A5086C"/>
    <w:rsid w:val="00A50939"/>
    <w:rsid w:val="00A5146D"/>
    <w:rsid w:val="00A51C4C"/>
    <w:rsid w:val="00A51E16"/>
    <w:rsid w:val="00A53303"/>
    <w:rsid w:val="00A53410"/>
    <w:rsid w:val="00A53592"/>
    <w:rsid w:val="00A53C97"/>
    <w:rsid w:val="00A54349"/>
    <w:rsid w:val="00A5438C"/>
    <w:rsid w:val="00A5456C"/>
    <w:rsid w:val="00A5467B"/>
    <w:rsid w:val="00A54D3A"/>
    <w:rsid w:val="00A5520B"/>
    <w:rsid w:val="00A55714"/>
    <w:rsid w:val="00A564AA"/>
    <w:rsid w:val="00A56EAA"/>
    <w:rsid w:val="00A57030"/>
    <w:rsid w:val="00A57223"/>
    <w:rsid w:val="00A5752A"/>
    <w:rsid w:val="00A576ED"/>
    <w:rsid w:val="00A577BD"/>
    <w:rsid w:val="00A57862"/>
    <w:rsid w:val="00A606B1"/>
    <w:rsid w:val="00A609C7"/>
    <w:rsid w:val="00A60D48"/>
    <w:rsid w:val="00A60EEA"/>
    <w:rsid w:val="00A61431"/>
    <w:rsid w:val="00A61628"/>
    <w:rsid w:val="00A61D05"/>
    <w:rsid w:val="00A6233A"/>
    <w:rsid w:val="00A623AE"/>
    <w:rsid w:val="00A629D7"/>
    <w:rsid w:val="00A62CBC"/>
    <w:rsid w:val="00A62F63"/>
    <w:rsid w:val="00A6468F"/>
    <w:rsid w:val="00A65E63"/>
    <w:rsid w:val="00A65F0E"/>
    <w:rsid w:val="00A65FB1"/>
    <w:rsid w:val="00A661FF"/>
    <w:rsid w:val="00A66449"/>
    <w:rsid w:val="00A66856"/>
    <w:rsid w:val="00A6693B"/>
    <w:rsid w:val="00A669AB"/>
    <w:rsid w:val="00A673CB"/>
    <w:rsid w:val="00A675BE"/>
    <w:rsid w:val="00A67C0F"/>
    <w:rsid w:val="00A67C6E"/>
    <w:rsid w:val="00A7113B"/>
    <w:rsid w:val="00A7196C"/>
    <w:rsid w:val="00A72162"/>
    <w:rsid w:val="00A7264D"/>
    <w:rsid w:val="00A73B23"/>
    <w:rsid w:val="00A73DA2"/>
    <w:rsid w:val="00A743CC"/>
    <w:rsid w:val="00A744DC"/>
    <w:rsid w:val="00A750D8"/>
    <w:rsid w:val="00A76193"/>
    <w:rsid w:val="00A7643B"/>
    <w:rsid w:val="00A76BE2"/>
    <w:rsid w:val="00A7717A"/>
    <w:rsid w:val="00A772CB"/>
    <w:rsid w:val="00A77389"/>
    <w:rsid w:val="00A77614"/>
    <w:rsid w:val="00A77BA8"/>
    <w:rsid w:val="00A77F46"/>
    <w:rsid w:val="00A80AD0"/>
    <w:rsid w:val="00A80E5C"/>
    <w:rsid w:val="00A80F3E"/>
    <w:rsid w:val="00A81112"/>
    <w:rsid w:val="00A823B4"/>
    <w:rsid w:val="00A82618"/>
    <w:rsid w:val="00A8264C"/>
    <w:rsid w:val="00A83804"/>
    <w:rsid w:val="00A83BD2"/>
    <w:rsid w:val="00A83D77"/>
    <w:rsid w:val="00A83E39"/>
    <w:rsid w:val="00A83F8C"/>
    <w:rsid w:val="00A843A2"/>
    <w:rsid w:val="00A84C10"/>
    <w:rsid w:val="00A84C3D"/>
    <w:rsid w:val="00A84CBA"/>
    <w:rsid w:val="00A864C9"/>
    <w:rsid w:val="00A86575"/>
    <w:rsid w:val="00A86A88"/>
    <w:rsid w:val="00A876BB"/>
    <w:rsid w:val="00A900A0"/>
    <w:rsid w:val="00A903E7"/>
    <w:rsid w:val="00A91E9E"/>
    <w:rsid w:val="00A920CA"/>
    <w:rsid w:val="00A9237B"/>
    <w:rsid w:val="00A923F6"/>
    <w:rsid w:val="00A92D63"/>
    <w:rsid w:val="00A931A3"/>
    <w:rsid w:val="00A93CDC"/>
    <w:rsid w:val="00A94AA0"/>
    <w:rsid w:val="00A952E0"/>
    <w:rsid w:val="00A9533E"/>
    <w:rsid w:val="00A9555E"/>
    <w:rsid w:val="00A95D56"/>
    <w:rsid w:val="00A9604B"/>
    <w:rsid w:val="00A96600"/>
    <w:rsid w:val="00A97BCF"/>
    <w:rsid w:val="00AA0392"/>
    <w:rsid w:val="00AA217B"/>
    <w:rsid w:val="00AA2276"/>
    <w:rsid w:val="00AA2590"/>
    <w:rsid w:val="00AA371F"/>
    <w:rsid w:val="00AA3A27"/>
    <w:rsid w:val="00AA3D8C"/>
    <w:rsid w:val="00AA5403"/>
    <w:rsid w:val="00AA5C3C"/>
    <w:rsid w:val="00AA5D60"/>
    <w:rsid w:val="00AA609A"/>
    <w:rsid w:val="00AA6482"/>
    <w:rsid w:val="00AA6980"/>
    <w:rsid w:val="00AA6AEF"/>
    <w:rsid w:val="00AA6D20"/>
    <w:rsid w:val="00AA7441"/>
    <w:rsid w:val="00AA7482"/>
    <w:rsid w:val="00AA7685"/>
    <w:rsid w:val="00AA7ACA"/>
    <w:rsid w:val="00AA7C3D"/>
    <w:rsid w:val="00AB0154"/>
    <w:rsid w:val="00AB171D"/>
    <w:rsid w:val="00AB1D0E"/>
    <w:rsid w:val="00AB1E92"/>
    <w:rsid w:val="00AB25C3"/>
    <w:rsid w:val="00AB2ED8"/>
    <w:rsid w:val="00AB314D"/>
    <w:rsid w:val="00AB3637"/>
    <w:rsid w:val="00AB3ACC"/>
    <w:rsid w:val="00AB3CAF"/>
    <w:rsid w:val="00AB45C5"/>
    <w:rsid w:val="00AB4832"/>
    <w:rsid w:val="00AB4BD0"/>
    <w:rsid w:val="00AB4E93"/>
    <w:rsid w:val="00AB68EB"/>
    <w:rsid w:val="00AB7386"/>
    <w:rsid w:val="00AB7724"/>
    <w:rsid w:val="00AB772A"/>
    <w:rsid w:val="00AB779B"/>
    <w:rsid w:val="00AB7B35"/>
    <w:rsid w:val="00AC01A7"/>
    <w:rsid w:val="00AC03BD"/>
    <w:rsid w:val="00AC0581"/>
    <w:rsid w:val="00AC074C"/>
    <w:rsid w:val="00AC0773"/>
    <w:rsid w:val="00AC0EFE"/>
    <w:rsid w:val="00AC0F6C"/>
    <w:rsid w:val="00AC1303"/>
    <w:rsid w:val="00AC17CA"/>
    <w:rsid w:val="00AC180F"/>
    <w:rsid w:val="00AC1FC2"/>
    <w:rsid w:val="00AC2405"/>
    <w:rsid w:val="00AC279E"/>
    <w:rsid w:val="00AC35C6"/>
    <w:rsid w:val="00AC4127"/>
    <w:rsid w:val="00AC4BA9"/>
    <w:rsid w:val="00AC50E8"/>
    <w:rsid w:val="00AC5557"/>
    <w:rsid w:val="00AC6A93"/>
    <w:rsid w:val="00AC6F8C"/>
    <w:rsid w:val="00AC73D4"/>
    <w:rsid w:val="00AC7509"/>
    <w:rsid w:val="00AC79D9"/>
    <w:rsid w:val="00AD0032"/>
    <w:rsid w:val="00AD0599"/>
    <w:rsid w:val="00AD0742"/>
    <w:rsid w:val="00AD1010"/>
    <w:rsid w:val="00AD2DA1"/>
    <w:rsid w:val="00AD2EE2"/>
    <w:rsid w:val="00AD3679"/>
    <w:rsid w:val="00AD3B10"/>
    <w:rsid w:val="00AD4FB2"/>
    <w:rsid w:val="00AD5041"/>
    <w:rsid w:val="00AD5578"/>
    <w:rsid w:val="00AD58F3"/>
    <w:rsid w:val="00AD60C2"/>
    <w:rsid w:val="00AD6225"/>
    <w:rsid w:val="00AD6428"/>
    <w:rsid w:val="00AD66A4"/>
    <w:rsid w:val="00AD69D6"/>
    <w:rsid w:val="00AD75CF"/>
    <w:rsid w:val="00AD78B9"/>
    <w:rsid w:val="00AE1325"/>
    <w:rsid w:val="00AE133A"/>
    <w:rsid w:val="00AE145B"/>
    <w:rsid w:val="00AE17F7"/>
    <w:rsid w:val="00AE1998"/>
    <w:rsid w:val="00AE21D7"/>
    <w:rsid w:val="00AE25E9"/>
    <w:rsid w:val="00AE30C5"/>
    <w:rsid w:val="00AE3C49"/>
    <w:rsid w:val="00AE466A"/>
    <w:rsid w:val="00AE4DAE"/>
    <w:rsid w:val="00AE5619"/>
    <w:rsid w:val="00AE5CC2"/>
    <w:rsid w:val="00AE5F0F"/>
    <w:rsid w:val="00AE708F"/>
    <w:rsid w:val="00AE748B"/>
    <w:rsid w:val="00AE7793"/>
    <w:rsid w:val="00AE7ACB"/>
    <w:rsid w:val="00AF0196"/>
    <w:rsid w:val="00AF0987"/>
    <w:rsid w:val="00AF0EAD"/>
    <w:rsid w:val="00AF1233"/>
    <w:rsid w:val="00AF1350"/>
    <w:rsid w:val="00AF1447"/>
    <w:rsid w:val="00AF1998"/>
    <w:rsid w:val="00AF35CD"/>
    <w:rsid w:val="00AF43C5"/>
    <w:rsid w:val="00AF4AB7"/>
    <w:rsid w:val="00AF4F0A"/>
    <w:rsid w:val="00AF518C"/>
    <w:rsid w:val="00AF64EA"/>
    <w:rsid w:val="00AF685B"/>
    <w:rsid w:val="00AF72A0"/>
    <w:rsid w:val="00AF7A31"/>
    <w:rsid w:val="00AF7CD5"/>
    <w:rsid w:val="00B000E3"/>
    <w:rsid w:val="00B00653"/>
    <w:rsid w:val="00B01AA9"/>
    <w:rsid w:val="00B02783"/>
    <w:rsid w:val="00B0347B"/>
    <w:rsid w:val="00B03A4D"/>
    <w:rsid w:val="00B03EBD"/>
    <w:rsid w:val="00B03F06"/>
    <w:rsid w:val="00B042BF"/>
    <w:rsid w:val="00B044BD"/>
    <w:rsid w:val="00B049BC"/>
    <w:rsid w:val="00B04D45"/>
    <w:rsid w:val="00B05AA0"/>
    <w:rsid w:val="00B05C07"/>
    <w:rsid w:val="00B0607B"/>
    <w:rsid w:val="00B06261"/>
    <w:rsid w:val="00B07099"/>
    <w:rsid w:val="00B075D3"/>
    <w:rsid w:val="00B101E5"/>
    <w:rsid w:val="00B10E18"/>
    <w:rsid w:val="00B111B6"/>
    <w:rsid w:val="00B11295"/>
    <w:rsid w:val="00B11C9E"/>
    <w:rsid w:val="00B12454"/>
    <w:rsid w:val="00B12582"/>
    <w:rsid w:val="00B12AF4"/>
    <w:rsid w:val="00B13D31"/>
    <w:rsid w:val="00B14598"/>
    <w:rsid w:val="00B151EF"/>
    <w:rsid w:val="00B15E8C"/>
    <w:rsid w:val="00B15F50"/>
    <w:rsid w:val="00B16C5A"/>
    <w:rsid w:val="00B16F0B"/>
    <w:rsid w:val="00B17349"/>
    <w:rsid w:val="00B17A0C"/>
    <w:rsid w:val="00B17F4F"/>
    <w:rsid w:val="00B201E4"/>
    <w:rsid w:val="00B2070E"/>
    <w:rsid w:val="00B20816"/>
    <w:rsid w:val="00B20839"/>
    <w:rsid w:val="00B20BB8"/>
    <w:rsid w:val="00B21768"/>
    <w:rsid w:val="00B21CBA"/>
    <w:rsid w:val="00B2242D"/>
    <w:rsid w:val="00B226C0"/>
    <w:rsid w:val="00B2294A"/>
    <w:rsid w:val="00B22F9B"/>
    <w:rsid w:val="00B2308A"/>
    <w:rsid w:val="00B2389F"/>
    <w:rsid w:val="00B24A62"/>
    <w:rsid w:val="00B252C4"/>
    <w:rsid w:val="00B264C0"/>
    <w:rsid w:val="00B2692B"/>
    <w:rsid w:val="00B26936"/>
    <w:rsid w:val="00B269D4"/>
    <w:rsid w:val="00B26E8A"/>
    <w:rsid w:val="00B2725C"/>
    <w:rsid w:val="00B27370"/>
    <w:rsid w:val="00B274B8"/>
    <w:rsid w:val="00B27684"/>
    <w:rsid w:val="00B27B71"/>
    <w:rsid w:val="00B27CAD"/>
    <w:rsid w:val="00B27DA9"/>
    <w:rsid w:val="00B27DCA"/>
    <w:rsid w:val="00B27E14"/>
    <w:rsid w:val="00B3008C"/>
    <w:rsid w:val="00B30187"/>
    <w:rsid w:val="00B30306"/>
    <w:rsid w:val="00B30800"/>
    <w:rsid w:val="00B3090C"/>
    <w:rsid w:val="00B30BF0"/>
    <w:rsid w:val="00B30CFA"/>
    <w:rsid w:val="00B3100E"/>
    <w:rsid w:val="00B315D6"/>
    <w:rsid w:val="00B3160F"/>
    <w:rsid w:val="00B31C22"/>
    <w:rsid w:val="00B31CD4"/>
    <w:rsid w:val="00B31FA8"/>
    <w:rsid w:val="00B322C5"/>
    <w:rsid w:val="00B324C6"/>
    <w:rsid w:val="00B326A5"/>
    <w:rsid w:val="00B33528"/>
    <w:rsid w:val="00B33B6B"/>
    <w:rsid w:val="00B344C0"/>
    <w:rsid w:val="00B34873"/>
    <w:rsid w:val="00B3569D"/>
    <w:rsid w:val="00B35E40"/>
    <w:rsid w:val="00B36861"/>
    <w:rsid w:val="00B36934"/>
    <w:rsid w:val="00B36C8B"/>
    <w:rsid w:val="00B36DFE"/>
    <w:rsid w:val="00B37FFC"/>
    <w:rsid w:val="00B407B8"/>
    <w:rsid w:val="00B40A14"/>
    <w:rsid w:val="00B40AB2"/>
    <w:rsid w:val="00B40AEC"/>
    <w:rsid w:val="00B41120"/>
    <w:rsid w:val="00B4159B"/>
    <w:rsid w:val="00B416D4"/>
    <w:rsid w:val="00B4217F"/>
    <w:rsid w:val="00B42784"/>
    <w:rsid w:val="00B428CC"/>
    <w:rsid w:val="00B4359F"/>
    <w:rsid w:val="00B437A0"/>
    <w:rsid w:val="00B44647"/>
    <w:rsid w:val="00B44687"/>
    <w:rsid w:val="00B447AC"/>
    <w:rsid w:val="00B45000"/>
    <w:rsid w:val="00B4510D"/>
    <w:rsid w:val="00B455CB"/>
    <w:rsid w:val="00B45939"/>
    <w:rsid w:val="00B45A3C"/>
    <w:rsid w:val="00B45BB2"/>
    <w:rsid w:val="00B467CD"/>
    <w:rsid w:val="00B467EE"/>
    <w:rsid w:val="00B46EB9"/>
    <w:rsid w:val="00B4705E"/>
    <w:rsid w:val="00B47235"/>
    <w:rsid w:val="00B474BD"/>
    <w:rsid w:val="00B4753C"/>
    <w:rsid w:val="00B47B3B"/>
    <w:rsid w:val="00B51B9E"/>
    <w:rsid w:val="00B51D0D"/>
    <w:rsid w:val="00B52D2D"/>
    <w:rsid w:val="00B53648"/>
    <w:rsid w:val="00B53FE0"/>
    <w:rsid w:val="00B5665F"/>
    <w:rsid w:val="00B571D0"/>
    <w:rsid w:val="00B57DB4"/>
    <w:rsid w:val="00B60413"/>
    <w:rsid w:val="00B61933"/>
    <w:rsid w:val="00B62742"/>
    <w:rsid w:val="00B62960"/>
    <w:rsid w:val="00B62B31"/>
    <w:rsid w:val="00B62CEE"/>
    <w:rsid w:val="00B62DF8"/>
    <w:rsid w:val="00B62E92"/>
    <w:rsid w:val="00B63246"/>
    <w:rsid w:val="00B636B9"/>
    <w:rsid w:val="00B64296"/>
    <w:rsid w:val="00B64DE2"/>
    <w:rsid w:val="00B64F75"/>
    <w:rsid w:val="00B64FB7"/>
    <w:rsid w:val="00B6563A"/>
    <w:rsid w:val="00B65A61"/>
    <w:rsid w:val="00B65AF8"/>
    <w:rsid w:val="00B6644D"/>
    <w:rsid w:val="00B66522"/>
    <w:rsid w:val="00B66A16"/>
    <w:rsid w:val="00B67CD9"/>
    <w:rsid w:val="00B704F5"/>
    <w:rsid w:val="00B70E54"/>
    <w:rsid w:val="00B711CF"/>
    <w:rsid w:val="00B71A8C"/>
    <w:rsid w:val="00B71B0C"/>
    <w:rsid w:val="00B71F24"/>
    <w:rsid w:val="00B721DD"/>
    <w:rsid w:val="00B72E1F"/>
    <w:rsid w:val="00B734A4"/>
    <w:rsid w:val="00B73A05"/>
    <w:rsid w:val="00B745F8"/>
    <w:rsid w:val="00B749B9"/>
    <w:rsid w:val="00B753A1"/>
    <w:rsid w:val="00B759E5"/>
    <w:rsid w:val="00B762F6"/>
    <w:rsid w:val="00B805EB"/>
    <w:rsid w:val="00B80610"/>
    <w:rsid w:val="00B821E1"/>
    <w:rsid w:val="00B827D9"/>
    <w:rsid w:val="00B82FDE"/>
    <w:rsid w:val="00B8323E"/>
    <w:rsid w:val="00B83765"/>
    <w:rsid w:val="00B83844"/>
    <w:rsid w:val="00B83944"/>
    <w:rsid w:val="00B83FB9"/>
    <w:rsid w:val="00B84522"/>
    <w:rsid w:val="00B85329"/>
    <w:rsid w:val="00B855C5"/>
    <w:rsid w:val="00B858E7"/>
    <w:rsid w:val="00B86976"/>
    <w:rsid w:val="00B873DD"/>
    <w:rsid w:val="00B87A3B"/>
    <w:rsid w:val="00B87F1A"/>
    <w:rsid w:val="00B90099"/>
    <w:rsid w:val="00B901C3"/>
    <w:rsid w:val="00B90C9B"/>
    <w:rsid w:val="00B91189"/>
    <w:rsid w:val="00B9139E"/>
    <w:rsid w:val="00B918C7"/>
    <w:rsid w:val="00B922B6"/>
    <w:rsid w:val="00B927CE"/>
    <w:rsid w:val="00B92E50"/>
    <w:rsid w:val="00B93DFB"/>
    <w:rsid w:val="00B93ED6"/>
    <w:rsid w:val="00B94C3F"/>
    <w:rsid w:val="00B95271"/>
    <w:rsid w:val="00B95395"/>
    <w:rsid w:val="00B9590E"/>
    <w:rsid w:val="00B9663B"/>
    <w:rsid w:val="00B9746B"/>
    <w:rsid w:val="00B97688"/>
    <w:rsid w:val="00B97F0B"/>
    <w:rsid w:val="00BA0A93"/>
    <w:rsid w:val="00BA1CC6"/>
    <w:rsid w:val="00BA240E"/>
    <w:rsid w:val="00BA25A3"/>
    <w:rsid w:val="00BA29A8"/>
    <w:rsid w:val="00BA359C"/>
    <w:rsid w:val="00BA3978"/>
    <w:rsid w:val="00BA3B89"/>
    <w:rsid w:val="00BA4366"/>
    <w:rsid w:val="00BA4448"/>
    <w:rsid w:val="00BA47F3"/>
    <w:rsid w:val="00BA488D"/>
    <w:rsid w:val="00BA507D"/>
    <w:rsid w:val="00BA5BD5"/>
    <w:rsid w:val="00BA5EDD"/>
    <w:rsid w:val="00BA61AA"/>
    <w:rsid w:val="00BA6BAF"/>
    <w:rsid w:val="00BA717D"/>
    <w:rsid w:val="00BB044F"/>
    <w:rsid w:val="00BB06A0"/>
    <w:rsid w:val="00BB0772"/>
    <w:rsid w:val="00BB07D6"/>
    <w:rsid w:val="00BB0BB6"/>
    <w:rsid w:val="00BB12D5"/>
    <w:rsid w:val="00BB1BF1"/>
    <w:rsid w:val="00BB21F2"/>
    <w:rsid w:val="00BB251D"/>
    <w:rsid w:val="00BB2E6F"/>
    <w:rsid w:val="00BB2EB1"/>
    <w:rsid w:val="00BB3539"/>
    <w:rsid w:val="00BB376F"/>
    <w:rsid w:val="00BB3CBF"/>
    <w:rsid w:val="00BB3D86"/>
    <w:rsid w:val="00BB4CEB"/>
    <w:rsid w:val="00BB549F"/>
    <w:rsid w:val="00BB54BD"/>
    <w:rsid w:val="00BB5DAC"/>
    <w:rsid w:val="00BB6423"/>
    <w:rsid w:val="00BB6701"/>
    <w:rsid w:val="00BB67E5"/>
    <w:rsid w:val="00BB6866"/>
    <w:rsid w:val="00BB733B"/>
    <w:rsid w:val="00BB7901"/>
    <w:rsid w:val="00BB7E50"/>
    <w:rsid w:val="00BB7F2F"/>
    <w:rsid w:val="00BB7FF5"/>
    <w:rsid w:val="00BC0761"/>
    <w:rsid w:val="00BC0853"/>
    <w:rsid w:val="00BC090E"/>
    <w:rsid w:val="00BC125D"/>
    <w:rsid w:val="00BC14CE"/>
    <w:rsid w:val="00BC1661"/>
    <w:rsid w:val="00BC1BFE"/>
    <w:rsid w:val="00BC1EE5"/>
    <w:rsid w:val="00BC244E"/>
    <w:rsid w:val="00BC2635"/>
    <w:rsid w:val="00BC4619"/>
    <w:rsid w:val="00BC4938"/>
    <w:rsid w:val="00BC496E"/>
    <w:rsid w:val="00BC49B3"/>
    <w:rsid w:val="00BC4BD4"/>
    <w:rsid w:val="00BC4EB5"/>
    <w:rsid w:val="00BC4F87"/>
    <w:rsid w:val="00BC51D0"/>
    <w:rsid w:val="00BC56D9"/>
    <w:rsid w:val="00BC68B0"/>
    <w:rsid w:val="00BC7E27"/>
    <w:rsid w:val="00BD0843"/>
    <w:rsid w:val="00BD1A52"/>
    <w:rsid w:val="00BD1AF3"/>
    <w:rsid w:val="00BD36AB"/>
    <w:rsid w:val="00BD3D2A"/>
    <w:rsid w:val="00BD3EDB"/>
    <w:rsid w:val="00BD401A"/>
    <w:rsid w:val="00BD42CD"/>
    <w:rsid w:val="00BD5295"/>
    <w:rsid w:val="00BD5634"/>
    <w:rsid w:val="00BD5741"/>
    <w:rsid w:val="00BD593F"/>
    <w:rsid w:val="00BD5CE9"/>
    <w:rsid w:val="00BD6559"/>
    <w:rsid w:val="00BD71BF"/>
    <w:rsid w:val="00BD755D"/>
    <w:rsid w:val="00BD7D95"/>
    <w:rsid w:val="00BD7DFD"/>
    <w:rsid w:val="00BE0671"/>
    <w:rsid w:val="00BE1569"/>
    <w:rsid w:val="00BE2013"/>
    <w:rsid w:val="00BE21B5"/>
    <w:rsid w:val="00BE2597"/>
    <w:rsid w:val="00BE356E"/>
    <w:rsid w:val="00BE3AB0"/>
    <w:rsid w:val="00BE40E3"/>
    <w:rsid w:val="00BE52A0"/>
    <w:rsid w:val="00BE533E"/>
    <w:rsid w:val="00BE6210"/>
    <w:rsid w:val="00BE635A"/>
    <w:rsid w:val="00BE6494"/>
    <w:rsid w:val="00BE6D34"/>
    <w:rsid w:val="00BE6FC9"/>
    <w:rsid w:val="00BE70A4"/>
    <w:rsid w:val="00BE7AED"/>
    <w:rsid w:val="00BE7C12"/>
    <w:rsid w:val="00BE7CE9"/>
    <w:rsid w:val="00BF0814"/>
    <w:rsid w:val="00BF19D5"/>
    <w:rsid w:val="00BF1A7C"/>
    <w:rsid w:val="00BF1E8C"/>
    <w:rsid w:val="00BF1FED"/>
    <w:rsid w:val="00BF2503"/>
    <w:rsid w:val="00BF3156"/>
    <w:rsid w:val="00BF348E"/>
    <w:rsid w:val="00BF3D09"/>
    <w:rsid w:val="00BF3D9A"/>
    <w:rsid w:val="00BF4915"/>
    <w:rsid w:val="00BF4DD9"/>
    <w:rsid w:val="00BF5157"/>
    <w:rsid w:val="00BF549F"/>
    <w:rsid w:val="00BF5BA8"/>
    <w:rsid w:val="00BF67C6"/>
    <w:rsid w:val="00BF71B4"/>
    <w:rsid w:val="00BF720A"/>
    <w:rsid w:val="00C00DA1"/>
    <w:rsid w:val="00C00DFB"/>
    <w:rsid w:val="00C0183A"/>
    <w:rsid w:val="00C018F7"/>
    <w:rsid w:val="00C01D74"/>
    <w:rsid w:val="00C0231A"/>
    <w:rsid w:val="00C02AD9"/>
    <w:rsid w:val="00C02D25"/>
    <w:rsid w:val="00C02F5A"/>
    <w:rsid w:val="00C030C3"/>
    <w:rsid w:val="00C038C0"/>
    <w:rsid w:val="00C039F8"/>
    <w:rsid w:val="00C04703"/>
    <w:rsid w:val="00C0474E"/>
    <w:rsid w:val="00C0504F"/>
    <w:rsid w:val="00C0579C"/>
    <w:rsid w:val="00C0581F"/>
    <w:rsid w:val="00C05A82"/>
    <w:rsid w:val="00C05B21"/>
    <w:rsid w:val="00C07596"/>
    <w:rsid w:val="00C07C57"/>
    <w:rsid w:val="00C07C81"/>
    <w:rsid w:val="00C10A94"/>
    <w:rsid w:val="00C10BE4"/>
    <w:rsid w:val="00C10E19"/>
    <w:rsid w:val="00C11831"/>
    <w:rsid w:val="00C11992"/>
    <w:rsid w:val="00C11EA1"/>
    <w:rsid w:val="00C12130"/>
    <w:rsid w:val="00C12A50"/>
    <w:rsid w:val="00C12C0C"/>
    <w:rsid w:val="00C12F6F"/>
    <w:rsid w:val="00C131B5"/>
    <w:rsid w:val="00C13422"/>
    <w:rsid w:val="00C1357F"/>
    <w:rsid w:val="00C14BBF"/>
    <w:rsid w:val="00C15314"/>
    <w:rsid w:val="00C153EA"/>
    <w:rsid w:val="00C1595C"/>
    <w:rsid w:val="00C15C1D"/>
    <w:rsid w:val="00C15CCA"/>
    <w:rsid w:val="00C162A2"/>
    <w:rsid w:val="00C17146"/>
    <w:rsid w:val="00C1722C"/>
    <w:rsid w:val="00C1767F"/>
    <w:rsid w:val="00C202B9"/>
    <w:rsid w:val="00C202D0"/>
    <w:rsid w:val="00C20568"/>
    <w:rsid w:val="00C209D6"/>
    <w:rsid w:val="00C20CF5"/>
    <w:rsid w:val="00C20D0B"/>
    <w:rsid w:val="00C21053"/>
    <w:rsid w:val="00C211C7"/>
    <w:rsid w:val="00C21C2D"/>
    <w:rsid w:val="00C22409"/>
    <w:rsid w:val="00C2285E"/>
    <w:rsid w:val="00C22894"/>
    <w:rsid w:val="00C22EAF"/>
    <w:rsid w:val="00C23A42"/>
    <w:rsid w:val="00C23C6D"/>
    <w:rsid w:val="00C23F5B"/>
    <w:rsid w:val="00C24236"/>
    <w:rsid w:val="00C243E9"/>
    <w:rsid w:val="00C24598"/>
    <w:rsid w:val="00C247FC"/>
    <w:rsid w:val="00C24D89"/>
    <w:rsid w:val="00C24F0C"/>
    <w:rsid w:val="00C251D9"/>
    <w:rsid w:val="00C252B1"/>
    <w:rsid w:val="00C25EAF"/>
    <w:rsid w:val="00C26176"/>
    <w:rsid w:val="00C26CC8"/>
    <w:rsid w:val="00C271F2"/>
    <w:rsid w:val="00C27398"/>
    <w:rsid w:val="00C27A49"/>
    <w:rsid w:val="00C3168F"/>
    <w:rsid w:val="00C316EF"/>
    <w:rsid w:val="00C317DE"/>
    <w:rsid w:val="00C31F40"/>
    <w:rsid w:val="00C321DF"/>
    <w:rsid w:val="00C328DD"/>
    <w:rsid w:val="00C32DB2"/>
    <w:rsid w:val="00C32FA6"/>
    <w:rsid w:val="00C33C1A"/>
    <w:rsid w:val="00C343F9"/>
    <w:rsid w:val="00C348B2"/>
    <w:rsid w:val="00C36925"/>
    <w:rsid w:val="00C4117E"/>
    <w:rsid w:val="00C415F5"/>
    <w:rsid w:val="00C41696"/>
    <w:rsid w:val="00C42921"/>
    <w:rsid w:val="00C4383B"/>
    <w:rsid w:val="00C43B16"/>
    <w:rsid w:val="00C43D17"/>
    <w:rsid w:val="00C43E1B"/>
    <w:rsid w:val="00C442B1"/>
    <w:rsid w:val="00C444A6"/>
    <w:rsid w:val="00C44550"/>
    <w:rsid w:val="00C44A34"/>
    <w:rsid w:val="00C44C60"/>
    <w:rsid w:val="00C44F09"/>
    <w:rsid w:val="00C44F8F"/>
    <w:rsid w:val="00C4517C"/>
    <w:rsid w:val="00C46AEE"/>
    <w:rsid w:val="00C46BD4"/>
    <w:rsid w:val="00C472AA"/>
    <w:rsid w:val="00C47934"/>
    <w:rsid w:val="00C47FC5"/>
    <w:rsid w:val="00C502DC"/>
    <w:rsid w:val="00C504FB"/>
    <w:rsid w:val="00C50BE8"/>
    <w:rsid w:val="00C5148C"/>
    <w:rsid w:val="00C527E2"/>
    <w:rsid w:val="00C52B2E"/>
    <w:rsid w:val="00C530AA"/>
    <w:rsid w:val="00C5362F"/>
    <w:rsid w:val="00C53CF5"/>
    <w:rsid w:val="00C54A63"/>
    <w:rsid w:val="00C553B4"/>
    <w:rsid w:val="00C55460"/>
    <w:rsid w:val="00C55EE6"/>
    <w:rsid w:val="00C55F41"/>
    <w:rsid w:val="00C55F96"/>
    <w:rsid w:val="00C561C1"/>
    <w:rsid w:val="00C567B7"/>
    <w:rsid w:val="00C573FA"/>
    <w:rsid w:val="00C57B04"/>
    <w:rsid w:val="00C57C8A"/>
    <w:rsid w:val="00C57E77"/>
    <w:rsid w:val="00C600C7"/>
    <w:rsid w:val="00C60280"/>
    <w:rsid w:val="00C60D05"/>
    <w:rsid w:val="00C60F89"/>
    <w:rsid w:val="00C617E2"/>
    <w:rsid w:val="00C61DFB"/>
    <w:rsid w:val="00C6281D"/>
    <w:rsid w:val="00C63292"/>
    <w:rsid w:val="00C63A78"/>
    <w:rsid w:val="00C6482F"/>
    <w:rsid w:val="00C648CC"/>
    <w:rsid w:val="00C64CF7"/>
    <w:rsid w:val="00C66856"/>
    <w:rsid w:val="00C66B77"/>
    <w:rsid w:val="00C66EF7"/>
    <w:rsid w:val="00C67CE4"/>
    <w:rsid w:val="00C70885"/>
    <w:rsid w:val="00C711DE"/>
    <w:rsid w:val="00C7120F"/>
    <w:rsid w:val="00C712C9"/>
    <w:rsid w:val="00C71E7C"/>
    <w:rsid w:val="00C72B4A"/>
    <w:rsid w:val="00C72F53"/>
    <w:rsid w:val="00C730DF"/>
    <w:rsid w:val="00C740B9"/>
    <w:rsid w:val="00C74426"/>
    <w:rsid w:val="00C74820"/>
    <w:rsid w:val="00C753A8"/>
    <w:rsid w:val="00C755AB"/>
    <w:rsid w:val="00C763EF"/>
    <w:rsid w:val="00C76509"/>
    <w:rsid w:val="00C76865"/>
    <w:rsid w:val="00C772C1"/>
    <w:rsid w:val="00C77B0C"/>
    <w:rsid w:val="00C77B26"/>
    <w:rsid w:val="00C803BF"/>
    <w:rsid w:val="00C810F3"/>
    <w:rsid w:val="00C820B8"/>
    <w:rsid w:val="00C8301B"/>
    <w:rsid w:val="00C836ED"/>
    <w:rsid w:val="00C83D6C"/>
    <w:rsid w:val="00C84D7F"/>
    <w:rsid w:val="00C853FF"/>
    <w:rsid w:val="00C85DFB"/>
    <w:rsid w:val="00C861CC"/>
    <w:rsid w:val="00C86540"/>
    <w:rsid w:val="00C87133"/>
    <w:rsid w:val="00C9092B"/>
    <w:rsid w:val="00C90E52"/>
    <w:rsid w:val="00C91851"/>
    <w:rsid w:val="00C91A12"/>
    <w:rsid w:val="00C91C98"/>
    <w:rsid w:val="00C91CD8"/>
    <w:rsid w:val="00C91E9C"/>
    <w:rsid w:val="00C92632"/>
    <w:rsid w:val="00C927A3"/>
    <w:rsid w:val="00C92920"/>
    <w:rsid w:val="00C92F72"/>
    <w:rsid w:val="00C93614"/>
    <w:rsid w:val="00C93789"/>
    <w:rsid w:val="00C93B23"/>
    <w:rsid w:val="00C93E1F"/>
    <w:rsid w:val="00C94B6C"/>
    <w:rsid w:val="00C94E54"/>
    <w:rsid w:val="00C95BAA"/>
    <w:rsid w:val="00C961A1"/>
    <w:rsid w:val="00C961A8"/>
    <w:rsid w:val="00C96F42"/>
    <w:rsid w:val="00CA0213"/>
    <w:rsid w:val="00CA06B7"/>
    <w:rsid w:val="00CA0A4E"/>
    <w:rsid w:val="00CA1654"/>
    <w:rsid w:val="00CA1B4D"/>
    <w:rsid w:val="00CA26EE"/>
    <w:rsid w:val="00CA3E83"/>
    <w:rsid w:val="00CA40BB"/>
    <w:rsid w:val="00CA4708"/>
    <w:rsid w:val="00CA4F24"/>
    <w:rsid w:val="00CA598B"/>
    <w:rsid w:val="00CA5C37"/>
    <w:rsid w:val="00CA5C4E"/>
    <w:rsid w:val="00CA66BE"/>
    <w:rsid w:val="00CA721A"/>
    <w:rsid w:val="00CB0754"/>
    <w:rsid w:val="00CB0FCB"/>
    <w:rsid w:val="00CB10CD"/>
    <w:rsid w:val="00CB200A"/>
    <w:rsid w:val="00CB221D"/>
    <w:rsid w:val="00CB256F"/>
    <w:rsid w:val="00CB2A21"/>
    <w:rsid w:val="00CB2DA1"/>
    <w:rsid w:val="00CB41A2"/>
    <w:rsid w:val="00CB48E3"/>
    <w:rsid w:val="00CB4910"/>
    <w:rsid w:val="00CB4CF0"/>
    <w:rsid w:val="00CB4E42"/>
    <w:rsid w:val="00CB5AE5"/>
    <w:rsid w:val="00CB62FE"/>
    <w:rsid w:val="00CB655A"/>
    <w:rsid w:val="00CB6886"/>
    <w:rsid w:val="00CB6F1C"/>
    <w:rsid w:val="00CB70CA"/>
    <w:rsid w:val="00CB74D2"/>
    <w:rsid w:val="00CB7E9C"/>
    <w:rsid w:val="00CB7F4C"/>
    <w:rsid w:val="00CC00B6"/>
    <w:rsid w:val="00CC04AB"/>
    <w:rsid w:val="00CC0ACA"/>
    <w:rsid w:val="00CC0D55"/>
    <w:rsid w:val="00CC0E1F"/>
    <w:rsid w:val="00CC0ECA"/>
    <w:rsid w:val="00CC26D8"/>
    <w:rsid w:val="00CC2AD4"/>
    <w:rsid w:val="00CC2F7D"/>
    <w:rsid w:val="00CC3046"/>
    <w:rsid w:val="00CC473C"/>
    <w:rsid w:val="00CC4893"/>
    <w:rsid w:val="00CC4ABE"/>
    <w:rsid w:val="00CC4D5D"/>
    <w:rsid w:val="00CC5869"/>
    <w:rsid w:val="00CC626F"/>
    <w:rsid w:val="00CC64D7"/>
    <w:rsid w:val="00CC7862"/>
    <w:rsid w:val="00CC7E80"/>
    <w:rsid w:val="00CD014C"/>
    <w:rsid w:val="00CD0168"/>
    <w:rsid w:val="00CD0D07"/>
    <w:rsid w:val="00CD1280"/>
    <w:rsid w:val="00CD1340"/>
    <w:rsid w:val="00CD13C9"/>
    <w:rsid w:val="00CD2016"/>
    <w:rsid w:val="00CD27D4"/>
    <w:rsid w:val="00CD2D8C"/>
    <w:rsid w:val="00CD440D"/>
    <w:rsid w:val="00CD4665"/>
    <w:rsid w:val="00CD4C42"/>
    <w:rsid w:val="00CD5036"/>
    <w:rsid w:val="00CD5506"/>
    <w:rsid w:val="00CD5A84"/>
    <w:rsid w:val="00CD5EAE"/>
    <w:rsid w:val="00CD6255"/>
    <w:rsid w:val="00CD6B00"/>
    <w:rsid w:val="00CD750B"/>
    <w:rsid w:val="00CD7598"/>
    <w:rsid w:val="00CD7921"/>
    <w:rsid w:val="00CD7EF9"/>
    <w:rsid w:val="00CE0FFB"/>
    <w:rsid w:val="00CE11AB"/>
    <w:rsid w:val="00CE11D4"/>
    <w:rsid w:val="00CE120B"/>
    <w:rsid w:val="00CE2BFE"/>
    <w:rsid w:val="00CE3144"/>
    <w:rsid w:val="00CE33B2"/>
    <w:rsid w:val="00CE344D"/>
    <w:rsid w:val="00CE40FE"/>
    <w:rsid w:val="00CE45B3"/>
    <w:rsid w:val="00CE46DA"/>
    <w:rsid w:val="00CE4C47"/>
    <w:rsid w:val="00CE4C4B"/>
    <w:rsid w:val="00CE548C"/>
    <w:rsid w:val="00CE5D80"/>
    <w:rsid w:val="00CE5FD6"/>
    <w:rsid w:val="00CE613C"/>
    <w:rsid w:val="00CE6582"/>
    <w:rsid w:val="00CE7618"/>
    <w:rsid w:val="00CE7D87"/>
    <w:rsid w:val="00CF02F2"/>
    <w:rsid w:val="00CF05DA"/>
    <w:rsid w:val="00CF05F2"/>
    <w:rsid w:val="00CF0636"/>
    <w:rsid w:val="00CF1467"/>
    <w:rsid w:val="00CF14B6"/>
    <w:rsid w:val="00CF1DA9"/>
    <w:rsid w:val="00CF2871"/>
    <w:rsid w:val="00CF2B15"/>
    <w:rsid w:val="00CF2D56"/>
    <w:rsid w:val="00CF2E42"/>
    <w:rsid w:val="00CF3005"/>
    <w:rsid w:val="00CF30BE"/>
    <w:rsid w:val="00CF36D0"/>
    <w:rsid w:val="00CF3E9A"/>
    <w:rsid w:val="00CF4E8D"/>
    <w:rsid w:val="00CF58F2"/>
    <w:rsid w:val="00CF686E"/>
    <w:rsid w:val="00CF6A25"/>
    <w:rsid w:val="00CF7898"/>
    <w:rsid w:val="00CF7954"/>
    <w:rsid w:val="00CF7D17"/>
    <w:rsid w:val="00D001D8"/>
    <w:rsid w:val="00D00FB1"/>
    <w:rsid w:val="00D010E0"/>
    <w:rsid w:val="00D011F1"/>
    <w:rsid w:val="00D01EA7"/>
    <w:rsid w:val="00D01F90"/>
    <w:rsid w:val="00D04008"/>
    <w:rsid w:val="00D040E0"/>
    <w:rsid w:val="00D04156"/>
    <w:rsid w:val="00D042FC"/>
    <w:rsid w:val="00D0434C"/>
    <w:rsid w:val="00D04433"/>
    <w:rsid w:val="00D04F56"/>
    <w:rsid w:val="00D05248"/>
    <w:rsid w:val="00D05528"/>
    <w:rsid w:val="00D05AC5"/>
    <w:rsid w:val="00D05E32"/>
    <w:rsid w:val="00D0601B"/>
    <w:rsid w:val="00D06056"/>
    <w:rsid w:val="00D06BB6"/>
    <w:rsid w:val="00D0750D"/>
    <w:rsid w:val="00D077E3"/>
    <w:rsid w:val="00D100F1"/>
    <w:rsid w:val="00D10273"/>
    <w:rsid w:val="00D10328"/>
    <w:rsid w:val="00D10624"/>
    <w:rsid w:val="00D10D11"/>
    <w:rsid w:val="00D119FB"/>
    <w:rsid w:val="00D11A1C"/>
    <w:rsid w:val="00D12C0D"/>
    <w:rsid w:val="00D13391"/>
    <w:rsid w:val="00D13DCB"/>
    <w:rsid w:val="00D143BA"/>
    <w:rsid w:val="00D144AF"/>
    <w:rsid w:val="00D14B95"/>
    <w:rsid w:val="00D14B9B"/>
    <w:rsid w:val="00D14DBC"/>
    <w:rsid w:val="00D15288"/>
    <w:rsid w:val="00D15289"/>
    <w:rsid w:val="00D15B05"/>
    <w:rsid w:val="00D15CC8"/>
    <w:rsid w:val="00D15CD0"/>
    <w:rsid w:val="00D16095"/>
    <w:rsid w:val="00D16912"/>
    <w:rsid w:val="00D16BB6"/>
    <w:rsid w:val="00D16E0D"/>
    <w:rsid w:val="00D16F74"/>
    <w:rsid w:val="00D17036"/>
    <w:rsid w:val="00D17177"/>
    <w:rsid w:val="00D2066F"/>
    <w:rsid w:val="00D2213D"/>
    <w:rsid w:val="00D222A7"/>
    <w:rsid w:val="00D2297E"/>
    <w:rsid w:val="00D22F4D"/>
    <w:rsid w:val="00D23BB7"/>
    <w:rsid w:val="00D23C8D"/>
    <w:rsid w:val="00D24723"/>
    <w:rsid w:val="00D2484C"/>
    <w:rsid w:val="00D24B12"/>
    <w:rsid w:val="00D24D29"/>
    <w:rsid w:val="00D2555B"/>
    <w:rsid w:val="00D25869"/>
    <w:rsid w:val="00D25A4C"/>
    <w:rsid w:val="00D26071"/>
    <w:rsid w:val="00D260D9"/>
    <w:rsid w:val="00D26927"/>
    <w:rsid w:val="00D26B4C"/>
    <w:rsid w:val="00D26DEC"/>
    <w:rsid w:val="00D31520"/>
    <w:rsid w:val="00D3187F"/>
    <w:rsid w:val="00D318D3"/>
    <w:rsid w:val="00D31D6A"/>
    <w:rsid w:val="00D31F47"/>
    <w:rsid w:val="00D3210D"/>
    <w:rsid w:val="00D322B3"/>
    <w:rsid w:val="00D32464"/>
    <w:rsid w:val="00D33048"/>
    <w:rsid w:val="00D33E0A"/>
    <w:rsid w:val="00D346E7"/>
    <w:rsid w:val="00D3562E"/>
    <w:rsid w:val="00D35817"/>
    <w:rsid w:val="00D35B3A"/>
    <w:rsid w:val="00D35E44"/>
    <w:rsid w:val="00D35FEF"/>
    <w:rsid w:val="00D363E2"/>
    <w:rsid w:val="00D36472"/>
    <w:rsid w:val="00D36603"/>
    <w:rsid w:val="00D366AF"/>
    <w:rsid w:val="00D37132"/>
    <w:rsid w:val="00D40075"/>
    <w:rsid w:val="00D403A0"/>
    <w:rsid w:val="00D4083A"/>
    <w:rsid w:val="00D408F1"/>
    <w:rsid w:val="00D40D87"/>
    <w:rsid w:val="00D41509"/>
    <w:rsid w:val="00D41787"/>
    <w:rsid w:val="00D41D12"/>
    <w:rsid w:val="00D4259A"/>
    <w:rsid w:val="00D42D69"/>
    <w:rsid w:val="00D4471F"/>
    <w:rsid w:val="00D44B55"/>
    <w:rsid w:val="00D44CF4"/>
    <w:rsid w:val="00D45045"/>
    <w:rsid w:val="00D452E7"/>
    <w:rsid w:val="00D454F9"/>
    <w:rsid w:val="00D459B0"/>
    <w:rsid w:val="00D45B56"/>
    <w:rsid w:val="00D464AD"/>
    <w:rsid w:val="00D468CB"/>
    <w:rsid w:val="00D469BC"/>
    <w:rsid w:val="00D4728C"/>
    <w:rsid w:val="00D47541"/>
    <w:rsid w:val="00D47A58"/>
    <w:rsid w:val="00D50830"/>
    <w:rsid w:val="00D5187B"/>
    <w:rsid w:val="00D521EB"/>
    <w:rsid w:val="00D525C6"/>
    <w:rsid w:val="00D527B5"/>
    <w:rsid w:val="00D52B02"/>
    <w:rsid w:val="00D52D8C"/>
    <w:rsid w:val="00D5422E"/>
    <w:rsid w:val="00D54B64"/>
    <w:rsid w:val="00D5561B"/>
    <w:rsid w:val="00D558D1"/>
    <w:rsid w:val="00D56057"/>
    <w:rsid w:val="00D56840"/>
    <w:rsid w:val="00D56F37"/>
    <w:rsid w:val="00D5733E"/>
    <w:rsid w:val="00D57994"/>
    <w:rsid w:val="00D57AA6"/>
    <w:rsid w:val="00D57D12"/>
    <w:rsid w:val="00D6091E"/>
    <w:rsid w:val="00D61856"/>
    <w:rsid w:val="00D6365B"/>
    <w:rsid w:val="00D63C70"/>
    <w:rsid w:val="00D657AD"/>
    <w:rsid w:val="00D659E6"/>
    <w:rsid w:val="00D65B9B"/>
    <w:rsid w:val="00D66580"/>
    <w:rsid w:val="00D66700"/>
    <w:rsid w:val="00D676B0"/>
    <w:rsid w:val="00D67820"/>
    <w:rsid w:val="00D700C1"/>
    <w:rsid w:val="00D7015A"/>
    <w:rsid w:val="00D70F97"/>
    <w:rsid w:val="00D712E2"/>
    <w:rsid w:val="00D71FF2"/>
    <w:rsid w:val="00D73845"/>
    <w:rsid w:val="00D73DBF"/>
    <w:rsid w:val="00D74414"/>
    <w:rsid w:val="00D7479A"/>
    <w:rsid w:val="00D749CD"/>
    <w:rsid w:val="00D74AC3"/>
    <w:rsid w:val="00D75A07"/>
    <w:rsid w:val="00D75F57"/>
    <w:rsid w:val="00D768FB"/>
    <w:rsid w:val="00D76A4C"/>
    <w:rsid w:val="00D77577"/>
    <w:rsid w:val="00D776F9"/>
    <w:rsid w:val="00D77855"/>
    <w:rsid w:val="00D77A6A"/>
    <w:rsid w:val="00D8002A"/>
    <w:rsid w:val="00D801BC"/>
    <w:rsid w:val="00D8026B"/>
    <w:rsid w:val="00D80676"/>
    <w:rsid w:val="00D807E7"/>
    <w:rsid w:val="00D80916"/>
    <w:rsid w:val="00D81224"/>
    <w:rsid w:val="00D82273"/>
    <w:rsid w:val="00D83105"/>
    <w:rsid w:val="00D83148"/>
    <w:rsid w:val="00D83156"/>
    <w:rsid w:val="00D831C8"/>
    <w:rsid w:val="00D8360B"/>
    <w:rsid w:val="00D83658"/>
    <w:rsid w:val="00D83D73"/>
    <w:rsid w:val="00D83DE0"/>
    <w:rsid w:val="00D8405B"/>
    <w:rsid w:val="00D8407E"/>
    <w:rsid w:val="00D84434"/>
    <w:rsid w:val="00D84631"/>
    <w:rsid w:val="00D84721"/>
    <w:rsid w:val="00D85BB8"/>
    <w:rsid w:val="00D869E9"/>
    <w:rsid w:val="00D8709E"/>
    <w:rsid w:val="00D874CC"/>
    <w:rsid w:val="00D87545"/>
    <w:rsid w:val="00D878FB"/>
    <w:rsid w:val="00D9011C"/>
    <w:rsid w:val="00D911E0"/>
    <w:rsid w:val="00D91923"/>
    <w:rsid w:val="00D91FA2"/>
    <w:rsid w:val="00D92AF4"/>
    <w:rsid w:val="00D92D4C"/>
    <w:rsid w:val="00D92F49"/>
    <w:rsid w:val="00D93200"/>
    <w:rsid w:val="00D940E0"/>
    <w:rsid w:val="00D94282"/>
    <w:rsid w:val="00D94319"/>
    <w:rsid w:val="00D957EE"/>
    <w:rsid w:val="00D95D2D"/>
    <w:rsid w:val="00D961D5"/>
    <w:rsid w:val="00D965C3"/>
    <w:rsid w:val="00D97082"/>
    <w:rsid w:val="00D97382"/>
    <w:rsid w:val="00D97387"/>
    <w:rsid w:val="00D9763D"/>
    <w:rsid w:val="00D97697"/>
    <w:rsid w:val="00DA1E73"/>
    <w:rsid w:val="00DA2018"/>
    <w:rsid w:val="00DA21F3"/>
    <w:rsid w:val="00DA290F"/>
    <w:rsid w:val="00DA2C32"/>
    <w:rsid w:val="00DA35A3"/>
    <w:rsid w:val="00DA38E1"/>
    <w:rsid w:val="00DA3A7E"/>
    <w:rsid w:val="00DA3D2D"/>
    <w:rsid w:val="00DA3D38"/>
    <w:rsid w:val="00DA46B8"/>
    <w:rsid w:val="00DA4908"/>
    <w:rsid w:val="00DA570B"/>
    <w:rsid w:val="00DA5DA1"/>
    <w:rsid w:val="00DA5FB6"/>
    <w:rsid w:val="00DA64E8"/>
    <w:rsid w:val="00DA6B59"/>
    <w:rsid w:val="00DA6C0B"/>
    <w:rsid w:val="00DA75D1"/>
    <w:rsid w:val="00DA7665"/>
    <w:rsid w:val="00DA7A33"/>
    <w:rsid w:val="00DA7D30"/>
    <w:rsid w:val="00DA7D5B"/>
    <w:rsid w:val="00DB0EE7"/>
    <w:rsid w:val="00DB0EF0"/>
    <w:rsid w:val="00DB0F95"/>
    <w:rsid w:val="00DB1A11"/>
    <w:rsid w:val="00DB2449"/>
    <w:rsid w:val="00DB248A"/>
    <w:rsid w:val="00DB37A3"/>
    <w:rsid w:val="00DB476A"/>
    <w:rsid w:val="00DB5591"/>
    <w:rsid w:val="00DB5648"/>
    <w:rsid w:val="00DB6913"/>
    <w:rsid w:val="00DB7022"/>
    <w:rsid w:val="00DC022B"/>
    <w:rsid w:val="00DC044B"/>
    <w:rsid w:val="00DC0564"/>
    <w:rsid w:val="00DC05B8"/>
    <w:rsid w:val="00DC0803"/>
    <w:rsid w:val="00DC0A0A"/>
    <w:rsid w:val="00DC1516"/>
    <w:rsid w:val="00DC1753"/>
    <w:rsid w:val="00DC256D"/>
    <w:rsid w:val="00DC27EA"/>
    <w:rsid w:val="00DC3218"/>
    <w:rsid w:val="00DC345B"/>
    <w:rsid w:val="00DC39AA"/>
    <w:rsid w:val="00DC4550"/>
    <w:rsid w:val="00DC45DF"/>
    <w:rsid w:val="00DC4772"/>
    <w:rsid w:val="00DC49D0"/>
    <w:rsid w:val="00DC4CCA"/>
    <w:rsid w:val="00DC501B"/>
    <w:rsid w:val="00DC51A7"/>
    <w:rsid w:val="00DC5E6C"/>
    <w:rsid w:val="00DC6C65"/>
    <w:rsid w:val="00DC7491"/>
    <w:rsid w:val="00DC75C5"/>
    <w:rsid w:val="00DC78EF"/>
    <w:rsid w:val="00DC7DFA"/>
    <w:rsid w:val="00DD0208"/>
    <w:rsid w:val="00DD08CF"/>
    <w:rsid w:val="00DD0F3F"/>
    <w:rsid w:val="00DD112D"/>
    <w:rsid w:val="00DD1201"/>
    <w:rsid w:val="00DD1652"/>
    <w:rsid w:val="00DD1E64"/>
    <w:rsid w:val="00DD22A1"/>
    <w:rsid w:val="00DD2413"/>
    <w:rsid w:val="00DD2F88"/>
    <w:rsid w:val="00DD3033"/>
    <w:rsid w:val="00DD437C"/>
    <w:rsid w:val="00DD4694"/>
    <w:rsid w:val="00DD4CC5"/>
    <w:rsid w:val="00DD5546"/>
    <w:rsid w:val="00DD569E"/>
    <w:rsid w:val="00DD57AC"/>
    <w:rsid w:val="00DD6455"/>
    <w:rsid w:val="00DD6A88"/>
    <w:rsid w:val="00DD773D"/>
    <w:rsid w:val="00DD7A02"/>
    <w:rsid w:val="00DD7AEF"/>
    <w:rsid w:val="00DD7E7D"/>
    <w:rsid w:val="00DE0002"/>
    <w:rsid w:val="00DE0303"/>
    <w:rsid w:val="00DE0495"/>
    <w:rsid w:val="00DE0618"/>
    <w:rsid w:val="00DE0C16"/>
    <w:rsid w:val="00DE147E"/>
    <w:rsid w:val="00DE17CC"/>
    <w:rsid w:val="00DE1B78"/>
    <w:rsid w:val="00DE1D03"/>
    <w:rsid w:val="00DE214F"/>
    <w:rsid w:val="00DE25AD"/>
    <w:rsid w:val="00DE25E3"/>
    <w:rsid w:val="00DE3104"/>
    <w:rsid w:val="00DE327B"/>
    <w:rsid w:val="00DE3F7E"/>
    <w:rsid w:val="00DE47F0"/>
    <w:rsid w:val="00DE5125"/>
    <w:rsid w:val="00DE66EB"/>
    <w:rsid w:val="00DE68C1"/>
    <w:rsid w:val="00DE72D7"/>
    <w:rsid w:val="00DE7A3D"/>
    <w:rsid w:val="00DF0025"/>
    <w:rsid w:val="00DF0C67"/>
    <w:rsid w:val="00DF0F17"/>
    <w:rsid w:val="00DF1C23"/>
    <w:rsid w:val="00DF25BA"/>
    <w:rsid w:val="00DF2D90"/>
    <w:rsid w:val="00DF2FA0"/>
    <w:rsid w:val="00DF311C"/>
    <w:rsid w:val="00DF3669"/>
    <w:rsid w:val="00DF3E0F"/>
    <w:rsid w:val="00DF3EE8"/>
    <w:rsid w:val="00DF4AA9"/>
    <w:rsid w:val="00DF4B40"/>
    <w:rsid w:val="00DF4E60"/>
    <w:rsid w:val="00DF4F6E"/>
    <w:rsid w:val="00DF55EC"/>
    <w:rsid w:val="00DF5909"/>
    <w:rsid w:val="00DF5FC4"/>
    <w:rsid w:val="00DF6050"/>
    <w:rsid w:val="00DF621A"/>
    <w:rsid w:val="00DF76F8"/>
    <w:rsid w:val="00DF79E9"/>
    <w:rsid w:val="00DF79F0"/>
    <w:rsid w:val="00DF7D34"/>
    <w:rsid w:val="00E00D45"/>
    <w:rsid w:val="00E02227"/>
    <w:rsid w:val="00E025E8"/>
    <w:rsid w:val="00E0270E"/>
    <w:rsid w:val="00E02C3A"/>
    <w:rsid w:val="00E030C0"/>
    <w:rsid w:val="00E03B90"/>
    <w:rsid w:val="00E052F1"/>
    <w:rsid w:val="00E05B73"/>
    <w:rsid w:val="00E05E3A"/>
    <w:rsid w:val="00E06590"/>
    <w:rsid w:val="00E0681A"/>
    <w:rsid w:val="00E06A85"/>
    <w:rsid w:val="00E06D45"/>
    <w:rsid w:val="00E06FAB"/>
    <w:rsid w:val="00E07746"/>
    <w:rsid w:val="00E077EF"/>
    <w:rsid w:val="00E10151"/>
    <w:rsid w:val="00E104E0"/>
    <w:rsid w:val="00E106E9"/>
    <w:rsid w:val="00E10B52"/>
    <w:rsid w:val="00E10D87"/>
    <w:rsid w:val="00E1182D"/>
    <w:rsid w:val="00E11A55"/>
    <w:rsid w:val="00E12226"/>
    <w:rsid w:val="00E12DA7"/>
    <w:rsid w:val="00E130A7"/>
    <w:rsid w:val="00E131DF"/>
    <w:rsid w:val="00E13786"/>
    <w:rsid w:val="00E13AE0"/>
    <w:rsid w:val="00E13D8B"/>
    <w:rsid w:val="00E1432F"/>
    <w:rsid w:val="00E143AD"/>
    <w:rsid w:val="00E148EA"/>
    <w:rsid w:val="00E150EC"/>
    <w:rsid w:val="00E15D79"/>
    <w:rsid w:val="00E15DF6"/>
    <w:rsid w:val="00E162CF"/>
    <w:rsid w:val="00E16469"/>
    <w:rsid w:val="00E16BD8"/>
    <w:rsid w:val="00E17B09"/>
    <w:rsid w:val="00E17B8A"/>
    <w:rsid w:val="00E17D15"/>
    <w:rsid w:val="00E20059"/>
    <w:rsid w:val="00E204F3"/>
    <w:rsid w:val="00E2146A"/>
    <w:rsid w:val="00E21510"/>
    <w:rsid w:val="00E21B94"/>
    <w:rsid w:val="00E21FCC"/>
    <w:rsid w:val="00E220F4"/>
    <w:rsid w:val="00E22563"/>
    <w:rsid w:val="00E2359F"/>
    <w:rsid w:val="00E2376A"/>
    <w:rsid w:val="00E24333"/>
    <w:rsid w:val="00E24542"/>
    <w:rsid w:val="00E24753"/>
    <w:rsid w:val="00E24841"/>
    <w:rsid w:val="00E2487A"/>
    <w:rsid w:val="00E24CC2"/>
    <w:rsid w:val="00E24F3C"/>
    <w:rsid w:val="00E24F8D"/>
    <w:rsid w:val="00E25535"/>
    <w:rsid w:val="00E25C4C"/>
    <w:rsid w:val="00E26C52"/>
    <w:rsid w:val="00E27007"/>
    <w:rsid w:val="00E2720F"/>
    <w:rsid w:val="00E27DA8"/>
    <w:rsid w:val="00E27EE6"/>
    <w:rsid w:val="00E31B26"/>
    <w:rsid w:val="00E31F21"/>
    <w:rsid w:val="00E31FFF"/>
    <w:rsid w:val="00E32613"/>
    <w:rsid w:val="00E32E26"/>
    <w:rsid w:val="00E32F25"/>
    <w:rsid w:val="00E33393"/>
    <w:rsid w:val="00E335A3"/>
    <w:rsid w:val="00E335A6"/>
    <w:rsid w:val="00E33E08"/>
    <w:rsid w:val="00E33F43"/>
    <w:rsid w:val="00E340BE"/>
    <w:rsid w:val="00E3425C"/>
    <w:rsid w:val="00E34490"/>
    <w:rsid w:val="00E34580"/>
    <w:rsid w:val="00E3551E"/>
    <w:rsid w:val="00E3582A"/>
    <w:rsid w:val="00E3582C"/>
    <w:rsid w:val="00E35D17"/>
    <w:rsid w:val="00E35DEE"/>
    <w:rsid w:val="00E361E4"/>
    <w:rsid w:val="00E36AC0"/>
    <w:rsid w:val="00E37508"/>
    <w:rsid w:val="00E40563"/>
    <w:rsid w:val="00E406EF"/>
    <w:rsid w:val="00E40A26"/>
    <w:rsid w:val="00E40F54"/>
    <w:rsid w:val="00E411A6"/>
    <w:rsid w:val="00E41707"/>
    <w:rsid w:val="00E41A68"/>
    <w:rsid w:val="00E42168"/>
    <w:rsid w:val="00E42427"/>
    <w:rsid w:val="00E43F2A"/>
    <w:rsid w:val="00E44233"/>
    <w:rsid w:val="00E4493B"/>
    <w:rsid w:val="00E44D1B"/>
    <w:rsid w:val="00E44EFB"/>
    <w:rsid w:val="00E45A00"/>
    <w:rsid w:val="00E46468"/>
    <w:rsid w:val="00E46968"/>
    <w:rsid w:val="00E4697C"/>
    <w:rsid w:val="00E47008"/>
    <w:rsid w:val="00E47284"/>
    <w:rsid w:val="00E475AB"/>
    <w:rsid w:val="00E4793B"/>
    <w:rsid w:val="00E505AB"/>
    <w:rsid w:val="00E5066A"/>
    <w:rsid w:val="00E5084A"/>
    <w:rsid w:val="00E50986"/>
    <w:rsid w:val="00E50D7F"/>
    <w:rsid w:val="00E50F78"/>
    <w:rsid w:val="00E50FCF"/>
    <w:rsid w:val="00E515D2"/>
    <w:rsid w:val="00E517A0"/>
    <w:rsid w:val="00E51816"/>
    <w:rsid w:val="00E52527"/>
    <w:rsid w:val="00E52533"/>
    <w:rsid w:val="00E5362A"/>
    <w:rsid w:val="00E53AA0"/>
    <w:rsid w:val="00E53CF3"/>
    <w:rsid w:val="00E53D81"/>
    <w:rsid w:val="00E54133"/>
    <w:rsid w:val="00E5413C"/>
    <w:rsid w:val="00E54822"/>
    <w:rsid w:val="00E5484F"/>
    <w:rsid w:val="00E54853"/>
    <w:rsid w:val="00E5577E"/>
    <w:rsid w:val="00E5602B"/>
    <w:rsid w:val="00E5610D"/>
    <w:rsid w:val="00E5622A"/>
    <w:rsid w:val="00E56332"/>
    <w:rsid w:val="00E56467"/>
    <w:rsid w:val="00E565B6"/>
    <w:rsid w:val="00E56769"/>
    <w:rsid w:val="00E56FF5"/>
    <w:rsid w:val="00E57863"/>
    <w:rsid w:val="00E57908"/>
    <w:rsid w:val="00E57DC6"/>
    <w:rsid w:val="00E6019E"/>
    <w:rsid w:val="00E601FD"/>
    <w:rsid w:val="00E604BF"/>
    <w:rsid w:val="00E60817"/>
    <w:rsid w:val="00E60D48"/>
    <w:rsid w:val="00E611AA"/>
    <w:rsid w:val="00E61497"/>
    <w:rsid w:val="00E6160B"/>
    <w:rsid w:val="00E629E8"/>
    <w:rsid w:val="00E63243"/>
    <w:rsid w:val="00E63408"/>
    <w:rsid w:val="00E63DDC"/>
    <w:rsid w:val="00E63FC8"/>
    <w:rsid w:val="00E64190"/>
    <w:rsid w:val="00E64BAA"/>
    <w:rsid w:val="00E64F82"/>
    <w:rsid w:val="00E65389"/>
    <w:rsid w:val="00E6541F"/>
    <w:rsid w:val="00E6550E"/>
    <w:rsid w:val="00E6555A"/>
    <w:rsid w:val="00E66849"/>
    <w:rsid w:val="00E67A8D"/>
    <w:rsid w:val="00E67B8D"/>
    <w:rsid w:val="00E71169"/>
    <w:rsid w:val="00E716FC"/>
    <w:rsid w:val="00E7178C"/>
    <w:rsid w:val="00E7236B"/>
    <w:rsid w:val="00E72790"/>
    <w:rsid w:val="00E72933"/>
    <w:rsid w:val="00E72A62"/>
    <w:rsid w:val="00E72B4F"/>
    <w:rsid w:val="00E72C2F"/>
    <w:rsid w:val="00E72DD1"/>
    <w:rsid w:val="00E730EB"/>
    <w:rsid w:val="00E732CF"/>
    <w:rsid w:val="00E735CA"/>
    <w:rsid w:val="00E736F8"/>
    <w:rsid w:val="00E738B4"/>
    <w:rsid w:val="00E73B20"/>
    <w:rsid w:val="00E73D1E"/>
    <w:rsid w:val="00E73E69"/>
    <w:rsid w:val="00E74748"/>
    <w:rsid w:val="00E750C5"/>
    <w:rsid w:val="00E75630"/>
    <w:rsid w:val="00E75A28"/>
    <w:rsid w:val="00E76A17"/>
    <w:rsid w:val="00E76CF6"/>
    <w:rsid w:val="00E76FF6"/>
    <w:rsid w:val="00E77470"/>
    <w:rsid w:val="00E7775A"/>
    <w:rsid w:val="00E77E45"/>
    <w:rsid w:val="00E77EAD"/>
    <w:rsid w:val="00E801D5"/>
    <w:rsid w:val="00E8075A"/>
    <w:rsid w:val="00E80D22"/>
    <w:rsid w:val="00E8210B"/>
    <w:rsid w:val="00E82A5B"/>
    <w:rsid w:val="00E82C3A"/>
    <w:rsid w:val="00E82CCA"/>
    <w:rsid w:val="00E8349D"/>
    <w:rsid w:val="00E83DDE"/>
    <w:rsid w:val="00E84C6B"/>
    <w:rsid w:val="00E85397"/>
    <w:rsid w:val="00E85BBE"/>
    <w:rsid w:val="00E86067"/>
    <w:rsid w:val="00E8636D"/>
    <w:rsid w:val="00E86424"/>
    <w:rsid w:val="00E86691"/>
    <w:rsid w:val="00E87405"/>
    <w:rsid w:val="00E8760A"/>
    <w:rsid w:val="00E90E1A"/>
    <w:rsid w:val="00E90FA6"/>
    <w:rsid w:val="00E92021"/>
    <w:rsid w:val="00E93465"/>
    <w:rsid w:val="00E949A3"/>
    <w:rsid w:val="00E94C41"/>
    <w:rsid w:val="00E94EF9"/>
    <w:rsid w:val="00E951B3"/>
    <w:rsid w:val="00E95FDE"/>
    <w:rsid w:val="00E96191"/>
    <w:rsid w:val="00E96816"/>
    <w:rsid w:val="00E972CB"/>
    <w:rsid w:val="00EA03E9"/>
    <w:rsid w:val="00EA0431"/>
    <w:rsid w:val="00EA048F"/>
    <w:rsid w:val="00EA0EF5"/>
    <w:rsid w:val="00EA1AF6"/>
    <w:rsid w:val="00EA1B12"/>
    <w:rsid w:val="00EA2B29"/>
    <w:rsid w:val="00EA2C4A"/>
    <w:rsid w:val="00EA42A9"/>
    <w:rsid w:val="00EA42D0"/>
    <w:rsid w:val="00EA4590"/>
    <w:rsid w:val="00EA4C95"/>
    <w:rsid w:val="00EA5695"/>
    <w:rsid w:val="00EA5AC4"/>
    <w:rsid w:val="00EA6B18"/>
    <w:rsid w:val="00EA6D4F"/>
    <w:rsid w:val="00EA7EEB"/>
    <w:rsid w:val="00EB0026"/>
    <w:rsid w:val="00EB0103"/>
    <w:rsid w:val="00EB048F"/>
    <w:rsid w:val="00EB0936"/>
    <w:rsid w:val="00EB0B12"/>
    <w:rsid w:val="00EB0D39"/>
    <w:rsid w:val="00EB1210"/>
    <w:rsid w:val="00EB128D"/>
    <w:rsid w:val="00EB2315"/>
    <w:rsid w:val="00EB29BD"/>
    <w:rsid w:val="00EB2A44"/>
    <w:rsid w:val="00EB303A"/>
    <w:rsid w:val="00EB40B2"/>
    <w:rsid w:val="00EB4159"/>
    <w:rsid w:val="00EB4696"/>
    <w:rsid w:val="00EB4EE9"/>
    <w:rsid w:val="00EB4FFD"/>
    <w:rsid w:val="00EB5032"/>
    <w:rsid w:val="00EB511D"/>
    <w:rsid w:val="00EB5507"/>
    <w:rsid w:val="00EB5BCD"/>
    <w:rsid w:val="00EB60A1"/>
    <w:rsid w:val="00EB64D5"/>
    <w:rsid w:val="00EB6608"/>
    <w:rsid w:val="00EB69BC"/>
    <w:rsid w:val="00EB6C77"/>
    <w:rsid w:val="00EB6CB5"/>
    <w:rsid w:val="00EB6D04"/>
    <w:rsid w:val="00EB74DF"/>
    <w:rsid w:val="00EB7F74"/>
    <w:rsid w:val="00EC014A"/>
    <w:rsid w:val="00EC0F05"/>
    <w:rsid w:val="00EC144F"/>
    <w:rsid w:val="00EC162F"/>
    <w:rsid w:val="00EC1866"/>
    <w:rsid w:val="00EC1C30"/>
    <w:rsid w:val="00EC1E9D"/>
    <w:rsid w:val="00EC1F33"/>
    <w:rsid w:val="00EC20CF"/>
    <w:rsid w:val="00EC2F23"/>
    <w:rsid w:val="00EC33BC"/>
    <w:rsid w:val="00EC3CB3"/>
    <w:rsid w:val="00EC3ECE"/>
    <w:rsid w:val="00EC3FEB"/>
    <w:rsid w:val="00EC45FD"/>
    <w:rsid w:val="00EC4E87"/>
    <w:rsid w:val="00EC56CF"/>
    <w:rsid w:val="00EC5722"/>
    <w:rsid w:val="00EC68E9"/>
    <w:rsid w:val="00EC799C"/>
    <w:rsid w:val="00ED0251"/>
    <w:rsid w:val="00ED0263"/>
    <w:rsid w:val="00ED0353"/>
    <w:rsid w:val="00ED0503"/>
    <w:rsid w:val="00ED0D71"/>
    <w:rsid w:val="00ED1382"/>
    <w:rsid w:val="00ED13F2"/>
    <w:rsid w:val="00ED1F4A"/>
    <w:rsid w:val="00ED26E4"/>
    <w:rsid w:val="00ED2B8F"/>
    <w:rsid w:val="00ED3958"/>
    <w:rsid w:val="00ED4125"/>
    <w:rsid w:val="00ED4399"/>
    <w:rsid w:val="00ED49AC"/>
    <w:rsid w:val="00ED523D"/>
    <w:rsid w:val="00ED5B9A"/>
    <w:rsid w:val="00ED7758"/>
    <w:rsid w:val="00ED7A38"/>
    <w:rsid w:val="00ED7A9A"/>
    <w:rsid w:val="00ED7D75"/>
    <w:rsid w:val="00EE0903"/>
    <w:rsid w:val="00EE09F6"/>
    <w:rsid w:val="00EE0C4B"/>
    <w:rsid w:val="00EE1850"/>
    <w:rsid w:val="00EE24D0"/>
    <w:rsid w:val="00EE3438"/>
    <w:rsid w:val="00EE38BB"/>
    <w:rsid w:val="00EE3914"/>
    <w:rsid w:val="00EE4453"/>
    <w:rsid w:val="00EE45EA"/>
    <w:rsid w:val="00EE4F1C"/>
    <w:rsid w:val="00EE58A0"/>
    <w:rsid w:val="00EE5ABF"/>
    <w:rsid w:val="00EE6009"/>
    <w:rsid w:val="00EE65A0"/>
    <w:rsid w:val="00EE6BA1"/>
    <w:rsid w:val="00EE6C3B"/>
    <w:rsid w:val="00EF0393"/>
    <w:rsid w:val="00EF03B0"/>
    <w:rsid w:val="00EF0418"/>
    <w:rsid w:val="00EF08A8"/>
    <w:rsid w:val="00EF0B86"/>
    <w:rsid w:val="00EF10CD"/>
    <w:rsid w:val="00EF146D"/>
    <w:rsid w:val="00EF2221"/>
    <w:rsid w:val="00EF2FC3"/>
    <w:rsid w:val="00EF3DD3"/>
    <w:rsid w:val="00EF4631"/>
    <w:rsid w:val="00EF4734"/>
    <w:rsid w:val="00EF5039"/>
    <w:rsid w:val="00EF63CE"/>
    <w:rsid w:val="00EF695C"/>
    <w:rsid w:val="00EF750F"/>
    <w:rsid w:val="00F00129"/>
    <w:rsid w:val="00F01A13"/>
    <w:rsid w:val="00F01B1D"/>
    <w:rsid w:val="00F01E2F"/>
    <w:rsid w:val="00F01EB0"/>
    <w:rsid w:val="00F03072"/>
    <w:rsid w:val="00F030C4"/>
    <w:rsid w:val="00F030D1"/>
    <w:rsid w:val="00F03CDD"/>
    <w:rsid w:val="00F0410D"/>
    <w:rsid w:val="00F0425A"/>
    <w:rsid w:val="00F048FE"/>
    <w:rsid w:val="00F04B3C"/>
    <w:rsid w:val="00F050BC"/>
    <w:rsid w:val="00F054A1"/>
    <w:rsid w:val="00F05771"/>
    <w:rsid w:val="00F05F93"/>
    <w:rsid w:val="00F0622F"/>
    <w:rsid w:val="00F07598"/>
    <w:rsid w:val="00F0768C"/>
    <w:rsid w:val="00F0786E"/>
    <w:rsid w:val="00F1024F"/>
    <w:rsid w:val="00F10EC6"/>
    <w:rsid w:val="00F11087"/>
    <w:rsid w:val="00F114F8"/>
    <w:rsid w:val="00F11B70"/>
    <w:rsid w:val="00F11C2E"/>
    <w:rsid w:val="00F12220"/>
    <w:rsid w:val="00F12E88"/>
    <w:rsid w:val="00F135E8"/>
    <w:rsid w:val="00F13678"/>
    <w:rsid w:val="00F139A3"/>
    <w:rsid w:val="00F139E8"/>
    <w:rsid w:val="00F13EB5"/>
    <w:rsid w:val="00F13F09"/>
    <w:rsid w:val="00F140F4"/>
    <w:rsid w:val="00F14542"/>
    <w:rsid w:val="00F1455A"/>
    <w:rsid w:val="00F1477B"/>
    <w:rsid w:val="00F14A18"/>
    <w:rsid w:val="00F14C73"/>
    <w:rsid w:val="00F152AD"/>
    <w:rsid w:val="00F16A89"/>
    <w:rsid w:val="00F16C1F"/>
    <w:rsid w:val="00F177B3"/>
    <w:rsid w:val="00F17B85"/>
    <w:rsid w:val="00F17BA2"/>
    <w:rsid w:val="00F201FC"/>
    <w:rsid w:val="00F20580"/>
    <w:rsid w:val="00F20734"/>
    <w:rsid w:val="00F20CF5"/>
    <w:rsid w:val="00F21649"/>
    <w:rsid w:val="00F21724"/>
    <w:rsid w:val="00F223B1"/>
    <w:rsid w:val="00F22545"/>
    <w:rsid w:val="00F229BC"/>
    <w:rsid w:val="00F22C01"/>
    <w:rsid w:val="00F22FDD"/>
    <w:rsid w:val="00F23409"/>
    <w:rsid w:val="00F2393F"/>
    <w:rsid w:val="00F2688D"/>
    <w:rsid w:val="00F26C8E"/>
    <w:rsid w:val="00F26C98"/>
    <w:rsid w:val="00F26E65"/>
    <w:rsid w:val="00F27009"/>
    <w:rsid w:val="00F27605"/>
    <w:rsid w:val="00F30B6C"/>
    <w:rsid w:val="00F30CE7"/>
    <w:rsid w:val="00F31801"/>
    <w:rsid w:val="00F318B8"/>
    <w:rsid w:val="00F318F8"/>
    <w:rsid w:val="00F32256"/>
    <w:rsid w:val="00F33124"/>
    <w:rsid w:val="00F33967"/>
    <w:rsid w:val="00F33F20"/>
    <w:rsid w:val="00F3401C"/>
    <w:rsid w:val="00F34284"/>
    <w:rsid w:val="00F343C0"/>
    <w:rsid w:val="00F3451C"/>
    <w:rsid w:val="00F34686"/>
    <w:rsid w:val="00F3472F"/>
    <w:rsid w:val="00F351A8"/>
    <w:rsid w:val="00F353C0"/>
    <w:rsid w:val="00F35496"/>
    <w:rsid w:val="00F35570"/>
    <w:rsid w:val="00F357CF"/>
    <w:rsid w:val="00F3591D"/>
    <w:rsid w:val="00F35A3D"/>
    <w:rsid w:val="00F37005"/>
    <w:rsid w:val="00F3759E"/>
    <w:rsid w:val="00F37939"/>
    <w:rsid w:val="00F40DBB"/>
    <w:rsid w:val="00F41128"/>
    <w:rsid w:val="00F41BFA"/>
    <w:rsid w:val="00F42849"/>
    <w:rsid w:val="00F43836"/>
    <w:rsid w:val="00F44183"/>
    <w:rsid w:val="00F441D8"/>
    <w:rsid w:val="00F4478B"/>
    <w:rsid w:val="00F44ECF"/>
    <w:rsid w:val="00F46B0E"/>
    <w:rsid w:val="00F47AFE"/>
    <w:rsid w:val="00F5050C"/>
    <w:rsid w:val="00F50B0B"/>
    <w:rsid w:val="00F50CA8"/>
    <w:rsid w:val="00F51232"/>
    <w:rsid w:val="00F51A58"/>
    <w:rsid w:val="00F521DC"/>
    <w:rsid w:val="00F52300"/>
    <w:rsid w:val="00F52FB2"/>
    <w:rsid w:val="00F53120"/>
    <w:rsid w:val="00F531B3"/>
    <w:rsid w:val="00F5340F"/>
    <w:rsid w:val="00F53E44"/>
    <w:rsid w:val="00F544BA"/>
    <w:rsid w:val="00F547FC"/>
    <w:rsid w:val="00F54A85"/>
    <w:rsid w:val="00F54F58"/>
    <w:rsid w:val="00F558CA"/>
    <w:rsid w:val="00F55FAD"/>
    <w:rsid w:val="00F561B9"/>
    <w:rsid w:val="00F5631A"/>
    <w:rsid w:val="00F576AA"/>
    <w:rsid w:val="00F57C71"/>
    <w:rsid w:val="00F57D46"/>
    <w:rsid w:val="00F60F82"/>
    <w:rsid w:val="00F614A1"/>
    <w:rsid w:val="00F61CC1"/>
    <w:rsid w:val="00F62970"/>
    <w:rsid w:val="00F63B0A"/>
    <w:rsid w:val="00F64321"/>
    <w:rsid w:val="00F64857"/>
    <w:rsid w:val="00F64898"/>
    <w:rsid w:val="00F648A5"/>
    <w:rsid w:val="00F64D5B"/>
    <w:rsid w:val="00F659B3"/>
    <w:rsid w:val="00F65DAC"/>
    <w:rsid w:val="00F65F0A"/>
    <w:rsid w:val="00F66439"/>
    <w:rsid w:val="00F66979"/>
    <w:rsid w:val="00F70278"/>
    <w:rsid w:val="00F708DC"/>
    <w:rsid w:val="00F70DE1"/>
    <w:rsid w:val="00F711F0"/>
    <w:rsid w:val="00F71757"/>
    <w:rsid w:val="00F72201"/>
    <w:rsid w:val="00F72C0E"/>
    <w:rsid w:val="00F72F20"/>
    <w:rsid w:val="00F75B36"/>
    <w:rsid w:val="00F75BC6"/>
    <w:rsid w:val="00F763F8"/>
    <w:rsid w:val="00F76F9D"/>
    <w:rsid w:val="00F77B2B"/>
    <w:rsid w:val="00F77FE6"/>
    <w:rsid w:val="00F802CA"/>
    <w:rsid w:val="00F809C5"/>
    <w:rsid w:val="00F814C3"/>
    <w:rsid w:val="00F8195A"/>
    <w:rsid w:val="00F82FFE"/>
    <w:rsid w:val="00F83041"/>
    <w:rsid w:val="00F8331A"/>
    <w:rsid w:val="00F833DD"/>
    <w:rsid w:val="00F837DA"/>
    <w:rsid w:val="00F83819"/>
    <w:rsid w:val="00F83B28"/>
    <w:rsid w:val="00F85A05"/>
    <w:rsid w:val="00F85E58"/>
    <w:rsid w:val="00F8649C"/>
    <w:rsid w:val="00F8758A"/>
    <w:rsid w:val="00F876F8"/>
    <w:rsid w:val="00F909C1"/>
    <w:rsid w:val="00F912DD"/>
    <w:rsid w:val="00F91F59"/>
    <w:rsid w:val="00F923B9"/>
    <w:rsid w:val="00F9266D"/>
    <w:rsid w:val="00F926A3"/>
    <w:rsid w:val="00F92976"/>
    <w:rsid w:val="00F92F00"/>
    <w:rsid w:val="00F93440"/>
    <w:rsid w:val="00F937B7"/>
    <w:rsid w:val="00F93AF6"/>
    <w:rsid w:val="00F94168"/>
    <w:rsid w:val="00F94209"/>
    <w:rsid w:val="00F94703"/>
    <w:rsid w:val="00F94CA4"/>
    <w:rsid w:val="00F9550C"/>
    <w:rsid w:val="00F9621D"/>
    <w:rsid w:val="00F962C5"/>
    <w:rsid w:val="00F96569"/>
    <w:rsid w:val="00F967F8"/>
    <w:rsid w:val="00F96A70"/>
    <w:rsid w:val="00F96B83"/>
    <w:rsid w:val="00F97846"/>
    <w:rsid w:val="00F97B0B"/>
    <w:rsid w:val="00FA0036"/>
    <w:rsid w:val="00FA015B"/>
    <w:rsid w:val="00FA0267"/>
    <w:rsid w:val="00FA0626"/>
    <w:rsid w:val="00FA1181"/>
    <w:rsid w:val="00FA21A3"/>
    <w:rsid w:val="00FA2287"/>
    <w:rsid w:val="00FA24D9"/>
    <w:rsid w:val="00FA2B49"/>
    <w:rsid w:val="00FA2E10"/>
    <w:rsid w:val="00FA32F0"/>
    <w:rsid w:val="00FA363E"/>
    <w:rsid w:val="00FA4068"/>
    <w:rsid w:val="00FA4890"/>
    <w:rsid w:val="00FA491D"/>
    <w:rsid w:val="00FA5196"/>
    <w:rsid w:val="00FA5747"/>
    <w:rsid w:val="00FA63D0"/>
    <w:rsid w:val="00FA759A"/>
    <w:rsid w:val="00FA7894"/>
    <w:rsid w:val="00FA7D9E"/>
    <w:rsid w:val="00FB04BB"/>
    <w:rsid w:val="00FB0514"/>
    <w:rsid w:val="00FB0872"/>
    <w:rsid w:val="00FB0DF7"/>
    <w:rsid w:val="00FB0ED0"/>
    <w:rsid w:val="00FB0EE3"/>
    <w:rsid w:val="00FB113A"/>
    <w:rsid w:val="00FB11EC"/>
    <w:rsid w:val="00FB1A73"/>
    <w:rsid w:val="00FB23EE"/>
    <w:rsid w:val="00FB25C1"/>
    <w:rsid w:val="00FB2B6A"/>
    <w:rsid w:val="00FB2F5A"/>
    <w:rsid w:val="00FB3192"/>
    <w:rsid w:val="00FB36A5"/>
    <w:rsid w:val="00FB47B3"/>
    <w:rsid w:val="00FB593F"/>
    <w:rsid w:val="00FB5C94"/>
    <w:rsid w:val="00FB6262"/>
    <w:rsid w:val="00FB671F"/>
    <w:rsid w:val="00FB6CDC"/>
    <w:rsid w:val="00FB750A"/>
    <w:rsid w:val="00FB7C6B"/>
    <w:rsid w:val="00FB7D1F"/>
    <w:rsid w:val="00FC0467"/>
    <w:rsid w:val="00FC056C"/>
    <w:rsid w:val="00FC235F"/>
    <w:rsid w:val="00FC2531"/>
    <w:rsid w:val="00FC268F"/>
    <w:rsid w:val="00FC2CAB"/>
    <w:rsid w:val="00FC3389"/>
    <w:rsid w:val="00FC4A0A"/>
    <w:rsid w:val="00FC4BF1"/>
    <w:rsid w:val="00FC4D94"/>
    <w:rsid w:val="00FC4F70"/>
    <w:rsid w:val="00FC574D"/>
    <w:rsid w:val="00FC5A24"/>
    <w:rsid w:val="00FC5D56"/>
    <w:rsid w:val="00FC6B7B"/>
    <w:rsid w:val="00FC7171"/>
    <w:rsid w:val="00FC72C2"/>
    <w:rsid w:val="00FC7309"/>
    <w:rsid w:val="00FC7757"/>
    <w:rsid w:val="00FC7AE5"/>
    <w:rsid w:val="00FC7E0A"/>
    <w:rsid w:val="00FD02F5"/>
    <w:rsid w:val="00FD0805"/>
    <w:rsid w:val="00FD105F"/>
    <w:rsid w:val="00FD10DF"/>
    <w:rsid w:val="00FD1163"/>
    <w:rsid w:val="00FD1471"/>
    <w:rsid w:val="00FD1548"/>
    <w:rsid w:val="00FD1C01"/>
    <w:rsid w:val="00FD1FED"/>
    <w:rsid w:val="00FD24BA"/>
    <w:rsid w:val="00FD2615"/>
    <w:rsid w:val="00FD2C3D"/>
    <w:rsid w:val="00FD319D"/>
    <w:rsid w:val="00FD3FBF"/>
    <w:rsid w:val="00FD4E65"/>
    <w:rsid w:val="00FD56E8"/>
    <w:rsid w:val="00FD5752"/>
    <w:rsid w:val="00FD5A47"/>
    <w:rsid w:val="00FD5D60"/>
    <w:rsid w:val="00FD6281"/>
    <w:rsid w:val="00FD649C"/>
    <w:rsid w:val="00FD74BF"/>
    <w:rsid w:val="00FD7A94"/>
    <w:rsid w:val="00FE0363"/>
    <w:rsid w:val="00FE0653"/>
    <w:rsid w:val="00FE069E"/>
    <w:rsid w:val="00FE0FB9"/>
    <w:rsid w:val="00FE107B"/>
    <w:rsid w:val="00FE16BD"/>
    <w:rsid w:val="00FE2623"/>
    <w:rsid w:val="00FE3A3C"/>
    <w:rsid w:val="00FE3C91"/>
    <w:rsid w:val="00FE3CE8"/>
    <w:rsid w:val="00FE4087"/>
    <w:rsid w:val="00FE424E"/>
    <w:rsid w:val="00FE493B"/>
    <w:rsid w:val="00FE4F5C"/>
    <w:rsid w:val="00FE52EF"/>
    <w:rsid w:val="00FE5867"/>
    <w:rsid w:val="00FE5F38"/>
    <w:rsid w:val="00FE6255"/>
    <w:rsid w:val="00FE62E4"/>
    <w:rsid w:val="00FE683F"/>
    <w:rsid w:val="00FE7015"/>
    <w:rsid w:val="00FE7559"/>
    <w:rsid w:val="00FE7D57"/>
    <w:rsid w:val="00FE7E56"/>
    <w:rsid w:val="00FF0079"/>
    <w:rsid w:val="00FF026F"/>
    <w:rsid w:val="00FF159D"/>
    <w:rsid w:val="00FF1960"/>
    <w:rsid w:val="00FF22A0"/>
    <w:rsid w:val="00FF26EB"/>
    <w:rsid w:val="00FF2A15"/>
    <w:rsid w:val="00FF2D5B"/>
    <w:rsid w:val="00FF307E"/>
    <w:rsid w:val="00FF31D1"/>
    <w:rsid w:val="00FF33E2"/>
    <w:rsid w:val="00FF34E4"/>
    <w:rsid w:val="00FF35F1"/>
    <w:rsid w:val="00FF3774"/>
    <w:rsid w:val="00FF4331"/>
    <w:rsid w:val="00FF4869"/>
    <w:rsid w:val="00FF49BF"/>
    <w:rsid w:val="00FF56F1"/>
    <w:rsid w:val="00FF591A"/>
    <w:rsid w:val="00FF60C6"/>
    <w:rsid w:val="00FF64C5"/>
    <w:rsid w:val="00FF6A49"/>
    <w:rsid w:val="00FF6A77"/>
    <w:rsid w:val="00FF6E9B"/>
    <w:rsid w:val="00FF717F"/>
    <w:rsid w:val="00FF7358"/>
    <w:rsid w:val="00FF74AE"/>
    <w:rsid w:val="00FF786C"/>
    <w:rsid w:val="00FF7C39"/>
    <w:rsid w:val="00FF7F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9A7190C"/>
  <w15:docId w15:val="{2082C86D-7D7A-41AD-B3B8-65F88D96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382F"/>
    <w:pPr>
      <w:suppressAutoHyphens/>
    </w:pPr>
    <w:rPr>
      <w:sz w:val="24"/>
      <w:szCs w:val="24"/>
      <w:lang w:val="en-GB" w:eastAsia="ar-SA"/>
    </w:rPr>
  </w:style>
  <w:style w:type="paragraph" w:styleId="Heading1">
    <w:name w:val="heading 1"/>
    <w:basedOn w:val="Normal"/>
    <w:next w:val="Normal"/>
    <w:link w:val="Heading1Char1"/>
    <w:qFormat/>
    <w:rsid w:val="00AD75CF"/>
    <w:pPr>
      <w:keepNext/>
      <w:numPr>
        <w:numId w:val="1"/>
      </w:numPr>
      <w:pBdr>
        <w:bottom w:val="single" w:sz="4" w:space="1" w:color="auto"/>
      </w:pBdr>
      <w:spacing w:after="600"/>
      <w:ind w:left="1151" w:hanging="1151"/>
      <w:outlineLvl w:val="0"/>
    </w:pPr>
    <w:rPr>
      <w:rFonts w:ascii="Arial Narrow" w:hAnsi="Arial Narrow"/>
      <w:bCs/>
      <w:sz w:val="48"/>
      <w:lang w:val="en-US"/>
    </w:rPr>
  </w:style>
  <w:style w:type="paragraph" w:styleId="Heading2">
    <w:name w:val="heading 2"/>
    <w:basedOn w:val="Normal"/>
    <w:next w:val="Normal"/>
    <w:link w:val="Heading2Char1"/>
    <w:qFormat/>
    <w:pPr>
      <w:numPr>
        <w:ilvl w:val="1"/>
        <w:numId w:val="1"/>
      </w:numPr>
      <w:spacing w:before="600"/>
      <w:outlineLvl w:val="1"/>
    </w:pPr>
    <w:rPr>
      <w:rFonts w:ascii="Helvetica" w:hAnsi="Helvetica" w:cs="Helvetica"/>
      <w:b/>
      <w:bCs/>
      <w:sz w:val="28"/>
      <w:szCs w:val="28"/>
    </w:rPr>
  </w:style>
  <w:style w:type="paragraph" w:styleId="Heading3">
    <w:name w:val="heading 3"/>
    <w:basedOn w:val="Normal"/>
    <w:next w:val="Normal"/>
    <w:qFormat/>
    <w:pPr>
      <w:keepNext/>
      <w:numPr>
        <w:ilvl w:val="2"/>
        <w:numId w:val="1"/>
      </w:numPr>
      <w:tabs>
        <w:tab w:val="right" w:pos="3402"/>
        <w:tab w:val="right" w:pos="4536"/>
        <w:tab w:val="right" w:pos="5670"/>
        <w:tab w:val="right" w:pos="6804"/>
        <w:tab w:val="right" w:pos="7938"/>
        <w:tab w:val="right" w:pos="9072"/>
      </w:tabs>
      <w:spacing w:line="280" w:lineRule="exact"/>
      <w:jc w:val="both"/>
      <w:outlineLvl w:val="2"/>
    </w:pPr>
    <w:rPr>
      <w:b/>
      <w:bCs/>
      <w:sz w:val="22"/>
      <w:szCs w:val="22"/>
    </w:rPr>
  </w:style>
  <w:style w:type="paragraph" w:styleId="Heading4">
    <w:name w:val="heading 4"/>
    <w:basedOn w:val="Normal"/>
    <w:next w:val="Normal"/>
    <w:link w:val="Heading4Char"/>
    <w:qFormat/>
    <w:pPr>
      <w:keepNext/>
      <w:numPr>
        <w:ilvl w:val="3"/>
        <w:numId w:val="1"/>
      </w:numPr>
      <w:tabs>
        <w:tab w:val="right" w:pos="2268"/>
        <w:tab w:val="right" w:pos="2835"/>
        <w:tab w:val="right" w:pos="3544"/>
        <w:tab w:val="right" w:pos="4111"/>
        <w:tab w:val="right" w:pos="4820"/>
        <w:tab w:val="right" w:pos="5387"/>
        <w:tab w:val="right" w:pos="6096"/>
        <w:tab w:val="right" w:pos="6663"/>
        <w:tab w:val="right" w:pos="7371"/>
        <w:tab w:val="right" w:pos="7938"/>
        <w:tab w:val="right" w:pos="8647"/>
        <w:tab w:val="right" w:pos="9214"/>
      </w:tabs>
      <w:spacing w:before="160"/>
      <w:ind w:left="426" w:hanging="426"/>
      <w:outlineLvl w:val="3"/>
    </w:pPr>
    <w:rPr>
      <w:b/>
      <w:bCs/>
    </w:rPr>
  </w:style>
  <w:style w:type="paragraph" w:styleId="Heading5">
    <w:name w:val="heading 5"/>
    <w:basedOn w:val="Normal"/>
    <w:next w:val="Normal"/>
    <w:link w:val="Heading5Char"/>
    <w:qFormat/>
    <w:pPr>
      <w:keepNext/>
      <w:numPr>
        <w:ilvl w:val="4"/>
        <w:numId w:val="1"/>
      </w:numPr>
      <w:tabs>
        <w:tab w:val="right" w:pos="3060"/>
        <w:tab w:val="right" w:pos="3960"/>
        <w:tab w:val="right" w:pos="4860"/>
        <w:tab w:val="right" w:pos="5760"/>
        <w:tab w:val="right" w:pos="6660"/>
        <w:tab w:val="right" w:pos="7560"/>
        <w:tab w:val="left" w:pos="8280"/>
      </w:tabs>
      <w:spacing w:before="100" w:after="100" w:line="280" w:lineRule="exact"/>
      <w:outlineLvl w:val="4"/>
    </w:pPr>
    <w:rPr>
      <w:b/>
      <w:bCs/>
      <w:sz w:val="22"/>
      <w:szCs w:val="22"/>
    </w:rPr>
  </w:style>
  <w:style w:type="paragraph" w:styleId="Heading6">
    <w:name w:val="heading 6"/>
    <w:basedOn w:val="Normal"/>
    <w:next w:val="Normal"/>
    <w:link w:val="Heading6Char"/>
    <w:qFormat/>
    <w:pPr>
      <w:keepNext/>
      <w:numPr>
        <w:ilvl w:val="5"/>
        <w:numId w:val="1"/>
      </w:numPr>
      <w:spacing w:after="600"/>
      <w:outlineLvl w:val="5"/>
    </w:pPr>
    <w:rPr>
      <w:rFonts w:ascii="Arial Narrow" w:hAnsi="Arial Narrow"/>
      <w:sz w:val="48"/>
      <w:lang w:val="en-AU"/>
    </w:rPr>
  </w:style>
  <w:style w:type="paragraph" w:styleId="Heading7">
    <w:name w:val="heading 7"/>
    <w:basedOn w:val="Normal"/>
    <w:next w:val="Normal"/>
    <w:link w:val="Heading7Char"/>
    <w:qFormat/>
    <w:pPr>
      <w:keepNext/>
      <w:numPr>
        <w:ilvl w:val="6"/>
        <w:numId w:val="1"/>
      </w:numPr>
      <w:outlineLvl w:val="6"/>
    </w:pPr>
    <w:rPr>
      <w:rFonts w:ascii="Arial Narrow" w:hAnsi="Arial Narrow"/>
      <w:b/>
      <w:bCs/>
      <w:i/>
      <w:iCs/>
      <w:sz w:val="18"/>
    </w:rPr>
  </w:style>
  <w:style w:type="paragraph" w:styleId="Heading8">
    <w:name w:val="heading 8"/>
    <w:basedOn w:val="Normal"/>
    <w:next w:val="Normal"/>
    <w:link w:val="Heading8Char"/>
    <w:qFormat/>
    <w:pPr>
      <w:keepNext/>
      <w:numPr>
        <w:ilvl w:val="7"/>
        <w:numId w:val="1"/>
      </w:numPr>
      <w:tabs>
        <w:tab w:val="left" w:pos="397"/>
        <w:tab w:val="left" w:pos="907"/>
        <w:tab w:val="left" w:pos="1616"/>
        <w:tab w:val="left" w:pos="3402"/>
      </w:tabs>
      <w:spacing w:line="380" w:lineRule="exact"/>
      <w:outlineLvl w:val="7"/>
    </w:pPr>
    <w:rPr>
      <w:sz w:val="28"/>
      <w:szCs w:val="20"/>
    </w:rPr>
  </w:style>
  <w:style w:type="paragraph" w:styleId="Heading9">
    <w:name w:val="heading 9"/>
    <w:basedOn w:val="Normal"/>
    <w:next w:val="Normal"/>
    <w:link w:val="Heading9Char"/>
    <w:qFormat/>
    <w:pPr>
      <w:keepNext/>
      <w:numPr>
        <w:ilvl w:val="8"/>
        <w:numId w:val="1"/>
      </w:numPr>
      <w:pBdr>
        <w:top w:val="single" w:sz="4" w:space="1" w:color="000000"/>
        <w:left w:val="single" w:sz="4" w:space="4" w:color="000000"/>
        <w:bottom w:val="single" w:sz="4" w:space="1" w:color="000000"/>
        <w:right w:val="single" w:sz="4" w:space="4" w:color="000000"/>
      </w:pBdr>
      <w:tabs>
        <w:tab w:val="left" w:pos="397"/>
        <w:tab w:val="left" w:pos="907"/>
        <w:tab w:val="left" w:pos="1616"/>
        <w:tab w:val="left" w:pos="3402"/>
        <w:tab w:val="right" w:leader="underscore" w:pos="10206"/>
      </w:tabs>
      <w:spacing w:after="80"/>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Symbol" w:eastAsia="Times New Roman" w:hAnsi="Symbol"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eastAsia="Times New Roman"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FootnoteCharacters">
    <w:name w:val="Footnote Characters"/>
    <w:rPr>
      <w:vertAlign w:val="superscript"/>
    </w:rPr>
  </w:style>
  <w:style w:type="character" w:styleId="PageNumber">
    <w:name w:val="page number"/>
    <w:semiHidden/>
    <w:rPr>
      <w:rFonts w:ascii="Arial Narrow" w:hAnsi="Arial Narrow"/>
      <w:sz w:val="20"/>
      <w:szCs w:val="2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character" w:customStyle="1" w:styleId="Heading2Char">
    <w:name w:val="Heading 2 Char"/>
    <w:rPr>
      <w:rFonts w:ascii="Cambria" w:hAnsi="Cambria" w:cs="Times New Roman"/>
      <w:b/>
      <w:bCs/>
      <w:i/>
      <w:iCs/>
      <w:sz w:val="28"/>
      <w:szCs w:val="28"/>
      <w:lang w:val="en-GB"/>
    </w:rPr>
  </w:style>
  <w:style w:type="character" w:customStyle="1" w:styleId="BalloonTextChar">
    <w:name w:val="Balloon Text Char"/>
    <w:rPr>
      <w:rFonts w:ascii="Tahoma" w:hAnsi="Tahoma" w:cs="Tahoma"/>
      <w:sz w:val="16"/>
      <w:szCs w:val="16"/>
      <w:lang w:val="en-GB"/>
    </w:rPr>
  </w:style>
  <w:style w:type="character" w:customStyle="1" w:styleId="Heading3Char">
    <w:name w:val="Heading 3 Char"/>
    <w:rPr>
      <w:b/>
      <w:bCs/>
      <w:sz w:val="22"/>
      <w:szCs w:val="22"/>
      <w:lang w:val="en-GB"/>
    </w:rPr>
  </w:style>
  <w:style w:type="character" w:customStyle="1" w:styleId="Heading1Char">
    <w:name w:val="Heading 1 Char"/>
    <w:rPr>
      <w:b/>
      <w:bCs/>
      <w:sz w:val="24"/>
      <w:szCs w:val="24"/>
      <w:lang w:val="en-US"/>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status">
    <w:name w:val="status"/>
  </w:style>
  <w:style w:type="character" w:customStyle="1" w:styleId="apple-converted-space">
    <w:name w:val="apple-converted-space"/>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link w:val="BodyTextChar"/>
    <w:semiHidden/>
    <w:pPr>
      <w:tabs>
        <w:tab w:val="right" w:pos="2268"/>
        <w:tab w:val="right" w:pos="2835"/>
        <w:tab w:val="right" w:pos="3544"/>
        <w:tab w:val="right" w:pos="4111"/>
        <w:tab w:val="right" w:pos="4820"/>
        <w:tab w:val="right" w:pos="5387"/>
        <w:tab w:val="right" w:pos="6096"/>
        <w:tab w:val="right" w:pos="6663"/>
        <w:tab w:val="right" w:pos="7371"/>
        <w:tab w:val="right" w:pos="7938"/>
        <w:tab w:val="right" w:pos="8647"/>
        <w:tab w:val="right" w:pos="9214"/>
      </w:tabs>
      <w:spacing w:before="160"/>
    </w:pPr>
    <w:rPr>
      <w:sz w:val="20"/>
      <w:szCs w:val="20"/>
    </w:rPr>
  </w:style>
  <w:style w:type="paragraph" w:styleId="List">
    <w:name w:val="List"/>
    <w:basedOn w:val="BodyText"/>
    <w:semiHidden/>
  </w:style>
  <w:style w:type="paragraph" w:styleId="Caption">
    <w:name w:val="caption"/>
    <w:basedOn w:val="Normal"/>
    <w:next w:val="Normal"/>
    <w:pPr>
      <w:spacing w:before="120" w:after="120"/>
    </w:pPr>
    <w:rPr>
      <w:rFonts w:ascii="Arial Narrow" w:hAnsi="Arial Narrow"/>
      <w:b/>
      <w:bCs/>
      <w:sz w:val="20"/>
      <w:szCs w:val="20"/>
    </w:rPr>
  </w:style>
  <w:style w:type="paragraph" w:customStyle="1" w:styleId="Index">
    <w:name w:val="Index"/>
    <w:basedOn w:val="Normal"/>
    <w:pPr>
      <w:suppressLineNumbers/>
    </w:pPr>
  </w:style>
  <w:style w:type="paragraph" w:customStyle="1" w:styleId="assadtext">
    <w:name w:val="assad text"/>
    <w:basedOn w:val="Heading1"/>
    <w:link w:val="assadtextChar"/>
    <w:rsid w:val="002551D0"/>
    <w:pPr>
      <w:keepNext w:val="0"/>
      <w:numPr>
        <w:numId w:val="0"/>
      </w:numPr>
      <w:pBdr>
        <w:bottom w:val="none" w:sz="0" w:space="0" w:color="auto"/>
      </w:pBdr>
      <w:spacing w:after="120"/>
      <w:outlineLvl w:val="9"/>
    </w:pPr>
    <w:rPr>
      <w:rFonts w:ascii="Helvetica" w:hAnsi="Helvetica"/>
      <w:bCs w:val="0"/>
      <w:iCs/>
      <w:sz w:val="23"/>
      <w:szCs w:val="20"/>
      <w:lang w:val="en-AU"/>
    </w:rPr>
  </w:style>
  <w:style w:type="paragraph" w:styleId="DocumentMap">
    <w:name w:val="Document Map"/>
    <w:basedOn w:val="Normal"/>
    <w:link w:val="DocumentMapChar"/>
    <w:semiHidden/>
    <w:pPr>
      <w:shd w:val="clear" w:color="auto" w:fill="000080"/>
    </w:pPr>
    <w:rPr>
      <w:rFonts w:ascii="Tahoma" w:hAnsi="Tahoma" w:cs="Tahoma"/>
    </w:rPr>
  </w:style>
  <w:style w:type="paragraph" w:styleId="FootnoteText">
    <w:name w:val="footnote text"/>
    <w:basedOn w:val="Normal"/>
    <w:link w:val="FootnoteTextChar"/>
    <w:semiHidden/>
    <w:pPr>
      <w:jc w:val="both"/>
    </w:pPr>
    <w:rPr>
      <w:rFonts w:ascii="Arial Narrow" w:hAnsi="Arial Narrow"/>
      <w:sz w:val="20"/>
      <w:szCs w:val="20"/>
    </w:rPr>
  </w:style>
  <w:style w:type="paragraph" w:customStyle="1" w:styleId="titlepage">
    <w:name w:val="title page"/>
    <w:basedOn w:val="Normal"/>
    <w:pPr>
      <w:spacing w:before="40"/>
      <w:jc w:val="center"/>
    </w:pPr>
    <w:rPr>
      <w:rFonts w:ascii="Arial Narrow" w:hAnsi="Arial Narrow"/>
      <w:b/>
      <w:bCs/>
      <w:sz w:val="36"/>
      <w:szCs w:val="36"/>
      <w:lang w:val="en-AU"/>
    </w:rPr>
  </w:style>
  <w:style w:type="paragraph" w:customStyle="1" w:styleId="reportreflist">
    <w:name w:val="report ref list"/>
    <w:pPr>
      <w:suppressAutoHyphens/>
      <w:spacing w:before="120" w:after="120"/>
    </w:pPr>
    <w:rPr>
      <w:rFonts w:eastAsia="Arial"/>
      <w:szCs w:val="22"/>
      <w:lang w:eastAsia="ar-SA"/>
    </w:rPr>
  </w:style>
  <w:style w:type="paragraph" w:customStyle="1" w:styleId="Tabletext">
    <w:name w:val="Table text"/>
    <w:basedOn w:val="Normal"/>
    <w:rPr>
      <w:rFonts w:ascii="Arial Narrow" w:hAnsi="Arial Narrow"/>
      <w:sz w:val="18"/>
      <w:szCs w:val="20"/>
      <w:lang w:val="en-AU"/>
    </w:rPr>
  </w:style>
  <w:style w:type="paragraph" w:customStyle="1" w:styleId="tablecolumnheadings">
    <w:name w:val="table column headings"/>
    <w:basedOn w:val="Tabletext"/>
    <w:pPr>
      <w:spacing w:before="80" w:after="40"/>
    </w:pPr>
    <w:rPr>
      <w:b/>
      <w:bCs/>
    </w:rPr>
  </w:style>
  <w:style w:type="paragraph" w:customStyle="1" w:styleId="tabletitle">
    <w:name w:val="table title"/>
    <w:basedOn w:val="tablecolumnheadings"/>
    <w:pPr>
      <w:spacing w:before="0" w:after="120"/>
    </w:pPr>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ablenotes">
    <w:name w:val="table notes"/>
    <w:link w:val="tablenotesChar"/>
    <w:autoRedefine/>
    <w:rsid w:val="00D83658"/>
    <w:pPr>
      <w:suppressAutoHyphens/>
      <w:spacing w:after="120"/>
    </w:pPr>
    <w:rPr>
      <w:rFonts w:ascii="Arial" w:eastAsia="Arial" w:hAnsi="Arial" w:cs="Arial"/>
      <w:sz w:val="18"/>
      <w:szCs w:val="18"/>
      <w:lang w:eastAsia="ar-SA"/>
    </w:rPr>
  </w:style>
  <w:style w:type="paragraph" w:styleId="TOC1">
    <w:name w:val="toc 1"/>
    <w:aliases w:val="ASSAD 2017 TOC"/>
    <w:basedOn w:val="Normal"/>
    <w:next w:val="Normal"/>
    <w:uiPriority w:val="39"/>
    <w:rsid w:val="00436EED"/>
    <w:pPr>
      <w:spacing w:before="120"/>
    </w:pPr>
    <w:rPr>
      <w:rFonts w:ascii="Arial" w:hAnsi="Arial"/>
      <w:bCs/>
      <w:iCs/>
      <w:sz w:val="20"/>
    </w:rPr>
  </w:style>
  <w:style w:type="paragraph" w:styleId="TOC2">
    <w:name w:val="toc 2"/>
    <w:basedOn w:val="Normal"/>
    <w:next w:val="Normal"/>
    <w:uiPriority w:val="39"/>
    <w:pPr>
      <w:spacing w:before="120"/>
      <w:ind w:left="240"/>
    </w:pPr>
    <w:rPr>
      <w:rFonts w:ascii="Calibri" w:hAnsi="Calibri"/>
      <w:b/>
      <w:bCs/>
      <w:sz w:val="22"/>
      <w:szCs w:val="22"/>
    </w:rPr>
  </w:style>
  <w:style w:type="paragraph" w:styleId="TOC3">
    <w:name w:val="toc 3"/>
    <w:basedOn w:val="Normal"/>
    <w:next w:val="Normal"/>
    <w:uiPriority w:val="39"/>
    <w:pPr>
      <w:ind w:left="480"/>
    </w:pPr>
    <w:rPr>
      <w:rFonts w:ascii="Calibri" w:hAnsi="Calibri"/>
      <w:sz w:val="20"/>
      <w:szCs w:val="20"/>
    </w:rPr>
  </w:style>
  <w:style w:type="paragraph" w:styleId="TOC4">
    <w:name w:val="toc 4"/>
    <w:basedOn w:val="Normal"/>
    <w:next w:val="Normal"/>
    <w:uiPriority w:val="39"/>
    <w:pPr>
      <w:ind w:left="720"/>
    </w:pPr>
    <w:rPr>
      <w:rFonts w:ascii="Calibri" w:hAnsi="Calibri"/>
      <w:sz w:val="20"/>
      <w:szCs w:val="20"/>
    </w:rPr>
  </w:style>
  <w:style w:type="paragraph" w:styleId="TOC5">
    <w:name w:val="toc 5"/>
    <w:basedOn w:val="Normal"/>
    <w:next w:val="Normal"/>
    <w:uiPriority w:val="39"/>
    <w:pPr>
      <w:ind w:left="960"/>
    </w:pPr>
    <w:rPr>
      <w:rFonts w:ascii="Calibri" w:hAnsi="Calibri"/>
      <w:sz w:val="20"/>
      <w:szCs w:val="20"/>
    </w:rPr>
  </w:style>
  <w:style w:type="paragraph" w:styleId="TOC6">
    <w:name w:val="toc 6"/>
    <w:basedOn w:val="Normal"/>
    <w:next w:val="Normal"/>
    <w:uiPriority w:val="39"/>
    <w:pPr>
      <w:ind w:left="1200"/>
    </w:pPr>
    <w:rPr>
      <w:rFonts w:ascii="Calibri" w:hAnsi="Calibri"/>
      <w:sz w:val="20"/>
      <w:szCs w:val="20"/>
    </w:rPr>
  </w:style>
  <w:style w:type="paragraph" w:styleId="TOC7">
    <w:name w:val="toc 7"/>
    <w:basedOn w:val="Normal"/>
    <w:next w:val="Normal"/>
    <w:uiPriority w:val="39"/>
    <w:pPr>
      <w:ind w:left="1440"/>
    </w:pPr>
    <w:rPr>
      <w:rFonts w:ascii="Calibri" w:hAnsi="Calibri"/>
      <w:sz w:val="20"/>
      <w:szCs w:val="20"/>
    </w:rPr>
  </w:style>
  <w:style w:type="paragraph" w:styleId="TOC8">
    <w:name w:val="toc 8"/>
    <w:basedOn w:val="Normal"/>
    <w:next w:val="Normal"/>
    <w:uiPriority w:val="39"/>
    <w:pPr>
      <w:ind w:left="1680"/>
    </w:pPr>
    <w:rPr>
      <w:rFonts w:ascii="Calibri" w:hAnsi="Calibri"/>
      <w:sz w:val="20"/>
      <w:szCs w:val="20"/>
    </w:rPr>
  </w:style>
  <w:style w:type="paragraph" w:styleId="TOC9">
    <w:name w:val="toc 9"/>
    <w:basedOn w:val="Normal"/>
    <w:next w:val="Normal"/>
    <w:uiPriority w:val="39"/>
    <w:pPr>
      <w:ind w:left="1920"/>
    </w:pPr>
    <w:rPr>
      <w:rFonts w:ascii="Calibri" w:hAnsi="Calibri"/>
      <w:sz w:val="20"/>
      <w:szCs w:val="20"/>
    </w:rPr>
  </w:style>
  <w:style w:type="paragraph" w:customStyle="1" w:styleId="assadtablehead">
    <w:name w:val="assad table head"/>
    <w:basedOn w:val="Heading1"/>
    <w:rsid w:val="00A62F63"/>
    <w:pPr>
      <w:keepNext w:val="0"/>
      <w:numPr>
        <w:numId w:val="0"/>
      </w:numPr>
      <w:tabs>
        <w:tab w:val="left" w:pos="907"/>
      </w:tabs>
      <w:spacing w:before="40" w:after="120"/>
      <w:ind w:left="1418" w:hanging="1418"/>
      <w:outlineLvl w:val="9"/>
    </w:pPr>
    <w:rPr>
      <w:rFonts w:ascii="Helvetica" w:hAnsi="Helvetica"/>
      <w:b/>
      <w:bCs w:val="0"/>
      <w:sz w:val="23"/>
      <w:szCs w:val="20"/>
      <w:lang w:val="en-AU"/>
    </w:rPr>
  </w:style>
  <w:style w:type="paragraph" w:customStyle="1" w:styleId="assadhead1">
    <w:name w:val="assad head 1"/>
    <w:pPr>
      <w:tabs>
        <w:tab w:val="left" w:pos="851"/>
      </w:tabs>
      <w:suppressAutoHyphens/>
      <w:spacing w:after="480"/>
      <w:ind w:left="709" w:hanging="709"/>
    </w:pPr>
    <w:rPr>
      <w:rFonts w:ascii="Helvetica" w:eastAsia="Arial" w:hAnsi="Helvetica"/>
      <w:b/>
      <w:bCs/>
      <w:sz w:val="32"/>
      <w:lang w:eastAsia="ar-SA"/>
    </w:rPr>
  </w:style>
  <w:style w:type="paragraph" w:customStyle="1" w:styleId="assadtable">
    <w:name w:val="assad table"/>
    <w:basedOn w:val="Heading1"/>
    <w:rsid w:val="000427C6"/>
    <w:pPr>
      <w:numPr>
        <w:numId w:val="0"/>
      </w:numPr>
      <w:pBdr>
        <w:bottom w:val="none" w:sz="0" w:space="0" w:color="auto"/>
      </w:pBdr>
      <w:tabs>
        <w:tab w:val="left" w:pos="567"/>
      </w:tabs>
      <w:spacing w:before="20" w:after="20"/>
      <w:ind w:left="-113" w:right="-113"/>
      <w:outlineLvl w:val="9"/>
    </w:pPr>
    <w:rPr>
      <w:b/>
      <w:bCs w:val="0"/>
      <w:sz w:val="20"/>
      <w:szCs w:val="20"/>
    </w:rPr>
  </w:style>
  <w:style w:type="paragraph" w:customStyle="1" w:styleId="reporttext">
    <w:name w:val="report text"/>
    <w:basedOn w:val="Normal"/>
    <w:link w:val="reporttextChar"/>
    <w:autoRedefine/>
    <w:rsid w:val="00CF7898"/>
    <w:pPr>
      <w:tabs>
        <w:tab w:val="center" w:pos="377"/>
        <w:tab w:val="center" w:pos="1418"/>
      </w:tabs>
      <w:overflowPunct w:val="0"/>
      <w:autoSpaceDE w:val="0"/>
      <w:spacing w:after="120"/>
      <w:textAlignment w:val="baseline"/>
    </w:pPr>
    <w:rPr>
      <w:rFonts w:ascii="Arial" w:hAnsi="Arial" w:cs="Arial"/>
      <w:noProof/>
      <w:color w:val="FFFFFF" w:themeColor="background1"/>
      <w:sz w:val="20"/>
      <w:szCs w:val="20"/>
      <w:lang w:val="en-AU" w:eastAsia="en-AU"/>
    </w:rPr>
  </w:style>
  <w:style w:type="paragraph" w:customStyle="1" w:styleId="assadacknowledgehead">
    <w:name w:val="assad acknowledge head"/>
    <w:basedOn w:val="Normal"/>
    <w:pPr>
      <w:keepNext/>
      <w:spacing w:after="320"/>
      <w:ind w:right="-51"/>
    </w:pPr>
    <w:rPr>
      <w:rFonts w:ascii="Helvetica" w:hAnsi="Helvetica"/>
      <w:sz w:val="40"/>
      <w:szCs w:val="20"/>
      <w:lang w:val="en-US"/>
    </w:rPr>
  </w:style>
  <w:style w:type="paragraph" w:customStyle="1" w:styleId="assadapptablehead">
    <w:name w:val="assad app table head"/>
    <w:basedOn w:val="Normal"/>
    <w:pPr>
      <w:tabs>
        <w:tab w:val="left" w:pos="1560"/>
        <w:tab w:val="right" w:pos="9498"/>
      </w:tabs>
      <w:overflowPunct w:val="0"/>
      <w:autoSpaceDE w:val="0"/>
      <w:spacing w:before="200" w:after="200"/>
      <w:textAlignment w:val="baseline"/>
    </w:pPr>
    <w:rPr>
      <w:rFonts w:ascii="Arial Narrow" w:hAnsi="Arial Narrow"/>
      <w:b/>
      <w:sz w:val="22"/>
      <w:szCs w:val="20"/>
      <w:lang w:val="en-AU"/>
    </w:rPr>
  </w:style>
  <w:style w:type="paragraph" w:customStyle="1" w:styleId="assadappendixhead">
    <w:name w:val="assad appendix head"/>
    <w:basedOn w:val="Normal"/>
    <w:autoRedefine/>
    <w:rsid w:val="008329C4"/>
    <w:pPr>
      <w:snapToGrid w:val="0"/>
      <w:spacing w:before="60" w:after="60"/>
      <w:ind w:right="34"/>
    </w:pPr>
    <w:rPr>
      <w:rFonts w:ascii="Helvetica" w:hAnsi="Helvetica"/>
      <w:b/>
      <w:sz w:val="32"/>
    </w:rPr>
  </w:style>
  <w:style w:type="paragraph" w:customStyle="1" w:styleId="assadfighead">
    <w:name w:val="assad fig head"/>
    <w:basedOn w:val="assadtablehead"/>
    <w:rsid w:val="00A62F63"/>
    <w:pPr>
      <w:tabs>
        <w:tab w:val="left" w:pos="5046"/>
      </w:tabs>
      <w:spacing w:after="80"/>
    </w:pPr>
    <w:rPr>
      <w:bCs/>
      <w:iCs/>
    </w:rPr>
  </w:style>
  <w:style w:type="paragraph" w:customStyle="1" w:styleId="assadhead2">
    <w:name w:val="assad head 2"/>
    <w:basedOn w:val="Heading1"/>
    <w:pPr>
      <w:keepNext w:val="0"/>
      <w:numPr>
        <w:numId w:val="0"/>
      </w:numPr>
      <w:tabs>
        <w:tab w:val="left" w:pos="851"/>
        <w:tab w:val="left" w:pos="7597"/>
      </w:tabs>
      <w:spacing w:before="240" w:after="120"/>
      <w:ind w:left="851" w:hanging="851"/>
      <w:outlineLvl w:val="9"/>
    </w:pPr>
    <w:rPr>
      <w:rFonts w:ascii="Arial" w:hAnsi="Arial"/>
      <w:bCs w:val="0"/>
      <w:szCs w:val="20"/>
      <w:lang w:val="en-GB"/>
    </w:rPr>
  </w:style>
  <w:style w:type="paragraph" w:customStyle="1" w:styleId="assadprelimheads">
    <w:name w:val="assad prelim heads"/>
    <w:basedOn w:val="Normal"/>
    <w:pPr>
      <w:keepNext/>
      <w:pBdr>
        <w:bottom w:val="double" w:sz="52" w:space="8" w:color="000000"/>
      </w:pBdr>
      <w:spacing w:after="600" w:line="480" w:lineRule="exact"/>
      <w:jc w:val="both"/>
    </w:pPr>
    <w:rPr>
      <w:rFonts w:ascii="Arial Narrow" w:hAnsi="Arial Narrow"/>
      <w:sz w:val="50"/>
      <w:szCs w:val="20"/>
      <w:lang w:val="en-AU"/>
    </w:rPr>
  </w:style>
  <w:style w:type="paragraph" w:customStyle="1" w:styleId="assadsidehead">
    <w:name w:val="assad side head"/>
    <w:basedOn w:val="assadtext"/>
    <w:next w:val="assadtext"/>
    <w:pPr>
      <w:spacing w:line="280" w:lineRule="exact"/>
    </w:pPr>
    <w:rPr>
      <w:b/>
      <w:i/>
      <w:sz w:val="24"/>
    </w:rPr>
  </w:style>
  <w:style w:type="paragraph" w:customStyle="1" w:styleId="assadtablenote">
    <w:name w:val="assad table note"/>
    <w:basedOn w:val="Normal"/>
    <w:pPr>
      <w:keepNext/>
      <w:tabs>
        <w:tab w:val="left" w:pos="153"/>
      </w:tabs>
      <w:overflowPunct w:val="0"/>
      <w:autoSpaceDE w:val="0"/>
      <w:spacing w:before="80"/>
      <w:ind w:left="113" w:hanging="113"/>
      <w:textAlignment w:val="baseline"/>
    </w:pPr>
    <w:rPr>
      <w:rFonts w:ascii="Arial Narrow" w:hAnsi="Arial Narrow"/>
      <w:sz w:val="16"/>
      <w:szCs w:val="20"/>
      <w:lang w:val="en-US"/>
    </w:rPr>
  </w:style>
  <w:style w:type="paragraph" w:styleId="NormalWeb">
    <w:name w:val="Normal (Web)"/>
    <w:basedOn w:val="Normal"/>
    <w:semiHidden/>
    <w:pPr>
      <w:spacing w:before="280" w:after="280"/>
    </w:pPr>
    <w:rPr>
      <w:lang w:val="en-AU"/>
    </w:rPr>
  </w:style>
  <w:style w:type="paragraph" w:customStyle="1" w:styleId="assadhead3">
    <w:name w:val="assad head 3"/>
    <w:basedOn w:val="assadhead2"/>
    <w:pPr>
      <w:overflowPunct w:val="0"/>
      <w:autoSpaceDE w:val="0"/>
      <w:textAlignment w:val="baseline"/>
    </w:pPr>
    <w:rPr>
      <w:sz w:val="23"/>
    </w:rPr>
  </w:style>
  <w:style w:type="paragraph" w:customStyle="1" w:styleId="Headingtables">
    <w:name w:val="Heading tables"/>
    <w:basedOn w:val="Normal"/>
    <w:next w:val="Normal"/>
    <w:pPr>
      <w:tabs>
        <w:tab w:val="left" w:pos="1560"/>
        <w:tab w:val="right" w:pos="9498"/>
      </w:tabs>
      <w:overflowPunct w:val="0"/>
      <w:autoSpaceDE w:val="0"/>
      <w:ind w:left="1134" w:hanging="1134"/>
      <w:jc w:val="both"/>
      <w:textAlignment w:val="baseline"/>
    </w:pPr>
    <w:rPr>
      <w:b/>
      <w:sz w:val="22"/>
      <w:szCs w:val="20"/>
      <w:lang w:val="en-AU"/>
    </w:rPr>
  </w:style>
  <w:style w:type="paragraph" w:customStyle="1" w:styleId="assadsectionhead">
    <w:name w:val="assad section head"/>
    <w:basedOn w:val="Heading1"/>
    <w:pPr>
      <w:numPr>
        <w:numId w:val="0"/>
      </w:numPr>
      <w:overflowPunct w:val="0"/>
      <w:autoSpaceDE w:val="0"/>
      <w:spacing w:after="720"/>
      <w:jc w:val="center"/>
      <w:textAlignment w:val="baseline"/>
      <w:outlineLvl w:val="9"/>
    </w:pPr>
    <w:rPr>
      <w:b/>
      <w:bCs w:val="0"/>
      <w:sz w:val="72"/>
      <w:szCs w:val="20"/>
    </w:rPr>
  </w:style>
  <w:style w:type="paragraph" w:customStyle="1" w:styleId="anzjphrefs">
    <w:name w:val="anzjph refs"/>
    <w:pPr>
      <w:tabs>
        <w:tab w:val="left" w:pos="567"/>
      </w:tabs>
      <w:suppressAutoHyphens/>
      <w:spacing w:line="360" w:lineRule="auto"/>
      <w:ind w:left="567" w:hanging="567"/>
    </w:pPr>
    <w:rPr>
      <w:rFonts w:eastAsia="Arial"/>
      <w:sz w:val="22"/>
      <w:lang w:eastAsia="ar-SA"/>
    </w:rPr>
  </w:style>
  <w:style w:type="paragraph" w:customStyle="1" w:styleId="assadrefs">
    <w:name w:val="assad refs"/>
    <w:basedOn w:val="assadtext"/>
    <w:pPr>
      <w:tabs>
        <w:tab w:val="left" w:pos="567"/>
      </w:tabs>
      <w:spacing w:before="80" w:after="80"/>
      <w:ind w:left="567" w:hanging="567"/>
    </w:pPr>
  </w:style>
  <w:style w:type="paragraph" w:customStyle="1" w:styleId="abstractrefs">
    <w:name w:val="abstract refs"/>
    <w:basedOn w:val="Normal"/>
    <w:pPr>
      <w:tabs>
        <w:tab w:val="left" w:pos="1559"/>
        <w:tab w:val="left" w:pos="1985"/>
        <w:tab w:val="left" w:pos="2410"/>
      </w:tabs>
      <w:spacing w:line="288" w:lineRule="auto"/>
      <w:ind w:left="283" w:right="-142" w:hanging="567"/>
      <w:jc w:val="both"/>
    </w:pPr>
    <w:rPr>
      <w:rFonts w:ascii="Arial" w:hAnsi="Arial"/>
      <w:sz w:val="22"/>
      <w:szCs w:val="20"/>
      <w:lang w:val="en-AU"/>
    </w:rPr>
  </w:style>
  <w:style w:type="paragraph" w:customStyle="1" w:styleId="q">
    <w:name w:val="q"/>
    <w:basedOn w:val="Normal"/>
    <w:next w:val="Normal"/>
    <w:pPr>
      <w:tabs>
        <w:tab w:val="left" w:pos="425"/>
        <w:tab w:val="left" w:pos="907"/>
        <w:tab w:val="left" w:pos="992"/>
        <w:tab w:val="right" w:leader="underscore" w:pos="9639"/>
      </w:tabs>
      <w:overflowPunct w:val="0"/>
      <w:autoSpaceDE w:val="0"/>
      <w:ind w:left="907" w:hanging="907"/>
      <w:textAlignment w:val="baseline"/>
    </w:pPr>
    <w:rPr>
      <w:sz w:val="26"/>
      <w:szCs w:val="20"/>
      <w:lang w:val="en-AU"/>
    </w:rPr>
  </w:style>
  <w:style w:type="paragraph" w:customStyle="1" w:styleId="Bookman10Point">
    <w:name w:val="Bookman 10 Point"/>
    <w:basedOn w:val="Normal"/>
    <w:pPr>
      <w:overflowPunct w:val="0"/>
      <w:autoSpaceDE w:val="0"/>
      <w:textAlignment w:val="baseline"/>
    </w:pPr>
    <w:rPr>
      <w:rFonts w:ascii="Times" w:hAnsi="Times"/>
      <w:sz w:val="20"/>
      <w:szCs w:val="20"/>
      <w:lang w:val="en-AU"/>
    </w:rPr>
  </w:style>
  <w:style w:type="paragraph" w:styleId="BodyTextIndent2">
    <w:name w:val="Body Text Indent 2"/>
    <w:basedOn w:val="Normal"/>
    <w:link w:val="BodyTextIndent2Char"/>
    <w:semiHidden/>
    <w:pPr>
      <w:tabs>
        <w:tab w:val="left" w:pos="567"/>
      </w:tabs>
      <w:overflowPunct w:val="0"/>
      <w:autoSpaceDE w:val="0"/>
      <w:spacing w:before="240"/>
      <w:ind w:left="567" w:hanging="567"/>
      <w:jc w:val="both"/>
      <w:textAlignment w:val="baseline"/>
    </w:pPr>
    <w:rPr>
      <w:rFonts w:ascii="Book Antiqua" w:hAnsi="Book Antiqua"/>
      <w:sz w:val="22"/>
      <w:szCs w:val="20"/>
      <w:lang w:val="en-AU"/>
    </w:rPr>
  </w:style>
  <w:style w:type="paragraph" w:styleId="BlockText">
    <w:name w:val="Block Text"/>
    <w:basedOn w:val="Normal"/>
    <w:semiHidden/>
    <w:pPr>
      <w:overflowPunct w:val="0"/>
      <w:autoSpaceDE w:val="0"/>
      <w:ind w:left="567" w:right="-1"/>
      <w:textAlignment w:val="baseline"/>
    </w:pPr>
    <w:rPr>
      <w:rFonts w:ascii="Book Antiqua" w:hAnsi="Book Antiqua"/>
      <w:sz w:val="22"/>
      <w:szCs w:val="20"/>
      <w:lang w:val="en-AU"/>
    </w:rPr>
  </w:style>
  <w:style w:type="paragraph" w:customStyle="1" w:styleId="assadfigcaption">
    <w:name w:val="assad fig caption"/>
    <w:basedOn w:val="Caption"/>
    <w:pPr>
      <w:tabs>
        <w:tab w:val="left" w:pos="851"/>
      </w:tabs>
      <w:overflowPunct w:val="0"/>
      <w:autoSpaceDE w:val="0"/>
      <w:spacing w:before="160" w:after="40"/>
      <w:ind w:left="113" w:hanging="113"/>
      <w:textAlignment w:val="baseline"/>
    </w:pPr>
    <w:rPr>
      <w:bCs w:val="0"/>
      <w:sz w:val="19"/>
      <w:lang w:val="en-AU"/>
    </w:rPr>
  </w:style>
  <w:style w:type="paragraph" w:styleId="BodyTextIndent">
    <w:name w:val="Body Text Indent"/>
    <w:basedOn w:val="Normal"/>
    <w:link w:val="BodyTextIndentChar"/>
    <w:semiHidden/>
    <w:pPr>
      <w:tabs>
        <w:tab w:val="left" w:pos="552"/>
      </w:tabs>
      <w:autoSpaceDE w:val="0"/>
      <w:ind w:left="582" w:hanging="582"/>
    </w:pPr>
    <w:rPr>
      <w:rFonts w:ascii="Arial" w:hAnsi="Arial" w:cs="Arial"/>
      <w:color w:val="0000FF"/>
      <w:sz w:val="20"/>
      <w:szCs w:val="20"/>
      <w:lang w:val="en-US"/>
    </w:rPr>
  </w:style>
  <w:style w:type="paragraph" w:customStyle="1" w:styleId="assadacknowl">
    <w:name w:val="assad acknowl"/>
    <w:basedOn w:val="assadtext"/>
    <w:pPr>
      <w:spacing w:after="0"/>
      <w:jc w:val="both"/>
    </w:pPr>
    <w:rPr>
      <w:rFonts w:ascii="Arial" w:hAnsi="Arial"/>
      <w:sz w:val="21"/>
    </w:rPr>
  </w:style>
  <w:style w:type="paragraph" w:customStyle="1" w:styleId="assadshadowbox">
    <w:name w:val="assad shadow box"/>
    <w:basedOn w:val="assadtext"/>
    <w:pPr>
      <w:spacing w:before="80" w:after="40"/>
    </w:pPr>
    <w:rPr>
      <w:rFonts w:ascii="Arial Narrow" w:hAnsi="Arial Narrow"/>
    </w:rPr>
  </w:style>
  <w:style w:type="paragraph" w:styleId="CommentText">
    <w:name w:val="annotation text"/>
    <w:basedOn w:val="Normal"/>
    <w:link w:val="CommentTextChar1"/>
    <w:semiHidden/>
    <w:rPr>
      <w:sz w:val="20"/>
      <w:szCs w:val="20"/>
    </w:rPr>
  </w:style>
  <w:style w:type="paragraph" w:styleId="TableofFigures">
    <w:name w:val="table of figures"/>
    <w:basedOn w:val="Normal"/>
    <w:next w:val="Normal"/>
    <w:semiHidden/>
    <w:pPr>
      <w:tabs>
        <w:tab w:val="left" w:pos="851"/>
        <w:tab w:val="right" w:pos="7938"/>
      </w:tabs>
      <w:overflowPunct w:val="0"/>
      <w:autoSpaceDE w:val="0"/>
      <w:ind w:left="851" w:right="567" w:hanging="851"/>
      <w:textAlignment w:val="baseline"/>
    </w:pPr>
    <w:rPr>
      <w:rFonts w:ascii="Arial Narrow" w:hAnsi="Arial Narrow"/>
      <w:sz w:val="21"/>
      <w:szCs w:val="20"/>
      <w:lang w:val="en-AU"/>
    </w:rPr>
  </w:style>
  <w:style w:type="paragraph" w:customStyle="1" w:styleId="assadshadowboxes">
    <w:name w:val="assad shadow boxes"/>
    <w:basedOn w:val="assadtext"/>
    <w:pPr>
      <w:keepLines/>
      <w:spacing w:after="40"/>
    </w:pPr>
    <w:rPr>
      <w:rFonts w:ascii="Arial Narrow" w:hAnsi="Arial Narrow"/>
    </w:rPr>
  </w:style>
  <w:style w:type="paragraph" w:customStyle="1" w:styleId="Heading3rept">
    <w:name w:val="Heading 3 rept"/>
    <w:basedOn w:val="Normal"/>
    <w:next w:val="Normal"/>
    <w:pPr>
      <w:overflowPunct w:val="0"/>
      <w:autoSpaceDE w:val="0"/>
      <w:spacing w:before="200" w:after="120"/>
      <w:textAlignment w:val="baseline"/>
    </w:pPr>
    <w:rPr>
      <w:rFonts w:ascii="Arial Narrow" w:hAnsi="Arial Narrow"/>
      <w:i/>
      <w:szCs w:val="20"/>
      <w:lang w:val="en-AU"/>
    </w:rPr>
  </w:style>
  <w:style w:type="paragraph" w:customStyle="1" w:styleId="answ">
    <w:name w:val="answ"/>
    <w:basedOn w:val="Normal"/>
    <w:pPr>
      <w:overflowPunct w:val="0"/>
      <w:autoSpaceDE w:val="0"/>
      <w:ind w:left="981"/>
      <w:textAlignment w:val="baseline"/>
    </w:pPr>
    <w:rPr>
      <w:rFonts w:ascii="Times" w:hAnsi="Times"/>
      <w:sz w:val="20"/>
      <w:szCs w:val="20"/>
      <w:lang w:val="en-AU"/>
    </w:rPr>
  </w:style>
  <w:style w:type="paragraph" w:customStyle="1" w:styleId="tables">
    <w:name w:val="tables"/>
    <w:basedOn w:val="Normal"/>
    <w:pPr>
      <w:tabs>
        <w:tab w:val="left" w:pos="1180"/>
        <w:tab w:val="right" w:pos="8900"/>
      </w:tabs>
      <w:overflowPunct w:val="0"/>
      <w:autoSpaceDE w:val="0"/>
      <w:jc w:val="center"/>
      <w:textAlignment w:val="baseline"/>
    </w:pPr>
    <w:rPr>
      <w:rFonts w:ascii="Book Antiqua" w:hAnsi="Book Antiqua"/>
      <w:sz w:val="22"/>
      <w:szCs w:val="20"/>
      <w:lang w:val="en-AU"/>
    </w:rPr>
  </w:style>
  <w:style w:type="paragraph" w:customStyle="1" w:styleId="opt">
    <w:name w:val="opt"/>
    <w:basedOn w:val="Normal"/>
    <w:pPr>
      <w:overflowPunct w:val="0"/>
      <w:autoSpaceDE w:val="0"/>
      <w:spacing w:before="240"/>
      <w:ind w:left="1600" w:hanging="460"/>
      <w:textAlignment w:val="baseline"/>
    </w:pPr>
    <w:rPr>
      <w:sz w:val="22"/>
      <w:szCs w:val="20"/>
    </w:rPr>
  </w:style>
  <w:style w:type="paragraph" w:customStyle="1" w:styleId="RPShead2">
    <w:name w:val="RPS head 2"/>
    <w:basedOn w:val="Normal"/>
    <w:pPr>
      <w:overflowPunct w:val="0"/>
      <w:autoSpaceDE w:val="0"/>
      <w:spacing w:before="360" w:after="80"/>
      <w:textAlignment w:val="baseline"/>
    </w:pPr>
    <w:rPr>
      <w:rFonts w:ascii="Century Gothic" w:hAnsi="Century Gothic"/>
      <w:b/>
      <w:color w:val="800000"/>
      <w:sz w:val="26"/>
      <w:szCs w:val="20"/>
      <w:lang w:val="en-AU"/>
    </w:rPr>
  </w:style>
  <w:style w:type="paragraph" w:customStyle="1" w:styleId="thesistext">
    <w:name w:val="thesis text"/>
    <w:basedOn w:val="Normal"/>
    <w:pPr>
      <w:overflowPunct w:val="0"/>
      <w:autoSpaceDE w:val="0"/>
      <w:spacing w:line="360" w:lineRule="auto"/>
      <w:textAlignment w:val="baseline"/>
    </w:pPr>
    <w:rPr>
      <w:szCs w:val="20"/>
    </w:rPr>
  </w:style>
  <w:style w:type="paragraph" w:customStyle="1" w:styleId="JSAtext">
    <w:name w:val="JSA text"/>
    <w:pPr>
      <w:tabs>
        <w:tab w:val="left" w:pos="284"/>
      </w:tabs>
      <w:suppressAutoHyphens/>
      <w:overflowPunct w:val="0"/>
      <w:autoSpaceDE w:val="0"/>
      <w:spacing w:line="360" w:lineRule="auto"/>
      <w:ind w:firstLine="284"/>
      <w:textAlignment w:val="baseline"/>
    </w:pPr>
    <w:rPr>
      <w:rFonts w:eastAsia="Arial"/>
      <w:sz w:val="22"/>
      <w:lang w:eastAsia="ar-SA"/>
    </w:rPr>
  </w:style>
  <w:style w:type="paragraph" w:customStyle="1" w:styleId="reporthead1">
    <w:name w:val="report head 1"/>
    <w:rsid w:val="00CC5869"/>
    <w:pPr>
      <w:suppressAutoHyphens/>
      <w:overflowPunct w:val="0"/>
      <w:autoSpaceDE w:val="0"/>
      <w:spacing w:before="200" w:after="480"/>
      <w:jc w:val="center"/>
      <w:textAlignment w:val="baseline"/>
    </w:pPr>
    <w:rPr>
      <w:rFonts w:ascii="Arial Narrow" w:eastAsia="Arial" w:hAnsi="Arial Narrow"/>
      <w:smallCaps/>
      <w:sz w:val="52"/>
      <w:lang w:eastAsia="ar-SA"/>
    </w:rPr>
  </w:style>
  <w:style w:type="paragraph" w:customStyle="1" w:styleId="reporthead2">
    <w:name w:val="report head 2"/>
    <w:basedOn w:val="Heading2"/>
    <w:next w:val="BodyText"/>
    <w:autoRedefine/>
    <w:rsid w:val="00792D89"/>
    <w:pPr>
      <w:tabs>
        <w:tab w:val="clear" w:pos="576"/>
        <w:tab w:val="num" w:pos="567"/>
        <w:tab w:val="left" w:pos="851"/>
      </w:tabs>
      <w:suppressAutoHyphens w:val="0"/>
      <w:spacing w:before="360" w:after="120"/>
      <w:ind w:left="567" w:hanging="567"/>
    </w:pPr>
    <w:rPr>
      <w:smallCaps/>
      <w:color w:val="003797"/>
      <w:szCs w:val="24"/>
      <w:lang w:eastAsia="en-US"/>
    </w:rPr>
  </w:style>
  <w:style w:type="paragraph" w:customStyle="1" w:styleId="BlockQuotation">
    <w:name w:val="Block Quotation"/>
    <w:basedOn w:val="Normal"/>
    <w:pPr>
      <w:numPr>
        <w:numId w:val="3"/>
      </w:numPr>
      <w:tabs>
        <w:tab w:val="left" w:pos="360"/>
      </w:tabs>
      <w:overflowPunct w:val="0"/>
      <w:autoSpaceDE w:val="0"/>
      <w:ind w:left="360" w:hanging="360"/>
      <w:textAlignment w:val="baseline"/>
    </w:pPr>
    <w:rPr>
      <w:sz w:val="18"/>
      <w:szCs w:val="20"/>
      <w:lang w:val="en-AU"/>
    </w:rPr>
  </w:style>
  <w:style w:type="paragraph" w:customStyle="1" w:styleId="xl24">
    <w:name w:val="xl24"/>
    <w:basedOn w:val="Normal"/>
    <w:pPr>
      <w:pBdr>
        <w:bottom w:val="single" w:sz="4" w:space="0" w:color="000000"/>
      </w:pBdr>
      <w:spacing w:before="280" w:after="280"/>
      <w:textAlignment w:val="top"/>
    </w:pPr>
    <w:rPr>
      <w:rFonts w:ascii="Arial Narrow" w:eastAsia="Arial Unicode MS" w:hAnsi="Arial Narrow" w:cs="Arial Unicode MS"/>
      <w:lang w:val="en-AU"/>
    </w:rPr>
  </w:style>
  <w:style w:type="paragraph" w:customStyle="1" w:styleId="xl25">
    <w:name w:val="xl25"/>
    <w:basedOn w:val="Normal"/>
    <w:pPr>
      <w:spacing w:before="280" w:after="280"/>
      <w:jc w:val="center"/>
      <w:textAlignment w:val="top"/>
    </w:pPr>
    <w:rPr>
      <w:rFonts w:ascii="Arial Narrow" w:eastAsia="Arial Unicode MS" w:hAnsi="Arial Narrow" w:cs="Arial Unicode MS"/>
      <w:lang w:val="en-AU"/>
    </w:rPr>
  </w:style>
  <w:style w:type="paragraph" w:customStyle="1" w:styleId="xl26">
    <w:name w:val="xl26"/>
    <w:basedOn w:val="Normal"/>
    <w:pPr>
      <w:pBdr>
        <w:bottom w:val="single" w:sz="4" w:space="0" w:color="000000"/>
      </w:pBdr>
      <w:spacing w:before="280" w:after="280"/>
      <w:jc w:val="center"/>
      <w:textAlignment w:val="top"/>
    </w:pPr>
    <w:rPr>
      <w:rFonts w:ascii="Arial Narrow" w:eastAsia="Arial Unicode MS" w:hAnsi="Arial Narrow" w:cs="Arial Unicode MS"/>
      <w:lang w:val="en-AU"/>
    </w:rPr>
  </w:style>
  <w:style w:type="paragraph" w:customStyle="1" w:styleId="xl27">
    <w:name w:val="xl27"/>
    <w:basedOn w:val="Normal"/>
    <w:pPr>
      <w:spacing w:before="280" w:after="280"/>
      <w:textAlignment w:val="top"/>
    </w:pPr>
    <w:rPr>
      <w:rFonts w:ascii="Arial Narrow" w:eastAsia="Arial Unicode MS" w:hAnsi="Arial Narrow" w:cs="Arial Unicode MS"/>
      <w:b/>
      <w:bCs/>
      <w:lang w:val="en-AU"/>
    </w:rPr>
  </w:style>
  <w:style w:type="paragraph" w:customStyle="1" w:styleId="xl28">
    <w:name w:val="xl28"/>
    <w:basedOn w:val="Normal"/>
    <w:pPr>
      <w:pBdr>
        <w:top w:val="single" w:sz="4" w:space="0" w:color="000000"/>
      </w:pBdr>
      <w:spacing w:before="280" w:after="280"/>
      <w:jc w:val="center"/>
      <w:textAlignment w:val="top"/>
    </w:pPr>
    <w:rPr>
      <w:rFonts w:ascii="Arial Narrow" w:eastAsia="Arial Unicode MS" w:hAnsi="Arial Narrow" w:cs="Arial Unicode MS"/>
      <w:sz w:val="18"/>
      <w:szCs w:val="18"/>
      <w:lang w:val="en-AU"/>
    </w:rPr>
  </w:style>
  <w:style w:type="paragraph" w:customStyle="1" w:styleId="xl29">
    <w:name w:val="xl29"/>
    <w:basedOn w:val="Normal"/>
    <w:pPr>
      <w:pBdr>
        <w:top w:val="single" w:sz="4" w:space="0" w:color="000000"/>
      </w:pBdr>
      <w:spacing w:before="280" w:after="280"/>
      <w:jc w:val="center"/>
      <w:textAlignment w:val="top"/>
    </w:pPr>
    <w:rPr>
      <w:rFonts w:ascii="Arial Narrow" w:eastAsia="Arial Unicode MS" w:hAnsi="Arial Narrow" w:cs="Arial Unicode MS"/>
      <w:sz w:val="18"/>
      <w:szCs w:val="18"/>
      <w:lang w:val="en-AU"/>
    </w:rPr>
  </w:style>
  <w:style w:type="paragraph" w:styleId="BodyText2">
    <w:name w:val="Body Text 2"/>
    <w:basedOn w:val="Normal"/>
    <w:link w:val="BodyText2Char"/>
    <w:semiHidden/>
    <w:pPr>
      <w:tabs>
        <w:tab w:val="left" w:pos="1418"/>
        <w:tab w:val="left" w:pos="1474"/>
        <w:tab w:val="center" w:pos="6096"/>
        <w:tab w:val="center" w:pos="6663"/>
        <w:tab w:val="left" w:pos="6760"/>
        <w:tab w:val="center" w:pos="6946"/>
        <w:tab w:val="center" w:pos="7938"/>
      </w:tabs>
      <w:ind w:right="-1891"/>
    </w:pPr>
    <w:rPr>
      <w:sz w:val="28"/>
      <w:szCs w:val="20"/>
    </w:rPr>
  </w:style>
  <w:style w:type="paragraph" w:customStyle="1" w:styleId="PageNumber1">
    <w:name w:val="Page Number1"/>
    <w:pPr>
      <w:suppressAutoHyphens/>
      <w:jc w:val="center"/>
    </w:pPr>
    <w:rPr>
      <w:rFonts w:eastAsia="Arial"/>
      <w:lang w:eastAsia="ar-SA"/>
    </w:rPr>
  </w:style>
  <w:style w:type="paragraph" w:styleId="BodyText3">
    <w:name w:val="Body Text 3"/>
    <w:basedOn w:val="Normal"/>
    <w:link w:val="BodyText3Char"/>
    <w:semiHidden/>
    <w:pPr>
      <w:pBdr>
        <w:top w:val="single" w:sz="4" w:space="8" w:color="000000"/>
        <w:left w:val="single" w:sz="4" w:space="4" w:color="000000"/>
        <w:bottom w:val="single" w:sz="4" w:space="8" w:color="000000"/>
        <w:right w:val="single" w:sz="4" w:space="0" w:color="000000"/>
      </w:pBdr>
      <w:tabs>
        <w:tab w:val="left" w:pos="1418"/>
        <w:tab w:val="left" w:pos="1474"/>
        <w:tab w:val="center" w:pos="6096"/>
        <w:tab w:val="center" w:pos="6663"/>
        <w:tab w:val="left" w:pos="6760"/>
        <w:tab w:val="center" w:pos="6946"/>
        <w:tab w:val="center" w:pos="7655"/>
        <w:tab w:val="center" w:pos="7938"/>
        <w:tab w:val="left" w:pos="8440"/>
        <w:tab w:val="center" w:pos="8647"/>
        <w:tab w:val="center" w:pos="8931"/>
        <w:tab w:val="center" w:pos="9809"/>
      </w:tabs>
      <w:ind w:right="173"/>
    </w:pPr>
    <w:rPr>
      <w:b/>
      <w:sz w:val="28"/>
      <w:szCs w:val="20"/>
    </w:rPr>
  </w:style>
  <w:style w:type="paragraph" w:customStyle="1" w:styleId="instructcentre">
    <w:name w:val="instruct centre"/>
    <w:basedOn w:val="Normal"/>
    <w:pPr>
      <w:spacing w:before="240" w:after="160"/>
      <w:jc w:val="center"/>
    </w:pPr>
    <w:rPr>
      <w:i/>
      <w:sz w:val="28"/>
      <w:szCs w:val="20"/>
    </w:rPr>
  </w:style>
  <w:style w:type="paragraph" w:styleId="BodyTextIndent3">
    <w:name w:val="Body Text Indent 3"/>
    <w:basedOn w:val="Normal"/>
    <w:link w:val="BodyTextIndent3Char"/>
    <w:semiHidden/>
    <w:pPr>
      <w:pBdr>
        <w:top w:val="double" w:sz="8" w:space="5" w:color="808080"/>
        <w:bottom w:val="double" w:sz="8" w:space="5" w:color="808080"/>
      </w:pBdr>
      <w:spacing w:line="228" w:lineRule="auto"/>
      <w:ind w:left="-1110"/>
    </w:pPr>
    <w:rPr>
      <w:rFonts w:ascii="Verdana" w:hAnsi="Verdana"/>
      <w:bCs/>
      <w:spacing w:val="-30"/>
      <w:sz w:val="60"/>
      <w:szCs w:val="20"/>
    </w:rPr>
  </w:style>
  <w:style w:type="paragraph" w:styleId="BalloonText">
    <w:name w:val="Balloon Text"/>
    <w:basedOn w:val="Normal"/>
    <w:link w:val="BalloonTextChar1"/>
    <w:rPr>
      <w:rFonts w:ascii="Tahoma" w:hAnsi="Tahoma" w:cs="Tahoma"/>
      <w:sz w:val="16"/>
      <w:szCs w:val="16"/>
    </w:rPr>
  </w:style>
  <w:style w:type="paragraph" w:styleId="CommentSubject">
    <w:name w:val="annotation subject"/>
    <w:basedOn w:val="CommentText"/>
    <w:next w:val="CommentText"/>
    <w:link w:val="CommentSubjectChar1"/>
    <w:rPr>
      <w:b/>
      <w:bCs/>
    </w:rPr>
  </w:style>
  <w:style w:type="paragraph" w:customStyle="1" w:styleId="ColorfulShading-Accent11">
    <w:name w:val="Colorful Shading - Accent 11"/>
    <w:pPr>
      <w:suppressAutoHyphens/>
    </w:pPr>
    <w:rPr>
      <w:rFonts w:eastAsia="Arial"/>
      <w:sz w:val="24"/>
      <w:szCs w:val="24"/>
      <w:lang w:val="en-GB" w:eastAsia="ar-SA"/>
    </w:rPr>
  </w:style>
  <w:style w:type="paragraph" w:customStyle="1" w:styleId="assadcoverpage2">
    <w:name w:val="assad cover page 2"/>
    <w:basedOn w:val="Normal"/>
    <w:pPr>
      <w:tabs>
        <w:tab w:val="left" w:pos="7597"/>
      </w:tabs>
    </w:pPr>
    <w:rPr>
      <w:rFonts w:ascii="Trebuchet MS" w:hAnsi="Trebuchet MS"/>
      <w:bCs/>
      <w:sz w:val="26"/>
      <w:szCs w:val="56"/>
    </w:rPr>
  </w:style>
  <w:style w:type="paragraph" w:customStyle="1" w:styleId="assadBullettext">
    <w:name w:val="assad Bullet text"/>
    <w:basedOn w:val="assadtext"/>
    <w:pPr>
      <w:tabs>
        <w:tab w:val="left" w:pos="709"/>
      </w:tabs>
      <w:spacing w:before="200"/>
    </w:pPr>
    <w:rPr>
      <w:iCs w:val="0"/>
    </w:rPr>
  </w:style>
  <w:style w:type="paragraph" w:customStyle="1" w:styleId="assadtablefignotes">
    <w:name w:val="assad table/fig notes"/>
    <w:basedOn w:val="Normal"/>
    <w:pPr>
      <w:tabs>
        <w:tab w:val="left" w:pos="153"/>
      </w:tabs>
      <w:overflowPunct w:val="0"/>
      <w:autoSpaceDE w:val="0"/>
      <w:spacing w:before="80" w:after="200"/>
      <w:textAlignment w:val="baseline"/>
    </w:pPr>
    <w:rPr>
      <w:rFonts w:ascii="Helvetica" w:hAnsi="Helvetica"/>
      <w:i/>
      <w:color w:val="333333"/>
      <w:sz w:val="14"/>
      <w:szCs w:val="20"/>
      <w:lang w:val="en-US"/>
    </w:r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reportbullettext">
    <w:name w:val="report bullet text"/>
    <w:basedOn w:val="reporttext"/>
    <w:rsid w:val="009379C8"/>
    <w:pPr>
      <w:tabs>
        <w:tab w:val="left" w:pos="567"/>
        <w:tab w:val="left" w:pos="851"/>
        <w:tab w:val="left" w:pos="1134"/>
        <w:tab w:val="left" w:pos="1701"/>
        <w:tab w:val="left" w:pos="2268"/>
      </w:tabs>
      <w:suppressAutoHyphens w:val="0"/>
      <w:overflowPunct/>
      <w:autoSpaceDE/>
      <w:spacing w:before="40" w:after="40" w:line="252" w:lineRule="auto"/>
      <w:textAlignment w:val="auto"/>
    </w:pPr>
    <w:rPr>
      <w:lang w:eastAsia="en-US"/>
    </w:rPr>
  </w:style>
  <w:style w:type="paragraph" w:customStyle="1" w:styleId="reportappendixhead">
    <w:name w:val="report appendix head"/>
    <w:basedOn w:val="reporthead1"/>
    <w:rsid w:val="00E22563"/>
    <w:pPr>
      <w:pBdr>
        <w:bottom w:val="single" w:sz="4" w:space="4" w:color="333333"/>
      </w:pBdr>
      <w:suppressAutoHyphens w:val="0"/>
      <w:overflowPunct/>
      <w:autoSpaceDE/>
      <w:spacing w:before="0" w:after="720" w:line="252" w:lineRule="auto"/>
      <w:jc w:val="left"/>
      <w:textAlignment w:val="auto"/>
    </w:pPr>
    <w:rPr>
      <w:rFonts w:ascii="Helvetica" w:eastAsia="Times New Roman" w:hAnsi="Helvetica"/>
      <w:smallCaps w:val="0"/>
      <w:sz w:val="36"/>
      <w:lang w:eastAsia="en-US"/>
    </w:rPr>
  </w:style>
  <w:style w:type="paragraph" w:customStyle="1" w:styleId="reporthead3">
    <w:name w:val="report head 3"/>
    <w:basedOn w:val="Heading3"/>
    <w:rsid w:val="00562E12"/>
    <w:pPr>
      <w:tabs>
        <w:tab w:val="clear" w:pos="720"/>
        <w:tab w:val="num" w:pos="567"/>
      </w:tabs>
      <w:spacing w:before="480" w:after="120"/>
      <w:ind w:left="709" w:hanging="709"/>
      <w:jc w:val="left"/>
    </w:pPr>
    <w:rPr>
      <w:rFonts w:ascii="Helvetica" w:hAnsi="Helvetica"/>
      <w:i/>
      <w:color w:val="003797"/>
      <w:sz w:val="24"/>
      <w:lang w:val="en-AU" w:eastAsia="en-US"/>
    </w:rPr>
  </w:style>
  <w:style w:type="paragraph" w:customStyle="1" w:styleId="reporttabletitle">
    <w:name w:val="report table title"/>
    <w:autoRedefine/>
    <w:rsid w:val="00E72DD1"/>
    <w:pPr>
      <w:spacing w:before="120" w:after="160"/>
    </w:pPr>
    <w:rPr>
      <w:rFonts w:ascii="Helvetica" w:hAnsi="Helvetica"/>
      <w:b/>
      <w:color w:val="5F5F5F"/>
      <w:sz w:val="22"/>
    </w:rPr>
  </w:style>
  <w:style w:type="paragraph" w:customStyle="1" w:styleId="reportfiguretitle">
    <w:name w:val="report figure title"/>
    <w:basedOn w:val="reporttabletitle"/>
    <w:rsid w:val="00AD78B9"/>
  </w:style>
  <w:style w:type="paragraph" w:customStyle="1" w:styleId="Healthbody">
    <w:name w:val="Health body"/>
    <w:rsid w:val="004B5826"/>
    <w:pPr>
      <w:spacing w:after="120" w:line="270" w:lineRule="atLeast"/>
    </w:pPr>
    <w:rPr>
      <w:rFonts w:ascii="Arial" w:eastAsia="Times" w:hAnsi="Arial"/>
    </w:rPr>
  </w:style>
  <w:style w:type="paragraph" w:customStyle="1" w:styleId="ASSADreporthead2">
    <w:name w:val="ASSADreport head2"/>
    <w:basedOn w:val="reporthead2"/>
    <w:autoRedefine/>
    <w:rsid w:val="004F304D"/>
  </w:style>
  <w:style w:type="paragraph" w:customStyle="1" w:styleId="Style1">
    <w:name w:val="Style1"/>
    <w:basedOn w:val="reporthead2"/>
    <w:autoRedefine/>
    <w:rsid w:val="004F304D"/>
  </w:style>
  <w:style w:type="paragraph" w:customStyle="1" w:styleId="EndNoteBibliographyTitle">
    <w:name w:val="EndNote Bibliography Title"/>
    <w:basedOn w:val="Normal"/>
    <w:link w:val="EndNoteBibliographyTitleChar"/>
    <w:rsid w:val="002A1C7C"/>
    <w:pPr>
      <w:jc w:val="center"/>
    </w:pPr>
    <w:rPr>
      <w:rFonts w:ascii="Helvetica" w:hAnsi="Helvetica" w:cs="Helvetica"/>
      <w:noProof/>
      <w:sz w:val="32"/>
    </w:rPr>
  </w:style>
  <w:style w:type="character" w:customStyle="1" w:styleId="Heading1Char1">
    <w:name w:val="Heading 1 Char1"/>
    <w:link w:val="Heading1"/>
    <w:rsid w:val="00AD75CF"/>
    <w:rPr>
      <w:rFonts w:ascii="Arial Narrow" w:hAnsi="Arial Narrow"/>
      <w:bCs/>
      <w:sz w:val="48"/>
      <w:szCs w:val="24"/>
      <w:lang w:val="en-US" w:eastAsia="ar-SA"/>
    </w:rPr>
  </w:style>
  <w:style w:type="character" w:customStyle="1" w:styleId="assadtextChar">
    <w:name w:val="assad text Char"/>
    <w:link w:val="assadtext"/>
    <w:rsid w:val="002551D0"/>
    <w:rPr>
      <w:rFonts w:ascii="Helvetica" w:hAnsi="Helvetica"/>
      <w:iCs/>
      <w:sz w:val="23"/>
      <w:lang w:eastAsia="ar-SA"/>
    </w:rPr>
  </w:style>
  <w:style w:type="character" w:customStyle="1" w:styleId="EndNoteBibliographyTitleChar">
    <w:name w:val="EndNote Bibliography Title Char"/>
    <w:link w:val="EndNoteBibliographyTitle"/>
    <w:rsid w:val="002A1C7C"/>
    <w:rPr>
      <w:rFonts w:ascii="Helvetica" w:hAnsi="Helvetica" w:cs="Helvetica"/>
      <w:noProof/>
      <w:sz w:val="32"/>
      <w:szCs w:val="24"/>
      <w:lang w:val="en-GB" w:eastAsia="ar-SA"/>
    </w:rPr>
  </w:style>
  <w:style w:type="paragraph" w:customStyle="1" w:styleId="EndNoteBibliography">
    <w:name w:val="EndNote Bibliography"/>
    <w:basedOn w:val="Normal"/>
    <w:link w:val="EndNoteBibliographyChar"/>
    <w:rsid w:val="002A1C7C"/>
    <w:rPr>
      <w:rFonts w:ascii="Helvetica" w:hAnsi="Helvetica" w:cs="Helvetica"/>
      <w:noProof/>
      <w:sz w:val="32"/>
    </w:rPr>
  </w:style>
  <w:style w:type="character" w:customStyle="1" w:styleId="EndNoteBibliographyChar">
    <w:name w:val="EndNote Bibliography Char"/>
    <w:link w:val="EndNoteBibliography"/>
    <w:rsid w:val="002A1C7C"/>
    <w:rPr>
      <w:rFonts w:ascii="Helvetica" w:hAnsi="Helvetica" w:cs="Helvetica"/>
      <w:noProof/>
      <w:sz w:val="32"/>
      <w:szCs w:val="24"/>
      <w:lang w:val="en-GB" w:eastAsia="ar-SA"/>
    </w:rPr>
  </w:style>
  <w:style w:type="paragraph" w:customStyle="1" w:styleId="MediumList2-Accent21">
    <w:name w:val="Medium List 2 - Accent 21"/>
    <w:hidden/>
    <w:uiPriority w:val="71"/>
    <w:rsid w:val="00296F0D"/>
    <w:rPr>
      <w:sz w:val="24"/>
      <w:szCs w:val="24"/>
      <w:lang w:val="en-GB" w:eastAsia="ar-SA"/>
    </w:rPr>
  </w:style>
  <w:style w:type="paragraph" w:styleId="Revision">
    <w:name w:val="Revision"/>
    <w:hidden/>
    <w:uiPriority w:val="99"/>
    <w:rsid w:val="00271B3C"/>
    <w:rPr>
      <w:sz w:val="24"/>
      <w:szCs w:val="24"/>
      <w:lang w:val="en-GB" w:eastAsia="ar-SA"/>
    </w:rPr>
  </w:style>
  <w:style w:type="character" w:customStyle="1" w:styleId="Heading4Char">
    <w:name w:val="Heading 4 Char"/>
    <w:link w:val="Heading4"/>
    <w:rsid w:val="00463910"/>
    <w:rPr>
      <w:b/>
      <w:bCs/>
      <w:sz w:val="24"/>
      <w:szCs w:val="24"/>
      <w:lang w:val="en-GB" w:eastAsia="ar-SA"/>
    </w:rPr>
  </w:style>
  <w:style w:type="character" w:customStyle="1" w:styleId="Heading5Char">
    <w:name w:val="Heading 5 Char"/>
    <w:link w:val="Heading5"/>
    <w:rsid w:val="00463910"/>
    <w:rPr>
      <w:b/>
      <w:bCs/>
      <w:sz w:val="22"/>
      <w:szCs w:val="22"/>
      <w:lang w:val="en-GB" w:eastAsia="ar-SA"/>
    </w:rPr>
  </w:style>
  <w:style w:type="character" w:customStyle="1" w:styleId="Heading6Char">
    <w:name w:val="Heading 6 Char"/>
    <w:link w:val="Heading6"/>
    <w:rsid w:val="00463910"/>
    <w:rPr>
      <w:rFonts w:ascii="Arial Narrow" w:hAnsi="Arial Narrow"/>
      <w:sz w:val="48"/>
      <w:szCs w:val="24"/>
      <w:lang w:eastAsia="ar-SA"/>
    </w:rPr>
  </w:style>
  <w:style w:type="character" w:customStyle="1" w:styleId="Heading7Char">
    <w:name w:val="Heading 7 Char"/>
    <w:link w:val="Heading7"/>
    <w:rsid w:val="00463910"/>
    <w:rPr>
      <w:rFonts w:ascii="Arial Narrow" w:hAnsi="Arial Narrow"/>
      <w:b/>
      <w:bCs/>
      <w:i/>
      <w:iCs/>
      <w:sz w:val="18"/>
      <w:szCs w:val="24"/>
      <w:lang w:val="en-GB" w:eastAsia="ar-SA"/>
    </w:rPr>
  </w:style>
  <w:style w:type="character" w:customStyle="1" w:styleId="Heading8Char">
    <w:name w:val="Heading 8 Char"/>
    <w:link w:val="Heading8"/>
    <w:rsid w:val="00463910"/>
    <w:rPr>
      <w:sz w:val="28"/>
      <w:lang w:val="en-GB" w:eastAsia="ar-SA"/>
    </w:rPr>
  </w:style>
  <w:style w:type="character" w:customStyle="1" w:styleId="Heading9Char">
    <w:name w:val="Heading 9 Char"/>
    <w:link w:val="Heading9"/>
    <w:rsid w:val="00463910"/>
    <w:rPr>
      <w:b/>
      <w:sz w:val="28"/>
      <w:lang w:val="en-GB" w:eastAsia="ar-SA"/>
    </w:rPr>
  </w:style>
  <w:style w:type="character" w:customStyle="1" w:styleId="BodyTextChar">
    <w:name w:val="Body Text Char"/>
    <w:link w:val="BodyText"/>
    <w:semiHidden/>
    <w:rsid w:val="00463910"/>
    <w:rPr>
      <w:lang w:val="en-GB" w:eastAsia="ar-SA"/>
    </w:rPr>
  </w:style>
  <w:style w:type="character" w:customStyle="1" w:styleId="DocumentMapChar">
    <w:name w:val="Document Map Char"/>
    <w:link w:val="DocumentMap"/>
    <w:semiHidden/>
    <w:rsid w:val="00463910"/>
    <w:rPr>
      <w:rFonts w:ascii="Tahoma" w:hAnsi="Tahoma" w:cs="Tahoma"/>
      <w:sz w:val="24"/>
      <w:szCs w:val="24"/>
      <w:shd w:val="clear" w:color="auto" w:fill="000080"/>
      <w:lang w:val="en-GB" w:eastAsia="ar-SA"/>
    </w:rPr>
  </w:style>
  <w:style w:type="character" w:customStyle="1" w:styleId="FootnoteTextChar">
    <w:name w:val="Footnote Text Char"/>
    <w:link w:val="FootnoteText"/>
    <w:semiHidden/>
    <w:rsid w:val="00463910"/>
    <w:rPr>
      <w:rFonts w:ascii="Arial Narrow" w:hAnsi="Arial Narrow"/>
      <w:lang w:val="en-GB" w:eastAsia="ar-SA"/>
    </w:rPr>
  </w:style>
  <w:style w:type="character" w:customStyle="1" w:styleId="HeaderChar">
    <w:name w:val="Header Char"/>
    <w:link w:val="Header"/>
    <w:semiHidden/>
    <w:rsid w:val="00463910"/>
    <w:rPr>
      <w:sz w:val="24"/>
      <w:szCs w:val="24"/>
      <w:lang w:val="en-GB" w:eastAsia="ar-SA"/>
    </w:rPr>
  </w:style>
  <w:style w:type="character" w:customStyle="1" w:styleId="FooterChar">
    <w:name w:val="Footer Char"/>
    <w:link w:val="Footer"/>
    <w:uiPriority w:val="99"/>
    <w:rsid w:val="00463910"/>
    <w:rPr>
      <w:sz w:val="24"/>
      <w:szCs w:val="24"/>
      <w:lang w:val="en-GB" w:eastAsia="ar-SA"/>
    </w:rPr>
  </w:style>
  <w:style w:type="character" w:customStyle="1" w:styleId="BodyTextIndent2Char">
    <w:name w:val="Body Text Indent 2 Char"/>
    <w:link w:val="BodyTextIndent2"/>
    <w:semiHidden/>
    <w:rsid w:val="00463910"/>
    <w:rPr>
      <w:rFonts w:ascii="Book Antiqua" w:hAnsi="Book Antiqua"/>
      <w:sz w:val="22"/>
      <w:lang w:eastAsia="ar-SA"/>
    </w:rPr>
  </w:style>
  <w:style w:type="character" w:customStyle="1" w:styleId="BodyTextIndentChar">
    <w:name w:val="Body Text Indent Char"/>
    <w:link w:val="BodyTextIndent"/>
    <w:semiHidden/>
    <w:rsid w:val="00463910"/>
    <w:rPr>
      <w:rFonts w:ascii="Arial" w:hAnsi="Arial" w:cs="Arial"/>
      <w:color w:val="0000FF"/>
      <w:lang w:val="en-US" w:eastAsia="ar-SA"/>
    </w:rPr>
  </w:style>
  <w:style w:type="character" w:customStyle="1" w:styleId="CommentTextChar1">
    <w:name w:val="Comment Text Char1"/>
    <w:link w:val="CommentText"/>
    <w:semiHidden/>
    <w:rsid w:val="00463910"/>
    <w:rPr>
      <w:lang w:val="en-GB" w:eastAsia="ar-SA"/>
    </w:rPr>
  </w:style>
  <w:style w:type="character" w:customStyle="1" w:styleId="BodyText2Char">
    <w:name w:val="Body Text 2 Char"/>
    <w:link w:val="BodyText2"/>
    <w:semiHidden/>
    <w:rsid w:val="00463910"/>
    <w:rPr>
      <w:sz w:val="28"/>
      <w:lang w:val="en-GB" w:eastAsia="ar-SA"/>
    </w:rPr>
  </w:style>
  <w:style w:type="paragraph" w:customStyle="1" w:styleId="PageNumber2">
    <w:name w:val="Page Number2"/>
    <w:rsid w:val="00463910"/>
    <w:pPr>
      <w:suppressAutoHyphens/>
      <w:jc w:val="center"/>
    </w:pPr>
    <w:rPr>
      <w:rFonts w:eastAsia="Arial"/>
      <w:lang w:eastAsia="ar-SA"/>
    </w:rPr>
  </w:style>
  <w:style w:type="character" w:customStyle="1" w:styleId="BodyText3Char">
    <w:name w:val="Body Text 3 Char"/>
    <w:link w:val="BodyText3"/>
    <w:semiHidden/>
    <w:rsid w:val="00463910"/>
    <w:rPr>
      <w:b/>
      <w:sz w:val="28"/>
      <w:lang w:val="en-GB" w:eastAsia="ar-SA"/>
    </w:rPr>
  </w:style>
  <w:style w:type="character" w:customStyle="1" w:styleId="BodyTextIndent3Char">
    <w:name w:val="Body Text Indent 3 Char"/>
    <w:link w:val="BodyTextIndent3"/>
    <w:semiHidden/>
    <w:rsid w:val="00463910"/>
    <w:rPr>
      <w:rFonts w:ascii="Verdana" w:hAnsi="Verdana"/>
      <w:bCs/>
      <w:spacing w:val="-30"/>
      <w:sz w:val="60"/>
      <w:lang w:val="en-GB" w:eastAsia="ar-SA"/>
    </w:rPr>
  </w:style>
  <w:style w:type="character" w:customStyle="1" w:styleId="BalloonTextChar1">
    <w:name w:val="Balloon Text Char1"/>
    <w:link w:val="BalloonText"/>
    <w:rsid w:val="00463910"/>
    <w:rPr>
      <w:rFonts w:ascii="Tahoma" w:hAnsi="Tahoma" w:cs="Tahoma"/>
      <w:sz w:val="16"/>
      <w:szCs w:val="16"/>
      <w:lang w:val="en-GB" w:eastAsia="ar-SA"/>
    </w:rPr>
  </w:style>
  <w:style w:type="character" w:customStyle="1" w:styleId="CommentSubjectChar1">
    <w:name w:val="Comment Subject Char1"/>
    <w:link w:val="CommentSubject"/>
    <w:rsid w:val="00463910"/>
    <w:rPr>
      <w:b/>
      <w:bCs/>
      <w:lang w:val="en-GB" w:eastAsia="ar-SA"/>
    </w:rPr>
  </w:style>
  <w:style w:type="paragraph" w:customStyle="1" w:styleId="Healthtablecolumnhead">
    <w:name w:val="Health table column head"/>
    <w:uiPriority w:val="99"/>
    <w:rsid w:val="00463910"/>
    <w:pPr>
      <w:spacing w:after="40" w:line="220" w:lineRule="atLeast"/>
    </w:pPr>
    <w:rPr>
      <w:rFonts w:ascii="Arial" w:eastAsia="MS Mincho" w:hAnsi="Arial"/>
      <w:b/>
      <w:color w:val="FFFFFF"/>
      <w:sz w:val="18"/>
      <w:szCs w:val="24"/>
    </w:rPr>
  </w:style>
  <w:style w:type="paragraph" w:customStyle="1" w:styleId="Healthtablebody">
    <w:name w:val="Health table body"/>
    <w:rsid w:val="00463910"/>
    <w:pPr>
      <w:spacing w:after="40" w:line="220" w:lineRule="atLeast"/>
    </w:pPr>
    <w:rPr>
      <w:rFonts w:ascii="Arial" w:eastAsia="MS Mincho" w:hAnsi="Arial"/>
      <w:sz w:val="18"/>
      <w:szCs w:val="24"/>
    </w:rPr>
  </w:style>
  <w:style w:type="table" w:styleId="TableGrid">
    <w:name w:val="Table Grid"/>
    <w:basedOn w:val="TableNormal"/>
    <w:uiPriority w:val="59"/>
    <w:rsid w:val="004B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chapter">
    <w:name w:val="Heading level 1 chapter"/>
    <w:basedOn w:val="Heading1"/>
    <w:next w:val="BodyText"/>
    <w:rsid w:val="00BC0761"/>
    <w:pPr>
      <w:numPr>
        <w:numId w:val="0"/>
      </w:numPr>
      <w:ind w:left="993" w:hanging="993"/>
    </w:pPr>
    <w:rPr>
      <w:lang w:eastAsia="en-US"/>
    </w:rPr>
  </w:style>
  <w:style w:type="paragraph" w:customStyle="1" w:styleId="headerlevel2summary">
    <w:name w:val="header level 2 summary"/>
    <w:basedOn w:val="Heading2"/>
    <w:next w:val="BlockText"/>
    <w:link w:val="headerlevel2summaryChar"/>
    <w:rsid w:val="00382CDF"/>
    <w:pPr>
      <w:tabs>
        <w:tab w:val="clear" w:pos="576"/>
        <w:tab w:val="num" w:pos="0"/>
      </w:tabs>
      <w:spacing w:before="480" w:after="120"/>
      <w:ind w:left="0" w:firstLine="0"/>
    </w:pPr>
    <w:rPr>
      <w:i/>
      <w:color w:val="003797"/>
      <w:sz w:val="24"/>
    </w:rPr>
  </w:style>
  <w:style w:type="paragraph" w:styleId="Title">
    <w:name w:val="Title"/>
    <w:basedOn w:val="Normal"/>
    <w:next w:val="Normal"/>
    <w:link w:val="TitleChar"/>
    <w:uiPriority w:val="10"/>
    <w:rsid w:val="007C00FE"/>
    <w:pPr>
      <w:pBdr>
        <w:bottom w:val="single" w:sz="8" w:space="4" w:color="4F81BD" w:themeColor="accent1"/>
      </w:pBdr>
      <w:shd w:val="clear" w:color="auto" w:fill="FFCF00"/>
      <w:spacing w:after="300"/>
      <w:contextualSpacing/>
      <w:jc w:val="center"/>
    </w:pPr>
    <w:rPr>
      <w:rFonts w:ascii="Helvetica" w:eastAsiaTheme="majorEastAsia" w:hAnsi="Helvetica" w:cstheme="majorBidi"/>
      <w:b/>
      <w:color w:val="003797"/>
      <w:spacing w:val="5"/>
      <w:kern w:val="28"/>
      <w:sz w:val="56"/>
      <w:szCs w:val="52"/>
    </w:rPr>
  </w:style>
  <w:style w:type="character" w:customStyle="1" w:styleId="TitleChar">
    <w:name w:val="Title Char"/>
    <w:basedOn w:val="DefaultParagraphFont"/>
    <w:link w:val="Title"/>
    <w:uiPriority w:val="10"/>
    <w:rsid w:val="007C00FE"/>
    <w:rPr>
      <w:rFonts w:ascii="Helvetica" w:eastAsiaTheme="majorEastAsia" w:hAnsi="Helvetica" w:cstheme="majorBidi"/>
      <w:b/>
      <w:color w:val="003797"/>
      <w:spacing w:val="5"/>
      <w:kern w:val="28"/>
      <w:sz w:val="56"/>
      <w:szCs w:val="52"/>
      <w:shd w:val="clear" w:color="auto" w:fill="FFCF00"/>
      <w:lang w:val="en-GB" w:eastAsia="ar-SA"/>
    </w:rPr>
  </w:style>
  <w:style w:type="paragraph" w:customStyle="1" w:styleId="ASSAD2017ACCESSHeading1">
    <w:name w:val="ASSAD 2017 ACCESS Heading 1"/>
    <w:basedOn w:val="Heading1"/>
    <w:link w:val="ASSAD2017ACCESSHeading1Char"/>
    <w:qFormat/>
    <w:rsid w:val="008452FE"/>
    <w:pPr>
      <w:pBdr>
        <w:bottom w:val="none" w:sz="0" w:space="0" w:color="auto"/>
      </w:pBdr>
      <w:spacing w:after="120"/>
      <w:ind w:left="0" w:firstLine="0"/>
    </w:pPr>
    <w:rPr>
      <w:rFonts w:ascii="Arial Rounded MT Bold" w:hAnsi="Arial Rounded MT Bold" w:cs="Arial"/>
      <w:sz w:val="40"/>
      <w:szCs w:val="40"/>
      <w:lang w:eastAsia="en-US"/>
    </w:rPr>
  </w:style>
  <w:style w:type="paragraph" w:customStyle="1" w:styleId="ASSAD2017ACCESSHeading2">
    <w:name w:val="ASSAD 2017 ACCESS Heading 2"/>
    <w:basedOn w:val="headerlevel2summary"/>
    <w:link w:val="ASSAD2017ACCESSHeading2Char"/>
    <w:qFormat/>
    <w:rsid w:val="008452FE"/>
    <w:pPr>
      <w:widowControl w:val="0"/>
      <w:spacing w:before="0"/>
    </w:pPr>
    <w:rPr>
      <w:rFonts w:ascii="Arial" w:hAnsi="Arial" w:cs="Arial"/>
      <w:i w:val="0"/>
      <w:color w:val="auto"/>
    </w:rPr>
  </w:style>
  <w:style w:type="character" w:customStyle="1" w:styleId="ASSAD2017ACCESSHeading1Char">
    <w:name w:val="ASSAD 2017 ACCESS Heading 1 Char"/>
    <w:basedOn w:val="Heading1Char1"/>
    <w:link w:val="ASSAD2017ACCESSHeading1"/>
    <w:rsid w:val="008452FE"/>
    <w:rPr>
      <w:rFonts w:ascii="Arial Rounded MT Bold" w:hAnsi="Arial Rounded MT Bold" w:cs="Arial"/>
      <w:bCs/>
      <w:sz w:val="40"/>
      <w:szCs w:val="40"/>
      <w:lang w:val="en-US" w:eastAsia="ar-SA"/>
    </w:rPr>
  </w:style>
  <w:style w:type="paragraph" w:customStyle="1" w:styleId="ASSAD2017ACCESSBody1">
    <w:name w:val="ASSAD 2017 ACCESS Body 1"/>
    <w:link w:val="ASSAD2017ACCESSBody1Char"/>
    <w:qFormat/>
    <w:rsid w:val="00ED7758"/>
    <w:pPr>
      <w:widowControl w:val="0"/>
      <w:spacing w:after="120"/>
    </w:pPr>
    <w:rPr>
      <w:rFonts w:ascii="Arial" w:hAnsi="Arial" w:cs="Arial"/>
      <w:bCs/>
      <w:color w:val="000000" w:themeColor="text1"/>
      <w:lang w:val="en-US"/>
    </w:rPr>
  </w:style>
  <w:style w:type="character" w:customStyle="1" w:styleId="Heading2Char1">
    <w:name w:val="Heading 2 Char1"/>
    <w:basedOn w:val="DefaultParagraphFont"/>
    <w:link w:val="Heading2"/>
    <w:rsid w:val="00215A81"/>
    <w:rPr>
      <w:rFonts w:ascii="Helvetica" w:hAnsi="Helvetica" w:cs="Helvetica"/>
      <w:b/>
      <w:bCs/>
      <w:sz w:val="28"/>
      <w:szCs w:val="28"/>
      <w:lang w:val="en-GB" w:eastAsia="ar-SA"/>
    </w:rPr>
  </w:style>
  <w:style w:type="character" w:customStyle="1" w:styleId="headerlevel2summaryChar">
    <w:name w:val="header level 2 summary Char"/>
    <w:basedOn w:val="Heading2Char1"/>
    <w:link w:val="headerlevel2summary"/>
    <w:rsid w:val="00215A81"/>
    <w:rPr>
      <w:rFonts w:ascii="Helvetica" w:hAnsi="Helvetica" w:cs="Helvetica"/>
      <w:b/>
      <w:bCs/>
      <w:i/>
      <w:color w:val="003797"/>
      <w:sz w:val="24"/>
      <w:szCs w:val="28"/>
      <w:lang w:val="en-GB" w:eastAsia="ar-SA"/>
    </w:rPr>
  </w:style>
  <w:style w:type="character" w:customStyle="1" w:styleId="ASSAD2017ACCESSHeading2Char">
    <w:name w:val="ASSAD 2017 ACCESS Heading 2 Char"/>
    <w:basedOn w:val="headerlevel2summaryChar"/>
    <w:link w:val="ASSAD2017ACCESSHeading2"/>
    <w:rsid w:val="008452FE"/>
    <w:rPr>
      <w:rFonts w:ascii="Arial" w:hAnsi="Arial" w:cs="Arial"/>
      <w:b/>
      <w:bCs/>
      <w:i w:val="0"/>
      <w:color w:val="003797"/>
      <w:sz w:val="24"/>
      <w:szCs w:val="28"/>
      <w:lang w:val="en-GB" w:eastAsia="ar-SA"/>
    </w:rPr>
  </w:style>
  <w:style w:type="paragraph" w:customStyle="1" w:styleId="ASSAD2017CWInfographicHeading1">
    <w:name w:val="ASSAD 2017 CW Infographic Heading 1"/>
    <w:basedOn w:val="ASSAD2017ACCESSHeading2"/>
    <w:link w:val="ASSAD2017CWInfographicHeading1Char"/>
    <w:rsid w:val="0048308A"/>
    <w:rPr>
      <w:rFonts w:ascii="Arial Rounded MT Bold" w:hAnsi="Arial Rounded MT Bold"/>
      <w:b w:val="0"/>
      <w:sz w:val="40"/>
      <w:szCs w:val="40"/>
    </w:rPr>
  </w:style>
  <w:style w:type="character" w:customStyle="1" w:styleId="ASSAD2017ACCESSBody1Char">
    <w:name w:val="ASSAD 2017 ACCESS Body 1 Char"/>
    <w:basedOn w:val="ASSAD2017ACCESSHeading1Char"/>
    <w:link w:val="ASSAD2017ACCESSBody1"/>
    <w:rsid w:val="00ED7758"/>
    <w:rPr>
      <w:rFonts w:ascii="Arial" w:hAnsi="Arial" w:cs="Arial"/>
      <w:bCs/>
      <w:color w:val="000000" w:themeColor="text1"/>
      <w:sz w:val="40"/>
      <w:szCs w:val="40"/>
      <w:lang w:val="en-US" w:eastAsia="ar-SA"/>
    </w:rPr>
  </w:style>
  <w:style w:type="character" w:customStyle="1" w:styleId="ASSAD2017CWInfographicHeading1Char">
    <w:name w:val="ASSAD 2017 CW Infographic Heading 1 Char"/>
    <w:basedOn w:val="ASSAD2017ACCESSHeading2Char"/>
    <w:link w:val="ASSAD2017CWInfographicHeading1"/>
    <w:rsid w:val="0048308A"/>
    <w:rPr>
      <w:rFonts w:ascii="Arial Rounded MT Bold" w:hAnsi="Arial Rounded MT Bold" w:cs="Arial"/>
      <w:b w:val="0"/>
      <w:bCs/>
      <w:i w:val="0"/>
      <w:color w:val="0070C0"/>
      <w:sz w:val="40"/>
      <w:szCs w:val="40"/>
      <w:lang w:val="en-GB" w:eastAsia="ar-SA"/>
    </w:rPr>
  </w:style>
  <w:style w:type="paragraph" w:customStyle="1" w:styleId="ASSAD2017CWInfographicBody1">
    <w:name w:val="ASSAD 2017 CW Infographic Body 1"/>
    <w:basedOn w:val="reporttext"/>
    <w:link w:val="ASSAD2017CWInfographicBody1Char"/>
    <w:rsid w:val="00351D2B"/>
    <w:rPr>
      <w:sz w:val="22"/>
      <w:szCs w:val="22"/>
    </w:rPr>
  </w:style>
  <w:style w:type="paragraph" w:customStyle="1" w:styleId="ASSAD2017CWinfographicbody2">
    <w:name w:val="ASSAD 2017 CW infographic body 2"/>
    <w:basedOn w:val="ASSAD2017CWInfographicBody1"/>
    <w:link w:val="ASSAD2017CWinfographicbody2Char"/>
    <w:rsid w:val="00D9763D"/>
    <w:rPr>
      <w:rFonts w:ascii="Arial Rounded MT Bold" w:hAnsi="Arial Rounded MT Bold"/>
      <w:sz w:val="24"/>
    </w:rPr>
  </w:style>
  <w:style w:type="character" w:customStyle="1" w:styleId="reporttextChar">
    <w:name w:val="report text Char"/>
    <w:basedOn w:val="DefaultParagraphFont"/>
    <w:link w:val="reporttext"/>
    <w:rsid w:val="00CF7898"/>
    <w:rPr>
      <w:rFonts w:ascii="Arial" w:hAnsi="Arial" w:cs="Arial"/>
      <w:noProof/>
      <w:color w:val="FFFFFF" w:themeColor="background1"/>
      <w:lang w:eastAsia="en-AU"/>
    </w:rPr>
  </w:style>
  <w:style w:type="character" w:customStyle="1" w:styleId="ASSAD2017CWInfographicBody1Char">
    <w:name w:val="ASSAD 2017 CW Infographic Body 1 Char"/>
    <w:basedOn w:val="reporttextChar"/>
    <w:link w:val="ASSAD2017CWInfographicBody1"/>
    <w:rsid w:val="00351D2B"/>
    <w:rPr>
      <w:rFonts w:ascii="Arial" w:hAnsi="Arial" w:cs="Arial"/>
      <w:noProof/>
      <w:color w:val="FFFFFF" w:themeColor="background1"/>
      <w:sz w:val="22"/>
      <w:szCs w:val="22"/>
      <w:lang w:eastAsia="en-AU"/>
    </w:rPr>
  </w:style>
  <w:style w:type="character" w:customStyle="1" w:styleId="ASSAD2017CWinfographicbody2Char">
    <w:name w:val="ASSAD 2017 CW infographic body 2 Char"/>
    <w:basedOn w:val="ASSAD2017CWInfographicBody1Char"/>
    <w:link w:val="ASSAD2017CWinfographicbody2"/>
    <w:rsid w:val="00D9763D"/>
    <w:rPr>
      <w:rFonts w:ascii="Arial Rounded MT Bold" w:hAnsi="Arial Rounded MT Bold" w:cs="Arial"/>
      <w:noProof/>
      <w:color w:val="FFFFFF" w:themeColor="background1"/>
      <w:sz w:val="24"/>
      <w:szCs w:val="22"/>
      <w:lang w:eastAsia="en-AU"/>
    </w:rPr>
  </w:style>
  <w:style w:type="paragraph" w:customStyle="1" w:styleId="ASSAD2017ACCESSHeading3">
    <w:name w:val="ASSAD 2017 ACCESS Heading 3"/>
    <w:basedOn w:val="ASSAD2017ACCESSHeading2"/>
    <w:link w:val="ASSAD2017ACCESSHeading3Char"/>
    <w:qFormat/>
    <w:rsid w:val="00ED7758"/>
    <w:rPr>
      <w:i/>
    </w:rPr>
  </w:style>
  <w:style w:type="character" w:customStyle="1" w:styleId="ASSAD2017ACCESSHeading3Char">
    <w:name w:val="ASSAD 2017 ACCESS Heading 3 Char"/>
    <w:basedOn w:val="ASSAD2017ACCESSHeading2Char"/>
    <w:link w:val="ASSAD2017ACCESSHeading3"/>
    <w:rsid w:val="00ED7758"/>
    <w:rPr>
      <w:rFonts w:ascii="Arial" w:hAnsi="Arial" w:cs="Arial"/>
      <w:b/>
      <w:bCs/>
      <w:i/>
      <w:color w:val="003797"/>
      <w:sz w:val="24"/>
      <w:szCs w:val="28"/>
      <w:lang w:val="en-GB" w:eastAsia="ar-SA"/>
    </w:rPr>
  </w:style>
  <w:style w:type="paragraph" w:customStyle="1" w:styleId="ASSAD2017CWTablenote1">
    <w:name w:val="ASSAD 2017 CW Table note 1"/>
    <w:basedOn w:val="tablenotes"/>
    <w:link w:val="ASSAD2017CWTablenote1Char"/>
    <w:qFormat/>
    <w:rsid w:val="00D83658"/>
  </w:style>
  <w:style w:type="paragraph" w:customStyle="1" w:styleId="ASSAD2017CWTableHeading1">
    <w:name w:val="ASSAD 2017 CW Table Heading 1"/>
    <w:basedOn w:val="ASSAD2017ACCESSBody1"/>
    <w:link w:val="ASSAD2017CWTableHeading1Char"/>
    <w:rsid w:val="00946517"/>
    <w:rPr>
      <w:rFonts w:ascii="Arial Rounded MT Bold" w:hAnsi="Arial Rounded MT Bold"/>
      <w:color w:val="0070C0"/>
    </w:rPr>
  </w:style>
  <w:style w:type="character" w:customStyle="1" w:styleId="tablenotesChar">
    <w:name w:val="table notes Char"/>
    <w:basedOn w:val="DefaultParagraphFont"/>
    <w:link w:val="tablenotes"/>
    <w:rsid w:val="00D83658"/>
    <w:rPr>
      <w:rFonts w:ascii="Arial" w:eastAsia="Arial" w:hAnsi="Arial" w:cs="Arial"/>
      <w:sz w:val="18"/>
      <w:szCs w:val="18"/>
      <w:lang w:eastAsia="ar-SA"/>
    </w:rPr>
  </w:style>
  <w:style w:type="character" w:customStyle="1" w:styleId="ASSAD2017CWTablenote1Char">
    <w:name w:val="ASSAD 2017 CW Table note 1 Char"/>
    <w:basedOn w:val="tablenotesChar"/>
    <w:link w:val="ASSAD2017CWTablenote1"/>
    <w:rsid w:val="00D83658"/>
    <w:rPr>
      <w:rFonts w:ascii="Arial" w:eastAsia="Arial" w:hAnsi="Arial" w:cs="Arial"/>
      <w:sz w:val="18"/>
      <w:szCs w:val="18"/>
      <w:lang w:eastAsia="ar-SA"/>
    </w:rPr>
  </w:style>
  <w:style w:type="character" w:styleId="FootnoteReference">
    <w:name w:val="footnote reference"/>
    <w:basedOn w:val="DefaultParagraphFont"/>
    <w:uiPriority w:val="99"/>
    <w:semiHidden/>
    <w:unhideWhenUsed/>
    <w:rsid w:val="0037526E"/>
    <w:rPr>
      <w:vertAlign w:val="superscript"/>
    </w:rPr>
  </w:style>
  <w:style w:type="character" w:customStyle="1" w:styleId="ASSAD2017CWTableHeading1Char">
    <w:name w:val="ASSAD 2017 CW Table Heading 1 Char"/>
    <w:basedOn w:val="ASSAD2017ACCESSBody1Char"/>
    <w:link w:val="ASSAD2017CWTableHeading1"/>
    <w:rsid w:val="00946517"/>
    <w:rPr>
      <w:rFonts w:ascii="Arial Rounded MT Bold" w:hAnsi="Arial Rounded MT Bold" w:cs="Arial"/>
      <w:bCs/>
      <w:color w:val="0070C0"/>
      <w:sz w:val="40"/>
      <w:szCs w:val="40"/>
      <w:lang w:val="en-US" w:eastAsia="ar-SA"/>
    </w:rPr>
  </w:style>
  <w:style w:type="paragraph" w:customStyle="1" w:styleId="ASSAD2017CWFooter1">
    <w:name w:val="ASSAD 2017 CW Footer 1"/>
    <w:basedOn w:val="Footer"/>
    <w:link w:val="ASSAD2017CWFooter1Char"/>
    <w:qFormat/>
    <w:rsid w:val="00FA2B49"/>
    <w:rPr>
      <w:rFonts w:ascii="Arial" w:hAnsi="Arial" w:cs="Arial"/>
      <w:sz w:val="20"/>
    </w:rPr>
  </w:style>
  <w:style w:type="character" w:customStyle="1" w:styleId="ASSAD2017CWFooter1Char">
    <w:name w:val="ASSAD 2017 CW Footer 1 Char"/>
    <w:basedOn w:val="FooterChar"/>
    <w:link w:val="ASSAD2017CWFooter1"/>
    <w:rsid w:val="00FA2B49"/>
    <w:rPr>
      <w:rFonts w:ascii="Arial" w:hAnsi="Arial" w:cs="Arial"/>
      <w:sz w:val="24"/>
      <w:szCs w:val="24"/>
      <w:lang w:val="en-GB" w:eastAsia="ar-SA"/>
    </w:rPr>
  </w:style>
  <w:style w:type="paragraph" w:styleId="ListParagraph">
    <w:name w:val="List Paragraph"/>
    <w:basedOn w:val="Normal"/>
    <w:uiPriority w:val="67"/>
    <w:rsid w:val="001B2B4F"/>
    <w:pPr>
      <w:ind w:left="720"/>
      <w:contextualSpacing/>
    </w:pPr>
  </w:style>
  <w:style w:type="paragraph" w:customStyle="1" w:styleId="ASSAD2017TableHeading">
    <w:name w:val="ASSAD 2017 Table Heading"/>
    <w:basedOn w:val="ASSAD2017ACCESSHeading3"/>
    <w:link w:val="ASSAD2017TableHeadingChar"/>
    <w:qFormat/>
    <w:rsid w:val="00907D9A"/>
    <w:rPr>
      <w:b w:val="0"/>
      <w:i w:val="0"/>
      <w:sz w:val="20"/>
    </w:rPr>
  </w:style>
  <w:style w:type="character" w:customStyle="1" w:styleId="ASSAD2017TableHeadingChar">
    <w:name w:val="ASSAD 2017 Table Heading Char"/>
    <w:basedOn w:val="ASSAD2017ACCESSBody1Char"/>
    <w:link w:val="ASSAD2017TableHeading"/>
    <w:rsid w:val="00907D9A"/>
    <w:rPr>
      <w:rFonts w:ascii="Arial" w:hAnsi="Arial" w:cs="Arial"/>
      <w:bCs/>
      <w:color w:val="000000" w:themeColor="text1"/>
      <w:sz w:val="40"/>
      <w:szCs w:val="28"/>
      <w:lang w:val="en-GB" w:eastAsia="ar-SA"/>
    </w:rPr>
  </w:style>
  <w:style w:type="character" w:customStyle="1" w:styleId="UnresolvedMention1">
    <w:name w:val="Unresolved Mention1"/>
    <w:basedOn w:val="DefaultParagraphFont"/>
    <w:uiPriority w:val="99"/>
    <w:semiHidden/>
    <w:unhideWhenUsed/>
    <w:rsid w:val="00CC0E1F"/>
    <w:rPr>
      <w:color w:val="605E5C"/>
      <w:shd w:val="clear" w:color="auto" w:fill="E1DFDD"/>
    </w:rPr>
  </w:style>
  <w:style w:type="table" w:customStyle="1" w:styleId="ASSADsubstancecategories">
    <w:name w:val="ASSAD substance categories"/>
    <w:basedOn w:val="TableNormal"/>
    <w:uiPriority w:val="99"/>
    <w:rsid w:val="00A83F8C"/>
    <w:tblPr/>
  </w:style>
  <w:style w:type="paragraph" w:customStyle="1" w:styleId="ASSADACCESStablecentre">
    <w:name w:val="ASSAD ACCESS table centre"/>
    <w:basedOn w:val="ASSAD2017ACCESSBody1"/>
    <w:link w:val="ASSADACCESStablecentreChar"/>
    <w:qFormat/>
    <w:rsid w:val="00F33F20"/>
    <w:pPr>
      <w:jc w:val="center"/>
    </w:pPr>
  </w:style>
  <w:style w:type="paragraph" w:customStyle="1" w:styleId="ACCESSTableHeaderRow">
    <w:name w:val="ACCESS Table Header Row"/>
    <w:basedOn w:val="ASSAD2017ACCESSBody1"/>
    <w:link w:val="ACCESSTableHeaderRowChar"/>
    <w:qFormat/>
    <w:rsid w:val="00F03072"/>
    <w:rPr>
      <w:b/>
    </w:rPr>
  </w:style>
  <w:style w:type="character" w:customStyle="1" w:styleId="ASSADACCESStablecentreChar">
    <w:name w:val="ASSAD ACCESS table centre Char"/>
    <w:basedOn w:val="ASSAD2017ACCESSBody1Char"/>
    <w:link w:val="ASSADACCESStablecentre"/>
    <w:rsid w:val="00F33F20"/>
    <w:rPr>
      <w:rFonts w:ascii="Arial" w:hAnsi="Arial" w:cs="Arial"/>
      <w:bCs/>
      <w:color w:val="000000" w:themeColor="text1"/>
      <w:sz w:val="40"/>
      <w:szCs w:val="40"/>
      <w:lang w:val="en-US" w:eastAsia="ar-SA"/>
    </w:rPr>
  </w:style>
  <w:style w:type="character" w:customStyle="1" w:styleId="ACCESSTableHeaderRowChar">
    <w:name w:val="ACCESS Table Header Row Char"/>
    <w:basedOn w:val="ASSAD2017ACCESSBody1Char"/>
    <w:link w:val="ACCESSTableHeaderRow"/>
    <w:rsid w:val="00F03072"/>
    <w:rPr>
      <w:rFonts w:ascii="Arial" w:hAnsi="Arial" w:cs="Arial"/>
      <w:b/>
      <w:bCs/>
      <w:color w:val="000000" w:themeColor="text1"/>
      <w:sz w:val="40"/>
      <w:szCs w:val="40"/>
      <w:lang w:val="en-US" w:eastAsia="ar-SA"/>
    </w:rPr>
  </w:style>
  <w:style w:type="paragraph" w:customStyle="1" w:styleId="ASSAD2017CWBody1">
    <w:name w:val="ASSAD 2017 CW Body 1"/>
    <w:link w:val="ASSAD2017CWBody1Char"/>
    <w:qFormat/>
    <w:rsid w:val="004B4C71"/>
    <w:pPr>
      <w:widowControl w:val="0"/>
      <w:spacing w:after="120"/>
    </w:pPr>
    <w:rPr>
      <w:rFonts w:ascii="Arial" w:hAnsi="Arial" w:cs="Arial"/>
      <w:bCs/>
      <w:color w:val="000000" w:themeColor="text1"/>
      <w:lang w:val="en-US" w:eastAsia="ar-SA"/>
    </w:rPr>
  </w:style>
  <w:style w:type="character" w:customStyle="1" w:styleId="ASSAD2017CWBody1Char">
    <w:name w:val="ASSAD 2017 CW Body 1 Char"/>
    <w:basedOn w:val="DefaultParagraphFont"/>
    <w:link w:val="ASSAD2017CWBody1"/>
    <w:rsid w:val="004B4C71"/>
    <w:rPr>
      <w:rFonts w:ascii="Arial" w:hAnsi="Arial" w:cs="Arial"/>
      <w:bCs/>
      <w:color w:val="000000" w:themeColor="text1"/>
      <w:lang w:val="en-US" w:eastAsia="ar-SA"/>
    </w:rPr>
  </w:style>
  <w:style w:type="character" w:styleId="UnresolvedMention">
    <w:name w:val="Unresolved Mention"/>
    <w:basedOn w:val="DefaultParagraphFont"/>
    <w:uiPriority w:val="99"/>
    <w:semiHidden/>
    <w:unhideWhenUsed/>
    <w:rsid w:val="00047D0F"/>
    <w:rPr>
      <w:color w:val="605E5C"/>
      <w:shd w:val="clear" w:color="auto" w:fill="E1DFDD"/>
    </w:rPr>
  </w:style>
  <w:style w:type="character" w:customStyle="1" w:styleId="Hyperlink1">
    <w:name w:val="Hyperlink1"/>
    <w:uiPriority w:val="99"/>
    <w:rsid w:val="006C01DC"/>
    <w:rPr>
      <w:color w:val="365F91"/>
      <w:u w:val="none"/>
    </w:rPr>
  </w:style>
  <w:style w:type="paragraph" w:customStyle="1" w:styleId="ASSAD2017CWHeading1">
    <w:name w:val="ASSAD 2017 CW Heading 1"/>
    <w:basedOn w:val="Heading1"/>
    <w:link w:val="ASSAD2017CWHeading1Char"/>
    <w:qFormat/>
    <w:rsid w:val="00923552"/>
    <w:pPr>
      <w:pBdr>
        <w:bottom w:val="none" w:sz="0" w:space="0" w:color="auto"/>
      </w:pBdr>
      <w:tabs>
        <w:tab w:val="clear" w:pos="432"/>
      </w:tabs>
      <w:ind w:left="0" w:firstLine="0"/>
    </w:pPr>
    <w:rPr>
      <w:rFonts w:ascii="Arial Rounded MT Bold" w:hAnsi="Arial Rounded MT Bold" w:cs="Arial"/>
      <w:color w:val="0070C0"/>
      <w:sz w:val="40"/>
      <w:szCs w:val="40"/>
    </w:rPr>
  </w:style>
  <w:style w:type="character" w:customStyle="1" w:styleId="ASSAD2017CWHeading1Char">
    <w:name w:val="ASSAD 2017 CW Heading 1 Char"/>
    <w:basedOn w:val="Heading1Char1"/>
    <w:link w:val="ASSAD2017CWHeading1"/>
    <w:rsid w:val="00923552"/>
    <w:rPr>
      <w:rFonts w:ascii="Arial Rounded MT Bold" w:hAnsi="Arial Rounded MT Bold" w:cs="Arial"/>
      <w:bCs/>
      <w:color w:val="0070C0"/>
      <w:sz w:val="40"/>
      <w:szCs w:val="40"/>
      <w:lang w:val="en-US" w:eastAsia="ar-SA"/>
    </w:rPr>
  </w:style>
  <w:style w:type="paragraph" w:customStyle="1" w:styleId="Trends2017Heading2">
    <w:name w:val="Trends 2017 Heading 2"/>
    <w:basedOn w:val="Normal"/>
    <w:link w:val="Trends2017Heading2Char"/>
    <w:qFormat/>
    <w:rsid w:val="00EA42D0"/>
    <w:pPr>
      <w:widowControl w:val="0"/>
      <w:tabs>
        <w:tab w:val="num" w:pos="0"/>
      </w:tabs>
      <w:spacing w:before="120" w:after="120"/>
      <w:outlineLvl w:val="1"/>
    </w:pPr>
    <w:rPr>
      <w:rFonts w:ascii="Arial" w:hAnsi="Arial" w:cs="Arial"/>
      <w:b/>
      <w:bCs/>
      <w:color w:val="002060"/>
      <w:szCs w:val="28"/>
    </w:rPr>
  </w:style>
  <w:style w:type="paragraph" w:customStyle="1" w:styleId="Trends2017Heading3">
    <w:name w:val="Trends 2017 Heading 3"/>
    <w:basedOn w:val="Trends2017Heading2"/>
    <w:link w:val="Trends2017Heading3Char"/>
    <w:qFormat/>
    <w:rsid w:val="00EA42D0"/>
    <w:rPr>
      <w:i/>
    </w:rPr>
  </w:style>
  <w:style w:type="character" w:customStyle="1" w:styleId="Trends2017Heading2Char">
    <w:name w:val="Trends 2017 Heading 2 Char"/>
    <w:basedOn w:val="DefaultParagraphFont"/>
    <w:link w:val="Trends2017Heading2"/>
    <w:rsid w:val="00EA42D0"/>
    <w:rPr>
      <w:rFonts w:ascii="Arial" w:hAnsi="Arial" w:cs="Arial"/>
      <w:b/>
      <w:bCs/>
      <w:color w:val="002060"/>
      <w:sz w:val="24"/>
      <w:szCs w:val="28"/>
      <w:lang w:val="en-GB" w:eastAsia="ar-SA"/>
    </w:rPr>
  </w:style>
  <w:style w:type="character" w:customStyle="1" w:styleId="Trends2017Heading3Char">
    <w:name w:val="Trends 2017 Heading 3 Char"/>
    <w:basedOn w:val="Trends2017Heading2Char"/>
    <w:link w:val="Trends2017Heading3"/>
    <w:rsid w:val="00EA42D0"/>
    <w:rPr>
      <w:rFonts w:ascii="Arial" w:hAnsi="Arial" w:cs="Arial"/>
      <w:b/>
      <w:bCs/>
      <w:i/>
      <w:color w:val="002060"/>
      <w:sz w:val="24"/>
      <w:szCs w:val="28"/>
      <w:lang w:val="en-GB" w:eastAsia="ar-SA"/>
    </w:rPr>
  </w:style>
  <w:style w:type="paragraph" w:customStyle="1" w:styleId="Tabledescription">
    <w:name w:val="Table description"/>
    <w:basedOn w:val="ASSAD2017CWBody1"/>
    <w:link w:val="TabledescriptionChar"/>
    <w:qFormat/>
    <w:rsid w:val="000950D1"/>
    <w:pPr>
      <w:suppressAutoHyphens/>
      <w:outlineLvl w:val="0"/>
    </w:pPr>
    <w:rPr>
      <w:color w:val="000000"/>
    </w:rPr>
  </w:style>
  <w:style w:type="character" w:customStyle="1" w:styleId="TabledescriptionChar">
    <w:name w:val="Table description Char"/>
    <w:basedOn w:val="ASSAD2017CWBody1Char"/>
    <w:link w:val="Tabledescription"/>
    <w:rsid w:val="000950D1"/>
    <w:rPr>
      <w:rFonts w:ascii="Arial" w:hAnsi="Arial" w:cs="Arial"/>
      <w:bCs/>
      <w:color w:val="000000"/>
      <w:lang w:val="en-US" w:eastAsia="ar-SA"/>
    </w:rPr>
  </w:style>
  <w:style w:type="paragraph" w:customStyle="1" w:styleId="ASSAD2017CWHeading3">
    <w:name w:val="ASSAD 2017 CW Heading 3"/>
    <w:basedOn w:val="Normal"/>
    <w:link w:val="ASSAD2017CWHeading3Char"/>
    <w:qFormat/>
    <w:rsid w:val="00826FCB"/>
    <w:pPr>
      <w:widowControl w:val="0"/>
      <w:tabs>
        <w:tab w:val="num" w:pos="0"/>
      </w:tabs>
      <w:spacing w:after="120"/>
      <w:outlineLvl w:val="1"/>
    </w:pPr>
    <w:rPr>
      <w:rFonts w:ascii="Arial" w:hAnsi="Arial" w:cs="Arial"/>
      <w:b/>
      <w:bCs/>
      <w:i/>
      <w:color w:val="0070C0"/>
      <w:szCs w:val="28"/>
    </w:rPr>
  </w:style>
  <w:style w:type="character" w:customStyle="1" w:styleId="ASSAD2017CWHeading3Char">
    <w:name w:val="ASSAD 2017 CW Heading 3 Char"/>
    <w:basedOn w:val="DefaultParagraphFont"/>
    <w:link w:val="ASSAD2017CWHeading3"/>
    <w:rsid w:val="00826FCB"/>
    <w:rPr>
      <w:rFonts w:ascii="Arial" w:hAnsi="Arial" w:cs="Arial"/>
      <w:b/>
      <w:bCs/>
      <w:i/>
      <w:color w:val="0070C0"/>
      <w:sz w:val="24"/>
      <w:szCs w:val="28"/>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8594">
      <w:bodyDiv w:val="1"/>
      <w:marLeft w:val="0"/>
      <w:marRight w:val="0"/>
      <w:marTop w:val="0"/>
      <w:marBottom w:val="0"/>
      <w:divBdr>
        <w:top w:val="none" w:sz="0" w:space="0" w:color="auto"/>
        <w:left w:val="none" w:sz="0" w:space="0" w:color="auto"/>
        <w:bottom w:val="none" w:sz="0" w:space="0" w:color="auto"/>
        <w:right w:val="none" w:sz="0" w:space="0" w:color="auto"/>
      </w:divBdr>
    </w:div>
    <w:div w:id="328096016">
      <w:bodyDiv w:val="1"/>
      <w:marLeft w:val="0"/>
      <w:marRight w:val="0"/>
      <w:marTop w:val="0"/>
      <w:marBottom w:val="0"/>
      <w:divBdr>
        <w:top w:val="none" w:sz="0" w:space="0" w:color="auto"/>
        <w:left w:val="none" w:sz="0" w:space="0" w:color="auto"/>
        <w:bottom w:val="none" w:sz="0" w:space="0" w:color="auto"/>
        <w:right w:val="none" w:sz="0" w:space="0" w:color="auto"/>
      </w:divBdr>
    </w:div>
    <w:div w:id="636617093">
      <w:bodyDiv w:val="1"/>
      <w:marLeft w:val="0"/>
      <w:marRight w:val="0"/>
      <w:marTop w:val="0"/>
      <w:marBottom w:val="0"/>
      <w:divBdr>
        <w:top w:val="none" w:sz="0" w:space="0" w:color="auto"/>
        <w:left w:val="none" w:sz="0" w:space="0" w:color="auto"/>
        <w:bottom w:val="none" w:sz="0" w:space="0" w:color="auto"/>
        <w:right w:val="none" w:sz="0" w:space="0" w:color="auto"/>
      </w:divBdr>
    </w:div>
    <w:div w:id="646131061">
      <w:bodyDiv w:val="1"/>
      <w:marLeft w:val="0"/>
      <w:marRight w:val="0"/>
      <w:marTop w:val="0"/>
      <w:marBottom w:val="0"/>
      <w:divBdr>
        <w:top w:val="none" w:sz="0" w:space="0" w:color="auto"/>
        <w:left w:val="none" w:sz="0" w:space="0" w:color="auto"/>
        <w:bottom w:val="none" w:sz="0" w:space="0" w:color="auto"/>
        <w:right w:val="none" w:sz="0" w:space="0" w:color="auto"/>
      </w:divBdr>
    </w:div>
    <w:div w:id="658922584">
      <w:bodyDiv w:val="1"/>
      <w:marLeft w:val="0"/>
      <w:marRight w:val="0"/>
      <w:marTop w:val="0"/>
      <w:marBottom w:val="0"/>
      <w:divBdr>
        <w:top w:val="none" w:sz="0" w:space="0" w:color="auto"/>
        <w:left w:val="none" w:sz="0" w:space="0" w:color="auto"/>
        <w:bottom w:val="none" w:sz="0" w:space="0" w:color="auto"/>
        <w:right w:val="none" w:sz="0" w:space="0" w:color="auto"/>
      </w:divBdr>
    </w:div>
    <w:div w:id="679089508">
      <w:bodyDiv w:val="1"/>
      <w:marLeft w:val="0"/>
      <w:marRight w:val="0"/>
      <w:marTop w:val="0"/>
      <w:marBottom w:val="0"/>
      <w:divBdr>
        <w:top w:val="none" w:sz="0" w:space="0" w:color="auto"/>
        <w:left w:val="none" w:sz="0" w:space="0" w:color="auto"/>
        <w:bottom w:val="none" w:sz="0" w:space="0" w:color="auto"/>
        <w:right w:val="none" w:sz="0" w:space="0" w:color="auto"/>
      </w:divBdr>
    </w:div>
    <w:div w:id="842091974">
      <w:bodyDiv w:val="1"/>
      <w:marLeft w:val="0"/>
      <w:marRight w:val="0"/>
      <w:marTop w:val="0"/>
      <w:marBottom w:val="0"/>
      <w:divBdr>
        <w:top w:val="none" w:sz="0" w:space="0" w:color="auto"/>
        <w:left w:val="none" w:sz="0" w:space="0" w:color="auto"/>
        <w:bottom w:val="none" w:sz="0" w:space="0" w:color="auto"/>
        <w:right w:val="none" w:sz="0" w:space="0" w:color="auto"/>
      </w:divBdr>
    </w:div>
    <w:div w:id="888612542">
      <w:bodyDiv w:val="1"/>
      <w:marLeft w:val="0"/>
      <w:marRight w:val="0"/>
      <w:marTop w:val="0"/>
      <w:marBottom w:val="0"/>
      <w:divBdr>
        <w:top w:val="none" w:sz="0" w:space="0" w:color="auto"/>
        <w:left w:val="none" w:sz="0" w:space="0" w:color="auto"/>
        <w:bottom w:val="none" w:sz="0" w:space="0" w:color="auto"/>
        <w:right w:val="none" w:sz="0" w:space="0" w:color="auto"/>
      </w:divBdr>
    </w:div>
    <w:div w:id="965087905">
      <w:bodyDiv w:val="1"/>
      <w:marLeft w:val="0"/>
      <w:marRight w:val="0"/>
      <w:marTop w:val="0"/>
      <w:marBottom w:val="0"/>
      <w:divBdr>
        <w:top w:val="none" w:sz="0" w:space="0" w:color="auto"/>
        <w:left w:val="none" w:sz="0" w:space="0" w:color="auto"/>
        <w:bottom w:val="none" w:sz="0" w:space="0" w:color="auto"/>
        <w:right w:val="none" w:sz="0" w:space="0" w:color="auto"/>
      </w:divBdr>
    </w:div>
    <w:div w:id="1090001825">
      <w:bodyDiv w:val="1"/>
      <w:marLeft w:val="0"/>
      <w:marRight w:val="0"/>
      <w:marTop w:val="0"/>
      <w:marBottom w:val="0"/>
      <w:divBdr>
        <w:top w:val="none" w:sz="0" w:space="0" w:color="auto"/>
        <w:left w:val="none" w:sz="0" w:space="0" w:color="auto"/>
        <w:bottom w:val="none" w:sz="0" w:space="0" w:color="auto"/>
        <w:right w:val="none" w:sz="0" w:space="0" w:color="auto"/>
      </w:divBdr>
    </w:div>
    <w:div w:id="1119445860">
      <w:bodyDiv w:val="1"/>
      <w:marLeft w:val="0"/>
      <w:marRight w:val="0"/>
      <w:marTop w:val="0"/>
      <w:marBottom w:val="0"/>
      <w:divBdr>
        <w:top w:val="none" w:sz="0" w:space="0" w:color="auto"/>
        <w:left w:val="none" w:sz="0" w:space="0" w:color="auto"/>
        <w:bottom w:val="none" w:sz="0" w:space="0" w:color="auto"/>
        <w:right w:val="none" w:sz="0" w:space="0" w:color="auto"/>
      </w:divBdr>
    </w:div>
    <w:div w:id="1250314443">
      <w:bodyDiv w:val="1"/>
      <w:marLeft w:val="0"/>
      <w:marRight w:val="0"/>
      <w:marTop w:val="0"/>
      <w:marBottom w:val="0"/>
      <w:divBdr>
        <w:top w:val="none" w:sz="0" w:space="0" w:color="auto"/>
        <w:left w:val="none" w:sz="0" w:space="0" w:color="auto"/>
        <w:bottom w:val="none" w:sz="0" w:space="0" w:color="auto"/>
        <w:right w:val="none" w:sz="0" w:space="0" w:color="auto"/>
      </w:divBdr>
    </w:div>
    <w:div w:id="1410039606">
      <w:bodyDiv w:val="1"/>
      <w:marLeft w:val="0"/>
      <w:marRight w:val="0"/>
      <w:marTop w:val="0"/>
      <w:marBottom w:val="0"/>
      <w:divBdr>
        <w:top w:val="none" w:sz="0" w:space="0" w:color="auto"/>
        <w:left w:val="none" w:sz="0" w:space="0" w:color="auto"/>
        <w:bottom w:val="none" w:sz="0" w:space="0" w:color="auto"/>
        <w:right w:val="none" w:sz="0" w:space="0" w:color="auto"/>
      </w:divBdr>
    </w:div>
    <w:div w:id="1418793538">
      <w:bodyDiv w:val="1"/>
      <w:marLeft w:val="0"/>
      <w:marRight w:val="0"/>
      <w:marTop w:val="0"/>
      <w:marBottom w:val="0"/>
      <w:divBdr>
        <w:top w:val="none" w:sz="0" w:space="0" w:color="auto"/>
        <w:left w:val="none" w:sz="0" w:space="0" w:color="auto"/>
        <w:bottom w:val="none" w:sz="0" w:space="0" w:color="auto"/>
        <w:right w:val="none" w:sz="0" w:space="0" w:color="auto"/>
      </w:divBdr>
    </w:div>
    <w:div w:id="1453985013">
      <w:bodyDiv w:val="1"/>
      <w:marLeft w:val="0"/>
      <w:marRight w:val="0"/>
      <w:marTop w:val="0"/>
      <w:marBottom w:val="0"/>
      <w:divBdr>
        <w:top w:val="none" w:sz="0" w:space="0" w:color="auto"/>
        <w:left w:val="none" w:sz="0" w:space="0" w:color="auto"/>
        <w:bottom w:val="none" w:sz="0" w:space="0" w:color="auto"/>
        <w:right w:val="none" w:sz="0" w:space="0" w:color="auto"/>
      </w:divBdr>
    </w:div>
    <w:div w:id="1484547625">
      <w:bodyDiv w:val="1"/>
      <w:marLeft w:val="0"/>
      <w:marRight w:val="0"/>
      <w:marTop w:val="0"/>
      <w:marBottom w:val="0"/>
      <w:divBdr>
        <w:top w:val="none" w:sz="0" w:space="0" w:color="auto"/>
        <w:left w:val="none" w:sz="0" w:space="0" w:color="auto"/>
        <w:bottom w:val="none" w:sz="0" w:space="0" w:color="auto"/>
        <w:right w:val="none" w:sz="0" w:space="0" w:color="auto"/>
      </w:divBdr>
    </w:div>
    <w:div w:id="1502087762">
      <w:bodyDiv w:val="1"/>
      <w:marLeft w:val="0"/>
      <w:marRight w:val="0"/>
      <w:marTop w:val="0"/>
      <w:marBottom w:val="0"/>
      <w:divBdr>
        <w:top w:val="none" w:sz="0" w:space="0" w:color="auto"/>
        <w:left w:val="none" w:sz="0" w:space="0" w:color="auto"/>
        <w:bottom w:val="none" w:sz="0" w:space="0" w:color="auto"/>
        <w:right w:val="none" w:sz="0" w:space="0" w:color="auto"/>
      </w:divBdr>
    </w:div>
    <w:div w:id="1512379871">
      <w:bodyDiv w:val="1"/>
      <w:marLeft w:val="0"/>
      <w:marRight w:val="0"/>
      <w:marTop w:val="0"/>
      <w:marBottom w:val="0"/>
      <w:divBdr>
        <w:top w:val="none" w:sz="0" w:space="0" w:color="auto"/>
        <w:left w:val="none" w:sz="0" w:space="0" w:color="auto"/>
        <w:bottom w:val="none" w:sz="0" w:space="0" w:color="auto"/>
        <w:right w:val="none" w:sz="0" w:space="0" w:color="auto"/>
      </w:divBdr>
    </w:div>
    <w:div w:id="1617297717">
      <w:bodyDiv w:val="1"/>
      <w:marLeft w:val="0"/>
      <w:marRight w:val="0"/>
      <w:marTop w:val="0"/>
      <w:marBottom w:val="0"/>
      <w:divBdr>
        <w:top w:val="none" w:sz="0" w:space="0" w:color="auto"/>
        <w:left w:val="none" w:sz="0" w:space="0" w:color="auto"/>
        <w:bottom w:val="none" w:sz="0" w:space="0" w:color="auto"/>
        <w:right w:val="none" w:sz="0" w:space="0" w:color="auto"/>
      </w:divBdr>
    </w:div>
    <w:div w:id="1721660874">
      <w:bodyDiv w:val="1"/>
      <w:marLeft w:val="0"/>
      <w:marRight w:val="0"/>
      <w:marTop w:val="0"/>
      <w:marBottom w:val="0"/>
      <w:divBdr>
        <w:top w:val="none" w:sz="0" w:space="0" w:color="auto"/>
        <w:left w:val="none" w:sz="0" w:space="0" w:color="auto"/>
        <w:bottom w:val="none" w:sz="0" w:space="0" w:color="auto"/>
        <w:right w:val="none" w:sz="0" w:space="0" w:color="auto"/>
      </w:divBdr>
      <w:divsChild>
        <w:div w:id="979576657">
          <w:marLeft w:val="0"/>
          <w:marRight w:val="0"/>
          <w:marTop w:val="0"/>
          <w:marBottom w:val="0"/>
          <w:divBdr>
            <w:top w:val="none" w:sz="0" w:space="0" w:color="auto"/>
            <w:left w:val="none" w:sz="0" w:space="0" w:color="auto"/>
            <w:bottom w:val="none" w:sz="0" w:space="0" w:color="auto"/>
            <w:right w:val="none" w:sz="0" w:space="0" w:color="auto"/>
          </w:divBdr>
          <w:divsChild>
            <w:div w:id="1570454460">
              <w:marLeft w:val="0"/>
              <w:marRight w:val="0"/>
              <w:marTop w:val="0"/>
              <w:marBottom w:val="0"/>
              <w:divBdr>
                <w:top w:val="none" w:sz="0" w:space="0" w:color="auto"/>
                <w:left w:val="none" w:sz="0" w:space="0" w:color="auto"/>
                <w:bottom w:val="none" w:sz="0" w:space="0" w:color="auto"/>
                <w:right w:val="none" w:sz="0" w:space="0" w:color="auto"/>
              </w:divBdr>
              <w:divsChild>
                <w:div w:id="1180240205">
                  <w:marLeft w:val="0"/>
                  <w:marRight w:val="0"/>
                  <w:marTop w:val="0"/>
                  <w:marBottom w:val="0"/>
                  <w:divBdr>
                    <w:top w:val="none" w:sz="0" w:space="0" w:color="auto"/>
                    <w:left w:val="none" w:sz="0" w:space="0" w:color="auto"/>
                    <w:bottom w:val="none" w:sz="0" w:space="0" w:color="auto"/>
                    <w:right w:val="none" w:sz="0" w:space="0" w:color="auto"/>
                  </w:divBdr>
                  <w:divsChild>
                    <w:div w:id="1470778869">
                      <w:marLeft w:val="0"/>
                      <w:marRight w:val="0"/>
                      <w:marTop w:val="0"/>
                      <w:marBottom w:val="0"/>
                      <w:divBdr>
                        <w:top w:val="none" w:sz="0" w:space="0" w:color="auto"/>
                        <w:left w:val="none" w:sz="0" w:space="0" w:color="auto"/>
                        <w:bottom w:val="none" w:sz="0" w:space="0" w:color="auto"/>
                        <w:right w:val="none" w:sz="0" w:space="0" w:color="auto"/>
                      </w:divBdr>
                      <w:divsChild>
                        <w:div w:id="1525559208">
                          <w:marLeft w:val="0"/>
                          <w:marRight w:val="0"/>
                          <w:marTop w:val="0"/>
                          <w:marBottom w:val="0"/>
                          <w:divBdr>
                            <w:top w:val="none" w:sz="0" w:space="0" w:color="auto"/>
                            <w:left w:val="none" w:sz="0" w:space="0" w:color="auto"/>
                            <w:bottom w:val="none" w:sz="0" w:space="0" w:color="auto"/>
                            <w:right w:val="none" w:sz="0" w:space="0" w:color="auto"/>
                          </w:divBdr>
                          <w:divsChild>
                            <w:div w:id="9794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085004">
      <w:bodyDiv w:val="1"/>
      <w:marLeft w:val="0"/>
      <w:marRight w:val="0"/>
      <w:marTop w:val="0"/>
      <w:marBottom w:val="0"/>
      <w:divBdr>
        <w:top w:val="none" w:sz="0" w:space="0" w:color="auto"/>
        <w:left w:val="none" w:sz="0" w:space="0" w:color="auto"/>
        <w:bottom w:val="none" w:sz="0" w:space="0" w:color="auto"/>
        <w:right w:val="none" w:sz="0" w:space="0" w:color="auto"/>
      </w:divBdr>
    </w:div>
    <w:div w:id="1876887611">
      <w:bodyDiv w:val="1"/>
      <w:marLeft w:val="0"/>
      <w:marRight w:val="0"/>
      <w:marTop w:val="0"/>
      <w:marBottom w:val="0"/>
      <w:divBdr>
        <w:top w:val="none" w:sz="0" w:space="0" w:color="auto"/>
        <w:left w:val="none" w:sz="0" w:space="0" w:color="auto"/>
        <w:bottom w:val="none" w:sz="0" w:space="0" w:color="auto"/>
        <w:right w:val="none" w:sz="0" w:space="0" w:color="auto"/>
      </w:divBdr>
      <w:divsChild>
        <w:div w:id="1500854569">
          <w:marLeft w:val="0"/>
          <w:marRight w:val="1"/>
          <w:marTop w:val="0"/>
          <w:marBottom w:val="0"/>
          <w:divBdr>
            <w:top w:val="none" w:sz="0" w:space="0" w:color="auto"/>
            <w:left w:val="none" w:sz="0" w:space="0" w:color="auto"/>
            <w:bottom w:val="none" w:sz="0" w:space="0" w:color="auto"/>
            <w:right w:val="none" w:sz="0" w:space="0" w:color="auto"/>
          </w:divBdr>
          <w:divsChild>
            <w:div w:id="1565601027">
              <w:marLeft w:val="0"/>
              <w:marRight w:val="0"/>
              <w:marTop w:val="0"/>
              <w:marBottom w:val="0"/>
              <w:divBdr>
                <w:top w:val="none" w:sz="0" w:space="0" w:color="auto"/>
                <w:left w:val="none" w:sz="0" w:space="0" w:color="auto"/>
                <w:bottom w:val="none" w:sz="0" w:space="0" w:color="auto"/>
                <w:right w:val="none" w:sz="0" w:space="0" w:color="auto"/>
              </w:divBdr>
              <w:divsChild>
                <w:div w:id="1258750154">
                  <w:marLeft w:val="0"/>
                  <w:marRight w:val="1"/>
                  <w:marTop w:val="0"/>
                  <w:marBottom w:val="0"/>
                  <w:divBdr>
                    <w:top w:val="none" w:sz="0" w:space="0" w:color="auto"/>
                    <w:left w:val="none" w:sz="0" w:space="0" w:color="auto"/>
                    <w:bottom w:val="none" w:sz="0" w:space="0" w:color="auto"/>
                    <w:right w:val="none" w:sz="0" w:space="0" w:color="auto"/>
                  </w:divBdr>
                  <w:divsChild>
                    <w:div w:id="1593859664">
                      <w:marLeft w:val="0"/>
                      <w:marRight w:val="0"/>
                      <w:marTop w:val="0"/>
                      <w:marBottom w:val="0"/>
                      <w:divBdr>
                        <w:top w:val="none" w:sz="0" w:space="0" w:color="auto"/>
                        <w:left w:val="none" w:sz="0" w:space="0" w:color="auto"/>
                        <w:bottom w:val="none" w:sz="0" w:space="0" w:color="auto"/>
                        <w:right w:val="none" w:sz="0" w:space="0" w:color="auto"/>
                      </w:divBdr>
                      <w:divsChild>
                        <w:div w:id="315956589">
                          <w:marLeft w:val="0"/>
                          <w:marRight w:val="0"/>
                          <w:marTop w:val="0"/>
                          <w:marBottom w:val="0"/>
                          <w:divBdr>
                            <w:top w:val="none" w:sz="0" w:space="0" w:color="auto"/>
                            <w:left w:val="none" w:sz="0" w:space="0" w:color="auto"/>
                            <w:bottom w:val="none" w:sz="0" w:space="0" w:color="auto"/>
                            <w:right w:val="none" w:sz="0" w:space="0" w:color="auto"/>
                          </w:divBdr>
                          <w:divsChild>
                            <w:div w:id="734553119">
                              <w:marLeft w:val="0"/>
                              <w:marRight w:val="0"/>
                              <w:marTop w:val="120"/>
                              <w:marBottom w:val="360"/>
                              <w:divBdr>
                                <w:top w:val="none" w:sz="0" w:space="0" w:color="auto"/>
                                <w:left w:val="none" w:sz="0" w:space="0" w:color="auto"/>
                                <w:bottom w:val="none" w:sz="0" w:space="0" w:color="auto"/>
                                <w:right w:val="none" w:sz="0" w:space="0" w:color="auto"/>
                              </w:divBdr>
                              <w:divsChild>
                                <w:div w:id="681395677">
                                  <w:marLeft w:val="0"/>
                                  <w:marRight w:val="0"/>
                                  <w:marTop w:val="0"/>
                                  <w:marBottom w:val="0"/>
                                  <w:divBdr>
                                    <w:top w:val="none" w:sz="0" w:space="0" w:color="auto"/>
                                    <w:left w:val="none" w:sz="0" w:space="0" w:color="auto"/>
                                    <w:bottom w:val="none" w:sz="0" w:space="0" w:color="auto"/>
                                    <w:right w:val="none" w:sz="0" w:space="0" w:color="auto"/>
                                  </w:divBdr>
                                </w:div>
                                <w:div w:id="1085761284">
                                  <w:marLeft w:val="420"/>
                                  <w:marRight w:val="0"/>
                                  <w:marTop w:val="0"/>
                                  <w:marBottom w:val="0"/>
                                  <w:divBdr>
                                    <w:top w:val="none" w:sz="0" w:space="0" w:color="auto"/>
                                    <w:left w:val="none" w:sz="0" w:space="0" w:color="auto"/>
                                    <w:bottom w:val="none" w:sz="0" w:space="0" w:color="auto"/>
                                    <w:right w:val="none" w:sz="0" w:space="0" w:color="auto"/>
                                  </w:divBdr>
                                  <w:divsChild>
                                    <w:div w:id="141959337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797951">
      <w:bodyDiv w:val="1"/>
      <w:marLeft w:val="0"/>
      <w:marRight w:val="0"/>
      <w:marTop w:val="0"/>
      <w:marBottom w:val="0"/>
      <w:divBdr>
        <w:top w:val="none" w:sz="0" w:space="0" w:color="auto"/>
        <w:left w:val="none" w:sz="0" w:space="0" w:color="auto"/>
        <w:bottom w:val="none" w:sz="0" w:space="0" w:color="auto"/>
        <w:right w:val="none" w:sz="0" w:space="0" w:color="auto"/>
      </w:divBdr>
    </w:div>
    <w:div w:id="198026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rc@cancervic.org.au" TargetMode="External"/><Relationship Id="rId13" Type="http://schemas.openxmlformats.org/officeDocument/2006/relationships/footer" Target="footer5.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_rels/footnotes.xml.rels><?xml version="1.0" encoding="UTF-8" standalone="yes"?>
<Relationships xmlns="http://schemas.openxmlformats.org/package/2006/relationships"><Relationship Id="rId13" Type="http://schemas.openxmlformats.org/officeDocument/2006/relationships/hyperlink" Target="https://academic.oup.com/ije/article/44/suppl_1/i13/2573638" TargetMode="External"/><Relationship Id="rId18" Type="http://schemas.openxmlformats.org/officeDocument/2006/relationships/hyperlink" Target="https://tobaccocontrol.bmj.com/content/21/2/258?utm_source=trendmd&amp;utm_campaign=tc&amp;utm_content=consumer&amp;utm_term=0-A" TargetMode="External"/><Relationship Id="rId26" Type="http://schemas.openxmlformats.org/officeDocument/2006/relationships/hyperlink" Target="https://www.ncbi.nlm.nih.gov/pmc/articles/PMC3857111/" TargetMode="External"/><Relationship Id="rId39" Type="http://schemas.openxmlformats.org/officeDocument/2006/relationships/hyperlink" Target="https://tobaccocontrol.bmj.com/content/28/3/317.abstract" TargetMode="External"/><Relationship Id="rId21" Type="http://schemas.openxmlformats.org/officeDocument/2006/relationships/hyperlink" Target="https://onlinelibrary.wiley.com/doi/abs/10.1111/add.13230" TargetMode="External"/><Relationship Id="rId34" Type="http://schemas.openxmlformats.org/officeDocument/2006/relationships/hyperlink" Target="https://academic.oup.com/ntr/article-abstract/21/3/293/5125668" TargetMode="External"/><Relationship Id="rId42" Type="http://schemas.openxmlformats.org/officeDocument/2006/relationships/hyperlink" Target="https://www.health.gov.au/internet/publications/publishing.nsf/Content/tobacco-control-toc~timeline" TargetMode="External"/><Relationship Id="rId47" Type="http://schemas.openxmlformats.org/officeDocument/2006/relationships/hyperlink" Target="https://onlinelibrary.wiley.com/doi/abs/10.1111/dar.12703" TargetMode="External"/><Relationship Id="rId50" Type="http://schemas.openxmlformats.org/officeDocument/2006/relationships/hyperlink" Target="https://www.sciencedirect.com/science/article/pii/S0749379704000467" TargetMode="External"/><Relationship Id="rId55" Type="http://schemas.openxmlformats.org/officeDocument/2006/relationships/hyperlink" Target="https://www.tandfonline.com/doi/abs/10.3109/14659891.2016.1143047" TargetMode="External"/><Relationship Id="rId63" Type="http://schemas.openxmlformats.org/officeDocument/2006/relationships/hyperlink" Target="https://www.sciencedirect.com/science/article/pii/S0160412018326163" TargetMode="External"/><Relationship Id="rId7" Type="http://schemas.openxmlformats.org/officeDocument/2006/relationships/hyperlink" Target="https://www.sciencedirect.com/science/article/pii/S2352827318301484" TargetMode="External"/><Relationship Id="rId2" Type="http://schemas.openxmlformats.org/officeDocument/2006/relationships/hyperlink" Target="https://www.who.int/maternal_child_adolescent/documents/second-decade/en/" TargetMode="External"/><Relationship Id="rId16" Type="http://schemas.openxmlformats.org/officeDocument/2006/relationships/hyperlink" Target="https://tobaccocontrol.bmj.com/content/27/5/580?utm_campaign=tc&amp;utm_content=consumer&amp;utm_medium=cpc&amp;utm_source=trendmd&amp;utm_term=1-A" TargetMode="External"/><Relationship Id="rId20" Type="http://schemas.openxmlformats.org/officeDocument/2006/relationships/hyperlink" Target="https://www.jsad.com/doi/abs/10.15288/jsad.2018.79.635" TargetMode="External"/><Relationship Id="rId29" Type="http://schemas.openxmlformats.org/officeDocument/2006/relationships/hyperlink" Target="https://www.annualreviews.org/doi/full/10.1146/annurev-publhealth-040218-043816" TargetMode="External"/><Relationship Id="rId41" Type="http://schemas.openxmlformats.org/officeDocument/2006/relationships/hyperlink" Target="https://www.health.gov.au/internet/publications/publishing.nsf/Content/tobacco-control-toc~timeline" TargetMode="External"/><Relationship Id="rId54" Type="http://schemas.openxmlformats.org/officeDocument/2006/relationships/hyperlink" Target="https://www.sciencedirect.com/science/article/pii/S0140673610608094" TargetMode="External"/><Relationship Id="rId62" Type="http://schemas.openxmlformats.org/officeDocument/2006/relationships/hyperlink" Target="http://www.abs.gov.au/" TargetMode="External"/><Relationship Id="rId1" Type="http://schemas.openxmlformats.org/officeDocument/2006/relationships/hyperlink" Target="https://beta.health.gov.au/resources/publications/secondary-school-students-use-of-tobacco-alcohol-and-other-drugs-in-2017" TargetMode="External"/><Relationship Id="rId6" Type="http://schemas.openxmlformats.org/officeDocument/2006/relationships/hyperlink" Target="https://digital.nhs.uk/data-and-information/publications/statistical/statistics-on-smoking" TargetMode="External"/><Relationship Id="rId11" Type="http://schemas.openxmlformats.org/officeDocument/2006/relationships/hyperlink" Target="https://www.scielosp.org/scielo.php?script=sci_arttext&amp;pid=S0042-96862014000600413" TargetMode="External"/><Relationship Id="rId24" Type="http://schemas.openxmlformats.org/officeDocument/2006/relationships/hyperlink" Target="https://academic.oup.com/alcalc/article/44/3/229/178279" TargetMode="External"/><Relationship Id="rId32" Type="http://schemas.openxmlformats.org/officeDocument/2006/relationships/hyperlink" Target="https://www.tobaccoinaustralia.org.au/chapter-1-prevalence" TargetMode="External"/><Relationship Id="rId37" Type="http://schemas.openxmlformats.org/officeDocument/2006/relationships/hyperlink" Target="https://tobaccocontrol.bmj.com/content/27/e2/e98.abstract" TargetMode="External"/><Relationship Id="rId40" Type="http://schemas.openxmlformats.org/officeDocument/2006/relationships/hyperlink" Target="http://www.tobaccoinaustralia.org.au/chapter-5-uptake/5-0-introduction" TargetMode="External"/><Relationship Id="rId45" Type="http://schemas.openxmlformats.org/officeDocument/2006/relationships/hyperlink" Target="http://eprints.whiterose.ac.uk/136587/" TargetMode="External"/><Relationship Id="rId53" Type="http://schemas.openxmlformats.org/officeDocument/2006/relationships/hyperlink" Target="https://www.nhmrc.gov.au/about-us/publications/australian-guidelines-reduce-health-risks-drinking-alcohol" TargetMode="External"/><Relationship Id="rId58" Type="http://schemas.openxmlformats.org/officeDocument/2006/relationships/hyperlink" Target="https://www.sciencedirect.com/science/article/abs/pii/S095539591930115X" TargetMode="External"/><Relationship Id="rId5" Type="http://schemas.openxmlformats.org/officeDocument/2006/relationships/hyperlink" Target="https://digital.nhs.uk/data-and-information/publications/statistical/statistics-on-smoking" TargetMode="External"/><Relationship Id="rId15" Type="http://schemas.openxmlformats.org/officeDocument/2006/relationships/hyperlink" Target="https://onlinelibrary.wiley.com/doi/abs/10.1111/j.1360-0443.2011.03429.x" TargetMode="External"/><Relationship Id="rId23" Type="http://schemas.openxmlformats.org/officeDocument/2006/relationships/hyperlink" Target="https://onlinelibrary.wiley.com/doi/full/10.1111/1753-6405.12820" TargetMode="External"/><Relationship Id="rId28" Type="http://schemas.openxmlformats.org/officeDocument/2006/relationships/hyperlink" Target="https://onlinelibrary.wiley.com/doi/abs/10.1111/add.13873" TargetMode="External"/><Relationship Id="rId36" Type="http://schemas.openxmlformats.org/officeDocument/2006/relationships/hyperlink" Target="https://tobaccocontrol.bmj.com/content/24/Suppl_2/ii42.short" TargetMode="External"/><Relationship Id="rId49" Type="http://schemas.openxmlformats.org/officeDocument/2006/relationships/hyperlink" Target="https://academic.oup.com/alcalc/article/53/3/302/4796878" TargetMode="External"/><Relationship Id="rId57" Type="http://schemas.openxmlformats.org/officeDocument/2006/relationships/hyperlink" Target="https://onlinelibrary.wiley.com/doi/abs/10.1111/dar.12286" TargetMode="External"/><Relationship Id="rId61" Type="http://schemas.openxmlformats.org/officeDocument/2006/relationships/hyperlink" Target="https://www.sciencedirect.com/science/article/abs/pii/S0167629615000351" TargetMode="External"/><Relationship Id="rId10" Type="http://schemas.openxmlformats.org/officeDocument/2006/relationships/hyperlink" Target="https://ajph.aphapublications.org/doi/full/10.2105/AJPH.2007.128991" TargetMode="External"/><Relationship Id="rId19" Type="http://schemas.openxmlformats.org/officeDocument/2006/relationships/hyperlink" Target="https://www.sciencedirect.com/science/article/abs/pii/S016882781732442X" TargetMode="External"/><Relationship Id="rId31" Type="http://schemas.openxmlformats.org/officeDocument/2006/relationships/hyperlink" Target="https://www.aihw.gov.au/getmedia/15db8c15-7062-4cde-bfa4-3c2079f30af3/21028a.pdf.aspx?inline=true" TargetMode="External"/><Relationship Id="rId44" Type="http://schemas.openxmlformats.org/officeDocument/2006/relationships/hyperlink" Target="https://www.sciencedirect.com/science/article/pii/S0955395918303025" TargetMode="External"/><Relationship Id="rId52" Type="http://schemas.openxmlformats.org/officeDocument/2006/relationships/hyperlink" Target="https://www.sciencedirect.com/science/article/pii/S0140673610608094" TargetMode="External"/><Relationship Id="rId60" Type="http://schemas.openxmlformats.org/officeDocument/2006/relationships/hyperlink" Target="https://onlinelibrary.wiley.com/doi/abs/10.1111/add.14147" TargetMode="External"/><Relationship Id="rId4" Type="http://schemas.openxmlformats.org/officeDocument/2006/relationships/hyperlink" Target="http://www.monitoringthefuture.org/pubs/monographs/mtf-overview2018.pdf" TargetMode="External"/><Relationship Id="rId9" Type="http://schemas.openxmlformats.org/officeDocument/2006/relationships/hyperlink" Target="https://bmjopen.bmj.com/content/8/10/e020320?int_source=trendmd&amp;int_medium=trendmd&amp;int_campaign=trendmd" TargetMode="External"/><Relationship Id="rId14" Type="http://schemas.openxmlformats.org/officeDocument/2006/relationships/hyperlink" Target="https://tobaccocontrol.bmj.com/content/24/2/198.short" TargetMode="External"/><Relationship Id="rId22" Type="http://schemas.openxmlformats.org/officeDocument/2006/relationships/hyperlink" Target="https://onlinelibrary.wiley.com/doi/full/10.1111/add.13143" TargetMode="External"/><Relationship Id="rId27" Type="http://schemas.openxmlformats.org/officeDocument/2006/relationships/hyperlink" Target="https://ora.ox.ac.uk/objects/uuid:c3caa788-66d6-44e8-b638-40daf88dd924" TargetMode="External"/><Relationship Id="rId30" Type="http://schemas.openxmlformats.org/officeDocument/2006/relationships/hyperlink" Target="https://www.sciencedirect.com/science/article/pii/S0140673612602384" TargetMode="External"/><Relationship Id="rId35" Type="http://schemas.openxmlformats.org/officeDocument/2006/relationships/hyperlink" Target="http://www.tobaccoinaustralia.org.au/chapter-5-uptake/5-0-introduction" TargetMode="External"/><Relationship Id="rId43" Type="http://schemas.openxmlformats.org/officeDocument/2006/relationships/hyperlink" Target="https://academic.oup.com/alcalc/article/49/3/336/209275" TargetMode="External"/><Relationship Id="rId48" Type="http://schemas.openxmlformats.org/officeDocument/2006/relationships/hyperlink" Target="https://alcoholthinkagain.com.au/" TargetMode="External"/><Relationship Id="rId56" Type="http://schemas.openxmlformats.org/officeDocument/2006/relationships/hyperlink" Target="https://academic.oup.com/alcalc/article/51/6/747/2374095" TargetMode="External"/><Relationship Id="rId8" Type="http://schemas.openxmlformats.org/officeDocument/2006/relationships/hyperlink" Target="https://onlinelibrary.wiley.com/doi/full/10.1111/jpc.12427" TargetMode="External"/><Relationship Id="rId51" Type="http://schemas.openxmlformats.org/officeDocument/2006/relationships/hyperlink" Target="https://onlinelibrary.wiley.com/doi/abs/10.1111/dar.12695" TargetMode="External"/><Relationship Id="rId3" Type="http://schemas.openxmlformats.org/officeDocument/2006/relationships/hyperlink" Target="https://www.sciencedirect.com/science/article/abs/pii/S2215036616000134" TargetMode="External"/><Relationship Id="rId12" Type="http://schemas.openxmlformats.org/officeDocument/2006/relationships/hyperlink" Target="http://www.phrp.com.au/wp-content/uploads/2016/09/PHRP-Trading-26416441.pdf" TargetMode="External"/><Relationship Id="rId17" Type="http://schemas.openxmlformats.org/officeDocument/2006/relationships/hyperlink" Target="http://www.nationaldrugstrategy.gov.au/internet/drugstrategy/publishing.nsf/Content/E9E2B337CF94143CCA25804B0005BEAA/$File/National-report_ASSAD_2014.pdf" TargetMode="External"/><Relationship Id="rId25" Type="http://schemas.openxmlformats.org/officeDocument/2006/relationships/hyperlink" Target="https://www.sciencedirect.com/science/article/pii/S2352853219300355" TargetMode="External"/><Relationship Id="rId33" Type="http://schemas.openxmlformats.org/officeDocument/2006/relationships/hyperlink" Target="https://onlinelibrary.wiley.com/doi/abs/10.5694/j.1326-5377.1998.tb140132.x" TargetMode="External"/><Relationship Id="rId38" Type="http://schemas.openxmlformats.org/officeDocument/2006/relationships/hyperlink" Target="http://www.tobaccoinaustralia.org.au/7-7-personal-factors-associated-with-quitting" TargetMode="External"/><Relationship Id="rId46" Type="http://schemas.openxmlformats.org/officeDocument/2006/relationships/hyperlink" Target="https://bmcpublichealth.biomedcentral.com/articles/10.1186/1471-2458-11-482" TargetMode="External"/><Relationship Id="rId59" Type="http://schemas.openxmlformats.org/officeDocument/2006/relationships/hyperlink" Target="https://drinkwis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5327-F26E-4E06-9B81-08ED6A13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54</Pages>
  <Words>12282</Words>
  <Characters>70011</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ASSAD 2017 National Trends Report: Second Edition</vt:lpstr>
    </vt:vector>
  </TitlesOfParts>
  <Manager>Guerin, N.</Manager>
  <Company>Cancer Council Victoria</Company>
  <LinksUpToDate>false</LinksUpToDate>
  <CharactersWithSpaces>82129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ASSAD 2017 National Trends Report: Second Edition</dc:title>
  <dc:subject>Trends in substance use among Australian secondary school students 1996-2017: Second Edition</dc:subject>
  <dc:creator>Guerin, N. &amp; White, V.</dc:creator>
  <cp:lastModifiedBy>Maree Scully</cp:lastModifiedBy>
  <cp:revision>131</cp:revision>
  <cp:lastPrinted>2019-03-28T07:07:00Z</cp:lastPrinted>
  <dcterms:created xsi:type="dcterms:W3CDTF">2020-06-24T21:54:00Z</dcterms:created>
  <dcterms:modified xsi:type="dcterms:W3CDTF">2020-07-01T22:17:00Z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762493465</vt:i4>
  </property>
  <property fmtid="{D5CDD505-2E9C-101B-9397-08002B2CF9AE}" pid="3" name="_MarkAsFinal">
    <vt:bool>true</vt:bool>
  </property>
</Properties>
</file>