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E8265" w14:textId="77777777" w:rsidR="00332722" w:rsidRDefault="00EB319E" w:rsidP="00E720C7">
      <w:pPr>
        <w:rPr>
          <w:b/>
          <w:lang w:val="en-AU"/>
        </w:rPr>
      </w:pPr>
      <w:r>
        <w:rPr>
          <w:noProof/>
          <w:lang w:val="en-AU" w:eastAsia="en-AU"/>
        </w:rPr>
        <w:drawing>
          <wp:inline distT="0" distB="0" distL="0" distR="0" wp14:anchorId="546ECDE3" wp14:editId="4F2CAA6F">
            <wp:extent cx="2789625" cy="1137309"/>
            <wp:effectExtent l="0" t="0" r="0" b="5715"/>
            <wp:docPr id="4" name="Picture 4" descr="cid:372790E2-3BC6-4060-AD6B-9922A7C4FC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ED078F-7725-4DD9-81CB-4F7667AA2AA4" descr="cid:372790E2-3BC6-4060-AD6B-9922A7C4FC96"/>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789625" cy="1137309"/>
                    </a:xfrm>
                    <a:prstGeom prst="rect">
                      <a:avLst/>
                    </a:prstGeom>
                    <a:noFill/>
                    <a:ln>
                      <a:noFill/>
                    </a:ln>
                  </pic:spPr>
                </pic:pic>
              </a:graphicData>
            </a:graphic>
          </wp:inline>
        </w:drawing>
      </w:r>
    </w:p>
    <w:p w14:paraId="52E80DDD" w14:textId="42F7F81A" w:rsidR="0057629B" w:rsidRDefault="00CD5159" w:rsidP="00D60DD5">
      <w:pPr>
        <w:pStyle w:val="Heading1"/>
        <w:rPr>
          <w:lang w:val="en-AU"/>
        </w:rPr>
      </w:pPr>
      <w:r>
        <w:rPr>
          <w:lang w:val="en-AU"/>
        </w:rPr>
        <w:t>Public Health Laboratory</w:t>
      </w:r>
      <w:r w:rsidR="007B266B">
        <w:rPr>
          <w:lang w:val="en-AU"/>
        </w:rPr>
        <w:t xml:space="preserve"> Network</w:t>
      </w:r>
      <w:r>
        <w:rPr>
          <w:lang w:val="en-AU"/>
        </w:rPr>
        <w:t xml:space="preserve"> </w:t>
      </w:r>
      <w:r w:rsidR="00BD4C28">
        <w:rPr>
          <w:lang w:val="en-AU"/>
        </w:rPr>
        <w:t xml:space="preserve">Guidance </w:t>
      </w:r>
      <w:r>
        <w:rPr>
          <w:lang w:val="en-AU"/>
        </w:rPr>
        <w:t xml:space="preserve">on Nucleic Acid Test </w:t>
      </w:r>
      <w:r w:rsidR="00BD4C28">
        <w:rPr>
          <w:lang w:val="en-AU"/>
        </w:rPr>
        <w:t xml:space="preserve">Result Interpretation </w:t>
      </w:r>
      <w:r w:rsidR="00D60DD5">
        <w:rPr>
          <w:lang w:val="en-AU"/>
        </w:rPr>
        <w:t>for SARS-CoV-2</w:t>
      </w:r>
    </w:p>
    <w:p w14:paraId="6B657E87" w14:textId="77777777" w:rsidR="007E2012" w:rsidRPr="002B1EB7" w:rsidRDefault="007E2012" w:rsidP="002B1EB7">
      <w:pPr>
        <w:spacing w:after="120" w:line="259" w:lineRule="auto"/>
        <w:rPr>
          <w:rFonts w:ascii="Calibri Light" w:hAnsi="Calibri Light" w:cstheme="majorHAnsi"/>
          <w:lang w:val="en-AU"/>
        </w:rPr>
      </w:pPr>
      <w:r w:rsidRPr="002B1EB7">
        <w:rPr>
          <w:rFonts w:ascii="Calibri Light" w:hAnsi="Calibri Light" w:cstheme="majorHAnsi"/>
          <w:lang w:val="en-AU"/>
        </w:rPr>
        <w:t>Revision history</w:t>
      </w:r>
    </w:p>
    <w:tbl>
      <w:tblPr>
        <w:tblStyle w:val="TableGrid"/>
        <w:tblW w:w="0" w:type="auto"/>
        <w:tblLook w:val="04A0" w:firstRow="1" w:lastRow="0" w:firstColumn="1" w:lastColumn="0" w:noHBand="0" w:noVBand="1"/>
        <w:tblCaption w:val="Revision table"/>
        <w:tblDescription w:val="This table provides the revision history for the guidance document. "/>
      </w:tblPr>
      <w:tblGrid>
        <w:gridCol w:w="1413"/>
        <w:gridCol w:w="2126"/>
        <w:gridCol w:w="5245"/>
      </w:tblGrid>
      <w:tr w:rsidR="006D01DE" w:rsidRPr="006D01DE" w14:paraId="2F75381E" w14:textId="77777777" w:rsidTr="003B5B9E">
        <w:trPr>
          <w:tblHeader/>
        </w:trPr>
        <w:tc>
          <w:tcPr>
            <w:tcW w:w="1413" w:type="dxa"/>
            <w:vAlign w:val="center"/>
          </w:tcPr>
          <w:p w14:paraId="2FB3E30D" w14:textId="77777777" w:rsidR="006D01DE" w:rsidRPr="006D01DE" w:rsidRDefault="006D01DE" w:rsidP="006D01DE">
            <w:pPr>
              <w:rPr>
                <w:i/>
                <w:lang w:val="en-AU"/>
              </w:rPr>
            </w:pPr>
            <w:r w:rsidRPr="006D01DE">
              <w:rPr>
                <w:i/>
                <w:lang w:val="en-AU"/>
              </w:rPr>
              <w:t>Version</w:t>
            </w:r>
          </w:p>
        </w:tc>
        <w:tc>
          <w:tcPr>
            <w:tcW w:w="2126" w:type="dxa"/>
            <w:vAlign w:val="center"/>
          </w:tcPr>
          <w:p w14:paraId="231A33AE" w14:textId="77777777" w:rsidR="006D01DE" w:rsidRPr="006D01DE" w:rsidRDefault="006D01DE" w:rsidP="006D01DE">
            <w:pPr>
              <w:rPr>
                <w:i/>
                <w:lang w:val="en-AU"/>
              </w:rPr>
            </w:pPr>
            <w:r w:rsidRPr="006D01DE">
              <w:rPr>
                <w:i/>
                <w:lang w:val="en-AU"/>
              </w:rPr>
              <w:t>Date Endorsed by PHLN</w:t>
            </w:r>
          </w:p>
        </w:tc>
        <w:tc>
          <w:tcPr>
            <w:tcW w:w="5245" w:type="dxa"/>
          </w:tcPr>
          <w:p w14:paraId="3F3D5867" w14:textId="77777777" w:rsidR="006D01DE" w:rsidRPr="006D01DE" w:rsidRDefault="006D01DE" w:rsidP="006D01DE">
            <w:pPr>
              <w:rPr>
                <w:i/>
                <w:lang w:val="en-AU"/>
              </w:rPr>
            </w:pPr>
            <w:r w:rsidRPr="006D01DE">
              <w:rPr>
                <w:i/>
                <w:lang w:val="en-AU"/>
              </w:rPr>
              <w:t>Revision note</w:t>
            </w:r>
          </w:p>
        </w:tc>
      </w:tr>
      <w:tr w:rsidR="006D01DE" w:rsidRPr="006D01DE" w14:paraId="5CE98090" w14:textId="77777777" w:rsidTr="00353C59">
        <w:tc>
          <w:tcPr>
            <w:tcW w:w="1413" w:type="dxa"/>
          </w:tcPr>
          <w:p w14:paraId="3EF6A26D" w14:textId="77777777" w:rsidR="006D01DE" w:rsidRPr="006D01DE" w:rsidRDefault="006D01DE" w:rsidP="006D01DE">
            <w:pPr>
              <w:rPr>
                <w:lang w:val="en-AU"/>
              </w:rPr>
            </w:pPr>
            <w:r>
              <w:rPr>
                <w:lang w:val="en-AU"/>
              </w:rPr>
              <w:t>1.2</w:t>
            </w:r>
          </w:p>
        </w:tc>
        <w:tc>
          <w:tcPr>
            <w:tcW w:w="2126" w:type="dxa"/>
          </w:tcPr>
          <w:p w14:paraId="16C20D09" w14:textId="77777777" w:rsidR="006D01DE" w:rsidRPr="006D01DE" w:rsidRDefault="006D01DE" w:rsidP="006D01DE">
            <w:pPr>
              <w:rPr>
                <w:lang w:val="en-AU"/>
              </w:rPr>
            </w:pPr>
            <w:r>
              <w:t>13</w:t>
            </w:r>
            <w:r w:rsidRPr="00CA3C53">
              <w:t xml:space="preserve"> July 2020</w:t>
            </w:r>
          </w:p>
        </w:tc>
        <w:tc>
          <w:tcPr>
            <w:tcW w:w="5245" w:type="dxa"/>
          </w:tcPr>
          <w:p w14:paraId="2D7AD927" w14:textId="57D6CA05" w:rsidR="006D01DE" w:rsidRPr="006D01DE" w:rsidRDefault="002B1EB7" w:rsidP="004949C5">
            <w:pPr>
              <w:rPr>
                <w:lang w:val="en-AU"/>
              </w:rPr>
            </w:pPr>
            <w:r>
              <w:t>Update to clarify the terms ‘false positives’ and ‘inconclusive results’</w:t>
            </w:r>
            <w:r w:rsidR="004949C5">
              <w:t>.</w:t>
            </w:r>
            <w:r>
              <w:t xml:space="preserve"> </w:t>
            </w:r>
            <w:r w:rsidR="004949C5">
              <w:t xml:space="preserve">Amend </w:t>
            </w:r>
            <w:r>
              <w:t>the title of the document from ‘Public Health Laboratory Network Statement on Nucleic Acid Test False Positive Results for SARS-CoV-2’</w:t>
            </w:r>
            <w:r w:rsidR="006D01DE">
              <w:t>.</w:t>
            </w:r>
          </w:p>
        </w:tc>
      </w:tr>
      <w:tr w:rsidR="006D01DE" w:rsidRPr="006D01DE" w14:paraId="4784FB99" w14:textId="77777777" w:rsidTr="00353C59">
        <w:tc>
          <w:tcPr>
            <w:tcW w:w="1413" w:type="dxa"/>
          </w:tcPr>
          <w:p w14:paraId="04F5F486" w14:textId="77777777" w:rsidR="006D01DE" w:rsidRPr="006D01DE" w:rsidRDefault="006D01DE" w:rsidP="006D01DE">
            <w:pPr>
              <w:rPr>
                <w:lang w:val="en-AU"/>
              </w:rPr>
            </w:pPr>
            <w:r>
              <w:rPr>
                <w:lang w:val="en-AU"/>
              </w:rPr>
              <w:t>1.1</w:t>
            </w:r>
          </w:p>
        </w:tc>
        <w:tc>
          <w:tcPr>
            <w:tcW w:w="2126" w:type="dxa"/>
          </w:tcPr>
          <w:p w14:paraId="6AB274D8" w14:textId="77777777" w:rsidR="006D01DE" w:rsidRPr="006D01DE" w:rsidRDefault="006D01DE" w:rsidP="006D01DE">
            <w:pPr>
              <w:rPr>
                <w:lang w:val="en-AU"/>
              </w:rPr>
            </w:pPr>
            <w:r w:rsidRPr="00CA3C53">
              <w:t>8 June 2020</w:t>
            </w:r>
          </w:p>
        </w:tc>
        <w:tc>
          <w:tcPr>
            <w:tcW w:w="5245" w:type="dxa"/>
          </w:tcPr>
          <w:p w14:paraId="5B397D33" w14:textId="77777777" w:rsidR="006D01DE" w:rsidRPr="006D01DE" w:rsidRDefault="006D01DE" w:rsidP="006D01DE">
            <w:pPr>
              <w:rPr>
                <w:lang w:val="en-AU"/>
              </w:rPr>
            </w:pPr>
            <w:r w:rsidRPr="00CA3C53">
              <w:t xml:space="preserve">Initial document  </w:t>
            </w:r>
          </w:p>
        </w:tc>
      </w:tr>
    </w:tbl>
    <w:p w14:paraId="53B4EFE7" w14:textId="77777777" w:rsidR="006D01DE" w:rsidRDefault="006D01DE" w:rsidP="00E720C7">
      <w:pPr>
        <w:rPr>
          <w:lang w:val="en-AU"/>
        </w:rPr>
      </w:pPr>
    </w:p>
    <w:p w14:paraId="5F644A28" w14:textId="55761498" w:rsidR="006D01DE" w:rsidRPr="00D60DD5" w:rsidRDefault="006D01DE" w:rsidP="00D60DD5">
      <w:pPr>
        <w:pStyle w:val="Heading2"/>
      </w:pPr>
      <w:r w:rsidRPr="00D60DD5">
        <w:t>Overview of di</w:t>
      </w:r>
      <w:r w:rsidR="00D60DD5" w:rsidRPr="00D60DD5">
        <w:t>agnostic testing for SARS-CoV-2</w:t>
      </w:r>
    </w:p>
    <w:p w14:paraId="257DC72F" w14:textId="44129D37" w:rsidR="002F07B7" w:rsidRPr="002F07B7" w:rsidRDefault="00CD5159" w:rsidP="00E720C7">
      <w:pPr>
        <w:rPr>
          <w:lang w:val="en-AU"/>
        </w:rPr>
      </w:pPr>
      <w:r w:rsidRPr="002C0368">
        <w:rPr>
          <w:lang w:val="en-AU"/>
        </w:rPr>
        <w:t>Diagnostic testing for SARS-CoV-2</w:t>
      </w:r>
      <w:r>
        <w:rPr>
          <w:lang w:val="en-AU"/>
        </w:rPr>
        <w:t xml:space="preserve"> (the virus that causes COVID-19)</w:t>
      </w:r>
      <w:r w:rsidRPr="002C0368">
        <w:rPr>
          <w:lang w:val="en-AU"/>
        </w:rPr>
        <w:t xml:space="preserve"> is </w:t>
      </w:r>
      <w:r w:rsidR="004949C5">
        <w:rPr>
          <w:lang w:val="en-AU"/>
        </w:rPr>
        <w:t>vital</w:t>
      </w:r>
      <w:r w:rsidR="004949C5" w:rsidRPr="002C0368">
        <w:rPr>
          <w:lang w:val="en-AU"/>
        </w:rPr>
        <w:t xml:space="preserve"> </w:t>
      </w:r>
      <w:r w:rsidRPr="002C0368">
        <w:rPr>
          <w:lang w:val="en-AU"/>
        </w:rPr>
        <w:t>to cont</w:t>
      </w:r>
      <w:r w:rsidR="004D4FF6">
        <w:rPr>
          <w:lang w:val="en-AU"/>
        </w:rPr>
        <w:t>ain</w:t>
      </w:r>
      <w:r>
        <w:rPr>
          <w:lang w:val="en-AU"/>
        </w:rPr>
        <w:t xml:space="preserve">ing the COVID-19 pandemic in Australia. </w:t>
      </w:r>
      <w:r w:rsidR="004D4FF6" w:rsidRPr="004D4FF6">
        <w:rPr>
          <w:lang w:val="en-AU"/>
        </w:rPr>
        <w:t>Nucleic acid tests (NAT), predominantly reverse transcriptase polymerase chain reaction (RT-PCR)</w:t>
      </w:r>
      <w:r w:rsidR="00EC5232">
        <w:rPr>
          <w:lang w:val="en-AU"/>
        </w:rPr>
        <w:t>,</w:t>
      </w:r>
      <w:r w:rsidR="004D4FF6" w:rsidRPr="004D4FF6">
        <w:rPr>
          <w:lang w:val="en-AU"/>
        </w:rPr>
        <w:t xml:space="preserve"> are the primary </w:t>
      </w:r>
      <w:r w:rsidR="004949C5">
        <w:rPr>
          <w:lang w:val="en-AU"/>
        </w:rPr>
        <w:t>methods</w:t>
      </w:r>
      <w:r w:rsidR="004D4FF6" w:rsidRPr="004D4FF6">
        <w:rPr>
          <w:lang w:val="en-AU"/>
        </w:rPr>
        <w:t xml:space="preserve"> used </w:t>
      </w:r>
      <w:r w:rsidR="009914DD">
        <w:rPr>
          <w:lang w:val="en-AU"/>
        </w:rPr>
        <w:t>to detect</w:t>
      </w:r>
      <w:r w:rsidR="004949C5">
        <w:rPr>
          <w:lang w:val="en-AU"/>
        </w:rPr>
        <w:t xml:space="preserve"> </w:t>
      </w:r>
      <w:r w:rsidR="004D4FF6" w:rsidRPr="004D4FF6">
        <w:rPr>
          <w:lang w:val="en-AU"/>
        </w:rPr>
        <w:t>SARS-CoV-2 in Australia</w:t>
      </w:r>
      <w:r w:rsidR="004949C5">
        <w:rPr>
          <w:lang w:val="en-AU"/>
        </w:rPr>
        <w:t>. It is also</w:t>
      </w:r>
      <w:r w:rsidR="002C0368">
        <w:rPr>
          <w:lang w:val="en-AU"/>
        </w:rPr>
        <w:t xml:space="preserve"> </w:t>
      </w:r>
      <w:r w:rsidR="00373502" w:rsidRPr="00373502">
        <w:rPr>
          <w:lang w:val="en-AU"/>
        </w:rPr>
        <w:t xml:space="preserve">the </w:t>
      </w:r>
      <w:r w:rsidR="00F65F6D">
        <w:rPr>
          <w:lang w:val="en-AU"/>
        </w:rPr>
        <w:t>benchmark</w:t>
      </w:r>
      <w:r w:rsidR="00373502" w:rsidRPr="00373502">
        <w:rPr>
          <w:lang w:val="en-AU"/>
        </w:rPr>
        <w:t xml:space="preserve"> </w:t>
      </w:r>
      <w:r w:rsidR="002477E9">
        <w:rPr>
          <w:lang w:val="en-AU"/>
        </w:rPr>
        <w:t>for acute diagnos</w:t>
      </w:r>
      <w:r>
        <w:rPr>
          <w:lang w:val="en-AU"/>
        </w:rPr>
        <w:t>is</w:t>
      </w:r>
      <w:r w:rsidR="002477E9">
        <w:rPr>
          <w:lang w:val="en-AU"/>
        </w:rPr>
        <w:t xml:space="preserve"> of COVID-19 infection</w:t>
      </w:r>
      <w:r w:rsidR="00373502" w:rsidRPr="00373502">
        <w:rPr>
          <w:lang w:val="en-AU"/>
        </w:rPr>
        <w:t xml:space="preserve">. </w:t>
      </w:r>
      <w:r w:rsidR="002F07B7" w:rsidRPr="002F07B7">
        <w:rPr>
          <w:lang w:val="en-AU"/>
        </w:rPr>
        <w:t xml:space="preserve">There </w:t>
      </w:r>
      <w:r w:rsidR="002F07B7">
        <w:rPr>
          <w:lang w:val="en-AU"/>
        </w:rPr>
        <w:t>is</w:t>
      </w:r>
      <w:r w:rsidR="00EC5232">
        <w:rPr>
          <w:lang w:val="en-AU"/>
        </w:rPr>
        <w:t xml:space="preserve"> a range of NAT</w:t>
      </w:r>
      <w:r w:rsidR="002F07B7" w:rsidRPr="002F07B7">
        <w:rPr>
          <w:lang w:val="en-AU"/>
        </w:rPr>
        <w:t xml:space="preserve"> used in Australian laboratories, including</w:t>
      </w:r>
      <w:r w:rsidR="002F07B7">
        <w:rPr>
          <w:lang w:val="en-AU"/>
        </w:rPr>
        <w:t>:</w:t>
      </w:r>
    </w:p>
    <w:p w14:paraId="654F2A11" w14:textId="19261BBA" w:rsidR="002F07B7" w:rsidRPr="006B5D36" w:rsidRDefault="002F07B7" w:rsidP="006B5D36">
      <w:pPr>
        <w:pStyle w:val="ListParagraph"/>
        <w:numPr>
          <w:ilvl w:val="0"/>
          <w:numId w:val="25"/>
        </w:numPr>
        <w:rPr>
          <w:lang w:val="en-AU"/>
        </w:rPr>
      </w:pPr>
      <w:r w:rsidRPr="006B5D36">
        <w:rPr>
          <w:lang w:val="en-AU"/>
        </w:rPr>
        <w:t xml:space="preserve">In-house </w:t>
      </w:r>
      <w:r w:rsidR="00DA33A3">
        <w:rPr>
          <w:lang w:val="en-AU"/>
        </w:rPr>
        <w:t>and</w:t>
      </w:r>
      <w:r w:rsidRPr="006B5D36">
        <w:rPr>
          <w:lang w:val="en-AU"/>
        </w:rPr>
        <w:t xml:space="preserve"> commercial assays</w:t>
      </w:r>
      <w:r w:rsidR="00ED3ED6">
        <w:rPr>
          <w:lang w:val="en-AU"/>
        </w:rPr>
        <w:t>;</w:t>
      </w:r>
    </w:p>
    <w:p w14:paraId="290DBFC5" w14:textId="06F93B32" w:rsidR="002F07B7" w:rsidRPr="006B5D36" w:rsidRDefault="002F07B7" w:rsidP="006B5D36">
      <w:pPr>
        <w:pStyle w:val="ListParagraph"/>
        <w:numPr>
          <w:ilvl w:val="0"/>
          <w:numId w:val="25"/>
        </w:numPr>
        <w:rPr>
          <w:lang w:val="en-AU"/>
        </w:rPr>
      </w:pPr>
      <w:r w:rsidRPr="006B5D36">
        <w:rPr>
          <w:lang w:val="en-AU"/>
        </w:rPr>
        <w:t>Assays target</w:t>
      </w:r>
      <w:r w:rsidR="004949C5">
        <w:rPr>
          <w:lang w:val="en-AU"/>
        </w:rPr>
        <w:t>ing</w:t>
      </w:r>
      <w:r w:rsidRPr="006B5D36">
        <w:rPr>
          <w:lang w:val="en-AU"/>
        </w:rPr>
        <w:t xml:space="preserve"> different parts of the SARS-CoV-2 genome, including the N gene, E</w:t>
      </w:r>
      <w:r w:rsidR="00BD2975">
        <w:rPr>
          <w:lang w:val="en-AU"/>
        </w:rPr>
        <w:t xml:space="preserve"> gene, </w:t>
      </w:r>
      <w:r w:rsidR="00EC5232">
        <w:rPr>
          <w:lang w:val="en-AU"/>
        </w:rPr>
        <w:t xml:space="preserve">S gene, </w:t>
      </w:r>
      <w:r w:rsidR="00BD2975">
        <w:rPr>
          <w:lang w:val="en-AU"/>
        </w:rPr>
        <w:t>RdRp gene and Orf-1</w:t>
      </w:r>
      <w:r w:rsidR="00EC5232">
        <w:rPr>
          <w:lang w:val="en-AU"/>
        </w:rPr>
        <w:t>ab</w:t>
      </w:r>
      <w:r w:rsidR="00BD2975">
        <w:rPr>
          <w:lang w:val="en-AU"/>
        </w:rPr>
        <w:t xml:space="preserve"> gene</w:t>
      </w:r>
      <w:r w:rsidR="00ED3ED6">
        <w:rPr>
          <w:lang w:val="en-AU"/>
        </w:rPr>
        <w:t>;</w:t>
      </w:r>
    </w:p>
    <w:p w14:paraId="0F82AA22" w14:textId="77777777" w:rsidR="005247D8" w:rsidRPr="006B5D36" w:rsidRDefault="002F07B7" w:rsidP="006B5D36">
      <w:pPr>
        <w:pStyle w:val="ListParagraph"/>
        <w:numPr>
          <w:ilvl w:val="0"/>
          <w:numId w:val="25"/>
        </w:numPr>
        <w:rPr>
          <w:lang w:val="en-AU"/>
        </w:rPr>
      </w:pPr>
      <w:r w:rsidRPr="006B5D36">
        <w:rPr>
          <w:lang w:val="en-AU"/>
        </w:rPr>
        <w:t>Single gene target assays, or assays that detect multiple SARS-CoV genes in one test</w:t>
      </w:r>
      <w:r w:rsidR="00BD2975">
        <w:rPr>
          <w:lang w:val="en-AU"/>
        </w:rPr>
        <w:t>.</w:t>
      </w:r>
    </w:p>
    <w:p w14:paraId="3ABEC5F0" w14:textId="77777777" w:rsidR="006B5D36" w:rsidRPr="006B5D36" w:rsidRDefault="006B5D36" w:rsidP="00D60DD5">
      <w:pPr>
        <w:pStyle w:val="Heading2"/>
        <w:rPr>
          <w:lang w:val="en-AU"/>
        </w:rPr>
      </w:pPr>
      <w:r w:rsidRPr="006B5D36">
        <w:rPr>
          <w:lang w:val="en-AU"/>
        </w:rPr>
        <w:t>SARS-CoV-2 NAT Reporting</w:t>
      </w:r>
    </w:p>
    <w:p w14:paraId="43BC4A0D" w14:textId="2260A1EA" w:rsidR="00B72DFC" w:rsidRDefault="00B72DFC" w:rsidP="00E720C7">
      <w:pPr>
        <w:rPr>
          <w:lang w:val="en-AU"/>
        </w:rPr>
      </w:pPr>
      <w:r>
        <w:rPr>
          <w:lang w:val="en-AU"/>
        </w:rPr>
        <w:t xml:space="preserve">Due to the </w:t>
      </w:r>
      <w:r w:rsidR="00DA33A3">
        <w:rPr>
          <w:lang w:val="en-AU"/>
        </w:rPr>
        <w:t>range</w:t>
      </w:r>
      <w:r>
        <w:rPr>
          <w:lang w:val="en-AU"/>
        </w:rPr>
        <w:t xml:space="preserve"> of commercial and in-house RT-PCR tests available and the different </w:t>
      </w:r>
      <w:r w:rsidR="00DA33A3">
        <w:rPr>
          <w:lang w:val="en-AU"/>
        </w:rPr>
        <w:t xml:space="preserve">viral </w:t>
      </w:r>
      <w:r>
        <w:rPr>
          <w:lang w:val="en-AU"/>
        </w:rPr>
        <w:t>gen</w:t>
      </w:r>
      <w:r w:rsidR="00DA33A3">
        <w:rPr>
          <w:lang w:val="en-AU"/>
        </w:rPr>
        <w:t>ome</w:t>
      </w:r>
      <w:r>
        <w:rPr>
          <w:lang w:val="en-AU"/>
        </w:rPr>
        <w:t xml:space="preserve"> targets for each, several reporting outcomes </w:t>
      </w:r>
      <w:r w:rsidR="00C3694C" w:rsidRPr="00C3694C">
        <w:rPr>
          <w:lang w:val="en-AU"/>
        </w:rPr>
        <w:t xml:space="preserve">from a RT-PCR test for SARS-CoV-2 </w:t>
      </w:r>
      <w:r w:rsidR="00C3694C">
        <w:rPr>
          <w:lang w:val="en-AU"/>
        </w:rPr>
        <w:t>test are possible</w:t>
      </w:r>
      <w:r w:rsidR="00EA0A41">
        <w:rPr>
          <w:lang w:val="en-AU"/>
        </w:rPr>
        <w:t>.</w:t>
      </w:r>
      <w:r>
        <w:rPr>
          <w:lang w:val="en-AU"/>
        </w:rPr>
        <w:t xml:space="preserve">  </w:t>
      </w:r>
    </w:p>
    <w:p w14:paraId="2971A19A" w14:textId="77777777" w:rsidR="0059782C" w:rsidRPr="00E720C7" w:rsidRDefault="00B72DFC" w:rsidP="00E720C7">
      <w:pPr>
        <w:pStyle w:val="ListParagraph"/>
        <w:numPr>
          <w:ilvl w:val="0"/>
          <w:numId w:val="23"/>
        </w:numPr>
        <w:rPr>
          <w:lang w:val="en-AU"/>
        </w:rPr>
      </w:pPr>
      <w:r w:rsidRPr="00E720C7">
        <w:rPr>
          <w:lang w:val="en-AU"/>
        </w:rPr>
        <w:t>Positive or detected</w:t>
      </w:r>
      <w:r w:rsidR="000B49BA" w:rsidRPr="00E720C7">
        <w:rPr>
          <w:lang w:val="en-AU"/>
        </w:rPr>
        <w:t xml:space="preserve">: </w:t>
      </w:r>
    </w:p>
    <w:p w14:paraId="0751525D" w14:textId="77777777" w:rsidR="00B72DFC" w:rsidRPr="00E720C7" w:rsidRDefault="00E720C7" w:rsidP="000B6472">
      <w:pPr>
        <w:pStyle w:val="ListParagraph"/>
        <w:numPr>
          <w:ilvl w:val="1"/>
          <w:numId w:val="23"/>
        </w:numPr>
        <w:ind w:left="709" w:hanging="283"/>
        <w:rPr>
          <w:lang w:val="en-AU"/>
        </w:rPr>
      </w:pPr>
      <w:r>
        <w:rPr>
          <w:lang w:val="en-AU"/>
        </w:rPr>
        <w:t xml:space="preserve"> </w:t>
      </w:r>
      <w:r w:rsidR="000B49BA" w:rsidRPr="00E720C7">
        <w:rPr>
          <w:lang w:val="en-AU"/>
        </w:rPr>
        <w:t xml:space="preserve">the detection of SARS-CoV-2-specific </w:t>
      </w:r>
      <w:r w:rsidR="00226D13" w:rsidRPr="00E720C7">
        <w:rPr>
          <w:lang w:val="en-AU"/>
        </w:rPr>
        <w:t>target</w:t>
      </w:r>
    </w:p>
    <w:p w14:paraId="55D15CDA" w14:textId="77777777" w:rsidR="0059782C" w:rsidRPr="00E720C7" w:rsidRDefault="00B72DFC" w:rsidP="000B6472">
      <w:pPr>
        <w:pStyle w:val="ListParagraph"/>
        <w:numPr>
          <w:ilvl w:val="0"/>
          <w:numId w:val="23"/>
        </w:numPr>
        <w:rPr>
          <w:lang w:val="en-AU"/>
        </w:rPr>
      </w:pPr>
      <w:r w:rsidRPr="00EA0A41">
        <w:rPr>
          <w:lang w:val="en-AU"/>
        </w:rPr>
        <w:t>Negative or not detected</w:t>
      </w:r>
      <w:r w:rsidR="00226D13" w:rsidRPr="00EA0A41">
        <w:rPr>
          <w:lang w:val="en-AU"/>
        </w:rPr>
        <w:t xml:space="preserve">: </w:t>
      </w:r>
    </w:p>
    <w:p w14:paraId="5BE3F155" w14:textId="77777777" w:rsidR="00B72DFC" w:rsidRPr="00EA0A41" w:rsidRDefault="00226D13" w:rsidP="0032721D">
      <w:pPr>
        <w:pStyle w:val="ListParagraph"/>
        <w:numPr>
          <w:ilvl w:val="1"/>
          <w:numId w:val="23"/>
        </w:numPr>
        <w:ind w:left="851" w:hanging="425"/>
        <w:rPr>
          <w:lang w:val="en-AU"/>
        </w:rPr>
      </w:pPr>
      <w:r w:rsidRPr="00EA0A41">
        <w:rPr>
          <w:lang w:val="en-AU"/>
        </w:rPr>
        <w:t xml:space="preserve">no detection of </w:t>
      </w:r>
      <w:r w:rsidR="000B49BA" w:rsidRPr="00EA0A41">
        <w:rPr>
          <w:lang w:val="en-AU"/>
        </w:rPr>
        <w:t xml:space="preserve"> </w:t>
      </w:r>
      <w:r w:rsidRPr="00EA0A41">
        <w:rPr>
          <w:lang w:val="en-AU"/>
        </w:rPr>
        <w:t>SARS-CoV-2-specific target</w:t>
      </w:r>
    </w:p>
    <w:p w14:paraId="52AE376C" w14:textId="77777777" w:rsidR="0059782C" w:rsidRPr="00E720C7" w:rsidRDefault="000B49BA" w:rsidP="00E720C7">
      <w:pPr>
        <w:pStyle w:val="ListParagraph"/>
        <w:numPr>
          <w:ilvl w:val="0"/>
          <w:numId w:val="23"/>
        </w:numPr>
        <w:rPr>
          <w:lang w:val="en-AU"/>
        </w:rPr>
      </w:pPr>
      <w:r w:rsidRPr="00E720C7">
        <w:rPr>
          <w:lang w:val="en-AU"/>
        </w:rPr>
        <w:t>Presumptive positive</w:t>
      </w:r>
      <w:r w:rsidR="0059782C" w:rsidRPr="00E720C7">
        <w:rPr>
          <w:lang w:val="en-AU"/>
        </w:rPr>
        <w:t xml:space="preserve">: </w:t>
      </w:r>
    </w:p>
    <w:p w14:paraId="00911982" w14:textId="7030630C" w:rsidR="000B49BA" w:rsidRPr="00E720C7" w:rsidRDefault="00EA0A41" w:rsidP="00E720C7">
      <w:pPr>
        <w:pStyle w:val="ListParagraph"/>
        <w:numPr>
          <w:ilvl w:val="1"/>
          <w:numId w:val="23"/>
        </w:numPr>
        <w:ind w:left="709" w:hanging="283"/>
        <w:rPr>
          <w:lang w:val="en-AU"/>
        </w:rPr>
      </w:pPr>
      <w:r>
        <w:rPr>
          <w:lang w:val="en-AU"/>
        </w:rPr>
        <w:lastRenderedPageBreak/>
        <w:t>S</w:t>
      </w:r>
      <w:r w:rsidR="0059782C" w:rsidRPr="00E720C7">
        <w:rPr>
          <w:lang w:val="en-AU"/>
        </w:rPr>
        <w:t xml:space="preserve">everal commercial and in-house RT-PCR tests for SARS-CoV-2 include both Sarbeco </w:t>
      </w:r>
      <w:r w:rsidR="00DA33A3">
        <w:rPr>
          <w:lang w:val="en-AU"/>
        </w:rPr>
        <w:t xml:space="preserve">subgenus </w:t>
      </w:r>
      <w:r w:rsidR="0059782C" w:rsidRPr="00E720C7">
        <w:rPr>
          <w:lang w:val="en-AU"/>
        </w:rPr>
        <w:t>and SARS-CoV-2-specific targets</w:t>
      </w:r>
      <w:r>
        <w:rPr>
          <w:lang w:val="en-AU"/>
        </w:rPr>
        <w:t>.</w:t>
      </w:r>
    </w:p>
    <w:p w14:paraId="598C3996" w14:textId="77777777" w:rsidR="0059782C" w:rsidRPr="00E720C7" w:rsidRDefault="00C3694C" w:rsidP="00E720C7">
      <w:pPr>
        <w:pStyle w:val="ListParagraph"/>
        <w:numPr>
          <w:ilvl w:val="1"/>
          <w:numId w:val="23"/>
        </w:numPr>
        <w:ind w:left="709" w:hanging="283"/>
        <w:rPr>
          <w:lang w:val="en-AU"/>
        </w:rPr>
      </w:pPr>
      <w:r w:rsidRPr="00E720C7">
        <w:rPr>
          <w:lang w:val="en-AU"/>
        </w:rPr>
        <w:t xml:space="preserve">The </w:t>
      </w:r>
      <w:r w:rsidR="0059782C" w:rsidRPr="00E720C7">
        <w:rPr>
          <w:lang w:val="en-AU"/>
        </w:rPr>
        <w:t>Sarbeco</w:t>
      </w:r>
      <w:r w:rsidRPr="00E720C7">
        <w:rPr>
          <w:lang w:val="en-AU"/>
        </w:rPr>
        <w:t xml:space="preserve"> subgenus includes</w:t>
      </w:r>
      <w:r w:rsidRPr="00C3694C">
        <w:t xml:space="preserve"> </w:t>
      </w:r>
      <w:r w:rsidRPr="00E720C7">
        <w:rPr>
          <w:lang w:val="en-AU"/>
        </w:rPr>
        <w:t>SARS-CoV-2</w:t>
      </w:r>
      <w:r w:rsidR="00DA33A3">
        <w:rPr>
          <w:lang w:val="en-AU"/>
        </w:rPr>
        <w:t xml:space="preserve">, </w:t>
      </w:r>
      <w:r w:rsidRPr="00E720C7">
        <w:rPr>
          <w:lang w:val="en-AU"/>
        </w:rPr>
        <w:t>SARS-CoV-1 and several bat-derived SARS-like viruses</w:t>
      </w:r>
      <w:r w:rsidR="00EA0A41">
        <w:rPr>
          <w:lang w:val="en-AU"/>
        </w:rPr>
        <w:t>.</w:t>
      </w:r>
    </w:p>
    <w:p w14:paraId="738A1385" w14:textId="77777777" w:rsidR="00C3694C" w:rsidRPr="00E720C7" w:rsidRDefault="00DA33A3" w:rsidP="00E720C7">
      <w:pPr>
        <w:pStyle w:val="ListParagraph"/>
        <w:numPr>
          <w:ilvl w:val="1"/>
          <w:numId w:val="23"/>
        </w:numPr>
        <w:ind w:left="709" w:hanging="283"/>
        <w:rPr>
          <w:lang w:val="en-AU"/>
        </w:rPr>
      </w:pPr>
      <w:r>
        <w:rPr>
          <w:lang w:val="en-AU"/>
        </w:rPr>
        <w:t xml:space="preserve">Several commercial assays report </w:t>
      </w:r>
      <w:r w:rsidR="009575B4">
        <w:rPr>
          <w:lang w:val="en-AU"/>
        </w:rPr>
        <w:t xml:space="preserve">the combination of </w:t>
      </w:r>
      <w:r>
        <w:rPr>
          <w:lang w:val="en-AU"/>
        </w:rPr>
        <w:t>a</w:t>
      </w:r>
      <w:r w:rsidR="00C3694C" w:rsidRPr="00E720C7">
        <w:rPr>
          <w:lang w:val="en-AU"/>
        </w:rPr>
        <w:t xml:space="preserve"> Sarbeco target </w:t>
      </w:r>
      <w:r>
        <w:rPr>
          <w:lang w:val="en-AU"/>
        </w:rPr>
        <w:t>detection</w:t>
      </w:r>
      <w:r w:rsidR="00C3694C" w:rsidRPr="00E720C7">
        <w:rPr>
          <w:lang w:val="en-AU"/>
        </w:rPr>
        <w:t xml:space="preserve"> </w:t>
      </w:r>
      <w:r>
        <w:rPr>
          <w:lang w:val="en-AU"/>
        </w:rPr>
        <w:t>with a negative</w:t>
      </w:r>
      <w:r w:rsidR="00C3694C" w:rsidRPr="00E720C7">
        <w:rPr>
          <w:lang w:val="en-AU"/>
        </w:rPr>
        <w:t xml:space="preserve"> SARS-CoV-2-specific target as a presumptive positive</w:t>
      </w:r>
      <w:r w:rsidR="00EA0A41">
        <w:rPr>
          <w:lang w:val="en-AU"/>
        </w:rPr>
        <w:t>.</w:t>
      </w:r>
    </w:p>
    <w:p w14:paraId="131BCD6E" w14:textId="0B54C9C9" w:rsidR="00C3694C" w:rsidRPr="00E720C7" w:rsidRDefault="00C3694C" w:rsidP="00E720C7">
      <w:pPr>
        <w:pStyle w:val="ListParagraph"/>
        <w:numPr>
          <w:ilvl w:val="1"/>
          <w:numId w:val="23"/>
        </w:numPr>
        <w:ind w:left="709" w:hanging="283"/>
        <w:rPr>
          <w:lang w:val="en-AU"/>
        </w:rPr>
      </w:pPr>
      <w:r w:rsidRPr="00E720C7">
        <w:rPr>
          <w:lang w:val="en-AU"/>
        </w:rPr>
        <w:t>As it is extremely unlikely SARS-CoV-1 or other SARS-like bat viruses are circulating</w:t>
      </w:r>
      <w:r w:rsidR="00901BA5">
        <w:rPr>
          <w:lang w:val="en-AU"/>
        </w:rPr>
        <w:t xml:space="preserve"> in the human population</w:t>
      </w:r>
      <w:r w:rsidR="00960BE6">
        <w:rPr>
          <w:lang w:val="en-AU"/>
        </w:rPr>
        <w:t>,</w:t>
      </w:r>
      <w:r w:rsidRPr="00E720C7">
        <w:rPr>
          <w:lang w:val="en-AU"/>
        </w:rPr>
        <w:t xml:space="preserve"> a presumptive positive report most likely indicates</w:t>
      </w:r>
      <w:r w:rsidRPr="00C3694C">
        <w:t xml:space="preserve"> </w:t>
      </w:r>
      <w:r w:rsidRPr="00E720C7">
        <w:rPr>
          <w:lang w:val="en-AU"/>
        </w:rPr>
        <w:t>SARS-CoV-2 detection</w:t>
      </w:r>
      <w:r w:rsidR="00EA0A41">
        <w:rPr>
          <w:lang w:val="en-AU"/>
        </w:rPr>
        <w:t>.</w:t>
      </w:r>
    </w:p>
    <w:p w14:paraId="2CA4AF08" w14:textId="4ECDD266" w:rsidR="00C3694C" w:rsidRPr="00E720C7" w:rsidRDefault="00901BA5" w:rsidP="00E720C7">
      <w:pPr>
        <w:pStyle w:val="ListParagraph"/>
        <w:numPr>
          <w:ilvl w:val="1"/>
          <w:numId w:val="23"/>
        </w:numPr>
        <w:ind w:left="709" w:hanging="283"/>
        <w:rPr>
          <w:lang w:val="en-AU"/>
        </w:rPr>
      </w:pPr>
      <w:r>
        <w:rPr>
          <w:lang w:val="en-AU"/>
        </w:rPr>
        <w:t>Sarbeco subgenus only detections</w:t>
      </w:r>
      <w:r w:rsidR="00C3694C" w:rsidRPr="00E720C7">
        <w:rPr>
          <w:lang w:val="en-AU"/>
        </w:rPr>
        <w:t xml:space="preserve"> are most commonly </w:t>
      </w:r>
      <w:r>
        <w:rPr>
          <w:lang w:val="en-AU"/>
        </w:rPr>
        <w:t>found</w:t>
      </w:r>
      <w:r w:rsidR="00C3694C" w:rsidRPr="00E720C7">
        <w:rPr>
          <w:lang w:val="en-AU"/>
        </w:rPr>
        <w:t xml:space="preserve"> when the amount of SARS-CoV-2target is near the lower limit of detection for the </w:t>
      </w:r>
      <w:r>
        <w:rPr>
          <w:lang w:val="en-AU"/>
        </w:rPr>
        <w:t>assay</w:t>
      </w:r>
      <w:r w:rsidR="00EA0A41">
        <w:rPr>
          <w:lang w:val="en-AU"/>
        </w:rPr>
        <w:t>.</w:t>
      </w:r>
    </w:p>
    <w:p w14:paraId="44DB96FB" w14:textId="77777777" w:rsidR="000B49BA" w:rsidRPr="00E720C7" w:rsidRDefault="000B49BA" w:rsidP="00E720C7">
      <w:pPr>
        <w:pStyle w:val="ListParagraph"/>
        <w:numPr>
          <w:ilvl w:val="0"/>
          <w:numId w:val="23"/>
        </w:numPr>
        <w:rPr>
          <w:lang w:val="en-AU"/>
        </w:rPr>
      </w:pPr>
      <w:r w:rsidRPr="00E720C7">
        <w:rPr>
          <w:lang w:val="en-AU"/>
        </w:rPr>
        <w:t>Indeterminate</w:t>
      </w:r>
      <w:r w:rsidR="00C3694C" w:rsidRPr="00E720C7">
        <w:rPr>
          <w:lang w:val="en-AU"/>
        </w:rPr>
        <w:t xml:space="preserve"> or equivocal:</w:t>
      </w:r>
    </w:p>
    <w:p w14:paraId="373BE331" w14:textId="77777777" w:rsidR="00C3694C" w:rsidRPr="00E720C7" w:rsidRDefault="00C3694C" w:rsidP="0032721D">
      <w:pPr>
        <w:pStyle w:val="ListParagraph"/>
        <w:numPr>
          <w:ilvl w:val="1"/>
          <w:numId w:val="23"/>
        </w:numPr>
        <w:ind w:left="709" w:hanging="283"/>
        <w:rPr>
          <w:lang w:val="en-AU"/>
        </w:rPr>
      </w:pPr>
      <w:r w:rsidRPr="00E720C7">
        <w:rPr>
          <w:lang w:val="en-AU"/>
        </w:rPr>
        <w:t xml:space="preserve">Testing has produced </w:t>
      </w:r>
      <w:r w:rsidR="00901BA5">
        <w:rPr>
          <w:lang w:val="en-AU"/>
        </w:rPr>
        <w:t xml:space="preserve">discrepant </w:t>
      </w:r>
      <w:r w:rsidRPr="00E720C7">
        <w:rPr>
          <w:lang w:val="en-AU"/>
        </w:rPr>
        <w:t>results that cannot be res</w:t>
      </w:r>
      <w:r w:rsidR="00901BA5">
        <w:rPr>
          <w:lang w:val="en-AU"/>
        </w:rPr>
        <w:t>olved</w:t>
      </w:r>
      <w:r w:rsidRPr="00E720C7">
        <w:rPr>
          <w:lang w:val="en-AU"/>
        </w:rPr>
        <w:t xml:space="preserve"> as either</w:t>
      </w:r>
      <w:r w:rsidR="00901BA5">
        <w:rPr>
          <w:lang w:val="en-AU"/>
        </w:rPr>
        <w:t xml:space="preserve"> a</w:t>
      </w:r>
      <w:r w:rsidRPr="00E720C7">
        <w:rPr>
          <w:lang w:val="en-AU"/>
        </w:rPr>
        <w:t xml:space="preserve"> negative or positive</w:t>
      </w:r>
      <w:r w:rsidR="00901BA5">
        <w:rPr>
          <w:lang w:val="en-AU"/>
        </w:rPr>
        <w:t xml:space="preserve"> </w:t>
      </w:r>
      <w:r w:rsidR="00707787">
        <w:rPr>
          <w:lang w:val="en-AU"/>
        </w:rPr>
        <w:t>despite</w:t>
      </w:r>
      <w:r w:rsidR="00901BA5">
        <w:rPr>
          <w:lang w:val="en-AU"/>
        </w:rPr>
        <w:t xml:space="preserve"> repeat or further </w:t>
      </w:r>
      <w:r w:rsidR="00901BA5" w:rsidRPr="00707787">
        <w:rPr>
          <w:lang w:val="en-AU"/>
        </w:rPr>
        <w:t>testing</w:t>
      </w:r>
      <w:r w:rsidR="00E817ED">
        <w:rPr>
          <w:lang w:val="en-AU"/>
        </w:rPr>
        <w:t xml:space="preserve"> of the sample</w:t>
      </w:r>
      <w:r w:rsidR="00901BA5" w:rsidRPr="00707787">
        <w:t xml:space="preserve"> (</w:t>
      </w:r>
      <w:r w:rsidR="00707787" w:rsidRPr="00707787">
        <w:t xml:space="preserve">e.g. </w:t>
      </w:r>
      <w:r w:rsidR="00901BA5" w:rsidRPr="00901BA5">
        <w:rPr>
          <w:lang w:val="en-AU"/>
        </w:rPr>
        <w:t xml:space="preserve">testing using a different </w:t>
      </w:r>
      <w:r w:rsidR="00707787" w:rsidRPr="00707787">
        <w:rPr>
          <w:lang w:val="en-AU"/>
        </w:rPr>
        <w:t xml:space="preserve">RT-PCR </w:t>
      </w:r>
      <w:r w:rsidR="00707787">
        <w:rPr>
          <w:lang w:val="en-AU"/>
        </w:rPr>
        <w:t>assay</w:t>
      </w:r>
      <w:r w:rsidR="00901BA5" w:rsidRPr="00901BA5">
        <w:rPr>
          <w:lang w:val="en-AU"/>
        </w:rPr>
        <w:t xml:space="preserve"> or genetic sequencing</w:t>
      </w:r>
      <w:r w:rsidR="00901BA5">
        <w:rPr>
          <w:lang w:val="en-AU"/>
        </w:rPr>
        <w:t>)</w:t>
      </w:r>
      <w:r w:rsidR="00415976">
        <w:rPr>
          <w:lang w:val="en-AU"/>
        </w:rPr>
        <w:t>.</w:t>
      </w:r>
    </w:p>
    <w:p w14:paraId="0F8797A2" w14:textId="490D7D9A" w:rsidR="00EF71C2" w:rsidRPr="00E720C7" w:rsidRDefault="00E817ED" w:rsidP="00960BE6">
      <w:pPr>
        <w:pStyle w:val="ListParagraph"/>
        <w:numPr>
          <w:ilvl w:val="1"/>
          <w:numId w:val="23"/>
        </w:numPr>
        <w:ind w:left="709" w:hanging="283"/>
        <w:rPr>
          <w:lang w:val="en-AU"/>
        </w:rPr>
      </w:pPr>
      <w:r>
        <w:rPr>
          <w:lang w:val="en-AU"/>
        </w:rPr>
        <w:t>In this situation, t</w:t>
      </w:r>
      <w:r w:rsidR="00EF71C2" w:rsidRPr="00E720C7">
        <w:rPr>
          <w:lang w:val="en-AU"/>
        </w:rPr>
        <w:t xml:space="preserve">he sample may be sent to a reference laboratory for further testing and a repeat </w:t>
      </w:r>
      <w:r w:rsidR="00707787">
        <w:rPr>
          <w:lang w:val="en-AU"/>
        </w:rPr>
        <w:t>sample collection</w:t>
      </w:r>
      <w:r w:rsidR="00960BE6">
        <w:rPr>
          <w:lang w:val="en-AU"/>
        </w:rPr>
        <w:t xml:space="preserve"> is </w:t>
      </w:r>
      <w:r w:rsidR="00EF71C2" w:rsidRPr="00E720C7">
        <w:rPr>
          <w:lang w:val="en-AU"/>
        </w:rPr>
        <w:t>recommended.</w:t>
      </w:r>
    </w:p>
    <w:p w14:paraId="5FD0EA9B" w14:textId="77777777" w:rsidR="000B49BA" w:rsidRPr="00E720C7" w:rsidRDefault="000B49BA" w:rsidP="00E720C7">
      <w:pPr>
        <w:pStyle w:val="ListParagraph"/>
        <w:numPr>
          <w:ilvl w:val="0"/>
          <w:numId w:val="23"/>
        </w:numPr>
        <w:rPr>
          <w:lang w:val="en-AU"/>
        </w:rPr>
      </w:pPr>
      <w:r w:rsidRPr="00E720C7">
        <w:rPr>
          <w:lang w:val="en-AU"/>
        </w:rPr>
        <w:t>Invalid</w:t>
      </w:r>
      <w:r w:rsidR="00C3694C" w:rsidRPr="00E720C7">
        <w:rPr>
          <w:lang w:val="en-AU"/>
        </w:rPr>
        <w:t>:</w:t>
      </w:r>
    </w:p>
    <w:p w14:paraId="6CC52475" w14:textId="25986207" w:rsidR="00C3694C" w:rsidRPr="006B5D36" w:rsidRDefault="00C3694C" w:rsidP="000B6472">
      <w:pPr>
        <w:pStyle w:val="ListParagraph"/>
        <w:numPr>
          <w:ilvl w:val="1"/>
          <w:numId w:val="23"/>
        </w:numPr>
        <w:ind w:left="709" w:hanging="654"/>
        <w:rPr>
          <w:lang w:val="en-AU"/>
        </w:rPr>
      </w:pPr>
      <w:r w:rsidRPr="006B5D36">
        <w:rPr>
          <w:lang w:val="en-AU"/>
        </w:rPr>
        <w:t xml:space="preserve">There has been </w:t>
      </w:r>
      <w:r w:rsidR="00BF4978">
        <w:rPr>
          <w:lang w:val="en-AU"/>
        </w:rPr>
        <w:t xml:space="preserve">a </w:t>
      </w:r>
      <w:r w:rsidRPr="006B5D36">
        <w:rPr>
          <w:lang w:val="en-AU"/>
        </w:rPr>
        <w:t>failure of one or more test’s internal controls, such as inhibition of the PCR reaction</w:t>
      </w:r>
      <w:r w:rsidR="00E817ED">
        <w:rPr>
          <w:lang w:val="en-AU"/>
        </w:rPr>
        <w:t>.</w:t>
      </w:r>
    </w:p>
    <w:p w14:paraId="621488C6" w14:textId="61F55B4A" w:rsidR="00D87721" w:rsidRPr="006B5D36" w:rsidRDefault="00EF71C2" w:rsidP="0032721D">
      <w:pPr>
        <w:pStyle w:val="ListParagraph"/>
        <w:numPr>
          <w:ilvl w:val="1"/>
          <w:numId w:val="23"/>
        </w:numPr>
        <w:ind w:left="709" w:hanging="283"/>
        <w:rPr>
          <w:lang w:val="en-AU"/>
        </w:rPr>
      </w:pPr>
      <w:r w:rsidRPr="006B5D36">
        <w:rPr>
          <w:lang w:val="en-AU"/>
        </w:rPr>
        <w:t xml:space="preserve">In this </w:t>
      </w:r>
      <w:r w:rsidR="00E817ED" w:rsidRPr="006B5D36">
        <w:rPr>
          <w:lang w:val="en-AU"/>
        </w:rPr>
        <w:t>situation,</w:t>
      </w:r>
      <w:r w:rsidRPr="006B5D36">
        <w:rPr>
          <w:lang w:val="en-AU"/>
        </w:rPr>
        <w:t xml:space="preserve"> a repeat </w:t>
      </w:r>
      <w:r w:rsidR="00BF4978">
        <w:rPr>
          <w:lang w:val="en-AU"/>
        </w:rPr>
        <w:t>sample collection</w:t>
      </w:r>
      <w:r w:rsidRPr="006B5D36">
        <w:rPr>
          <w:lang w:val="en-AU"/>
        </w:rPr>
        <w:t xml:space="preserve"> is recommended</w:t>
      </w:r>
      <w:r w:rsidR="00E817ED">
        <w:rPr>
          <w:lang w:val="en-AU"/>
        </w:rPr>
        <w:t>.</w:t>
      </w:r>
    </w:p>
    <w:p w14:paraId="6E9910F0" w14:textId="77777777" w:rsidR="005247D8" w:rsidRPr="006B5D36" w:rsidRDefault="00866B1A" w:rsidP="00D60DD5">
      <w:pPr>
        <w:pStyle w:val="Heading2"/>
        <w:rPr>
          <w:lang w:val="en-AU"/>
        </w:rPr>
      </w:pPr>
      <w:r>
        <w:rPr>
          <w:lang w:val="en-AU"/>
        </w:rPr>
        <w:t>Test</w:t>
      </w:r>
      <w:r w:rsidR="005247D8" w:rsidRPr="006B5D36">
        <w:rPr>
          <w:lang w:val="en-AU"/>
        </w:rPr>
        <w:t xml:space="preserve"> performance of SARS-CoV-2 RT-PCR </w:t>
      </w:r>
    </w:p>
    <w:p w14:paraId="012BC718" w14:textId="7CA91D20" w:rsidR="002A6AE2" w:rsidRDefault="002A6AE2" w:rsidP="002A6AE2">
      <w:pPr>
        <w:rPr>
          <w:lang w:val="en-AU"/>
        </w:rPr>
      </w:pPr>
      <w:r w:rsidRPr="00B5211D">
        <w:rPr>
          <w:lang w:val="en-AU"/>
        </w:rPr>
        <w:t>PCR assays are extraordinarily high-fidelity assays which are designed for maximal sensitivity and minimal off-target reactivity</w:t>
      </w:r>
      <w:r w:rsidR="00E817ED">
        <w:rPr>
          <w:lang w:val="en-AU"/>
        </w:rPr>
        <w:t xml:space="preserve"> that</w:t>
      </w:r>
      <w:r w:rsidRPr="00B5211D">
        <w:rPr>
          <w:lang w:val="en-AU"/>
        </w:rPr>
        <w:t xml:space="preserve"> benefit from a design process</w:t>
      </w:r>
      <w:r w:rsidR="00E817ED">
        <w:rPr>
          <w:lang w:val="en-AU"/>
        </w:rPr>
        <w:t>. This</w:t>
      </w:r>
      <w:r w:rsidRPr="00B5211D">
        <w:rPr>
          <w:lang w:val="en-AU"/>
        </w:rPr>
        <w:t xml:space="preserve"> includes accurate in silico design of PCR primers and probes and use of extensive databases to identify high-fidelity target sequences with minimal potential off-target interactions. </w:t>
      </w:r>
      <w:r w:rsidR="00E817ED">
        <w:rPr>
          <w:lang w:val="en-AU"/>
        </w:rPr>
        <w:t>T</w:t>
      </w:r>
      <w:r w:rsidRPr="00B5211D">
        <w:rPr>
          <w:lang w:val="en-AU"/>
        </w:rPr>
        <w:t>he formats used for PCR enhance fidelity, such as the use of nested, or hemi-nested PCR formats, or formats t</w:t>
      </w:r>
      <w:r w:rsidR="008E3B87">
        <w:rPr>
          <w:lang w:val="en-AU"/>
        </w:rPr>
        <w:t>hat include binding of a target-</w:t>
      </w:r>
      <w:r w:rsidRPr="00B5211D">
        <w:rPr>
          <w:lang w:val="en-AU"/>
        </w:rPr>
        <w:t>specific probe, potentially boost</w:t>
      </w:r>
      <w:r w:rsidR="00E817ED">
        <w:rPr>
          <w:lang w:val="en-AU"/>
        </w:rPr>
        <w:t>s</w:t>
      </w:r>
      <w:r w:rsidRPr="00B5211D">
        <w:rPr>
          <w:lang w:val="en-AU"/>
        </w:rPr>
        <w:t xml:space="preserve"> specificity. The use of multiple gene targets within the same test, or reflex testing of positives samples with a second PCR test using a different gene target also increases specificity. </w:t>
      </w:r>
      <w:r w:rsidRPr="00535BFC">
        <w:rPr>
          <w:lang w:val="en-AU"/>
        </w:rPr>
        <w:t xml:space="preserve">Cumulatively, all these factors contribute to </w:t>
      </w:r>
      <w:r>
        <w:rPr>
          <w:lang w:val="en-AU"/>
        </w:rPr>
        <w:t xml:space="preserve">high </w:t>
      </w:r>
      <w:r w:rsidRPr="00535BFC">
        <w:rPr>
          <w:lang w:val="en-AU"/>
        </w:rPr>
        <w:t xml:space="preserve">specificity and make PCR assays the highest fidelity assays used in </w:t>
      </w:r>
      <w:r w:rsidR="008E3B87">
        <w:rPr>
          <w:lang w:val="en-AU"/>
        </w:rPr>
        <w:t>infectious disease diagnostics.</w:t>
      </w:r>
      <w:r w:rsidRPr="00DD1C2F">
        <w:rPr>
          <w:lang w:val="en-AU"/>
        </w:rPr>
        <w:t xml:space="preserve"> </w:t>
      </w:r>
      <w:r w:rsidR="003067F5">
        <w:rPr>
          <w:lang w:val="en-AU"/>
        </w:rPr>
        <w:t xml:space="preserve">Although </w:t>
      </w:r>
      <w:r w:rsidR="003067F5" w:rsidRPr="003067F5">
        <w:rPr>
          <w:lang w:val="en-AU"/>
        </w:rPr>
        <w:t xml:space="preserve">PCR tests are the most accurate tests for detection of SARS-CoV-2, no test has 100% sensitivity or specificity in all clinical circumstances.  </w:t>
      </w:r>
    </w:p>
    <w:p w14:paraId="11EE26B4" w14:textId="7ECF48E9" w:rsidR="00A77509" w:rsidRDefault="002A6AE2" w:rsidP="00E720C7">
      <w:pPr>
        <w:rPr>
          <w:lang w:val="en-AU"/>
        </w:rPr>
      </w:pPr>
      <w:r w:rsidRPr="00DD1C2F">
        <w:rPr>
          <w:lang w:val="en-AU"/>
        </w:rPr>
        <w:t>Australian laboratories performing NAT are required to</w:t>
      </w:r>
      <w:r w:rsidR="00A77509">
        <w:rPr>
          <w:lang w:val="en-AU"/>
        </w:rPr>
        <w:t>:</w:t>
      </w:r>
    </w:p>
    <w:p w14:paraId="784F7522" w14:textId="712D0F3F" w:rsidR="00A77509" w:rsidRDefault="002A6AE2" w:rsidP="0032721D">
      <w:pPr>
        <w:pStyle w:val="ListParagraph"/>
        <w:numPr>
          <w:ilvl w:val="0"/>
          <w:numId w:val="33"/>
        </w:numPr>
        <w:ind w:left="284" w:hanging="284"/>
        <w:rPr>
          <w:rFonts w:cstheme="minorHAnsi"/>
        </w:rPr>
      </w:pPr>
      <w:r w:rsidRPr="0032721D">
        <w:rPr>
          <w:lang w:val="en-AU"/>
        </w:rPr>
        <w:t xml:space="preserve">implement the National Pathology Accreditation Advisory Council’s </w:t>
      </w:r>
      <w:r w:rsidR="00DD03CA" w:rsidRPr="0032721D">
        <w:rPr>
          <w:lang w:val="en-AU"/>
        </w:rPr>
        <w:t xml:space="preserve">(NPAAC) </w:t>
      </w:r>
      <w:r w:rsidRPr="0032721D">
        <w:rPr>
          <w:lang w:val="en-AU"/>
        </w:rPr>
        <w:t>Requirements for Medical Testing of Microbial Nucleic Acids quality framework</w:t>
      </w:r>
      <w:r w:rsidR="00E817ED">
        <w:rPr>
          <w:lang w:val="en-AU"/>
        </w:rPr>
        <w:t>. This</w:t>
      </w:r>
      <w:r w:rsidRPr="0032721D">
        <w:rPr>
          <w:lang w:val="en-AU"/>
        </w:rPr>
        <w:t xml:space="preserve"> includes procedures to minimise the risk of false positive and false negative tests, </w:t>
      </w:r>
    </w:p>
    <w:p w14:paraId="1B4D8237" w14:textId="479D61DE" w:rsidR="00A77509" w:rsidRDefault="002A6AE2" w:rsidP="0032721D">
      <w:pPr>
        <w:pStyle w:val="ListParagraph"/>
        <w:numPr>
          <w:ilvl w:val="0"/>
          <w:numId w:val="33"/>
        </w:numPr>
        <w:ind w:left="284" w:hanging="284"/>
        <w:rPr>
          <w:rFonts w:cstheme="minorHAnsi"/>
        </w:rPr>
      </w:pPr>
      <w:r w:rsidRPr="0032721D">
        <w:rPr>
          <w:rFonts w:cstheme="minorHAnsi"/>
        </w:rPr>
        <w:t xml:space="preserve">document procedures for reviewing suspected incorrect results, and </w:t>
      </w:r>
    </w:p>
    <w:p w14:paraId="07894696" w14:textId="4A6A424C" w:rsidR="002A6AE2" w:rsidRPr="0032721D" w:rsidRDefault="002A6AE2" w:rsidP="0032721D">
      <w:pPr>
        <w:pStyle w:val="ListParagraph"/>
        <w:numPr>
          <w:ilvl w:val="0"/>
          <w:numId w:val="33"/>
        </w:numPr>
        <w:ind w:left="284" w:hanging="284"/>
        <w:rPr>
          <w:rFonts w:cstheme="minorHAnsi"/>
        </w:rPr>
      </w:pPr>
      <w:r w:rsidRPr="0032721D">
        <w:rPr>
          <w:rFonts w:cstheme="minorHAnsi"/>
        </w:rPr>
        <w:t>retain records documenting contamination includ</w:t>
      </w:r>
      <w:r w:rsidR="00E817ED">
        <w:rPr>
          <w:rFonts w:cstheme="minorHAnsi"/>
        </w:rPr>
        <w:t>ing</w:t>
      </w:r>
      <w:r w:rsidRPr="0032721D">
        <w:rPr>
          <w:rFonts w:cstheme="minorHAnsi"/>
        </w:rPr>
        <w:t xml:space="preserve"> the identified source of contamination (if known), and measures taken to reduce the risk of such events in the future. </w:t>
      </w:r>
    </w:p>
    <w:p w14:paraId="2A79C929" w14:textId="1323D80A" w:rsidR="00866B1A" w:rsidRPr="00866B1A" w:rsidRDefault="00866B1A" w:rsidP="00866B1A">
      <w:pPr>
        <w:rPr>
          <w:rFonts w:cstheme="minorHAnsi"/>
        </w:rPr>
      </w:pPr>
      <w:r w:rsidRPr="00866B1A">
        <w:rPr>
          <w:rFonts w:cstheme="minorHAnsi"/>
        </w:rPr>
        <w:t>Analytical accuracy of the PCR</w:t>
      </w:r>
      <w:r>
        <w:rPr>
          <w:rFonts w:cstheme="minorHAnsi"/>
        </w:rPr>
        <w:t xml:space="preserve"> is therefore very high but c</w:t>
      </w:r>
      <w:r w:rsidRPr="00866B1A">
        <w:rPr>
          <w:rFonts w:cstheme="minorHAnsi"/>
        </w:rPr>
        <w:t>linical accuracy of the PCR is a function of the prevalence of SARS-CoV-2 in the population being tested.</w:t>
      </w:r>
      <w:r w:rsidR="0032721D">
        <w:rPr>
          <w:rFonts w:cstheme="minorHAnsi"/>
        </w:rPr>
        <w:t xml:space="preserve"> </w:t>
      </w:r>
      <w:r w:rsidR="0032721D" w:rsidRPr="0032721D">
        <w:rPr>
          <w:rFonts w:cstheme="minorHAnsi"/>
        </w:rPr>
        <w:t>A higher prevalence of SARS-COV-2 in the population, increases the pretest probability and the likelihood for detecting SARS-COV-2 RNA. This is reflected in a higher positive predictive value for the test</w:t>
      </w:r>
      <w:r w:rsidR="000A16A1">
        <w:rPr>
          <w:rFonts w:cstheme="minorHAnsi"/>
        </w:rPr>
        <w:t>.</w:t>
      </w:r>
      <w:r w:rsidRPr="00866B1A">
        <w:rPr>
          <w:rFonts w:cstheme="minorHAnsi"/>
        </w:rPr>
        <w:t xml:space="preserve"> Conversely, even a very specific test will have a reduced positive predictive value if the population being tested has a very low prevalence of SARS-CoV-2. For example, if a test with a specificity of 99% is used to test symptomatic passengers on a cruise ship </w:t>
      </w:r>
      <w:r w:rsidRPr="00866B1A">
        <w:rPr>
          <w:rFonts w:cstheme="minorHAnsi"/>
        </w:rPr>
        <w:lastRenderedPageBreak/>
        <w:t xml:space="preserve">where the likelihood of infection is 50%, the positive predictive value is 99% (i.e. for every 100 people with a positive test result, 99 people will have SARS-CoV-2 infection but 1 person without infection will have a false positive result). However, using the same test, if a low risk asymptomatic population is tested where the likelihood of infection is 5 in 10,000 (i.e. 0.05%), the positive predictive value is 4.3% (i.e. for every 100 people with a positive test result, four to five will have SARS-CoV-2 infection but 95-96 people without infection will have a false positive result). </w:t>
      </w:r>
    </w:p>
    <w:p w14:paraId="785D67CA" w14:textId="77777777" w:rsidR="00866B1A" w:rsidRPr="002A6AE2" w:rsidRDefault="00866B1A" w:rsidP="00866B1A">
      <w:pPr>
        <w:rPr>
          <w:rFonts w:cstheme="minorHAnsi"/>
        </w:rPr>
      </w:pPr>
      <w:r w:rsidRPr="00866B1A">
        <w:rPr>
          <w:rFonts w:cstheme="minorHAnsi"/>
        </w:rPr>
        <w:t xml:space="preserve">The SARS-CoV-2 RT-PCR tests used in Australia have very high specificities and the strategy of using a second </w:t>
      </w:r>
      <w:r w:rsidR="007319C1">
        <w:rPr>
          <w:rFonts w:cstheme="minorHAnsi"/>
        </w:rPr>
        <w:t>and/</w:t>
      </w:r>
      <w:r w:rsidRPr="00866B1A">
        <w:rPr>
          <w:rFonts w:cstheme="minorHAnsi"/>
        </w:rPr>
        <w:t xml:space="preserve">or third SARS-CoV-2 PCR assay with different gene targets increases the specificity of the PCR even further. </w:t>
      </w:r>
      <w:r w:rsidR="007319C1">
        <w:rPr>
          <w:rFonts w:cstheme="minorHAnsi"/>
        </w:rPr>
        <w:t xml:space="preserve">The combined </w:t>
      </w:r>
      <w:r w:rsidR="00F65532" w:rsidRPr="00F65532">
        <w:rPr>
          <w:rFonts w:cstheme="minorHAnsi"/>
        </w:rPr>
        <w:t xml:space="preserve">SARS-CoV-2 PCR testing </w:t>
      </w:r>
      <w:r w:rsidR="007319C1">
        <w:rPr>
          <w:rFonts w:cstheme="minorHAnsi"/>
        </w:rPr>
        <w:t>experience of the PHLN laboratories is that the false positive rate</w:t>
      </w:r>
      <w:r w:rsidR="00F65532">
        <w:rPr>
          <w:rFonts w:cstheme="minorHAnsi"/>
        </w:rPr>
        <w:t xml:space="preserve"> </w:t>
      </w:r>
      <w:r w:rsidR="007319C1">
        <w:rPr>
          <w:rFonts w:cstheme="minorHAnsi"/>
        </w:rPr>
        <w:t xml:space="preserve">is extremely low. </w:t>
      </w:r>
    </w:p>
    <w:p w14:paraId="36A80E96" w14:textId="77777777" w:rsidR="00D87721" w:rsidRPr="00D87721" w:rsidRDefault="00D87721" w:rsidP="00E720C7">
      <w:pPr>
        <w:rPr>
          <w:lang w:val="en-AU"/>
        </w:rPr>
      </w:pPr>
      <w:r w:rsidRPr="00D87721">
        <w:rPr>
          <w:lang w:val="en-AU"/>
        </w:rPr>
        <w:t>Test performance can be measured by</w:t>
      </w:r>
      <w:r w:rsidR="006B5D36">
        <w:rPr>
          <w:lang w:val="en-AU"/>
        </w:rPr>
        <w:t>:</w:t>
      </w:r>
    </w:p>
    <w:p w14:paraId="68445F2A" w14:textId="6123C089" w:rsidR="00D87721" w:rsidRPr="006B5D36" w:rsidRDefault="000A16A1" w:rsidP="006B5D36">
      <w:pPr>
        <w:pStyle w:val="ListParagraph"/>
        <w:numPr>
          <w:ilvl w:val="0"/>
          <w:numId w:val="25"/>
        </w:numPr>
        <w:rPr>
          <w:lang w:val="en-AU"/>
        </w:rPr>
      </w:pPr>
      <w:r>
        <w:rPr>
          <w:lang w:val="en-AU"/>
        </w:rPr>
        <w:t>A</w:t>
      </w:r>
      <w:r w:rsidR="00D87721" w:rsidRPr="006B5D36">
        <w:rPr>
          <w:lang w:val="en-AU"/>
        </w:rPr>
        <w:t>nalytical sensitivity (the ability of the test to detect a pathogen when it is present)</w:t>
      </w:r>
      <w:r>
        <w:rPr>
          <w:lang w:val="en-AU"/>
        </w:rPr>
        <w:t>.</w:t>
      </w:r>
    </w:p>
    <w:p w14:paraId="2203C3D3" w14:textId="339E3DDC" w:rsidR="00D87721" w:rsidRPr="006B5D36" w:rsidRDefault="000A16A1" w:rsidP="006B5D36">
      <w:pPr>
        <w:pStyle w:val="ListParagraph"/>
        <w:numPr>
          <w:ilvl w:val="0"/>
          <w:numId w:val="25"/>
        </w:numPr>
        <w:rPr>
          <w:lang w:val="en-AU"/>
        </w:rPr>
      </w:pPr>
      <w:r>
        <w:rPr>
          <w:lang w:val="en-AU"/>
        </w:rPr>
        <w:t>A</w:t>
      </w:r>
      <w:r w:rsidR="00D87721" w:rsidRPr="006B5D36">
        <w:rPr>
          <w:lang w:val="en-AU"/>
        </w:rPr>
        <w:t>nalytical specificity (the ability of a test to be negative when a pathogen is not present)</w:t>
      </w:r>
      <w:r>
        <w:rPr>
          <w:lang w:val="en-AU"/>
        </w:rPr>
        <w:t>.</w:t>
      </w:r>
    </w:p>
    <w:p w14:paraId="057C28E8" w14:textId="58B7DE96" w:rsidR="00D87721" w:rsidRPr="006B5D36" w:rsidRDefault="000A16A1" w:rsidP="006B5D36">
      <w:pPr>
        <w:pStyle w:val="ListParagraph"/>
        <w:numPr>
          <w:ilvl w:val="0"/>
          <w:numId w:val="25"/>
        </w:numPr>
        <w:rPr>
          <w:lang w:val="en-AU"/>
        </w:rPr>
      </w:pPr>
      <w:r>
        <w:rPr>
          <w:lang w:val="en-AU"/>
        </w:rPr>
        <w:t>C</w:t>
      </w:r>
      <w:r w:rsidR="00D87721" w:rsidRPr="006B5D36">
        <w:rPr>
          <w:lang w:val="en-AU"/>
        </w:rPr>
        <w:t>linical sensitivity (the proportion of people with infection who will have a positive test)</w:t>
      </w:r>
      <w:r>
        <w:rPr>
          <w:lang w:val="en-AU"/>
        </w:rPr>
        <w:t>.</w:t>
      </w:r>
    </w:p>
    <w:p w14:paraId="073A090D" w14:textId="20E30D24" w:rsidR="00D87721" w:rsidRPr="006B5D36" w:rsidRDefault="000A16A1" w:rsidP="006B5D36">
      <w:pPr>
        <w:pStyle w:val="ListParagraph"/>
        <w:numPr>
          <w:ilvl w:val="0"/>
          <w:numId w:val="25"/>
        </w:numPr>
        <w:rPr>
          <w:lang w:val="en-AU"/>
        </w:rPr>
      </w:pPr>
      <w:r>
        <w:rPr>
          <w:lang w:val="en-AU"/>
        </w:rPr>
        <w:t>C</w:t>
      </w:r>
      <w:r w:rsidR="00D87721" w:rsidRPr="006B5D36">
        <w:rPr>
          <w:lang w:val="en-AU"/>
        </w:rPr>
        <w:t>linical specificity (the proportion of people without the infection who will have a negative test)</w:t>
      </w:r>
      <w:r>
        <w:rPr>
          <w:lang w:val="en-AU"/>
        </w:rPr>
        <w:t>.</w:t>
      </w:r>
      <w:r w:rsidR="00D87721" w:rsidRPr="006B5D36">
        <w:rPr>
          <w:lang w:val="en-AU"/>
        </w:rPr>
        <w:t xml:space="preserve"> </w:t>
      </w:r>
    </w:p>
    <w:p w14:paraId="5A09E0A3" w14:textId="77777777" w:rsidR="005247D8" w:rsidRPr="00487316" w:rsidRDefault="005247D8" w:rsidP="00D60DD5">
      <w:pPr>
        <w:pStyle w:val="Heading2"/>
        <w:rPr>
          <w:lang w:val="en-AU"/>
        </w:rPr>
      </w:pPr>
      <w:r w:rsidRPr="00487316">
        <w:rPr>
          <w:lang w:val="en-AU"/>
        </w:rPr>
        <w:t>Clinical sensitivity</w:t>
      </w:r>
    </w:p>
    <w:p w14:paraId="47FBA388" w14:textId="365DBB37" w:rsidR="000B49BA" w:rsidRPr="000B49BA" w:rsidRDefault="000B49BA" w:rsidP="00E720C7">
      <w:pPr>
        <w:rPr>
          <w:lang w:val="en-AU"/>
        </w:rPr>
      </w:pPr>
      <w:r w:rsidRPr="000B49BA">
        <w:rPr>
          <w:lang w:val="en-AU"/>
        </w:rPr>
        <w:t xml:space="preserve">All PCR tests have a </w:t>
      </w:r>
      <w:r w:rsidR="003067F5">
        <w:rPr>
          <w:lang w:val="en-AU"/>
        </w:rPr>
        <w:t xml:space="preserve">lower </w:t>
      </w:r>
      <w:r w:rsidRPr="000B49BA">
        <w:rPr>
          <w:lang w:val="en-AU"/>
        </w:rPr>
        <w:t xml:space="preserve">limit of detection for </w:t>
      </w:r>
      <w:r w:rsidR="00092060" w:rsidRPr="00092060">
        <w:rPr>
          <w:lang w:val="en-AU"/>
        </w:rPr>
        <w:t>SARS-CoV-2</w:t>
      </w:r>
      <w:r w:rsidRPr="000B49BA">
        <w:rPr>
          <w:lang w:val="en-AU"/>
        </w:rPr>
        <w:t>, below which the</w:t>
      </w:r>
      <w:r w:rsidR="005247D8">
        <w:rPr>
          <w:lang w:val="en-AU"/>
        </w:rPr>
        <w:t xml:space="preserve">y will return a negative result.  </w:t>
      </w:r>
      <w:r w:rsidR="00092060">
        <w:rPr>
          <w:lang w:val="en-AU"/>
        </w:rPr>
        <w:t>T</w:t>
      </w:r>
      <w:r w:rsidRPr="000B49BA">
        <w:rPr>
          <w:lang w:val="en-AU"/>
        </w:rPr>
        <w:t xml:space="preserve">he amount of virus in </w:t>
      </w:r>
      <w:r w:rsidR="00EE1514">
        <w:rPr>
          <w:lang w:val="en-AU"/>
        </w:rPr>
        <w:t>a SARS-CoV-2 infected</w:t>
      </w:r>
      <w:r w:rsidRPr="000B49BA">
        <w:rPr>
          <w:lang w:val="en-AU"/>
        </w:rPr>
        <w:t xml:space="preserve"> patient’s </w:t>
      </w:r>
      <w:r w:rsidR="00092060">
        <w:rPr>
          <w:lang w:val="en-AU"/>
        </w:rPr>
        <w:t xml:space="preserve">upper </w:t>
      </w:r>
      <w:r w:rsidRPr="000B49BA">
        <w:rPr>
          <w:lang w:val="en-AU"/>
        </w:rPr>
        <w:t xml:space="preserve">respiratory tract increases </w:t>
      </w:r>
      <w:r w:rsidR="00092060">
        <w:rPr>
          <w:lang w:val="en-AU"/>
        </w:rPr>
        <w:t xml:space="preserve">over several days before symptom onset </w:t>
      </w:r>
      <w:r w:rsidRPr="000B49BA">
        <w:rPr>
          <w:lang w:val="en-AU"/>
        </w:rPr>
        <w:t xml:space="preserve">to </w:t>
      </w:r>
      <w:r w:rsidR="003067F5">
        <w:rPr>
          <w:lang w:val="en-AU"/>
        </w:rPr>
        <w:t>peak</w:t>
      </w:r>
      <w:r w:rsidRPr="000B49BA">
        <w:rPr>
          <w:lang w:val="en-AU"/>
        </w:rPr>
        <w:t xml:space="preserve"> a</w:t>
      </w:r>
      <w:r w:rsidR="007E4B31">
        <w:rPr>
          <w:lang w:val="en-AU"/>
        </w:rPr>
        <w:t>round</w:t>
      </w:r>
      <w:r w:rsidRPr="000B49BA">
        <w:rPr>
          <w:lang w:val="en-AU"/>
        </w:rPr>
        <w:t xml:space="preserve"> the time</w:t>
      </w:r>
      <w:r w:rsidR="00092060">
        <w:rPr>
          <w:lang w:val="en-AU"/>
        </w:rPr>
        <w:t xml:space="preserve"> of COVID-19 illness</w:t>
      </w:r>
      <w:r w:rsidR="003067F5" w:rsidRPr="003067F5">
        <w:t xml:space="preserve"> </w:t>
      </w:r>
      <w:r w:rsidR="003067F5">
        <w:rPr>
          <w:lang w:val="en-AU"/>
        </w:rPr>
        <w:t>onset</w:t>
      </w:r>
      <w:r w:rsidR="00092060">
        <w:rPr>
          <w:lang w:val="en-AU"/>
        </w:rPr>
        <w:t xml:space="preserve">, </w:t>
      </w:r>
      <w:r w:rsidR="003067F5">
        <w:rPr>
          <w:lang w:val="en-AU"/>
        </w:rPr>
        <w:t xml:space="preserve">and then reduce </w:t>
      </w:r>
      <w:r w:rsidRPr="000B49BA">
        <w:rPr>
          <w:lang w:val="en-AU"/>
        </w:rPr>
        <w:t xml:space="preserve">through the first week of illness. </w:t>
      </w:r>
      <w:r w:rsidR="003067F5">
        <w:rPr>
          <w:lang w:val="en-AU"/>
        </w:rPr>
        <w:t xml:space="preserve">Upper respiratory tract specimens often </w:t>
      </w:r>
      <w:r w:rsidRPr="000B49BA">
        <w:rPr>
          <w:lang w:val="en-AU"/>
        </w:rPr>
        <w:t xml:space="preserve">become PCR negative toward the end of the first </w:t>
      </w:r>
      <w:r w:rsidR="00092060">
        <w:rPr>
          <w:lang w:val="en-AU"/>
        </w:rPr>
        <w:t xml:space="preserve">week of </w:t>
      </w:r>
      <w:r w:rsidR="003067F5">
        <w:rPr>
          <w:lang w:val="en-AU"/>
        </w:rPr>
        <w:t xml:space="preserve">COVID-19 </w:t>
      </w:r>
      <w:r w:rsidR="00092060">
        <w:rPr>
          <w:lang w:val="en-AU"/>
        </w:rPr>
        <w:t xml:space="preserve">illness, </w:t>
      </w:r>
      <w:r w:rsidR="003067F5">
        <w:rPr>
          <w:lang w:val="en-AU"/>
        </w:rPr>
        <w:t>but</w:t>
      </w:r>
      <w:r w:rsidR="00092060">
        <w:rPr>
          <w:lang w:val="en-AU"/>
        </w:rPr>
        <w:t xml:space="preserve"> some</w:t>
      </w:r>
      <w:r w:rsidRPr="000B49BA">
        <w:rPr>
          <w:lang w:val="en-AU"/>
        </w:rPr>
        <w:t xml:space="preserve"> </w:t>
      </w:r>
      <w:r w:rsidR="00092060">
        <w:rPr>
          <w:lang w:val="en-AU"/>
        </w:rPr>
        <w:t>remain</w:t>
      </w:r>
      <w:r w:rsidR="003067F5">
        <w:rPr>
          <w:lang w:val="en-AU"/>
        </w:rPr>
        <w:t xml:space="preserve"> </w:t>
      </w:r>
      <w:r w:rsidR="00092060">
        <w:rPr>
          <w:lang w:val="en-AU"/>
        </w:rPr>
        <w:t>PCR positive</w:t>
      </w:r>
      <w:r w:rsidRPr="000B49BA">
        <w:rPr>
          <w:lang w:val="en-AU"/>
        </w:rPr>
        <w:t xml:space="preserve"> for several more weeks</w:t>
      </w:r>
      <w:r w:rsidR="003067F5">
        <w:rPr>
          <w:lang w:val="en-AU"/>
        </w:rPr>
        <w:t xml:space="preserve"> and a few remain PCR positive,</w:t>
      </w:r>
      <w:r w:rsidR="003067F5" w:rsidRPr="003067F5">
        <w:t xml:space="preserve"> </w:t>
      </w:r>
      <w:r w:rsidR="003067F5" w:rsidRPr="003067F5">
        <w:rPr>
          <w:lang w:val="en-AU"/>
        </w:rPr>
        <w:t xml:space="preserve">usually </w:t>
      </w:r>
      <w:r w:rsidR="003067F5">
        <w:rPr>
          <w:lang w:val="en-AU"/>
        </w:rPr>
        <w:t xml:space="preserve">with high </w:t>
      </w:r>
      <w:r w:rsidR="00E34722" w:rsidRPr="00E34722">
        <w:rPr>
          <w:lang w:val="en-AU"/>
        </w:rPr>
        <w:t xml:space="preserve">cycle threshold (Ct) </w:t>
      </w:r>
      <w:r w:rsidR="003067F5">
        <w:rPr>
          <w:lang w:val="en-AU"/>
        </w:rPr>
        <w:t>values, for several months</w:t>
      </w:r>
      <w:r w:rsidR="00092060">
        <w:rPr>
          <w:lang w:val="en-AU"/>
        </w:rPr>
        <w:t xml:space="preserve">. </w:t>
      </w:r>
      <w:r w:rsidRPr="000B49BA">
        <w:rPr>
          <w:lang w:val="en-AU"/>
        </w:rPr>
        <w:t xml:space="preserve">Therefore a </w:t>
      </w:r>
      <w:r w:rsidR="003067F5">
        <w:rPr>
          <w:lang w:val="en-AU"/>
        </w:rPr>
        <w:t xml:space="preserve">SARS-CoV-2 </w:t>
      </w:r>
      <w:r w:rsidRPr="000B49BA">
        <w:rPr>
          <w:lang w:val="en-AU"/>
        </w:rPr>
        <w:t xml:space="preserve">PCR test can be negative despite a person </w:t>
      </w:r>
      <w:r w:rsidR="00092060">
        <w:rPr>
          <w:lang w:val="en-AU"/>
        </w:rPr>
        <w:t>being symptomatic with</w:t>
      </w:r>
      <w:r w:rsidRPr="000B49BA">
        <w:rPr>
          <w:lang w:val="en-AU"/>
        </w:rPr>
        <w:t xml:space="preserve"> COVID-19</w:t>
      </w:r>
      <w:r w:rsidR="00AB5E5C">
        <w:rPr>
          <w:lang w:val="en-AU"/>
        </w:rPr>
        <w:t xml:space="preserve"> and the longer into the illness</w:t>
      </w:r>
      <w:r w:rsidR="000A16A1">
        <w:rPr>
          <w:lang w:val="en-AU"/>
        </w:rPr>
        <w:t>,</w:t>
      </w:r>
      <w:r w:rsidRPr="000B49BA">
        <w:rPr>
          <w:lang w:val="en-AU"/>
        </w:rPr>
        <w:t xml:space="preserve"> the more likely the </w:t>
      </w:r>
      <w:r w:rsidR="00EE1514" w:rsidRPr="00EE1514">
        <w:rPr>
          <w:lang w:val="en-AU"/>
        </w:rPr>
        <w:t>SARS-CoV-2 PCR</w:t>
      </w:r>
      <w:r w:rsidRPr="000B49BA">
        <w:rPr>
          <w:lang w:val="en-AU"/>
        </w:rPr>
        <w:t xml:space="preserve"> will be negative.</w:t>
      </w:r>
      <w:r w:rsidR="00092060" w:rsidRPr="00092060">
        <w:t xml:space="preserve"> </w:t>
      </w:r>
      <w:r w:rsidR="00AB5E5C">
        <w:rPr>
          <w:lang w:val="en-AU"/>
        </w:rPr>
        <w:t>Also, w</w:t>
      </w:r>
      <w:r w:rsidR="00EE1514">
        <w:rPr>
          <w:lang w:val="en-AU"/>
        </w:rPr>
        <w:t xml:space="preserve">hen the amount of </w:t>
      </w:r>
      <w:r w:rsidR="00092060" w:rsidRPr="00092060">
        <w:rPr>
          <w:lang w:val="en-AU"/>
        </w:rPr>
        <w:t xml:space="preserve">virus in the sample </w:t>
      </w:r>
      <w:r w:rsidR="00EE1514">
        <w:rPr>
          <w:lang w:val="en-AU"/>
        </w:rPr>
        <w:t xml:space="preserve">is </w:t>
      </w:r>
      <w:r w:rsidR="00092060" w:rsidRPr="00092060">
        <w:rPr>
          <w:lang w:val="en-AU"/>
        </w:rPr>
        <w:t xml:space="preserve">near the limit of detection for the </w:t>
      </w:r>
      <w:r w:rsidR="00EE1514" w:rsidRPr="00EE1514">
        <w:rPr>
          <w:lang w:val="en-AU"/>
        </w:rPr>
        <w:t>SARS-CoV-2 RT-PCR</w:t>
      </w:r>
      <w:r w:rsidR="00AB5E5C">
        <w:rPr>
          <w:lang w:val="en-AU"/>
        </w:rPr>
        <w:t xml:space="preserve"> test</w:t>
      </w:r>
      <w:r w:rsidR="000A16A1">
        <w:rPr>
          <w:lang w:val="en-AU"/>
        </w:rPr>
        <w:t>,</w:t>
      </w:r>
      <w:r w:rsidR="00AB5E5C">
        <w:rPr>
          <w:lang w:val="en-AU"/>
        </w:rPr>
        <w:t xml:space="preserve"> the result is</w:t>
      </w:r>
      <w:r w:rsidR="00AB5E5C" w:rsidRPr="00AB5E5C">
        <w:rPr>
          <w:lang w:val="en-AU"/>
        </w:rPr>
        <w:t xml:space="preserve"> very dependent on the sampling site and technique</w:t>
      </w:r>
      <w:r w:rsidR="00AB5E5C">
        <w:rPr>
          <w:lang w:val="en-AU"/>
        </w:rPr>
        <w:t>. Therefore</w:t>
      </w:r>
      <w:r w:rsidR="0049304B">
        <w:rPr>
          <w:lang w:val="en-AU"/>
        </w:rPr>
        <w:t>,</w:t>
      </w:r>
      <w:r w:rsidR="00AB5E5C" w:rsidRPr="00AB5E5C">
        <w:rPr>
          <w:lang w:val="en-AU"/>
        </w:rPr>
        <w:t xml:space="preserve"> </w:t>
      </w:r>
      <w:r w:rsidR="00EE1514">
        <w:rPr>
          <w:lang w:val="en-AU"/>
        </w:rPr>
        <w:t xml:space="preserve">either </w:t>
      </w:r>
      <w:r w:rsidR="00AB5E5C">
        <w:rPr>
          <w:lang w:val="en-AU"/>
        </w:rPr>
        <w:t xml:space="preserve">a </w:t>
      </w:r>
      <w:r w:rsidR="00EE1514">
        <w:rPr>
          <w:lang w:val="en-AU"/>
        </w:rPr>
        <w:t xml:space="preserve">positive, presumptive positive, indeterminate or </w:t>
      </w:r>
      <w:r w:rsidR="00092060" w:rsidRPr="00092060">
        <w:rPr>
          <w:lang w:val="en-AU"/>
        </w:rPr>
        <w:t>negative</w:t>
      </w:r>
      <w:r w:rsidR="00AB5E5C">
        <w:rPr>
          <w:lang w:val="en-AU"/>
        </w:rPr>
        <w:t xml:space="preserve"> result</w:t>
      </w:r>
      <w:r w:rsidR="00EE1514">
        <w:rPr>
          <w:lang w:val="en-AU"/>
        </w:rPr>
        <w:t xml:space="preserve"> can be recorded</w:t>
      </w:r>
      <w:r w:rsidR="00AB5E5C">
        <w:rPr>
          <w:lang w:val="en-AU"/>
        </w:rPr>
        <w:t xml:space="preserve"> for the sample</w:t>
      </w:r>
      <w:r w:rsidR="0049304B">
        <w:rPr>
          <w:lang w:val="en-AU"/>
        </w:rPr>
        <w:t>,</w:t>
      </w:r>
      <w:r w:rsidR="00AB5E5C">
        <w:rPr>
          <w:lang w:val="en-AU"/>
        </w:rPr>
        <w:t xml:space="preserve"> </w:t>
      </w:r>
      <w:r w:rsidR="0049304B">
        <w:rPr>
          <w:lang w:val="en-AU"/>
        </w:rPr>
        <w:t>or</w:t>
      </w:r>
      <w:r w:rsidR="00AB5E5C">
        <w:rPr>
          <w:lang w:val="en-AU"/>
        </w:rPr>
        <w:t xml:space="preserve"> differing </w:t>
      </w:r>
      <w:r w:rsidR="00EE1514" w:rsidRPr="00EE1514">
        <w:rPr>
          <w:lang w:val="en-AU"/>
        </w:rPr>
        <w:t xml:space="preserve">PCR </w:t>
      </w:r>
      <w:r w:rsidR="00EE1514">
        <w:rPr>
          <w:lang w:val="en-AU"/>
        </w:rPr>
        <w:t xml:space="preserve">results </w:t>
      </w:r>
      <w:r w:rsidR="00AB5E5C">
        <w:rPr>
          <w:lang w:val="en-AU"/>
        </w:rPr>
        <w:t xml:space="preserve">can be found </w:t>
      </w:r>
      <w:r w:rsidR="00EE1514">
        <w:rPr>
          <w:lang w:val="en-AU"/>
        </w:rPr>
        <w:t xml:space="preserve">between </w:t>
      </w:r>
      <w:r w:rsidR="00AB5E5C">
        <w:rPr>
          <w:lang w:val="en-AU"/>
        </w:rPr>
        <w:t xml:space="preserve">different </w:t>
      </w:r>
      <w:r w:rsidR="00EE1514">
        <w:rPr>
          <w:lang w:val="en-AU"/>
        </w:rPr>
        <w:t>samples</w:t>
      </w:r>
      <w:r w:rsidR="00AB5E5C">
        <w:rPr>
          <w:lang w:val="en-AU"/>
        </w:rPr>
        <w:t>.</w:t>
      </w:r>
    </w:p>
    <w:p w14:paraId="4F449C01" w14:textId="77777777" w:rsidR="00817E58" w:rsidRPr="00D60DD5" w:rsidRDefault="00866B1A" w:rsidP="00D60DD5">
      <w:pPr>
        <w:pStyle w:val="Heading2"/>
      </w:pPr>
      <w:r w:rsidRPr="00D60DD5">
        <w:t>False negative and false pos</w:t>
      </w:r>
      <w:r w:rsidR="00D24591" w:rsidRPr="00D60DD5">
        <w:t>itive SARS-CoV-2 RT-PCR results</w:t>
      </w:r>
    </w:p>
    <w:p w14:paraId="1621B559" w14:textId="77AD7D13" w:rsidR="00A77509" w:rsidRDefault="002A6AE2" w:rsidP="00E720C7">
      <w:pPr>
        <w:rPr>
          <w:lang w:val="en-AU"/>
        </w:rPr>
      </w:pPr>
      <w:r w:rsidRPr="00817E58">
        <w:rPr>
          <w:lang w:val="en-AU"/>
        </w:rPr>
        <w:t>PHLN emphasises the likelihood of false positive and false negative results occurring is very low</w:t>
      </w:r>
      <w:r w:rsidR="00D24591">
        <w:rPr>
          <w:lang w:val="en-AU"/>
        </w:rPr>
        <w:t>.</w:t>
      </w:r>
      <w:r w:rsidR="00D24591">
        <w:t xml:space="preserve">  </w:t>
      </w:r>
      <w:r w:rsidR="00AC4DBA" w:rsidRPr="00AC4DBA">
        <w:rPr>
          <w:lang w:val="en-AU"/>
        </w:rPr>
        <w:t>Within the laboratory</w:t>
      </w:r>
      <w:r w:rsidR="00F9510B">
        <w:rPr>
          <w:lang w:val="en-AU"/>
        </w:rPr>
        <w:t>,</w:t>
      </w:r>
      <w:r w:rsidR="00AC4DBA" w:rsidRPr="00AC4DBA">
        <w:rPr>
          <w:lang w:val="en-AU"/>
        </w:rPr>
        <w:t xml:space="preserve"> false positive and false negative results may not always be easily identified, and laboratory staff, clinicians and/or public health physicians should remain vigilant. Indicators of false positive and false negative results include</w:t>
      </w:r>
      <w:r w:rsidR="00A77509">
        <w:rPr>
          <w:lang w:val="en-AU"/>
        </w:rPr>
        <w:t>:</w:t>
      </w:r>
    </w:p>
    <w:p w14:paraId="2636C8C9" w14:textId="55A43B23" w:rsidR="00A77509" w:rsidRPr="003B1469" w:rsidRDefault="00AC4DBA" w:rsidP="003B1469">
      <w:pPr>
        <w:pStyle w:val="ListParagraph"/>
        <w:numPr>
          <w:ilvl w:val="0"/>
          <w:numId w:val="34"/>
        </w:numPr>
        <w:ind w:left="284" w:hanging="284"/>
      </w:pPr>
      <w:r w:rsidRPr="003B1469">
        <w:rPr>
          <w:lang w:val="en-AU"/>
        </w:rPr>
        <w:t>discrepant clinico-epidemiological findings</w:t>
      </w:r>
      <w:r w:rsidR="00F9510B">
        <w:rPr>
          <w:lang w:val="en-AU"/>
        </w:rPr>
        <w:t>;</w:t>
      </w:r>
      <w:r w:rsidRPr="003B1469">
        <w:rPr>
          <w:lang w:val="en-AU"/>
        </w:rPr>
        <w:t xml:space="preserve"> </w:t>
      </w:r>
    </w:p>
    <w:p w14:paraId="1EC19C5D" w14:textId="187D83A9" w:rsidR="00A77509" w:rsidRPr="003B1469" w:rsidRDefault="00AC4DBA" w:rsidP="003B1469">
      <w:pPr>
        <w:pStyle w:val="ListParagraph"/>
        <w:numPr>
          <w:ilvl w:val="0"/>
          <w:numId w:val="34"/>
        </w:numPr>
        <w:ind w:left="284" w:hanging="284"/>
      </w:pPr>
      <w:r w:rsidRPr="003B1469">
        <w:rPr>
          <w:lang w:val="en-AU"/>
        </w:rPr>
        <w:t>unexpected laboratory results (such as when an entire batch of or consecutive samples test positive)</w:t>
      </w:r>
      <w:r w:rsidR="00F9510B">
        <w:rPr>
          <w:lang w:val="en-AU"/>
        </w:rPr>
        <w:t>;</w:t>
      </w:r>
    </w:p>
    <w:p w14:paraId="0498715B" w14:textId="401C4F0D" w:rsidR="00A77509" w:rsidRPr="003B1469" w:rsidRDefault="00AC4DBA" w:rsidP="003B1469">
      <w:pPr>
        <w:pStyle w:val="ListParagraph"/>
        <w:numPr>
          <w:ilvl w:val="0"/>
          <w:numId w:val="34"/>
        </w:numPr>
        <w:ind w:left="284" w:hanging="284"/>
      </w:pPr>
      <w:r w:rsidRPr="003B1469">
        <w:rPr>
          <w:lang w:val="en-AU"/>
        </w:rPr>
        <w:t>erroneous results from external quality assurance programs</w:t>
      </w:r>
      <w:r w:rsidR="00F9510B">
        <w:rPr>
          <w:lang w:val="en-AU"/>
        </w:rPr>
        <w:t>;</w:t>
      </w:r>
    </w:p>
    <w:p w14:paraId="6741742B" w14:textId="191186D5" w:rsidR="00A77509" w:rsidRPr="003B1469" w:rsidRDefault="00AC4DBA" w:rsidP="003B1469">
      <w:pPr>
        <w:pStyle w:val="ListParagraph"/>
        <w:numPr>
          <w:ilvl w:val="0"/>
          <w:numId w:val="34"/>
        </w:numPr>
        <w:ind w:left="284" w:hanging="284"/>
      </w:pPr>
      <w:r w:rsidRPr="003B1469">
        <w:rPr>
          <w:lang w:val="en-AU"/>
        </w:rPr>
        <w:t>warnings from diagnostic companies about potential contaminated assays or reagents</w:t>
      </w:r>
      <w:r w:rsidR="00F9510B">
        <w:rPr>
          <w:lang w:val="en-AU"/>
        </w:rPr>
        <w:t>;</w:t>
      </w:r>
      <w:r w:rsidRPr="003B1469">
        <w:rPr>
          <w:lang w:val="en-AU"/>
        </w:rPr>
        <w:t xml:space="preserve"> or </w:t>
      </w:r>
    </w:p>
    <w:p w14:paraId="551273BB" w14:textId="77777777" w:rsidR="002A6AE2" w:rsidRPr="00D24591" w:rsidRDefault="00AC4DBA" w:rsidP="003B1469">
      <w:pPr>
        <w:pStyle w:val="ListParagraph"/>
        <w:numPr>
          <w:ilvl w:val="0"/>
          <w:numId w:val="34"/>
        </w:numPr>
        <w:ind w:left="284" w:hanging="284"/>
      </w:pPr>
      <w:r w:rsidRPr="003B1469">
        <w:rPr>
          <w:lang w:val="en-AU"/>
        </w:rPr>
        <w:t>when supplemental NATs or other diagnostics tests such as genomic sequencing or serology do not concur with the initial NAT result.</w:t>
      </w:r>
    </w:p>
    <w:p w14:paraId="424FC24A" w14:textId="77777777" w:rsidR="00D24591" w:rsidRPr="00D60DD5" w:rsidRDefault="00D24591" w:rsidP="00D60DD5">
      <w:pPr>
        <w:pStyle w:val="Heading3"/>
      </w:pPr>
      <w:r w:rsidRPr="00D60DD5">
        <w:lastRenderedPageBreak/>
        <w:t>Causes of false positive and false negative SARS-CoV-2 RT-PCR results</w:t>
      </w:r>
    </w:p>
    <w:p w14:paraId="08DD7477" w14:textId="506E5C70" w:rsidR="00EC7F0B" w:rsidRDefault="00EC7F0B" w:rsidP="00EC7F0B">
      <w:pPr>
        <w:rPr>
          <w:lang w:val="en-AU"/>
        </w:rPr>
      </w:pPr>
      <w:r w:rsidRPr="009E0FD2">
        <w:rPr>
          <w:lang w:val="en-AU"/>
        </w:rPr>
        <w:t xml:space="preserve">Table 1 outlines the </w:t>
      </w:r>
      <w:r>
        <w:rPr>
          <w:lang w:val="en-AU"/>
        </w:rPr>
        <w:t>potential sources</w:t>
      </w:r>
      <w:r w:rsidRPr="009E0FD2">
        <w:rPr>
          <w:lang w:val="en-AU"/>
        </w:rPr>
        <w:t xml:space="preserve"> of false positive </w:t>
      </w:r>
      <w:r w:rsidR="00CB35CF">
        <w:rPr>
          <w:lang w:val="en-AU"/>
        </w:rPr>
        <w:t>and false negative SARS-CoV-2 RT-PCR results</w:t>
      </w:r>
      <w:r w:rsidR="00A77509">
        <w:rPr>
          <w:lang w:val="en-AU"/>
        </w:rPr>
        <w:t xml:space="preserve">. These </w:t>
      </w:r>
      <w:r w:rsidRPr="009E0FD2">
        <w:rPr>
          <w:lang w:val="en-AU"/>
        </w:rPr>
        <w:t>can be broadly separated into preanalytical (pre-test) factors, analytical (factors related to test performance such as false-positive reactive RT-PCR) and post-analytical (errors related to incorrect reporting of the result).</w:t>
      </w:r>
    </w:p>
    <w:p w14:paraId="0040B2EB" w14:textId="77777777" w:rsidR="000B49BA" w:rsidRPr="00CF6852" w:rsidRDefault="000B49BA" w:rsidP="00E720C7">
      <w:pPr>
        <w:rPr>
          <w:lang w:val="en-AU"/>
        </w:rPr>
      </w:pPr>
      <w:r>
        <w:rPr>
          <w:lang w:val="en-AU"/>
        </w:rPr>
        <w:t xml:space="preserve">The main reasons for </w:t>
      </w:r>
      <w:r w:rsidR="00956E3B">
        <w:rPr>
          <w:lang w:val="en-AU"/>
        </w:rPr>
        <w:t xml:space="preserve">false positive </w:t>
      </w:r>
      <w:r w:rsidR="00E34722">
        <w:rPr>
          <w:lang w:val="en-AU"/>
        </w:rPr>
        <w:t xml:space="preserve">and false negative </w:t>
      </w:r>
      <w:r w:rsidR="00956E3B">
        <w:rPr>
          <w:lang w:val="en-AU"/>
        </w:rPr>
        <w:t>results</w:t>
      </w:r>
      <w:r w:rsidRPr="000B49BA">
        <w:t xml:space="preserve"> </w:t>
      </w:r>
      <w:r w:rsidRPr="00CF6852">
        <w:t>are:</w:t>
      </w:r>
    </w:p>
    <w:p w14:paraId="4D1C9393" w14:textId="34DD2455" w:rsidR="00B72DFC" w:rsidRPr="006B5D36" w:rsidRDefault="00F9510B" w:rsidP="00487316">
      <w:pPr>
        <w:pStyle w:val="ListParagraph"/>
        <w:numPr>
          <w:ilvl w:val="0"/>
          <w:numId w:val="28"/>
        </w:numPr>
        <w:rPr>
          <w:lang w:val="en-AU"/>
        </w:rPr>
      </w:pPr>
      <w:r>
        <w:rPr>
          <w:lang w:val="en-AU"/>
        </w:rPr>
        <w:t>L</w:t>
      </w:r>
      <w:r w:rsidR="000B49BA" w:rsidRPr="006B5D36">
        <w:rPr>
          <w:lang w:val="en-AU"/>
        </w:rPr>
        <w:t>aboratory error</w:t>
      </w:r>
      <w:r w:rsidR="00226D13" w:rsidRPr="006B5D36">
        <w:rPr>
          <w:lang w:val="en-AU"/>
        </w:rPr>
        <w:t xml:space="preserve"> resulting in a</w:t>
      </w:r>
      <w:r w:rsidR="00E34722">
        <w:rPr>
          <w:lang w:val="en-AU"/>
        </w:rPr>
        <w:t>n incorrect</w:t>
      </w:r>
      <w:r w:rsidR="00226D13" w:rsidRPr="006B5D36">
        <w:rPr>
          <w:lang w:val="en-AU"/>
        </w:rPr>
        <w:t xml:space="preserve"> PCR test</w:t>
      </w:r>
      <w:r w:rsidR="00956E3B" w:rsidRPr="006B5D36">
        <w:rPr>
          <w:lang w:val="en-AU"/>
        </w:rPr>
        <w:t xml:space="preserve"> </w:t>
      </w:r>
      <w:r w:rsidR="00E34722">
        <w:rPr>
          <w:lang w:val="en-AU"/>
        </w:rPr>
        <w:t>result</w:t>
      </w:r>
      <w:r w:rsidR="00226D13" w:rsidRPr="006B5D36">
        <w:rPr>
          <w:lang w:val="en-AU"/>
        </w:rPr>
        <w:t xml:space="preserve"> assigned to a person’s sample</w:t>
      </w:r>
      <w:r>
        <w:rPr>
          <w:lang w:val="en-AU"/>
        </w:rPr>
        <w:t>.</w:t>
      </w:r>
    </w:p>
    <w:p w14:paraId="5C563CB4" w14:textId="77777777" w:rsidR="000B49BA" w:rsidRPr="006B5D36" w:rsidRDefault="00956E3B" w:rsidP="00487316">
      <w:pPr>
        <w:pStyle w:val="ListParagraph"/>
        <w:numPr>
          <w:ilvl w:val="0"/>
          <w:numId w:val="28"/>
        </w:numPr>
        <w:rPr>
          <w:lang w:val="en-AU"/>
        </w:rPr>
      </w:pPr>
      <w:r w:rsidRPr="006B5D36">
        <w:rPr>
          <w:lang w:val="en-AU"/>
        </w:rPr>
        <w:t>Off-target (</w:t>
      </w:r>
      <w:r w:rsidR="000B49BA" w:rsidRPr="006B5D36">
        <w:rPr>
          <w:lang w:val="en-AU"/>
        </w:rPr>
        <w:t>non-specific</w:t>
      </w:r>
      <w:r w:rsidRPr="006B5D36">
        <w:rPr>
          <w:lang w:val="en-AU"/>
        </w:rPr>
        <w:t>)</w:t>
      </w:r>
      <w:r w:rsidR="000B49BA" w:rsidRPr="006B5D36">
        <w:rPr>
          <w:lang w:val="en-AU"/>
        </w:rPr>
        <w:t xml:space="preserve"> reactivity in the SARS-CoV-2 RT-PCR test</w:t>
      </w:r>
      <w:r w:rsidR="00226D13" w:rsidRPr="006B5D36">
        <w:rPr>
          <w:lang w:val="en-AU"/>
        </w:rPr>
        <w:t xml:space="preserve"> producing a falsely positive result for that person’s sample</w:t>
      </w:r>
      <w:r w:rsidR="00F9510B">
        <w:rPr>
          <w:lang w:val="en-AU"/>
        </w:rPr>
        <w:t>.</w:t>
      </w:r>
    </w:p>
    <w:p w14:paraId="50F73F8F" w14:textId="77777777" w:rsidR="002A6AE2" w:rsidRPr="006B5D36" w:rsidRDefault="002A6AE2" w:rsidP="00D60DD5">
      <w:pPr>
        <w:pStyle w:val="Heading4"/>
        <w:rPr>
          <w:lang w:val="en-AU"/>
        </w:rPr>
      </w:pPr>
      <w:r>
        <w:rPr>
          <w:lang w:val="en-AU"/>
        </w:rPr>
        <w:t xml:space="preserve">1. </w:t>
      </w:r>
      <w:r w:rsidRPr="006B5D36">
        <w:rPr>
          <w:lang w:val="en-AU"/>
        </w:rPr>
        <w:t xml:space="preserve">Laboratory Error </w:t>
      </w:r>
    </w:p>
    <w:p w14:paraId="384E40AB" w14:textId="22C79D15" w:rsidR="002A6AE2" w:rsidRPr="00DB0270" w:rsidRDefault="002A6AE2" w:rsidP="002A6AE2">
      <w:pPr>
        <w:rPr>
          <w:lang w:val="en-AU"/>
        </w:rPr>
      </w:pPr>
      <w:r w:rsidRPr="00DB0270">
        <w:rPr>
          <w:lang w:val="en-AU"/>
        </w:rPr>
        <w:t>Laboratory error does not vary with prevalence in the tested population, although it may increase with pressure on laboratories due to episodes of increased throughput. Such episodes may coincide with testing of large numbers of samples with low pre-test probability has occurred at some stages of the current COVID-19 pandemic. Common categories of laboratory error include: (a) clerical error (b) wrong sample tested (c) cross-contamination from positive samples (d) reagent contamination with amplicon.</w:t>
      </w:r>
    </w:p>
    <w:p w14:paraId="67D20F8C" w14:textId="77777777" w:rsidR="002A6AE2" w:rsidRPr="006B5D36" w:rsidRDefault="002A6AE2" w:rsidP="00D60DD5">
      <w:pPr>
        <w:pStyle w:val="Heading4"/>
        <w:rPr>
          <w:lang w:val="en-AU"/>
        </w:rPr>
      </w:pPr>
      <w:r>
        <w:rPr>
          <w:lang w:val="en-AU"/>
        </w:rPr>
        <w:t xml:space="preserve">2. </w:t>
      </w:r>
      <w:r w:rsidRPr="006B5D36">
        <w:rPr>
          <w:lang w:val="en-AU"/>
        </w:rPr>
        <w:t>Off-target test reactivity</w:t>
      </w:r>
    </w:p>
    <w:p w14:paraId="00AB5CC2" w14:textId="77777777" w:rsidR="00E34722" w:rsidRPr="002F07B7" w:rsidRDefault="00E34722" w:rsidP="00E34722">
      <w:pPr>
        <w:rPr>
          <w:lang w:val="en-AU"/>
        </w:rPr>
      </w:pPr>
      <w:r w:rsidRPr="009E0FD2">
        <w:rPr>
          <w:lang w:val="en-AU"/>
        </w:rPr>
        <w:t>Off-target reactivity is relatively uncommon but is an inherent characteristic of a PCR assay, the relative robustness or otherwise of assay design and of clinical implementation. Off-target reactivity may include (a) cross reaction with non-target genetic material, and (b) self-priming phenomena in the absence of target.</w:t>
      </w:r>
      <w:r w:rsidR="001B5190" w:rsidRPr="001B5190">
        <w:t xml:space="preserve"> </w:t>
      </w:r>
      <w:r w:rsidR="001B5190" w:rsidRPr="001B5190">
        <w:rPr>
          <w:lang w:val="en-AU"/>
        </w:rPr>
        <w:t xml:space="preserve">In some cases, it is difficult to confirm or exclude off-target reactivity, particularly in samples with high </w:t>
      </w:r>
      <w:r w:rsidR="001B5190">
        <w:rPr>
          <w:lang w:val="en-AU"/>
        </w:rPr>
        <w:t>Ct</w:t>
      </w:r>
      <w:r w:rsidR="001B5190" w:rsidRPr="001B5190">
        <w:rPr>
          <w:lang w:val="en-AU"/>
        </w:rPr>
        <w:t xml:space="preserve"> values.</w:t>
      </w:r>
    </w:p>
    <w:p w14:paraId="59163AB1" w14:textId="77777777" w:rsidR="002A6AE2" w:rsidRDefault="002A6AE2" w:rsidP="002A6AE2">
      <w:pPr>
        <w:rPr>
          <w:lang w:val="en-AU"/>
        </w:rPr>
      </w:pPr>
      <w:r w:rsidRPr="002F07B7">
        <w:rPr>
          <w:lang w:val="en-AU"/>
        </w:rPr>
        <w:t>A PCR reaction amplifies a highly specific target region of the SARS-CoV-2 genome. Each amplification</w:t>
      </w:r>
      <w:r w:rsidR="00E34722">
        <w:rPr>
          <w:lang w:val="en-AU"/>
        </w:rPr>
        <w:t xml:space="preserve"> reaction is known as a cycle, and usually </w:t>
      </w:r>
      <w:r w:rsidRPr="002F07B7">
        <w:rPr>
          <w:lang w:val="en-AU"/>
        </w:rPr>
        <w:t>35-45 cycles</w:t>
      </w:r>
      <w:r w:rsidR="00E34722">
        <w:rPr>
          <w:lang w:val="en-AU"/>
        </w:rPr>
        <w:t xml:space="preserve"> are undertaken. The Ct</w:t>
      </w:r>
      <w:r w:rsidRPr="002F07B7">
        <w:rPr>
          <w:lang w:val="en-AU"/>
        </w:rPr>
        <w:t xml:space="preserve"> value of a reaction is the cycle number when the fluorescence of a PCR product can be detected above the background signal (Figure 1). Whilst extending the number of cycles beyond 40 may increase the sensitivity of the assay</w:t>
      </w:r>
      <w:r w:rsidR="00F9510B">
        <w:rPr>
          <w:lang w:val="en-AU"/>
        </w:rPr>
        <w:t>,</w:t>
      </w:r>
      <w:r w:rsidRPr="002F07B7">
        <w:rPr>
          <w:lang w:val="en-AU"/>
        </w:rPr>
        <w:t xml:space="preserve"> it may also increase the risk of false positivity due to non-specific amplification. This may be identified by assessing the Ct value (usually high), shape of the amplification curve and/or performing a melt curve analysis</w:t>
      </w:r>
      <w:r w:rsidR="00F9510B">
        <w:rPr>
          <w:lang w:val="en-AU"/>
        </w:rPr>
        <w:t>.</w:t>
      </w:r>
    </w:p>
    <w:p w14:paraId="76270FBC" w14:textId="77777777" w:rsidR="002A6AE2" w:rsidRDefault="002A6AE2" w:rsidP="002A6AE2">
      <w:pPr>
        <w:rPr>
          <w:lang w:val="en-AU"/>
        </w:rPr>
      </w:pPr>
      <w:r>
        <w:rPr>
          <w:noProof/>
          <w:lang w:val="en-AU" w:eastAsia="en-AU"/>
        </w:rPr>
        <w:drawing>
          <wp:inline distT="0" distB="0" distL="0" distR="0" wp14:anchorId="65B22AAA" wp14:editId="3B3CEBD3">
            <wp:extent cx="2164080" cy="1487805"/>
            <wp:effectExtent l="0" t="0" r="7620" b="0"/>
            <wp:docPr id="2" name="Picture 2" descr="Typical amplification curve of a positive (detected)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4080" cy="1487805"/>
                    </a:xfrm>
                    <a:prstGeom prst="rect">
                      <a:avLst/>
                    </a:prstGeom>
                    <a:noFill/>
                  </pic:spPr>
                </pic:pic>
              </a:graphicData>
            </a:graphic>
          </wp:inline>
        </w:drawing>
      </w:r>
    </w:p>
    <w:p w14:paraId="539383B3" w14:textId="77777777" w:rsidR="002A6AE2" w:rsidRPr="00E720C7" w:rsidRDefault="002A6AE2" w:rsidP="002A6AE2">
      <w:pPr>
        <w:rPr>
          <w:b/>
          <w:sz w:val="16"/>
          <w:szCs w:val="16"/>
          <w:lang w:val="en-AU"/>
        </w:rPr>
      </w:pPr>
      <w:r w:rsidRPr="00E720C7">
        <w:rPr>
          <w:b/>
          <w:sz w:val="16"/>
          <w:szCs w:val="16"/>
          <w:lang w:val="en-AU"/>
        </w:rPr>
        <w:t>Figure 1: Typical amplification curve of a positive (detected) result</w:t>
      </w:r>
    </w:p>
    <w:p w14:paraId="21F2D2F1" w14:textId="77777777" w:rsidR="002A6AE2" w:rsidRDefault="002A6AE2" w:rsidP="002A6AE2">
      <w:pPr>
        <w:rPr>
          <w:lang w:val="en-AU"/>
        </w:rPr>
      </w:pPr>
      <w:r w:rsidRPr="002F07B7">
        <w:rPr>
          <w:lang w:val="en-AU"/>
        </w:rPr>
        <w:lastRenderedPageBreak/>
        <w:t xml:space="preserve">Commercial assays often have in-built analysis systems to interpret </w:t>
      </w:r>
      <w:r w:rsidR="00E34722">
        <w:rPr>
          <w:lang w:val="en-AU"/>
        </w:rPr>
        <w:t>the PCR result.</w:t>
      </w:r>
      <w:r w:rsidRPr="002F07B7">
        <w:rPr>
          <w:lang w:val="en-AU"/>
        </w:rPr>
        <w:t xml:space="preserve"> To comply with TGA requirements, the laboratory must report the results according to the </w:t>
      </w:r>
      <w:r w:rsidR="00E12F19">
        <w:rPr>
          <w:lang w:val="en-AU"/>
        </w:rPr>
        <w:t xml:space="preserve">commercial </w:t>
      </w:r>
      <w:r w:rsidRPr="002F07B7">
        <w:rPr>
          <w:lang w:val="en-AU"/>
        </w:rPr>
        <w:t>manufacturer’s recommendations.</w:t>
      </w:r>
      <w:r w:rsidR="00E05A2F">
        <w:rPr>
          <w:lang w:val="en-AU"/>
        </w:rPr>
        <w:t xml:space="preserve"> </w:t>
      </w:r>
      <w:r w:rsidR="00E05A2F" w:rsidRPr="001B5190">
        <w:rPr>
          <w:lang w:val="en-AU"/>
        </w:rPr>
        <w:t>For in-house assays, the parameters for determining a result have been determined by the laboratory through the assay deve</w:t>
      </w:r>
      <w:r w:rsidR="00E05A2F">
        <w:rPr>
          <w:lang w:val="en-AU"/>
        </w:rPr>
        <w:t>lopment and evaluation process.</w:t>
      </w:r>
    </w:p>
    <w:p w14:paraId="22F5A838" w14:textId="77777777" w:rsidR="00535BFC" w:rsidRPr="00D60DD5" w:rsidRDefault="00CD5159" w:rsidP="00D60DD5">
      <w:pPr>
        <w:pStyle w:val="Heading3"/>
        <w:rPr>
          <w:szCs w:val="22"/>
          <w:lang w:val="en-AU"/>
        </w:rPr>
      </w:pPr>
      <w:r w:rsidRPr="00D60DD5">
        <w:rPr>
          <w:lang w:val="en-AU"/>
        </w:rPr>
        <w:t>Recommend</w:t>
      </w:r>
      <w:r w:rsidR="00765E73" w:rsidRPr="00D60DD5">
        <w:rPr>
          <w:lang w:val="en-AU"/>
        </w:rPr>
        <w:t>ed</w:t>
      </w:r>
      <w:r w:rsidRPr="00D60DD5">
        <w:rPr>
          <w:lang w:val="en-AU"/>
        </w:rPr>
        <w:t xml:space="preserve"> mitigation strategies </w:t>
      </w:r>
      <w:r w:rsidR="0064762D" w:rsidRPr="00D60DD5">
        <w:rPr>
          <w:lang w:val="en-AU"/>
        </w:rPr>
        <w:t>to prevent</w:t>
      </w:r>
      <w:r w:rsidRPr="00D60DD5">
        <w:rPr>
          <w:lang w:val="en-AU"/>
        </w:rPr>
        <w:t xml:space="preserve"> false positive </w:t>
      </w:r>
      <w:r w:rsidR="00635C27" w:rsidRPr="00D60DD5">
        <w:rPr>
          <w:lang w:val="en-AU"/>
        </w:rPr>
        <w:t xml:space="preserve">and false negative </w:t>
      </w:r>
      <w:r w:rsidR="00346BAF" w:rsidRPr="00D60DD5">
        <w:rPr>
          <w:lang w:val="en-AU"/>
        </w:rPr>
        <w:t xml:space="preserve">PCR </w:t>
      </w:r>
      <w:r w:rsidRPr="00D60DD5">
        <w:rPr>
          <w:lang w:val="en-AU"/>
        </w:rPr>
        <w:t>results</w:t>
      </w:r>
    </w:p>
    <w:p w14:paraId="45432271" w14:textId="77777777" w:rsidR="009F2133" w:rsidRPr="002477E9" w:rsidRDefault="0057629B" w:rsidP="00E720C7">
      <w:pPr>
        <w:rPr>
          <w:lang w:val="en-AU"/>
        </w:rPr>
      </w:pPr>
      <w:r>
        <w:rPr>
          <w:lang w:val="en-AU"/>
        </w:rPr>
        <w:t>PHLN recommend</w:t>
      </w:r>
      <w:r w:rsidR="00CD5159">
        <w:rPr>
          <w:lang w:val="en-AU"/>
        </w:rPr>
        <w:t>s</w:t>
      </w:r>
      <w:r>
        <w:rPr>
          <w:lang w:val="en-AU"/>
        </w:rPr>
        <w:t xml:space="preserve"> </w:t>
      </w:r>
      <w:r w:rsidR="009F2133">
        <w:rPr>
          <w:lang w:val="en-AU"/>
        </w:rPr>
        <w:t xml:space="preserve">the below </w:t>
      </w:r>
      <w:r w:rsidR="00C9334E">
        <w:rPr>
          <w:lang w:val="en-AU"/>
        </w:rPr>
        <w:t xml:space="preserve">mitigation </w:t>
      </w:r>
      <w:r w:rsidR="009F2133">
        <w:rPr>
          <w:lang w:val="en-AU"/>
        </w:rPr>
        <w:t>strategies</w:t>
      </w:r>
      <w:r w:rsidR="002477E9">
        <w:rPr>
          <w:lang w:val="en-AU"/>
        </w:rPr>
        <w:t xml:space="preserve"> </w:t>
      </w:r>
      <w:r w:rsidR="00E15C7D">
        <w:rPr>
          <w:lang w:val="en-AU"/>
        </w:rPr>
        <w:t xml:space="preserve">in </w:t>
      </w:r>
      <w:r w:rsidR="00346BAF">
        <w:rPr>
          <w:lang w:val="en-AU"/>
        </w:rPr>
        <w:t>the laboratory setting</w:t>
      </w:r>
      <w:r w:rsidR="005447E7">
        <w:rPr>
          <w:lang w:val="en-AU"/>
        </w:rPr>
        <w:t xml:space="preserve"> </w:t>
      </w:r>
      <w:r w:rsidR="00B5211D">
        <w:rPr>
          <w:lang w:val="en-AU"/>
        </w:rPr>
        <w:t>t</w:t>
      </w:r>
      <w:r w:rsidR="00346BAF">
        <w:rPr>
          <w:lang w:val="en-AU"/>
        </w:rPr>
        <w:t>o</w:t>
      </w:r>
      <w:r w:rsidR="00B5211D">
        <w:rPr>
          <w:lang w:val="en-AU"/>
        </w:rPr>
        <w:t xml:space="preserve"> limit the </w:t>
      </w:r>
      <w:r w:rsidR="005447E7">
        <w:rPr>
          <w:lang w:val="en-AU"/>
        </w:rPr>
        <w:t>clinical</w:t>
      </w:r>
      <w:r w:rsidR="00B5211D">
        <w:rPr>
          <w:lang w:val="en-AU"/>
        </w:rPr>
        <w:t xml:space="preserve"> and/or </w:t>
      </w:r>
      <w:r w:rsidR="005447E7">
        <w:rPr>
          <w:lang w:val="en-AU"/>
        </w:rPr>
        <w:t>public health impact</w:t>
      </w:r>
      <w:r w:rsidR="00346BAF">
        <w:rPr>
          <w:lang w:val="en-AU"/>
        </w:rPr>
        <w:t xml:space="preserve"> of false positive and false negative PCR results</w:t>
      </w:r>
      <w:r w:rsidR="002477E9">
        <w:rPr>
          <w:lang w:val="en-AU"/>
        </w:rPr>
        <w:t xml:space="preserve">. </w:t>
      </w:r>
      <w:r w:rsidR="009F2133">
        <w:rPr>
          <w:lang w:val="en-AU"/>
        </w:rPr>
        <w:t xml:space="preserve">Full consideration of available </w:t>
      </w:r>
      <w:r w:rsidR="002477E9">
        <w:rPr>
          <w:lang w:val="en-AU"/>
        </w:rPr>
        <w:t>mitigation strategies</w:t>
      </w:r>
      <w:r w:rsidR="00C9334E">
        <w:rPr>
          <w:lang w:val="en-AU"/>
        </w:rPr>
        <w:t>, including preventative measures and laboratory actions is described in Table 1</w:t>
      </w:r>
      <w:r w:rsidR="00635C27">
        <w:rPr>
          <w:lang w:val="en-AU"/>
        </w:rPr>
        <w:t>.</w:t>
      </w:r>
    </w:p>
    <w:p w14:paraId="31550CEE" w14:textId="5EE1FE0D" w:rsidR="0057629B" w:rsidRPr="00487316" w:rsidRDefault="0064762D" w:rsidP="00487316">
      <w:pPr>
        <w:pStyle w:val="ListParagraph"/>
        <w:numPr>
          <w:ilvl w:val="0"/>
          <w:numId w:val="29"/>
        </w:numPr>
        <w:rPr>
          <w:lang w:val="en-AU"/>
        </w:rPr>
      </w:pPr>
      <w:r w:rsidRPr="00487316">
        <w:rPr>
          <w:lang w:val="en-AU"/>
        </w:rPr>
        <w:t>Maintain a</w:t>
      </w:r>
      <w:r w:rsidR="0057629B" w:rsidRPr="00487316">
        <w:rPr>
          <w:lang w:val="en-AU"/>
        </w:rPr>
        <w:t xml:space="preserve"> </w:t>
      </w:r>
      <w:r w:rsidR="00765E73" w:rsidRPr="00487316">
        <w:rPr>
          <w:lang w:val="en-AU"/>
        </w:rPr>
        <w:t xml:space="preserve">quality framework in accordance with the </w:t>
      </w:r>
      <w:r w:rsidR="00DD03CA">
        <w:rPr>
          <w:lang w:val="en-AU"/>
        </w:rPr>
        <w:t xml:space="preserve">NPAAC </w:t>
      </w:r>
      <w:r w:rsidR="0057629B" w:rsidRPr="00487316">
        <w:rPr>
          <w:lang w:val="en-AU"/>
        </w:rPr>
        <w:t xml:space="preserve">Requirements for Medical Testing of Microbial Nucleic Acids, which includes procedures to minimise the risk of false </w:t>
      </w:r>
      <w:r w:rsidR="00BE55E2" w:rsidRPr="00487316">
        <w:rPr>
          <w:lang w:val="en-AU"/>
        </w:rPr>
        <w:t xml:space="preserve">positive and </w:t>
      </w:r>
      <w:r w:rsidR="009D660A">
        <w:rPr>
          <w:lang w:val="en-AU"/>
        </w:rPr>
        <w:t xml:space="preserve">false </w:t>
      </w:r>
      <w:r w:rsidR="00BE55E2" w:rsidRPr="00487316">
        <w:rPr>
          <w:lang w:val="en-AU"/>
        </w:rPr>
        <w:t xml:space="preserve">negative </w:t>
      </w:r>
      <w:r w:rsidR="0057629B" w:rsidRPr="00487316">
        <w:rPr>
          <w:lang w:val="en-AU"/>
        </w:rPr>
        <w:t>tests</w:t>
      </w:r>
      <w:r w:rsidR="00F9510B">
        <w:rPr>
          <w:lang w:val="en-AU"/>
        </w:rPr>
        <w:t>.</w:t>
      </w:r>
    </w:p>
    <w:p w14:paraId="26DDE1CD" w14:textId="1EDC273F" w:rsidR="005447E7" w:rsidRPr="00487316" w:rsidRDefault="005447E7" w:rsidP="00487316">
      <w:pPr>
        <w:pStyle w:val="ListParagraph"/>
        <w:numPr>
          <w:ilvl w:val="0"/>
          <w:numId w:val="29"/>
        </w:numPr>
        <w:rPr>
          <w:lang w:val="en-AU"/>
        </w:rPr>
      </w:pPr>
      <w:r w:rsidRPr="00487316">
        <w:rPr>
          <w:lang w:val="en-AU"/>
        </w:rPr>
        <w:t>Maintain high standards of quality control at all stages of testing – including pre-analytical, analytical and post–analytical components</w:t>
      </w:r>
      <w:r w:rsidR="00F9510B">
        <w:rPr>
          <w:lang w:val="en-AU"/>
        </w:rPr>
        <w:t>.</w:t>
      </w:r>
    </w:p>
    <w:p w14:paraId="292C390F" w14:textId="77777777" w:rsidR="0057629B" w:rsidRPr="00487316" w:rsidRDefault="0057629B" w:rsidP="00487316">
      <w:pPr>
        <w:pStyle w:val="ListParagraph"/>
        <w:numPr>
          <w:ilvl w:val="0"/>
          <w:numId w:val="29"/>
        </w:numPr>
        <w:rPr>
          <w:lang w:val="en-AU"/>
        </w:rPr>
      </w:pPr>
      <w:r w:rsidRPr="00487316">
        <w:rPr>
          <w:lang w:val="en-AU"/>
        </w:rPr>
        <w:t>In a low prevalence setting, samp</w:t>
      </w:r>
      <w:r w:rsidR="00DD03CA">
        <w:rPr>
          <w:lang w:val="en-AU"/>
        </w:rPr>
        <w:t>les with a high Ct</w:t>
      </w:r>
      <w:r w:rsidR="005447E7" w:rsidRPr="00487316">
        <w:rPr>
          <w:lang w:val="en-AU"/>
        </w:rPr>
        <w:t xml:space="preserve"> </w:t>
      </w:r>
      <w:r w:rsidRPr="00487316">
        <w:rPr>
          <w:lang w:val="en-AU"/>
        </w:rPr>
        <w:t>value should be interpreted with caution</w:t>
      </w:r>
      <w:r w:rsidR="005447E7" w:rsidRPr="00487316">
        <w:rPr>
          <w:lang w:val="en-AU"/>
        </w:rPr>
        <w:t>;</w:t>
      </w:r>
      <w:r w:rsidRPr="00487316">
        <w:rPr>
          <w:lang w:val="en-AU"/>
        </w:rPr>
        <w:t xml:space="preserve"> and repeat </w:t>
      </w:r>
      <w:r w:rsidR="005447E7" w:rsidRPr="00487316">
        <w:rPr>
          <w:lang w:val="en-AU"/>
        </w:rPr>
        <w:t>testing of the same sample and re-</w:t>
      </w:r>
      <w:r w:rsidRPr="00487316">
        <w:rPr>
          <w:lang w:val="en-AU"/>
        </w:rPr>
        <w:t xml:space="preserve">sampling considered. </w:t>
      </w:r>
    </w:p>
    <w:p w14:paraId="2095C825" w14:textId="77777777" w:rsidR="005447E7" w:rsidRPr="00487316" w:rsidRDefault="0044727B" w:rsidP="00487316">
      <w:pPr>
        <w:pStyle w:val="ListParagraph"/>
        <w:numPr>
          <w:ilvl w:val="0"/>
          <w:numId w:val="29"/>
        </w:numPr>
        <w:rPr>
          <w:lang w:val="en-AU"/>
        </w:rPr>
      </w:pPr>
      <w:r w:rsidRPr="00487316">
        <w:rPr>
          <w:lang w:val="en-AU"/>
        </w:rPr>
        <w:t>Maintain laboratory protocols and procedures to manage low level amplifications</w:t>
      </w:r>
      <w:r w:rsidR="005447E7" w:rsidRPr="00487316">
        <w:rPr>
          <w:lang w:val="en-AU"/>
        </w:rPr>
        <w:t xml:space="preserve"> (high Ct values)</w:t>
      </w:r>
      <w:r w:rsidRPr="00487316">
        <w:rPr>
          <w:lang w:val="en-AU"/>
        </w:rPr>
        <w:t xml:space="preserve"> and/or unexpected positive </w:t>
      </w:r>
      <w:r w:rsidR="00AC4DBA">
        <w:rPr>
          <w:lang w:val="en-AU"/>
        </w:rPr>
        <w:t xml:space="preserve">or negative </w:t>
      </w:r>
      <w:r w:rsidRPr="00487316">
        <w:rPr>
          <w:lang w:val="en-AU"/>
        </w:rPr>
        <w:t>results, such as</w:t>
      </w:r>
      <w:r w:rsidR="00487316">
        <w:rPr>
          <w:lang w:val="en-AU"/>
        </w:rPr>
        <w:t>:</w:t>
      </w:r>
      <w:r w:rsidRPr="00487316">
        <w:rPr>
          <w:lang w:val="en-AU"/>
        </w:rPr>
        <w:t xml:space="preserve"> </w:t>
      </w:r>
    </w:p>
    <w:p w14:paraId="2D2C0929" w14:textId="77777777" w:rsidR="005447E7" w:rsidRPr="00487316" w:rsidRDefault="005447E7" w:rsidP="00487316">
      <w:pPr>
        <w:pStyle w:val="ListParagraph"/>
        <w:numPr>
          <w:ilvl w:val="1"/>
          <w:numId w:val="29"/>
        </w:numPr>
        <w:ind w:left="709" w:hanging="283"/>
        <w:rPr>
          <w:lang w:val="en-AU"/>
        </w:rPr>
      </w:pPr>
      <w:r w:rsidRPr="00487316">
        <w:rPr>
          <w:lang w:val="en-AU"/>
        </w:rPr>
        <w:t xml:space="preserve">Re-extraction and </w:t>
      </w:r>
      <w:r w:rsidR="0044727B" w:rsidRPr="00487316">
        <w:rPr>
          <w:lang w:val="en-AU"/>
        </w:rPr>
        <w:t xml:space="preserve">repeat testing </w:t>
      </w:r>
      <w:r w:rsidRPr="00487316">
        <w:rPr>
          <w:lang w:val="en-AU"/>
        </w:rPr>
        <w:t xml:space="preserve">of the same sample </w:t>
      </w:r>
      <w:r w:rsidR="0044727B" w:rsidRPr="00487316">
        <w:rPr>
          <w:lang w:val="en-AU"/>
        </w:rPr>
        <w:t xml:space="preserve">using the same </w:t>
      </w:r>
      <w:r w:rsidRPr="00487316">
        <w:rPr>
          <w:lang w:val="en-AU"/>
        </w:rPr>
        <w:t>assay</w:t>
      </w:r>
      <w:r w:rsidR="00F9510B">
        <w:rPr>
          <w:lang w:val="en-AU"/>
        </w:rPr>
        <w:t>.</w:t>
      </w:r>
    </w:p>
    <w:p w14:paraId="0D683BF2" w14:textId="79F09073" w:rsidR="005447E7" w:rsidRPr="00487316" w:rsidRDefault="00DD03CA" w:rsidP="00487316">
      <w:pPr>
        <w:pStyle w:val="ListParagraph"/>
        <w:numPr>
          <w:ilvl w:val="1"/>
          <w:numId w:val="29"/>
        </w:numPr>
        <w:ind w:left="709" w:hanging="283"/>
        <w:rPr>
          <w:lang w:val="en-AU"/>
        </w:rPr>
      </w:pPr>
      <w:r>
        <w:rPr>
          <w:lang w:val="en-AU"/>
        </w:rPr>
        <w:t>C</w:t>
      </w:r>
      <w:r w:rsidR="005447E7" w:rsidRPr="00487316">
        <w:rPr>
          <w:lang w:val="en-AU"/>
        </w:rPr>
        <w:t xml:space="preserve">onfirmatory testing of the same sample using </w:t>
      </w:r>
      <w:r w:rsidR="0044727B" w:rsidRPr="00487316">
        <w:rPr>
          <w:lang w:val="en-AU"/>
        </w:rPr>
        <w:t xml:space="preserve">different assays </w:t>
      </w:r>
      <w:r w:rsidR="005447E7" w:rsidRPr="00487316">
        <w:rPr>
          <w:lang w:val="en-AU"/>
        </w:rPr>
        <w:t xml:space="preserve">with a different SARS-CoV-2 target </w:t>
      </w:r>
      <w:r w:rsidR="0044727B" w:rsidRPr="00487316">
        <w:rPr>
          <w:lang w:val="en-AU"/>
        </w:rPr>
        <w:t>(of equal or better sensitivity)</w:t>
      </w:r>
      <w:r w:rsidR="00F9510B">
        <w:rPr>
          <w:lang w:val="en-AU"/>
        </w:rPr>
        <w:t>.</w:t>
      </w:r>
    </w:p>
    <w:p w14:paraId="72D0626A" w14:textId="1CE277FA" w:rsidR="0044727B" w:rsidRPr="00487316" w:rsidRDefault="00DD03CA" w:rsidP="00487316">
      <w:pPr>
        <w:pStyle w:val="ListParagraph"/>
        <w:numPr>
          <w:ilvl w:val="1"/>
          <w:numId w:val="29"/>
        </w:numPr>
        <w:ind w:left="709" w:hanging="283"/>
        <w:rPr>
          <w:lang w:val="en-AU"/>
        </w:rPr>
      </w:pPr>
      <w:r>
        <w:rPr>
          <w:lang w:val="en-AU"/>
        </w:rPr>
        <w:t>P</w:t>
      </w:r>
      <w:r w:rsidR="0044727B" w:rsidRPr="00487316">
        <w:rPr>
          <w:lang w:val="en-AU"/>
        </w:rPr>
        <w:t>atient spe</w:t>
      </w:r>
      <w:r w:rsidR="00487316">
        <w:rPr>
          <w:lang w:val="en-AU"/>
        </w:rPr>
        <w:t>cimen re-collection and testing</w:t>
      </w:r>
      <w:r w:rsidR="000B6472">
        <w:rPr>
          <w:lang w:val="en-AU"/>
        </w:rPr>
        <w:t>.</w:t>
      </w:r>
    </w:p>
    <w:p w14:paraId="3F5C82DB" w14:textId="37217063" w:rsidR="0044727B" w:rsidRPr="00487316" w:rsidRDefault="0044727B" w:rsidP="00487316">
      <w:pPr>
        <w:pStyle w:val="ListParagraph"/>
        <w:numPr>
          <w:ilvl w:val="1"/>
          <w:numId w:val="29"/>
        </w:numPr>
        <w:ind w:left="709" w:hanging="283"/>
        <w:rPr>
          <w:lang w:val="en-AU"/>
        </w:rPr>
      </w:pPr>
      <w:r w:rsidRPr="00487316">
        <w:rPr>
          <w:lang w:val="en-AU"/>
        </w:rPr>
        <w:t>Ensure the clinical microbiologist (pathologist) providing clinical governance (including direct liaison with clinicians and public health officers)</w:t>
      </w:r>
      <w:r w:rsidR="000B6472">
        <w:rPr>
          <w:lang w:val="en-AU"/>
        </w:rPr>
        <w:t>,</w:t>
      </w:r>
      <w:r w:rsidRPr="00487316">
        <w:rPr>
          <w:lang w:val="en-AU"/>
        </w:rPr>
        <w:t xml:space="preserve"> is available to discuss unu</w:t>
      </w:r>
      <w:r w:rsidR="00487316">
        <w:rPr>
          <w:lang w:val="en-AU"/>
        </w:rPr>
        <w:t>sual and/or unexpected cases</w:t>
      </w:r>
      <w:r w:rsidR="000B6472">
        <w:rPr>
          <w:lang w:val="en-AU"/>
        </w:rPr>
        <w:t>.</w:t>
      </w:r>
    </w:p>
    <w:p w14:paraId="5B14D942" w14:textId="18E15325" w:rsidR="00A77509" w:rsidRDefault="0044727B" w:rsidP="00487316">
      <w:pPr>
        <w:pStyle w:val="ListParagraph"/>
        <w:numPr>
          <w:ilvl w:val="1"/>
          <w:numId w:val="29"/>
        </w:numPr>
        <w:ind w:left="709" w:hanging="283"/>
        <w:rPr>
          <w:lang w:val="en-AU"/>
        </w:rPr>
      </w:pPr>
      <w:r w:rsidRPr="00487316">
        <w:rPr>
          <w:lang w:val="en-AU"/>
        </w:rPr>
        <w:t>Ensure close collaboration between the laboratory</w:t>
      </w:r>
      <w:r w:rsidR="002477E9" w:rsidRPr="00487316">
        <w:rPr>
          <w:lang w:val="en-AU"/>
        </w:rPr>
        <w:t xml:space="preserve">, </w:t>
      </w:r>
      <w:r w:rsidRPr="00487316">
        <w:rPr>
          <w:lang w:val="en-AU"/>
        </w:rPr>
        <w:t>local public health units and clinicians to</w:t>
      </w:r>
      <w:r w:rsidR="00A77509">
        <w:rPr>
          <w:lang w:val="en-AU"/>
        </w:rPr>
        <w:t>:</w:t>
      </w:r>
    </w:p>
    <w:p w14:paraId="49DFA0AD" w14:textId="173F695E" w:rsidR="00A77509" w:rsidRDefault="0044727B" w:rsidP="003B1469">
      <w:pPr>
        <w:pStyle w:val="ListParagraph"/>
        <w:numPr>
          <w:ilvl w:val="2"/>
          <w:numId w:val="29"/>
        </w:numPr>
        <w:ind w:left="1701" w:hanging="425"/>
        <w:rPr>
          <w:lang w:val="en-AU"/>
        </w:rPr>
      </w:pPr>
      <w:r w:rsidRPr="00487316">
        <w:rPr>
          <w:lang w:val="en-AU"/>
        </w:rPr>
        <w:t>identify potential false positives,</w:t>
      </w:r>
    </w:p>
    <w:p w14:paraId="2323F5AD" w14:textId="76B9F417" w:rsidR="00A77509" w:rsidRDefault="0044727B" w:rsidP="003B1469">
      <w:pPr>
        <w:pStyle w:val="ListParagraph"/>
        <w:numPr>
          <w:ilvl w:val="2"/>
          <w:numId w:val="29"/>
        </w:numPr>
        <w:ind w:left="1701" w:hanging="425"/>
        <w:rPr>
          <w:lang w:val="en-AU"/>
        </w:rPr>
      </w:pPr>
      <w:r w:rsidRPr="00487316">
        <w:rPr>
          <w:lang w:val="en-AU"/>
        </w:rPr>
        <w:t>ensure clear understanding of test results and potential limitations</w:t>
      </w:r>
      <w:r w:rsidR="000B6472">
        <w:rPr>
          <w:lang w:val="en-AU"/>
        </w:rPr>
        <w:t>,</w:t>
      </w:r>
      <w:r w:rsidRPr="00487316">
        <w:rPr>
          <w:lang w:val="en-AU"/>
        </w:rPr>
        <w:t xml:space="preserve"> and </w:t>
      </w:r>
    </w:p>
    <w:p w14:paraId="3594A5BF" w14:textId="77777777" w:rsidR="0044727B" w:rsidRPr="00487316" w:rsidRDefault="0044727B" w:rsidP="003B1469">
      <w:pPr>
        <w:pStyle w:val="ListParagraph"/>
        <w:numPr>
          <w:ilvl w:val="2"/>
          <w:numId w:val="29"/>
        </w:numPr>
        <w:ind w:left="1701" w:hanging="425"/>
        <w:rPr>
          <w:lang w:val="en-AU"/>
        </w:rPr>
      </w:pPr>
      <w:r w:rsidRPr="00487316">
        <w:rPr>
          <w:lang w:val="en-AU"/>
        </w:rPr>
        <w:t>if required, to initiate further testing.</w:t>
      </w:r>
    </w:p>
    <w:p w14:paraId="08C8E598" w14:textId="6E713A97" w:rsidR="00C50007" w:rsidRPr="00C50007" w:rsidRDefault="000B6472" w:rsidP="00E720C7">
      <w:pPr>
        <w:rPr>
          <w:lang w:val="en-AU"/>
        </w:rPr>
      </w:pPr>
      <w:r>
        <w:rPr>
          <w:lang w:val="en-AU"/>
        </w:rPr>
        <w:t>L</w:t>
      </w:r>
      <w:r w:rsidR="00C50007">
        <w:rPr>
          <w:lang w:val="en-AU"/>
        </w:rPr>
        <w:t>aboratories should</w:t>
      </w:r>
      <w:r>
        <w:rPr>
          <w:lang w:val="en-AU"/>
        </w:rPr>
        <w:t xml:space="preserve"> also</w:t>
      </w:r>
      <w:r w:rsidR="00C50007">
        <w:rPr>
          <w:lang w:val="en-AU"/>
        </w:rPr>
        <w:t xml:space="preserve"> d</w:t>
      </w:r>
      <w:r w:rsidR="00C50007" w:rsidRPr="00C50007">
        <w:rPr>
          <w:lang w:val="en-AU"/>
        </w:rPr>
        <w:t>etermin</w:t>
      </w:r>
      <w:r w:rsidR="00C50007">
        <w:rPr>
          <w:lang w:val="en-AU"/>
        </w:rPr>
        <w:t>e</w:t>
      </w:r>
      <w:r w:rsidR="00C50007" w:rsidRPr="00C50007">
        <w:rPr>
          <w:lang w:val="en-AU"/>
        </w:rPr>
        <w:t xml:space="preserve"> the process</w:t>
      </w:r>
      <w:r w:rsidR="00C50007">
        <w:rPr>
          <w:lang w:val="en-AU"/>
        </w:rPr>
        <w:t>, persons responsible</w:t>
      </w:r>
      <w:r w:rsidR="00C50007" w:rsidRPr="00C50007">
        <w:rPr>
          <w:lang w:val="en-AU"/>
        </w:rPr>
        <w:t xml:space="preserve"> </w:t>
      </w:r>
      <w:r w:rsidR="00C50007">
        <w:rPr>
          <w:lang w:val="en-AU"/>
        </w:rPr>
        <w:t xml:space="preserve">and timelines </w:t>
      </w:r>
      <w:r w:rsidR="00C50007" w:rsidRPr="00C50007">
        <w:rPr>
          <w:lang w:val="en-AU"/>
        </w:rPr>
        <w:t xml:space="preserve">for resolution of indeterminate or discrepant results, </w:t>
      </w:r>
      <w:r w:rsidR="00C50007">
        <w:rPr>
          <w:lang w:val="en-AU"/>
        </w:rPr>
        <w:t>including:</w:t>
      </w:r>
    </w:p>
    <w:p w14:paraId="1E1CB630" w14:textId="77777777" w:rsidR="00C50007" w:rsidRPr="00487316" w:rsidRDefault="00C50007" w:rsidP="00487316">
      <w:pPr>
        <w:pStyle w:val="ListParagraph"/>
        <w:numPr>
          <w:ilvl w:val="0"/>
          <w:numId w:val="29"/>
        </w:numPr>
        <w:rPr>
          <w:lang w:val="en-AU"/>
        </w:rPr>
      </w:pPr>
      <w:r w:rsidRPr="00487316">
        <w:rPr>
          <w:lang w:val="en-AU"/>
        </w:rPr>
        <w:t>Repeat testing from the original sample</w:t>
      </w:r>
      <w:r w:rsidR="000B6472">
        <w:rPr>
          <w:lang w:val="en-AU"/>
        </w:rPr>
        <w:t>.</w:t>
      </w:r>
      <w:r w:rsidRPr="00487316">
        <w:rPr>
          <w:lang w:val="en-AU"/>
        </w:rPr>
        <w:t xml:space="preserve"> </w:t>
      </w:r>
    </w:p>
    <w:p w14:paraId="4E860B3B" w14:textId="77777777" w:rsidR="00C50007" w:rsidRPr="00487316" w:rsidRDefault="00C50007" w:rsidP="00487316">
      <w:pPr>
        <w:pStyle w:val="ListParagraph"/>
        <w:numPr>
          <w:ilvl w:val="0"/>
          <w:numId w:val="29"/>
        </w:numPr>
        <w:rPr>
          <w:lang w:val="en-AU"/>
        </w:rPr>
      </w:pPr>
      <w:r w:rsidRPr="00487316">
        <w:rPr>
          <w:lang w:val="en-AU"/>
        </w:rPr>
        <w:t>The expected time frame for retesting (preferably with 48 hours)</w:t>
      </w:r>
      <w:r w:rsidR="000B6472">
        <w:rPr>
          <w:lang w:val="en-AU"/>
        </w:rPr>
        <w:t>.</w:t>
      </w:r>
    </w:p>
    <w:p w14:paraId="0769AE54" w14:textId="77777777" w:rsidR="00C50007" w:rsidRPr="00487316" w:rsidRDefault="00C50007" w:rsidP="00487316">
      <w:pPr>
        <w:pStyle w:val="ListParagraph"/>
        <w:numPr>
          <w:ilvl w:val="0"/>
          <w:numId w:val="29"/>
        </w:numPr>
        <w:rPr>
          <w:lang w:val="en-AU"/>
        </w:rPr>
      </w:pPr>
      <w:r w:rsidRPr="00487316">
        <w:rPr>
          <w:lang w:val="en-AU"/>
        </w:rPr>
        <w:t>The assays used for retesting depending on the target of the primary assay</w:t>
      </w:r>
      <w:r w:rsidR="000B6472">
        <w:rPr>
          <w:lang w:val="en-AU"/>
        </w:rPr>
        <w:t>.</w:t>
      </w:r>
    </w:p>
    <w:p w14:paraId="7C518276" w14:textId="77777777" w:rsidR="00C50007" w:rsidRPr="00487316" w:rsidRDefault="00C50007" w:rsidP="00487316">
      <w:pPr>
        <w:pStyle w:val="ListParagraph"/>
        <w:numPr>
          <w:ilvl w:val="0"/>
          <w:numId w:val="29"/>
        </w:numPr>
        <w:rPr>
          <w:lang w:val="en-AU"/>
        </w:rPr>
      </w:pPr>
      <w:r w:rsidRPr="00487316">
        <w:rPr>
          <w:lang w:val="en-AU"/>
        </w:rPr>
        <w:t>The point at which Clinical Microbiologists and Public Health Units are notified</w:t>
      </w:r>
      <w:r w:rsidR="000B6472">
        <w:rPr>
          <w:lang w:val="en-AU"/>
        </w:rPr>
        <w:t>.</w:t>
      </w:r>
    </w:p>
    <w:p w14:paraId="5E06E0AD" w14:textId="77777777" w:rsidR="00C50007" w:rsidRPr="00487316" w:rsidRDefault="00C50007" w:rsidP="00487316">
      <w:pPr>
        <w:pStyle w:val="ListParagraph"/>
        <w:numPr>
          <w:ilvl w:val="0"/>
          <w:numId w:val="29"/>
        </w:numPr>
        <w:rPr>
          <w:lang w:val="en-AU"/>
        </w:rPr>
      </w:pPr>
      <w:r w:rsidRPr="00487316">
        <w:rPr>
          <w:lang w:val="en-AU"/>
        </w:rPr>
        <w:t>When a repeat specimen is to be collected from the patient (preferably within 48 hours)</w:t>
      </w:r>
      <w:r w:rsidR="000B6472">
        <w:rPr>
          <w:lang w:val="en-AU"/>
        </w:rPr>
        <w:t>.</w:t>
      </w:r>
    </w:p>
    <w:p w14:paraId="48E637C5" w14:textId="77777777" w:rsidR="00C50007" w:rsidRPr="00487316" w:rsidRDefault="00C50007" w:rsidP="00487316">
      <w:pPr>
        <w:pStyle w:val="ListParagraph"/>
        <w:numPr>
          <w:ilvl w:val="0"/>
          <w:numId w:val="29"/>
        </w:numPr>
        <w:rPr>
          <w:lang w:val="en-AU"/>
        </w:rPr>
      </w:pPr>
      <w:r w:rsidRPr="00487316">
        <w:rPr>
          <w:lang w:val="en-AU"/>
        </w:rPr>
        <w:t>Who is responsible for contacting the patient to arrange repeat sample collection for NAT</w:t>
      </w:r>
      <w:r w:rsidR="000B6472">
        <w:rPr>
          <w:lang w:val="en-AU"/>
        </w:rPr>
        <w:t>.</w:t>
      </w:r>
    </w:p>
    <w:p w14:paraId="42F66220" w14:textId="77777777" w:rsidR="00C50007" w:rsidRPr="00487316" w:rsidRDefault="00C50007" w:rsidP="00487316">
      <w:pPr>
        <w:pStyle w:val="ListParagraph"/>
        <w:numPr>
          <w:ilvl w:val="0"/>
          <w:numId w:val="29"/>
        </w:numPr>
        <w:rPr>
          <w:lang w:val="en-AU"/>
        </w:rPr>
      </w:pPr>
      <w:r w:rsidRPr="00487316">
        <w:rPr>
          <w:lang w:val="en-AU"/>
        </w:rPr>
        <w:t>The role of serology testing.</w:t>
      </w:r>
    </w:p>
    <w:p w14:paraId="011F2C23" w14:textId="77777777" w:rsidR="00E708C8" w:rsidRDefault="00E708C8" w:rsidP="00E720C7">
      <w:pPr>
        <w:rPr>
          <w:bCs/>
          <w:i/>
          <w:lang w:val="en-AU"/>
        </w:rPr>
        <w:sectPr w:rsidR="00E708C8" w:rsidSect="00E720C7">
          <w:headerReference w:type="even" r:id="rId14"/>
          <w:headerReference w:type="default" r:id="rId15"/>
          <w:footerReference w:type="even" r:id="rId16"/>
          <w:footerReference w:type="default" r:id="rId17"/>
          <w:headerReference w:type="first" r:id="rId18"/>
          <w:footerReference w:type="first" r:id="rId19"/>
          <w:pgSz w:w="11900" w:h="16840"/>
          <w:pgMar w:top="1440" w:right="993" w:bottom="1440" w:left="1418" w:header="708" w:footer="708" w:gutter="0"/>
          <w:cols w:space="708"/>
          <w:docGrid w:linePitch="360"/>
        </w:sectPr>
      </w:pPr>
    </w:p>
    <w:p w14:paraId="530A8484" w14:textId="37502BE9" w:rsidR="002B0D28" w:rsidRPr="00D60DD5" w:rsidRDefault="00F769B0" w:rsidP="00E720C7">
      <w:pPr>
        <w:rPr>
          <w:bCs/>
          <w:i/>
          <w:lang w:val="en-AU"/>
        </w:rPr>
      </w:pPr>
      <w:r>
        <w:rPr>
          <w:bCs/>
          <w:i/>
          <w:lang w:val="en-AU"/>
        </w:rPr>
        <w:lastRenderedPageBreak/>
        <w:t xml:space="preserve">Table 1: Sources of False Positive </w:t>
      </w:r>
      <w:r w:rsidR="00E047C6">
        <w:rPr>
          <w:bCs/>
          <w:i/>
          <w:lang w:val="en-AU"/>
        </w:rPr>
        <w:t xml:space="preserve">and false negative </w:t>
      </w:r>
      <w:r>
        <w:rPr>
          <w:bCs/>
          <w:i/>
          <w:lang w:val="en-AU"/>
        </w:rPr>
        <w:t>PCR Tests, Preventative Measure and Laboratory Responses</w:t>
      </w:r>
    </w:p>
    <w:tbl>
      <w:tblPr>
        <w:tblStyle w:val="TableGrid"/>
        <w:tblW w:w="15593" w:type="dxa"/>
        <w:tblInd w:w="-856" w:type="dxa"/>
        <w:tblLook w:val="04A0" w:firstRow="1" w:lastRow="0" w:firstColumn="1" w:lastColumn="0" w:noHBand="0" w:noVBand="1"/>
        <w:tblDescription w:val="This table lists potential sources of false positive and false negative PCR tests, steps to take to prevent these and how laboratories respond."/>
      </w:tblPr>
      <w:tblGrid>
        <w:gridCol w:w="3970"/>
        <w:gridCol w:w="7796"/>
        <w:gridCol w:w="3827"/>
      </w:tblGrid>
      <w:tr w:rsidR="00E24AC6" w:rsidRPr="00BE3D81" w14:paraId="70792532" w14:textId="77777777" w:rsidTr="003B5B9E">
        <w:trPr>
          <w:tblHeader/>
        </w:trPr>
        <w:tc>
          <w:tcPr>
            <w:tcW w:w="3970" w:type="dxa"/>
            <w:shd w:val="clear" w:color="auto" w:fill="F2F2F2" w:themeFill="background1" w:themeFillShade="F2"/>
          </w:tcPr>
          <w:p w14:paraId="558AA81C" w14:textId="77777777" w:rsidR="00E24AC6" w:rsidRPr="00BE3D81" w:rsidRDefault="00E24AC6" w:rsidP="00E720C7">
            <w:pPr>
              <w:rPr>
                <w:b/>
                <w:lang w:val="en-AU"/>
              </w:rPr>
            </w:pPr>
            <w:r w:rsidRPr="00BE3D81">
              <w:rPr>
                <w:b/>
                <w:lang w:val="en-AU"/>
              </w:rPr>
              <w:t>Potential Sources of False Positivity</w:t>
            </w:r>
          </w:p>
        </w:tc>
        <w:tc>
          <w:tcPr>
            <w:tcW w:w="7796" w:type="dxa"/>
            <w:shd w:val="clear" w:color="auto" w:fill="F2F2F2" w:themeFill="background1" w:themeFillShade="F2"/>
          </w:tcPr>
          <w:p w14:paraId="43602EC3" w14:textId="77777777" w:rsidR="00E24AC6" w:rsidRPr="00BE3D81" w:rsidRDefault="00E24AC6" w:rsidP="00E720C7">
            <w:pPr>
              <w:rPr>
                <w:b/>
                <w:lang w:val="en-AU"/>
              </w:rPr>
            </w:pPr>
            <w:r w:rsidRPr="00BE3D81">
              <w:rPr>
                <w:b/>
                <w:lang w:val="en-AU"/>
              </w:rPr>
              <w:t>Preventative Measures</w:t>
            </w:r>
          </w:p>
        </w:tc>
        <w:tc>
          <w:tcPr>
            <w:tcW w:w="3827" w:type="dxa"/>
            <w:shd w:val="clear" w:color="auto" w:fill="F2F2F2" w:themeFill="background1" w:themeFillShade="F2"/>
          </w:tcPr>
          <w:p w14:paraId="5BEEBA97" w14:textId="77777777" w:rsidR="00E24AC6" w:rsidRPr="00BE3D81" w:rsidRDefault="00E24AC6" w:rsidP="00E720C7">
            <w:pPr>
              <w:rPr>
                <w:b/>
                <w:lang w:val="en-AU"/>
              </w:rPr>
            </w:pPr>
            <w:r w:rsidRPr="00BE3D81">
              <w:rPr>
                <w:b/>
                <w:lang w:val="en-AU"/>
              </w:rPr>
              <w:t xml:space="preserve">Laboratory Responses </w:t>
            </w:r>
          </w:p>
        </w:tc>
      </w:tr>
      <w:tr w:rsidR="00BE3D81" w:rsidRPr="00BE3D81" w14:paraId="51FE30F4" w14:textId="77777777" w:rsidTr="00BE3D81">
        <w:tc>
          <w:tcPr>
            <w:tcW w:w="15593" w:type="dxa"/>
            <w:gridSpan w:val="3"/>
            <w:shd w:val="clear" w:color="auto" w:fill="DEEAF6" w:themeFill="accent1" w:themeFillTint="33"/>
          </w:tcPr>
          <w:p w14:paraId="7294D00B" w14:textId="77777777" w:rsidR="00A91EE5" w:rsidRPr="00BE3D81" w:rsidRDefault="00A91EE5" w:rsidP="00E720C7">
            <w:pPr>
              <w:rPr>
                <w:b/>
                <w:sz w:val="18"/>
                <w:szCs w:val="18"/>
                <w:lang w:val="en-AU"/>
              </w:rPr>
            </w:pPr>
            <w:r w:rsidRPr="00BE3D81">
              <w:rPr>
                <w:b/>
                <w:szCs w:val="18"/>
                <w:lang w:val="en-AU"/>
              </w:rPr>
              <w:t>1.  Laboratory Errors</w:t>
            </w:r>
          </w:p>
        </w:tc>
      </w:tr>
      <w:tr w:rsidR="00E24AC6" w:rsidRPr="001735B2" w14:paraId="3FCFD421" w14:textId="77777777" w:rsidTr="004355EF">
        <w:tc>
          <w:tcPr>
            <w:tcW w:w="3970" w:type="dxa"/>
          </w:tcPr>
          <w:p w14:paraId="1FA8DD54" w14:textId="77777777" w:rsidR="00E24AC6" w:rsidRPr="004355EF" w:rsidRDefault="00E24AC6" w:rsidP="00E720C7">
            <w:pPr>
              <w:rPr>
                <w:sz w:val="19"/>
                <w:szCs w:val="19"/>
                <w:lang w:val="en-AU"/>
              </w:rPr>
            </w:pPr>
            <w:r w:rsidRPr="004355EF">
              <w:rPr>
                <w:sz w:val="19"/>
                <w:szCs w:val="19"/>
                <w:lang w:val="en-AU"/>
              </w:rPr>
              <w:t xml:space="preserve">Specimen mislabelling – specimen </w:t>
            </w:r>
            <w:r w:rsidR="00875566">
              <w:rPr>
                <w:sz w:val="19"/>
                <w:szCs w:val="19"/>
                <w:lang w:val="en-AU"/>
              </w:rPr>
              <w:t xml:space="preserve">was not collected from the </w:t>
            </w:r>
            <w:r w:rsidRPr="004355EF">
              <w:rPr>
                <w:sz w:val="19"/>
                <w:szCs w:val="19"/>
                <w:lang w:val="en-AU"/>
              </w:rPr>
              <w:t>patient</w:t>
            </w:r>
            <w:r w:rsidR="00875566">
              <w:rPr>
                <w:sz w:val="19"/>
                <w:szCs w:val="19"/>
                <w:lang w:val="en-AU"/>
              </w:rPr>
              <w:t xml:space="preserve"> identified on the request form or the specimen</w:t>
            </w:r>
          </w:p>
        </w:tc>
        <w:tc>
          <w:tcPr>
            <w:tcW w:w="7796" w:type="dxa"/>
          </w:tcPr>
          <w:p w14:paraId="2C3FAD71" w14:textId="77777777" w:rsidR="00E24AC6" w:rsidRPr="004355EF" w:rsidRDefault="00E24AC6" w:rsidP="007321DA">
            <w:pPr>
              <w:pStyle w:val="ListParagraph"/>
              <w:numPr>
                <w:ilvl w:val="0"/>
                <w:numId w:val="31"/>
              </w:numPr>
              <w:rPr>
                <w:sz w:val="19"/>
                <w:szCs w:val="19"/>
                <w:lang w:val="en-AU"/>
              </w:rPr>
            </w:pPr>
            <w:r w:rsidRPr="004355EF">
              <w:rPr>
                <w:sz w:val="19"/>
                <w:szCs w:val="19"/>
                <w:lang w:val="en-AU"/>
              </w:rPr>
              <w:t>Standard procedures at point of collection for positive patient identification and specimen labelling</w:t>
            </w:r>
          </w:p>
          <w:p w14:paraId="21ED9E4C" w14:textId="77777777" w:rsidR="00E24AC6" w:rsidRPr="004355EF" w:rsidRDefault="00E24AC6" w:rsidP="007321DA">
            <w:pPr>
              <w:pStyle w:val="ListParagraph"/>
              <w:numPr>
                <w:ilvl w:val="0"/>
                <w:numId w:val="31"/>
              </w:numPr>
              <w:rPr>
                <w:sz w:val="19"/>
                <w:szCs w:val="19"/>
                <w:lang w:val="en-AU"/>
              </w:rPr>
            </w:pPr>
            <w:r w:rsidRPr="004355EF">
              <w:rPr>
                <w:sz w:val="19"/>
                <w:szCs w:val="19"/>
                <w:lang w:val="en-AU"/>
              </w:rPr>
              <w:t>Identification of error at data entry/specimen reception prior to testing</w:t>
            </w:r>
          </w:p>
          <w:p w14:paraId="33DE7FB5" w14:textId="77777777" w:rsidR="00E24AC6" w:rsidRPr="004355EF" w:rsidRDefault="00E24AC6" w:rsidP="007321DA">
            <w:pPr>
              <w:pStyle w:val="ListParagraph"/>
              <w:numPr>
                <w:ilvl w:val="0"/>
                <w:numId w:val="31"/>
              </w:numPr>
              <w:rPr>
                <w:sz w:val="19"/>
                <w:szCs w:val="19"/>
                <w:lang w:val="en-AU"/>
              </w:rPr>
            </w:pPr>
            <w:r w:rsidRPr="004355EF">
              <w:rPr>
                <w:sz w:val="19"/>
                <w:szCs w:val="19"/>
                <w:lang w:val="en-AU"/>
              </w:rPr>
              <w:t>Note: if there is complete mislabelling of bot</w:t>
            </w:r>
            <w:r w:rsidR="007A385A">
              <w:rPr>
                <w:sz w:val="19"/>
                <w:szCs w:val="19"/>
                <w:lang w:val="en-AU"/>
              </w:rPr>
              <w:t xml:space="preserve">h the request form and specimen, </w:t>
            </w:r>
            <w:r w:rsidRPr="004355EF">
              <w:rPr>
                <w:sz w:val="19"/>
                <w:szCs w:val="19"/>
                <w:lang w:val="en-AU"/>
              </w:rPr>
              <w:t xml:space="preserve">the error is not identifiable </w:t>
            </w:r>
            <w:r w:rsidR="007A385A">
              <w:rPr>
                <w:sz w:val="19"/>
                <w:szCs w:val="19"/>
                <w:lang w:val="en-AU"/>
              </w:rPr>
              <w:t>by</w:t>
            </w:r>
            <w:r w:rsidRPr="004355EF">
              <w:rPr>
                <w:sz w:val="19"/>
                <w:szCs w:val="19"/>
                <w:lang w:val="en-AU"/>
              </w:rPr>
              <w:t xml:space="preserve"> the laboratory and may only be resolved by re-collection due to investigation of an unexpected result</w:t>
            </w:r>
          </w:p>
        </w:tc>
        <w:tc>
          <w:tcPr>
            <w:tcW w:w="3827" w:type="dxa"/>
          </w:tcPr>
          <w:p w14:paraId="79D62222" w14:textId="77777777" w:rsidR="00E24AC6" w:rsidRPr="004355EF" w:rsidRDefault="00E24AC6" w:rsidP="007321DA">
            <w:pPr>
              <w:pStyle w:val="ListParagraph"/>
              <w:numPr>
                <w:ilvl w:val="0"/>
                <w:numId w:val="32"/>
              </w:numPr>
              <w:rPr>
                <w:sz w:val="19"/>
                <w:szCs w:val="19"/>
                <w:lang w:val="en-AU"/>
              </w:rPr>
            </w:pPr>
            <w:r w:rsidRPr="004355EF">
              <w:rPr>
                <w:sz w:val="19"/>
                <w:szCs w:val="19"/>
                <w:lang w:val="en-AU"/>
              </w:rPr>
              <w:t>Specimen rejected and repeat collection performed</w:t>
            </w:r>
          </w:p>
          <w:p w14:paraId="26E87B53" w14:textId="77777777" w:rsidR="00E24AC6" w:rsidRPr="004355EF" w:rsidRDefault="00E24AC6" w:rsidP="00E720C7">
            <w:pPr>
              <w:pStyle w:val="ListParagraph"/>
              <w:ind w:left="0"/>
              <w:rPr>
                <w:sz w:val="19"/>
                <w:szCs w:val="19"/>
                <w:lang w:val="en-AU"/>
              </w:rPr>
            </w:pPr>
          </w:p>
        </w:tc>
      </w:tr>
      <w:tr w:rsidR="00E24AC6" w:rsidRPr="001735B2" w14:paraId="41DB6A2F" w14:textId="77777777" w:rsidTr="004355EF">
        <w:tc>
          <w:tcPr>
            <w:tcW w:w="3970" w:type="dxa"/>
          </w:tcPr>
          <w:p w14:paraId="2309B993" w14:textId="77777777" w:rsidR="00E24AC6" w:rsidRPr="004355EF" w:rsidRDefault="00E24AC6" w:rsidP="00E720C7">
            <w:pPr>
              <w:rPr>
                <w:sz w:val="19"/>
                <w:szCs w:val="19"/>
                <w:lang w:val="en-AU"/>
              </w:rPr>
            </w:pPr>
            <w:r w:rsidRPr="004355EF">
              <w:rPr>
                <w:sz w:val="19"/>
                <w:szCs w:val="19"/>
                <w:lang w:val="en-AU"/>
              </w:rPr>
              <w:t>Data entry/specimen receipt transcription errors – specimen is entered under the incorrect patient</w:t>
            </w:r>
          </w:p>
        </w:tc>
        <w:tc>
          <w:tcPr>
            <w:tcW w:w="7796" w:type="dxa"/>
          </w:tcPr>
          <w:p w14:paraId="47211019" w14:textId="77777777" w:rsidR="00E24AC6" w:rsidRPr="004355EF" w:rsidRDefault="00E24AC6" w:rsidP="007321DA">
            <w:pPr>
              <w:pStyle w:val="ListParagraph"/>
              <w:numPr>
                <w:ilvl w:val="0"/>
                <w:numId w:val="31"/>
              </w:numPr>
              <w:rPr>
                <w:sz w:val="19"/>
                <w:szCs w:val="19"/>
                <w:lang w:val="en-AU"/>
              </w:rPr>
            </w:pPr>
            <w:r w:rsidRPr="004355EF">
              <w:rPr>
                <w:sz w:val="19"/>
                <w:szCs w:val="19"/>
                <w:lang w:val="en-AU"/>
              </w:rPr>
              <w:t>Standard procedures at data entry/specimen reception to minimise errors</w:t>
            </w:r>
          </w:p>
          <w:p w14:paraId="5A7364CC" w14:textId="77777777" w:rsidR="00E24AC6" w:rsidRPr="004355EF" w:rsidRDefault="00E24AC6" w:rsidP="007321DA">
            <w:pPr>
              <w:pStyle w:val="ListParagraph"/>
              <w:numPr>
                <w:ilvl w:val="0"/>
                <w:numId w:val="31"/>
              </w:numPr>
              <w:rPr>
                <w:sz w:val="19"/>
                <w:szCs w:val="19"/>
                <w:lang w:val="en-AU"/>
              </w:rPr>
            </w:pPr>
            <w:r w:rsidRPr="004355EF">
              <w:rPr>
                <w:sz w:val="19"/>
                <w:szCs w:val="19"/>
                <w:lang w:val="en-AU"/>
              </w:rPr>
              <w:t>Identification of error within the laboratory prior to testing</w:t>
            </w:r>
          </w:p>
        </w:tc>
        <w:tc>
          <w:tcPr>
            <w:tcW w:w="3827" w:type="dxa"/>
          </w:tcPr>
          <w:p w14:paraId="17EEDE86" w14:textId="77777777" w:rsidR="00E24AC6" w:rsidRPr="004355EF" w:rsidRDefault="00E24AC6" w:rsidP="007321DA">
            <w:pPr>
              <w:pStyle w:val="ListParagraph"/>
              <w:numPr>
                <w:ilvl w:val="0"/>
                <w:numId w:val="32"/>
              </w:numPr>
              <w:rPr>
                <w:sz w:val="19"/>
                <w:szCs w:val="19"/>
                <w:lang w:val="en-AU"/>
              </w:rPr>
            </w:pPr>
            <w:r w:rsidRPr="004355EF">
              <w:rPr>
                <w:sz w:val="19"/>
                <w:szCs w:val="19"/>
                <w:lang w:val="en-AU"/>
              </w:rPr>
              <w:t>Re-check patient details on specimen and repeat testing to determine true result</w:t>
            </w:r>
          </w:p>
        </w:tc>
      </w:tr>
      <w:tr w:rsidR="00E24AC6" w:rsidRPr="001735B2" w14:paraId="033D81F8" w14:textId="77777777" w:rsidTr="004355EF">
        <w:tc>
          <w:tcPr>
            <w:tcW w:w="3970" w:type="dxa"/>
          </w:tcPr>
          <w:p w14:paraId="19856D0F" w14:textId="77777777" w:rsidR="00E24AC6" w:rsidRPr="004355EF" w:rsidRDefault="00E24AC6" w:rsidP="00E720C7">
            <w:pPr>
              <w:rPr>
                <w:sz w:val="19"/>
                <w:szCs w:val="19"/>
                <w:lang w:val="en-AU"/>
              </w:rPr>
            </w:pPr>
            <w:r w:rsidRPr="004355EF">
              <w:rPr>
                <w:sz w:val="19"/>
                <w:szCs w:val="19"/>
                <w:lang w:val="en-AU"/>
              </w:rPr>
              <w:t xml:space="preserve">Contamination of primary specimen with positive specimen </w:t>
            </w:r>
          </w:p>
        </w:tc>
        <w:tc>
          <w:tcPr>
            <w:tcW w:w="7796" w:type="dxa"/>
          </w:tcPr>
          <w:p w14:paraId="2EB5A614" w14:textId="77777777" w:rsidR="00E24AC6" w:rsidRPr="004355EF" w:rsidRDefault="00E24AC6" w:rsidP="007321DA">
            <w:pPr>
              <w:pStyle w:val="ListParagraph"/>
              <w:numPr>
                <w:ilvl w:val="0"/>
                <w:numId w:val="31"/>
              </w:numPr>
              <w:rPr>
                <w:sz w:val="19"/>
                <w:szCs w:val="19"/>
                <w:lang w:val="en-AU"/>
              </w:rPr>
            </w:pPr>
            <w:r w:rsidRPr="004355EF">
              <w:rPr>
                <w:sz w:val="19"/>
                <w:szCs w:val="19"/>
                <w:lang w:val="en-AU"/>
              </w:rPr>
              <w:t>Standard laboratory procedures to minimise contamination of equipment, solutions and surfaces which may lead to specimen contamination</w:t>
            </w:r>
          </w:p>
          <w:p w14:paraId="09B107A3" w14:textId="77777777" w:rsidR="00E24AC6" w:rsidRPr="004355EF" w:rsidRDefault="00E24AC6" w:rsidP="007321DA">
            <w:pPr>
              <w:pStyle w:val="ListParagraph"/>
              <w:numPr>
                <w:ilvl w:val="0"/>
                <w:numId w:val="31"/>
              </w:numPr>
              <w:rPr>
                <w:sz w:val="19"/>
                <w:szCs w:val="19"/>
                <w:lang w:val="en-AU"/>
              </w:rPr>
            </w:pPr>
            <w:r w:rsidRPr="004355EF">
              <w:rPr>
                <w:sz w:val="19"/>
                <w:szCs w:val="19"/>
                <w:lang w:val="en-AU"/>
              </w:rPr>
              <w:t>Use of negative controls to identify contamination</w:t>
            </w:r>
          </w:p>
          <w:p w14:paraId="677EBECC" w14:textId="77777777" w:rsidR="00E24AC6" w:rsidRPr="004355EF" w:rsidRDefault="00E24AC6" w:rsidP="007321DA">
            <w:pPr>
              <w:pStyle w:val="ListParagraph"/>
              <w:numPr>
                <w:ilvl w:val="0"/>
                <w:numId w:val="31"/>
              </w:numPr>
              <w:rPr>
                <w:sz w:val="19"/>
                <w:szCs w:val="19"/>
                <w:lang w:val="en-AU"/>
              </w:rPr>
            </w:pPr>
            <w:r w:rsidRPr="004355EF">
              <w:rPr>
                <w:sz w:val="19"/>
                <w:szCs w:val="19"/>
                <w:lang w:val="en-AU"/>
              </w:rPr>
              <w:t>Identification of error at time of analysis and/or reporting due to low level amplification and inconsistent clinical history</w:t>
            </w:r>
          </w:p>
        </w:tc>
        <w:tc>
          <w:tcPr>
            <w:tcW w:w="3827" w:type="dxa"/>
          </w:tcPr>
          <w:p w14:paraId="046A7600" w14:textId="77777777" w:rsidR="00E24AC6" w:rsidRPr="004355EF" w:rsidRDefault="00E24AC6" w:rsidP="007321DA">
            <w:pPr>
              <w:pStyle w:val="ListParagraph"/>
              <w:numPr>
                <w:ilvl w:val="0"/>
                <w:numId w:val="32"/>
              </w:numPr>
              <w:rPr>
                <w:sz w:val="19"/>
                <w:szCs w:val="19"/>
                <w:lang w:val="en-AU"/>
              </w:rPr>
            </w:pPr>
            <w:r w:rsidRPr="004355EF">
              <w:rPr>
                <w:sz w:val="19"/>
                <w:szCs w:val="19"/>
                <w:lang w:val="en-AU"/>
              </w:rPr>
              <w:t>Repeat testing on a newly collected specimen</w:t>
            </w:r>
          </w:p>
        </w:tc>
      </w:tr>
      <w:tr w:rsidR="00E24AC6" w:rsidRPr="001735B2" w14:paraId="145D9F82" w14:textId="77777777" w:rsidTr="004355EF">
        <w:tc>
          <w:tcPr>
            <w:tcW w:w="3970" w:type="dxa"/>
          </w:tcPr>
          <w:p w14:paraId="69AFC1C3" w14:textId="77777777" w:rsidR="00E24AC6" w:rsidRPr="004355EF" w:rsidRDefault="00E24AC6" w:rsidP="00E720C7">
            <w:pPr>
              <w:rPr>
                <w:sz w:val="19"/>
                <w:szCs w:val="19"/>
                <w:lang w:val="en-AU"/>
              </w:rPr>
            </w:pPr>
            <w:r w:rsidRPr="004355EF">
              <w:rPr>
                <w:sz w:val="19"/>
                <w:szCs w:val="19"/>
                <w:lang w:val="en-AU"/>
              </w:rPr>
              <w:t>Contamination of specimen extract with positive specimen extract or positive control material</w:t>
            </w:r>
          </w:p>
        </w:tc>
        <w:tc>
          <w:tcPr>
            <w:tcW w:w="7796" w:type="dxa"/>
          </w:tcPr>
          <w:p w14:paraId="16A9384D" w14:textId="77777777" w:rsidR="00E24AC6" w:rsidRPr="004355EF" w:rsidRDefault="00E24AC6" w:rsidP="007321DA">
            <w:pPr>
              <w:pStyle w:val="ListParagraph"/>
              <w:numPr>
                <w:ilvl w:val="0"/>
                <w:numId w:val="31"/>
              </w:numPr>
              <w:rPr>
                <w:sz w:val="19"/>
                <w:szCs w:val="19"/>
                <w:lang w:val="en-AU"/>
              </w:rPr>
            </w:pPr>
            <w:r w:rsidRPr="004355EF">
              <w:rPr>
                <w:sz w:val="19"/>
                <w:szCs w:val="19"/>
                <w:lang w:val="en-AU"/>
              </w:rPr>
              <w:t>Standard laboratory procedures to minimise contamination of equipment, solutions and surfaces which may lead to specimen contamination</w:t>
            </w:r>
          </w:p>
          <w:p w14:paraId="74E1A003" w14:textId="77777777" w:rsidR="00E24AC6" w:rsidRPr="004355EF" w:rsidRDefault="00E24AC6" w:rsidP="007321DA">
            <w:pPr>
              <w:pStyle w:val="ListParagraph"/>
              <w:numPr>
                <w:ilvl w:val="0"/>
                <w:numId w:val="31"/>
              </w:numPr>
              <w:rPr>
                <w:sz w:val="19"/>
                <w:szCs w:val="19"/>
                <w:lang w:val="en-AU"/>
              </w:rPr>
            </w:pPr>
            <w:r w:rsidRPr="004355EF">
              <w:rPr>
                <w:sz w:val="19"/>
                <w:szCs w:val="19"/>
                <w:lang w:val="en-AU"/>
              </w:rPr>
              <w:t>Use of negative controls to identify contamination</w:t>
            </w:r>
          </w:p>
          <w:p w14:paraId="0EC47C38" w14:textId="77777777" w:rsidR="00E24AC6" w:rsidRPr="004355EF" w:rsidRDefault="00E24AC6" w:rsidP="007321DA">
            <w:pPr>
              <w:pStyle w:val="ListParagraph"/>
              <w:numPr>
                <w:ilvl w:val="0"/>
                <w:numId w:val="31"/>
              </w:numPr>
              <w:rPr>
                <w:sz w:val="19"/>
                <w:szCs w:val="19"/>
                <w:lang w:val="en-AU"/>
              </w:rPr>
            </w:pPr>
            <w:r w:rsidRPr="004355EF">
              <w:rPr>
                <w:sz w:val="19"/>
                <w:szCs w:val="19"/>
                <w:lang w:val="en-AU"/>
              </w:rPr>
              <w:t>Identification of error at time of analysis and/or reporting due to low level amplification and inconsistent clinical history</w:t>
            </w:r>
          </w:p>
        </w:tc>
        <w:tc>
          <w:tcPr>
            <w:tcW w:w="3827" w:type="dxa"/>
          </w:tcPr>
          <w:p w14:paraId="22DE1DD4" w14:textId="77777777" w:rsidR="00E24AC6" w:rsidRPr="004355EF" w:rsidRDefault="00E24AC6" w:rsidP="007321DA">
            <w:pPr>
              <w:pStyle w:val="ListParagraph"/>
              <w:numPr>
                <w:ilvl w:val="0"/>
                <w:numId w:val="32"/>
              </w:numPr>
              <w:rPr>
                <w:sz w:val="19"/>
                <w:szCs w:val="19"/>
                <w:lang w:val="en-AU"/>
              </w:rPr>
            </w:pPr>
            <w:r w:rsidRPr="004355EF">
              <w:rPr>
                <w:sz w:val="19"/>
                <w:szCs w:val="19"/>
                <w:lang w:val="en-AU"/>
              </w:rPr>
              <w:t>Repeat extraction and re-testing of original specimen on same and/or different assay</w:t>
            </w:r>
          </w:p>
          <w:p w14:paraId="3E2B0B4F" w14:textId="77777777" w:rsidR="00E24AC6" w:rsidRPr="004355EF" w:rsidRDefault="00E24AC6" w:rsidP="007321DA">
            <w:pPr>
              <w:pStyle w:val="ListParagraph"/>
              <w:numPr>
                <w:ilvl w:val="0"/>
                <w:numId w:val="32"/>
              </w:numPr>
              <w:rPr>
                <w:sz w:val="19"/>
                <w:szCs w:val="19"/>
                <w:lang w:val="en-AU"/>
              </w:rPr>
            </w:pPr>
            <w:r w:rsidRPr="004355EF">
              <w:rPr>
                <w:sz w:val="19"/>
                <w:szCs w:val="19"/>
                <w:lang w:val="en-AU"/>
              </w:rPr>
              <w:t>Repeat testing on a newly collected specimen</w:t>
            </w:r>
          </w:p>
        </w:tc>
      </w:tr>
      <w:tr w:rsidR="00230E72" w:rsidRPr="001735B2" w14:paraId="0E3D1B8D" w14:textId="77777777" w:rsidTr="004355EF">
        <w:tc>
          <w:tcPr>
            <w:tcW w:w="3970" w:type="dxa"/>
          </w:tcPr>
          <w:p w14:paraId="66BCEE7A" w14:textId="77777777" w:rsidR="00230E72" w:rsidRPr="004355EF" w:rsidRDefault="00230E72" w:rsidP="00E720C7">
            <w:pPr>
              <w:rPr>
                <w:sz w:val="19"/>
                <w:szCs w:val="19"/>
                <w:lang w:val="en-AU"/>
              </w:rPr>
            </w:pPr>
            <w:r>
              <w:rPr>
                <w:sz w:val="19"/>
                <w:szCs w:val="19"/>
                <w:lang w:val="en-AU"/>
              </w:rPr>
              <w:t>180 degree rotation of 96 well plates during extraction or assay setup</w:t>
            </w:r>
          </w:p>
        </w:tc>
        <w:tc>
          <w:tcPr>
            <w:tcW w:w="7796" w:type="dxa"/>
          </w:tcPr>
          <w:p w14:paraId="7915BD9F" w14:textId="77777777" w:rsidR="00230E72" w:rsidRPr="004355EF" w:rsidRDefault="00230E72" w:rsidP="007321DA">
            <w:pPr>
              <w:pStyle w:val="ListParagraph"/>
              <w:numPr>
                <w:ilvl w:val="0"/>
                <w:numId w:val="31"/>
              </w:numPr>
              <w:rPr>
                <w:sz w:val="19"/>
                <w:szCs w:val="19"/>
                <w:lang w:val="en-AU"/>
              </w:rPr>
            </w:pPr>
            <w:r>
              <w:rPr>
                <w:sz w:val="19"/>
                <w:szCs w:val="19"/>
                <w:lang w:val="en-AU"/>
              </w:rPr>
              <w:t>Plate markers; second checkers; strategic placement of controls</w:t>
            </w:r>
          </w:p>
        </w:tc>
        <w:tc>
          <w:tcPr>
            <w:tcW w:w="3827" w:type="dxa"/>
          </w:tcPr>
          <w:p w14:paraId="52186DE7" w14:textId="77777777" w:rsidR="00230E72" w:rsidRPr="004355EF" w:rsidRDefault="00230E72" w:rsidP="007321DA">
            <w:pPr>
              <w:pStyle w:val="ListParagraph"/>
              <w:numPr>
                <w:ilvl w:val="0"/>
                <w:numId w:val="32"/>
              </w:numPr>
              <w:rPr>
                <w:sz w:val="19"/>
                <w:szCs w:val="19"/>
                <w:lang w:val="en-AU"/>
              </w:rPr>
            </w:pPr>
            <w:r>
              <w:rPr>
                <w:sz w:val="19"/>
                <w:szCs w:val="19"/>
                <w:lang w:val="en-AU"/>
              </w:rPr>
              <w:t>Repeat extractions and testing as required</w:t>
            </w:r>
          </w:p>
        </w:tc>
      </w:tr>
      <w:tr w:rsidR="00E24AC6" w:rsidRPr="001735B2" w14:paraId="43949322" w14:textId="77777777" w:rsidTr="004355EF">
        <w:tc>
          <w:tcPr>
            <w:tcW w:w="3970" w:type="dxa"/>
          </w:tcPr>
          <w:p w14:paraId="5956A186" w14:textId="77777777" w:rsidR="00E24AC6" w:rsidRPr="004355EF" w:rsidRDefault="00E24AC6" w:rsidP="00E720C7">
            <w:pPr>
              <w:rPr>
                <w:sz w:val="19"/>
                <w:szCs w:val="19"/>
                <w:lang w:val="en-AU"/>
              </w:rPr>
            </w:pPr>
            <w:r w:rsidRPr="004355EF">
              <w:rPr>
                <w:sz w:val="19"/>
                <w:szCs w:val="19"/>
                <w:lang w:val="en-AU"/>
              </w:rPr>
              <w:t>Data transcription errors – wrong result entered or result entered into wrong patient record</w:t>
            </w:r>
          </w:p>
        </w:tc>
        <w:tc>
          <w:tcPr>
            <w:tcW w:w="7796" w:type="dxa"/>
          </w:tcPr>
          <w:p w14:paraId="6B7F7F73" w14:textId="77777777" w:rsidR="00E24AC6" w:rsidRPr="004355EF" w:rsidRDefault="00E24AC6" w:rsidP="007321DA">
            <w:pPr>
              <w:pStyle w:val="ListParagraph"/>
              <w:numPr>
                <w:ilvl w:val="0"/>
                <w:numId w:val="31"/>
              </w:numPr>
              <w:rPr>
                <w:sz w:val="19"/>
                <w:szCs w:val="19"/>
                <w:lang w:val="en-AU"/>
              </w:rPr>
            </w:pPr>
            <w:r w:rsidRPr="004355EF">
              <w:rPr>
                <w:sz w:val="19"/>
                <w:szCs w:val="19"/>
                <w:lang w:val="en-AU"/>
              </w:rPr>
              <w:t>Standard laboratory procedures to minimise transcription errors</w:t>
            </w:r>
          </w:p>
          <w:p w14:paraId="15493C97" w14:textId="77777777" w:rsidR="00E24AC6" w:rsidRPr="004355EF" w:rsidRDefault="00E24AC6" w:rsidP="007321DA">
            <w:pPr>
              <w:pStyle w:val="ListParagraph"/>
              <w:numPr>
                <w:ilvl w:val="0"/>
                <w:numId w:val="31"/>
              </w:numPr>
              <w:rPr>
                <w:sz w:val="19"/>
                <w:szCs w:val="19"/>
                <w:lang w:val="en-AU"/>
              </w:rPr>
            </w:pPr>
            <w:r w:rsidRPr="004355EF">
              <w:rPr>
                <w:sz w:val="19"/>
                <w:szCs w:val="19"/>
                <w:lang w:val="en-AU"/>
              </w:rPr>
              <w:t>Identification of error may occur at time of reporting</w:t>
            </w:r>
          </w:p>
        </w:tc>
        <w:tc>
          <w:tcPr>
            <w:tcW w:w="3827" w:type="dxa"/>
          </w:tcPr>
          <w:p w14:paraId="35A63038" w14:textId="77777777" w:rsidR="00E24AC6" w:rsidRPr="004355EF" w:rsidRDefault="00E24AC6" w:rsidP="007321DA">
            <w:pPr>
              <w:pStyle w:val="ListParagraph"/>
              <w:numPr>
                <w:ilvl w:val="0"/>
                <w:numId w:val="32"/>
              </w:numPr>
              <w:rPr>
                <w:sz w:val="19"/>
                <w:szCs w:val="19"/>
                <w:lang w:val="en-AU"/>
              </w:rPr>
            </w:pPr>
            <w:r w:rsidRPr="004355EF">
              <w:rPr>
                <w:sz w:val="19"/>
                <w:szCs w:val="19"/>
                <w:lang w:val="en-AU"/>
              </w:rPr>
              <w:t>Re-check results and repeat testing from primary specimen or extracted specimen if necessary</w:t>
            </w:r>
          </w:p>
        </w:tc>
      </w:tr>
      <w:tr w:rsidR="00E24AC6" w:rsidRPr="001735B2" w14:paraId="58A96171" w14:textId="77777777" w:rsidTr="004355EF">
        <w:tc>
          <w:tcPr>
            <w:tcW w:w="3970" w:type="dxa"/>
          </w:tcPr>
          <w:p w14:paraId="35DD616F" w14:textId="77777777" w:rsidR="00E24AC6" w:rsidRPr="004355EF" w:rsidRDefault="00E24AC6" w:rsidP="00E720C7">
            <w:pPr>
              <w:rPr>
                <w:sz w:val="19"/>
                <w:szCs w:val="19"/>
                <w:lang w:val="en-AU"/>
              </w:rPr>
            </w:pPr>
            <w:r w:rsidRPr="004355EF">
              <w:rPr>
                <w:sz w:val="19"/>
                <w:szCs w:val="19"/>
                <w:lang w:val="en-AU"/>
              </w:rPr>
              <w:t>Patient mis-identification following verbal notification of result</w:t>
            </w:r>
          </w:p>
        </w:tc>
        <w:tc>
          <w:tcPr>
            <w:tcW w:w="7796" w:type="dxa"/>
          </w:tcPr>
          <w:p w14:paraId="08EFB040" w14:textId="77777777" w:rsidR="00E24AC6" w:rsidRPr="004355EF" w:rsidRDefault="00E24AC6" w:rsidP="007321DA">
            <w:pPr>
              <w:pStyle w:val="ListParagraph"/>
              <w:numPr>
                <w:ilvl w:val="0"/>
                <w:numId w:val="31"/>
              </w:numPr>
              <w:rPr>
                <w:sz w:val="19"/>
                <w:szCs w:val="19"/>
                <w:lang w:val="en-AU"/>
              </w:rPr>
            </w:pPr>
            <w:r w:rsidRPr="004355EF">
              <w:rPr>
                <w:sz w:val="19"/>
                <w:szCs w:val="19"/>
                <w:lang w:val="en-AU"/>
              </w:rPr>
              <w:t>Standard procedures for positive patient identification during verbal notification procedures</w:t>
            </w:r>
          </w:p>
          <w:p w14:paraId="6E494151" w14:textId="77777777" w:rsidR="00E24AC6" w:rsidRPr="004355EF" w:rsidRDefault="00E24AC6" w:rsidP="007321DA">
            <w:pPr>
              <w:pStyle w:val="ListParagraph"/>
              <w:numPr>
                <w:ilvl w:val="0"/>
                <w:numId w:val="31"/>
              </w:numPr>
              <w:rPr>
                <w:sz w:val="19"/>
                <w:szCs w:val="19"/>
                <w:lang w:val="en-AU"/>
              </w:rPr>
            </w:pPr>
            <w:r w:rsidRPr="004355EF">
              <w:rPr>
                <w:sz w:val="19"/>
                <w:szCs w:val="19"/>
                <w:lang w:val="en-AU"/>
              </w:rPr>
              <w:t>Identification by clinician on correlation with formal written/electronic report</w:t>
            </w:r>
          </w:p>
        </w:tc>
        <w:tc>
          <w:tcPr>
            <w:tcW w:w="3827" w:type="dxa"/>
          </w:tcPr>
          <w:p w14:paraId="0B5BB7DD" w14:textId="77777777" w:rsidR="00E24AC6" w:rsidRPr="004355EF" w:rsidRDefault="00E24AC6" w:rsidP="007321DA">
            <w:pPr>
              <w:pStyle w:val="ListParagraph"/>
              <w:numPr>
                <w:ilvl w:val="0"/>
                <w:numId w:val="32"/>
              </w:numPr>
              <w:rPr>
                <w:sz w:val="19"/>
                <w:szCs w:val="19"/>
                <w:lang w:val="en-AU"/>
              </w:rPr>
            </w:pPr>
            <w:r w:rsidRPr="004355EF">
              <w:rPr>
                <w:sz w:val="19"/>
                <w:szCs w:val="19"/>
                <w:lang w:val="en-AU"/>
              </w:rPr>
              <w:t>Provision of formal written/electronic report</w:t>
            </w:r>
          </w:p>
        </w:tc>
      </w:tr>
      <w:tr w:rsidR="00E24AC6" w:rsidRPr="001735B2" w14:paraId="07B9809D" w14:textId="77777777" w:rsidTr="004355EF">
        <w:tc>
          <w:tcPr>
            <w:tcW w:w="3970" w:type="dxa"/>
          </w:tcPr>
          <w:p w14:paraId="750C02D1" w14:textId="77777777" w:rsidR="00E24AC6" w:rsidRPr="004355EF" w:rsidRDefault="00E24AC6" w:rsidP="00E720C7">
            <w:pPr>
              <w:rPr>
                <w:sz w:val="19"/>
                <w:szCs w:val="19"/>
                <w:lang w:val="en-AU"/>
              </w:rPr>
            </w:pPr>
            <w:r w:rsidRPr="004355EF">
              <w:rPr>
                <w:sz w:val="19"/>
                <w:szCs w:val="19"/>
                <w:lang w:val="en-AU"/>
              </w:rPr>
              <w:t>Misinterpretation of result by the clinician</w:t>
            </w:r>
          </w:p>
        </w:tc>
        <w:tc>
          <w:tcPr>
            <w:tcW w:w="7796" w:type="dxa"/>
          </w:tcPr>
          <w:p w14:paraId="68D4F2CD" w14:textId="77777777" w:rsidR="00E24AC6" w:rsidRPr="004355EF" w:rsidRDefault="00E24AC6" w:rsidP="007321DA">
            <w:pPr>
              <w:pStyle w:val="ListParagraph"/>
              <w:numPr>
                <w:ilvl w:val="0"/>
                <w:numId w:val="31"/>
              </w:numPr>
              <w:rPr>
                <w:sz w:val="19"/>
                <w:szCs w:val="19"/>
                <w:lang w:val="en-AU"/>
              </w:rPr>
            </w:pPr>
            <w:r w:rsidRPr="004355EF">
              <w:rPr>
                <w:sz w:val="19"/>
                <w:szCs w:val="19"/>
                <w:lang w:val="en-AU"/>
              </w:rPr>
              <w:t>Design of laboratory reports to reduce ambiguity and inclusion of interpretive comments to assist in clinician interpretation</w:t>
            </w:r>
          </w:p>
        </w:tc>
        <w:tc>
          <w:tcPr>
            <w:tcW w:w="3827" w:type="dxa"/>
          </w:tcPr>
          <w:p w14:paraId="4C738B72" w14:textId="77777777" w:rsidR="00E24AC6" w:rsidRPr="007321DA" w:rsidRDefault="00E24AC6" w:rsidP="007321DA">
            <w:pPr>
              <w:pStyle w:val="ListParagraph"/>
              <w:numPr>
                <w:ilvl w:val="0"/>
                <w:numId w:val="32"/>
              </w:numPr>
              <w:rPr>
                <w:sz w:val="19"/>
                <w:szCs w:val="19"/>
                <w:lang w:val="en-AU"/>
              </w:rPr>
            </w:pPr>
          </w:p>
        </w:tc>
      </w:tr>
      <w:tr w:rsidR="00BE3D81" w:rsidRPr="00BE3D81" w14:paraId="5DB4721F" w14:textId="77777777" w:rsidTr="00BE3D81">
        <w:tc>
          <w:tcPr>
            <w:tcW w:w="15593" w:type="dxa"/>
            <w:gridSpan w:val="3"/>
            <w:shd w:val="clear" w:color="auto" w:fill="DEEAF6" w:themeFill="accent1" w:themeFillTint="33"/>
          </w:tcPr>
          <w:p w14:paraId="7287C599" w14:textId="77777777" w:rsidR="003A55F7" w:rsidRPr="007321DA" w:rsidRDefault="003A55F7" w:rsidP="007321DA">
            <w:pPr>
              <w:rPr>
                <w:b/>
                <w:szCs w:val="18"/>
                <w:lang w:val="en-AU"/>
              </w:rPr>
            </w:pPr>
            <w:r w:rsidRPr="007321DA">
              <w:rPr>
                <w:b/>
                <w:szCs w:val="18"/>
                <w:lang w:val="en-AU"/>
              </w:rPr>
              <w:lastRenderedPageBreak/>
              <w:t>2.  Off-target Reactivity</w:t>
            </w:r>
          </w:p>
        </w:tc>
      </w:tr>
      <w:tr w:rsidR="00E24AC6" w:rsidRPr="001735B2" w14:paraId="487381E2" w14:textId="77777777" w:rsidTr="004355EF">
        <w:tc>
          <w:tcPr>
            <w:tcW w:w="3970" w:type="dxa"/>
          </w:tcPr>
          <w:p w14:paraId="6E8AECB2" w14:textId="77777777" w:rsidR="00E24AC6" w:rsidRPr="007321DA" w:rsidRDefault="00E24AC6" w:rsidP="00E720C7">
            <w:pPr>
              <w:rPr>
                <w:sz w:val="19"/>
                <w:szCs w:val="19"/>
                <w:lang w:val="en-AU"/>
              </w:rPr>
            </w:pPr>
            <w:r w:rsidRPr="007321DA">
              <w:rPr>
                <w:sz w:val="19"/>
                <w:szCs w:val="19"/>
                <w:lang w:val="en-AU"/>
              </w:rPr>
              <w:t>Amplification of non-specific PCR products</w:t>
            </w:r>
          </w:p>
        </w:tc>
        <w:tc>
          <w:tcPr>
            <w:tcW w:w="7796" w:type="dxa"/>
          </w:tcPr>
          <w:p w14:paraId="62A755E8" w14:textId="77777777" w:rsidR="00E24AC6" w:rsidRPr="007321DA" w:rsidRDefault="00E24AC6" w:rsidP="007321DA">
            <w:pPr>
              <w:pStyle w:val="ListParagraph"/>
              <w:numPr>
                <w:ilvl w:val="0"/>
                <w:numId w:val="31"/>
              </w:numPr>
              <w:rPr>
                <w:sz w:val="19"/>
                <w:szCs w:val="19"/>
                <w:lang w:val="en-AU"/>
              </w:rPr>
            </w:pPr>
            <w:r w:rsidRPr="007321DA">
              <w:rPr>
                <w:sz w:val="19"/>
                <w:szCs w:val="19"/>
                <w:lang w:val="en-AU"/>
              </w:rPr>
              <w:t>Assay design</w:t>
            </w:r>
          </w:p>
          <w:p w14:paraId="48979F30" w14:textId="77777777" w:rsidR="00E24AC6" w:rsidRPr="007321DA" w:rsidRDefault="00E24AC6" w:rsidP="007321DA">
            <w:pPr>
              <w:pStyle w:val="ListParagraph"/>
              <w:numPr>
                <w:ilvl w:val="0"/>
                <w:numId w:val="31"/>
              </w:numPr>
              <w:rPr>
                <w:sz w:val="19"/>
                <w:szCs w:val="19"/>
                <w:lang w:val="en-AU"/>
              </w:rPr>
            </w:pPr>
            <w:r w:rsidRPr="007321DA">
              <w:rPr>
                <w:sz w:val="19"/>
                <w:szCs w:val="19"/>
                <w:lang w:val="en-AU"/>
              </w:rPr>
              <w:t>Result analyses and interpretation</w:t>
            </w:r>
          </w:p>
          <w:p w14:paraId="7BC2E294" w14:textId="77777777" w:rsidR="00E24AC6" w:rsidRPr="007321DA" w:rsidRDefault="00E24AC6" w:rsidP="007321DA">
            <w:pPr>
              <w:pStyle w:val="ListParagraph"/>
              <w:numPr>
                <w:ilvl w:val="0"/>
                <w:numId w:val="31"/>
              </w:numPr>
              <w:rPr>
                <w:sz w:val="19"/>
                <w:szCs w:val="19"/>
                <w:lang w:val="en-AU"/>
              </w:rPr>
            </w:pPr>
            <w:r w:rsidRPr="007321DA">
              <w:rPr>
                <w:sz w:val="19"/>
                <w:szCs w:val="19"/>
                <w:lang w:val="en-AU"/>
              </w:rPr>
              <w:t xml:space="preserve">Identification at time of analysis and/or reporting due to low level amplification, poor amplification curve and/or inconsistent clinical history </w:t>
            </w:r>
          </w:p>
        </w:tc>
        <w:tc>
          <w:tcPr>
            <w:tcW w:w="3827" w:type="dxa"/>
          </w:tcPr>
          <w:p w14:paraId="7E7B486A" w14:textId="77777777" w:rsidR="00E24AC6" w:rsidRPr="007321DA" w:rsidRDefault="00E24AC6" w:rsidP="007321DA">
            <w:pPr>
              <w:pStyle w:val="ListParagraph"/>
              <w:numPr>
                <w:ilvl w:val="0"/>
                <w:numId w:val="32"/>
              </w:numPr>
              <w:rPr>
                <w:sz w:val="19"/>
                <w:szCs w:val="19"/>
                <w:lang w:val="en-AU"/>
              </w:rPr>
            </w:pPr>
            <w:r w:rsidRPr="007321DA">
              <w:rPr>
                <w:sz w:val="19"/>
                <w:szCs w:val="19"/>
                <w:lang w:val="en-AU"/>
              </w:rPr>
              <w:t>Repeat extraction and re-testing of original specimen on same and/or different assay and/or genomic sequencing</w:t>
            </w:r>
          </w:p>
          <w:p w14:paraId="5A960610" w14:textId="77777777" w:rsidR="00E24AC6" w:rsidRPr="007321DA" w:rsidRDefault="00E24AC6" w:rsidP="007321DA">
            <w:pPr>
              <w:pStyle w:val="ListParagraph"/>
              <w:numPr>
                <w:ilvl w:val="0"/>
                <w:numId w:val="32"/>
              </w:numPr>
              <w:rPr>
                <w:sz w:val="19"/>
                <w:szCs w:val="19"/>
                <w:lang w:val="en-AU"/>
              </w:rPr>
            </w:pPr>
            <w:r w:rsidRPr="007321DA">
              <w:rPr>
                <w:sz w:val="19"/>
                <w:szCs w:val="19"/>
                <w:lang w:val="en-AU"/>
              </w:rPr>
              <w:t>Repeat testing on a newly collected specimen</w:t>
            </w:r>
          </w:p>
        </w:tc>
      </w:tr>
    </w:tbl>
    <w:p w14:paraId="124A8E6D" w14:textId="77777777" w:rsidR="0000110E" w:rsidRPr="004A6862" w:rsidRDefault="0000110E" w:rsidP="00E720C7">
      <w:pPr>
        <w:rPr>
          <w:lang w:val="en-AU"/>
        </w:rPr>
      </w:pPr>
    </w:p>
    <w:sectPr w:rsidR="0000110E" w:rsidRPr="004A6862" w:rsidSect="00E708C8">
      <w:pgSz w:w="16840" w:h="11900" w:orient="landscape"/>
      <w:pgMar w:top="1276" w:right="1440" w:bottom="992"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C37C09" w16cid:durableId="228608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0D9AD" w14:textId="77777777" w:rsidR="00B12B47" w:rsidRDefault="00B12B47" w:rsidP="0044727B">
      <w:r>
        <w:separator/>
      </w:r>
    </w:p>
  </w:endnote>
  <w:endnote w:type="continuationSeparator" w:id="0">
    <w:p w14:paraId="551168D0" w14:textId="77777777" w:rsidR="00B12B47" w:rsidRDefault="00B12B47" w:rsidP="0044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F0B0D" w14:textId="77777777" w:rsidR="00D60DD5" w:rsidRDefault="00D60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357485"/>
      <w:docPartObj>
        <w:docPartGallery w:val="Page Numbers (Bottom of Page)"/>
        <w:docPartUnique/>
      </w:docPartObj>
    </w:sdtPr>
    <w:sdtContent>
      <w:sdt>
        <w:sdtPr>
          <w:id w:val="1728636285"/>
          <w:docPartObj>
            <w:docPartGallery w:val="Page Numbers (Top of Page)"/>
            <w:docPartUnique/>
          </w:docPartObj>
        </w:sdtPr>
        <w:sdtContent>
          <w:p w14:paraId="630F71A8" w14:textId="098A1861" w:rsidR="00D60DD5" w:rsidRDefault="00D60DD5" w:rsidP="00542C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42CF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2CF4">
              <w:rPr>
                <w:b/>
                <w:bCs/>
                <w:noProof/>
              </w:rPr>
              <w:t>7</w:t>
            </w:r>
            <w:r>
              <w:rPr>
                <w:b/>
                <w:bCs/>
                <w:sz w:val="24"/>
                <w:szCs w:val="24"/>
              </w:rPr>
              <w:fldChar w:fldCharType="end"/>
            </w:r>
          </w:p>
          <w:bookmarkStart w:id="0" w:name="_GoBack" w:displacedByCustomXml="next"/>
          <w:bookmarkEnd w:id="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8C7C" w14:textId="77777777" w:rsidR="00D60DD5" w:rsidRDefault="00D60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B1978" w14:textId="77777777" w:rsidR="00B12B47" w:rsidRDefault="00B12B47" w:rsidP="0044727B">
      <w:r>
        <w:separator/>
      </w:r>
    </w:p>
  </w:footnote>
  <w:footnote w:type="continuationSeparator" w:id="0">
    <w:p w14:paraId="12E39C78" w14:textId="77777777" w:rsidR="00B12B47" w:rsidRDefault="00B12B47" w:rsidP="00447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01123" w14:textId="77777777" w:rsidR="00D60DD5" w:rsidRDefault="00D60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82B17" w14:textId="77777777" w:rsidR="00EE4EF8" w:rsidRDefault="00EE4EF8" w:rsidP="0044727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6018B" w14:textId="77777777" w:rsidR="00D60DD5" w:rsidRDefault="00D60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403"/>
    <w:multiLevelType w:val="hybridMultilevel"/>
    <w:tmpl w:val="CD6E7250"/>
    <w:lvl w:ilvl="0" w:tplc="C2F0177E">
      <w:start w:val="1"/>
      <w:numFmt w:val="bullet"/>
      <w:lvlText w:val=""/>
      <w:lvlJc w:val="left"/>
      <w:pPr>
        <w:ind w:left="170" w:hanging="17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55C06"/>
    <w:multiLevelType w:val="hybridMultilevel"/>
    <w:tmpl w:val="233E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841C8"/>
    <w:multiLevelType w:val="hybridMultilevel"/>
    <w:tmpl w:val="9E2CA1BA"/>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 w15:restartNumberingAfterBreak="0">
    <w:nsid w:val="14FA7912"/>
    <w:multiLevelType w:val="hybridMultilevel"/>
    <w:tmpl w:val="4BB85142"/>
    <w:lvl w:ilvl="0" w:tplc="FA9CE77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0B1529"/>
    <w:multiLevelType w:val="hybridMultilevel"/>
    <w:tmpl w:val="FB56DDE8"/>
    <w:lvl w:ilvl="0" w:tplc="CA9EC82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CB4FB2"/>
    <w:multiLevelType w:val="hybridMultilevel"/>
    <w:tmpl w:val="2FE8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D222C"/>
    <w:multiLevelType w:val="hybridMultilevel"/>
    <w:tmpl w:val="2208E9C2"/>
    <w:lvl w:ilvl="0" w:tplc="C2F0177E">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E495C"/>
    <w:multiLevelType w:val="hybridMultilevel"/>
    <w:tmpl w:val="0AA24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71FB1"/>
    <w:multiLevelType w:val="hybridMultilevel"/>
    <w:tmpl w:val="F626C982"/>
    <w:lvl w:ilvl="0" w:tplc="C2F0177E">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01B87"/>
    <w:multiLevelType w:val="hybridMultilevel"/>
    <w:tmpl w:val="6390E868"/>
    <w:lvl w:ilvl="0" w:tplc="CA9EC82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F34FA7"/>
    <w:multiLevelType w:val="hybridMultilevel"/>
    <w:tmpl w:val="F956DF0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B219B0"/>
    <w:multiLevelType w:val="hybridMultilevel"/>
    <w:tmpl w:val="6876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4073E"/>
    <w:multiLevelType w:val="hybridMultilevel"/>
    <w:tmpl w:val="0BC4DCD8"/>
    <w:lvl w:ilvl="0" w:tplc="0C090001">
      <w:start w:val="1"/>
      <w:numFmt w:val="bullet"/>
      <w:lvlText w:val=""/>
      <w:lvlJc w:val="left"/>
      <w:pPr>
        <w:ind w:left="618" w:hanging="360"/>
      </w:pPr>
      <w:rPr>
        <w:rFonts w:ascii="Symbol" w:hAnsi="Symbol" w:hint="default"/>
      </w:rPr>
    </w:lvl>
    <w:lvl w:ilvl="1" w:tplc="0C090003" w:tentative="1">
      <w:start w:val="1"/>
      <w:numFmt w:val="bullet"/>
      <w:lvlText w:val="o"/>
      <w:lvlJc w:val="left"/>
      <w:pPr>
        <w:ind w:left="1338" w:hanging="360"/>
      </w:pPr>
      <w:rPr>
        <w:rFonts w:ascii="Courier New" w:hAnsi="Courier New" w:cs="Courier New" w:hint="default"/>
      </w:rPr>
    </w:lvl>
    <w:lvl w:ilvl="2" w:tplc="0C090005" w:tentative="1">
      <w:start w:val="1"/>
      <w:numFmt w:val="bullet"/>
      <w:lvlText w:val=""/>
      <w:lvlJc w:val="left"/>
      <w:pPr>
        <w:ind w:left="2058" w:hanging="360"/>
      </w:pPr>
      <w:rPr>
        <w:rFonts w:ascii="Wingdings" w:hAnsi="Wingdings" w:hint="default"/>
      </w:rPr>
    </w:lvl>
    <w:lvl w:ilvl="3" w:tplc="0C090001" w:tentative="1">
      <w:start w:val="1"/>
      <w:numFmt w:val="bullet"/>
      <w:lvlText w:val=""/>
      <w:lvlJc w:val="left"/>
      <w:pPr>
        <w:ind w:left="2778" w:hanging="360"/>
      </w:pPr>
      <w:rPr>
        <w:rFonts w:ascii="Symbol" w:hAnsi="Symbol" w:hint="default"/>
      </w:rPr>
    </w:lvl>
    <w:lvl w:ilvl="4" w:tplc="0C090003" w:tentative="1">
      <w:start w:val="1"/>
      <w:numFmt w:val="bullet"/>
      <w:lvlText w:val="o"/>
      <w:lvlJc w:val="left"/>
      <w:pPr>
        <w:ind w:left="3498" w:hanging="360"/>
      </w:pPr>
      <w:rPr>
        <w:rFonts w:ascii="Courier New" w:hAnsi="Courier New" w:cs="Courier New" w:hint="default"/>
      </w:rPr>
    </w:lvl>
    <w:lvl w:ilvl="5" w:tplc="0C090005" w:tentative="1">
      <w:start w:val="1"/>
      <w:numFmt w:val="bullet"/>
      <w:lvlText w:val=""/>
      <w:lvlJc w:val="left"/>
      <w:pPr>
        <w:ind w:left="4218" w:hanging="360"/>
      </w:pPr>
      <w:rPr>
        <w:rFonts w:ascii="Wingdings" w:hAnsi="Wingdings" w:hint="default"/>
      </w:rPr>
    </w:lvl>
    <w:lvl w:ilvl="6" w:tplc="0C090001" w:tentative="1">
      <w:start w:val="1"/>
      <w:numFmt w:val="bullet"/>
      <w:lvlText w:val=""/>
      <w:lvlJc w:val="left"/>
      <w:pPr>
        <w:ind w:left="4938" w:hanging="360"/>
      </w:pPr>
      <w:rPr>
        <w:rFonts w:ascii="Symbol" w:hAnsi="Symbol" w:hint="default"/>
      </w:rPr>
    </w:lvl>
    <w:lvl w:ilvl="7" w:tplc="0C090003" w:tentative="1">
      <w:start w:val="1"/>
      <w:numFmt w:val="bullet"/>
      <w:lvlText w:val="o"/>
      <w:lvlJc w:val="left"/>
      <w:pPr>
        <w:ind w:left="5658" w:hanging="360"/>
      </w:pPr>
      <w:rPr>
        <w:rFonts w:ascii="Courier New" w:hAnsi="Courier New" w:cs="Courier New" w:hint="default"/>
      </w:rPr>
    </w:lvl>
    <w:lvl w:ilvl="8" w:tplc="0C090005" w:tentative="1">
      <w:start w:val="1"/>
      <w:numFmt w:val="bullet"/>
      <w:lvlText w:val=""/>
      <w:lvlJc w:val="left"/>
      <w:pPr>
        <w:ind w:left="6378" w:hanging="360"/>
      </w:pPr>
      <w:rPr>
        <w:rFonts w:ascii="Wingdings" w:hAnsi="Wingdings" w:hint="default"/>
      </w:rPr>
    </w:lvl>
  </w:abstractNum>
  <w:abstractNum w:abstractNumId="13" w15:restartNumberingAfterBreak="0">
    <w:nsid w:val="38861932"/>
    <w:multiLevelType w:val="hybridMultilevel"/>
    <w:tmpl w:val="7C647F28"/>
    <w:lvl w:ilvl="0" w:tplc="C2F0177E">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F2B9A"/>
    <w:multiLevelType w:val="hybridMultilevel"/>
    <w:tmpl w:val="86C0D566"/>
    <w:lvl w:ilvl="0" w:tplc="C2F0177E">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76F3C"/>
    <w:multiLevelType w:val="hybridMultilevel"/>
    <w:tmpl w:val="B32651A4"/>
    <w:lvl w:ilvl="0" w:tplc="CA9EC82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9644B9"/>
    <w:multiLevelType w:val="hybridMultilevel"/>
    <w:tmpl w:val="58FEA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876588"/>
    <w:multiLevelType w:val="hybridMultilevel"/>
    <w:tmpl w:val="9E5E15CE"/>
    <w:lvl w:ilvl="0" w:tplc="C2F0177E">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465FA"/>
    <w:multiLevelType w:val="hybridMultilevel"/>
    <w:tmpl w:val="C3FC0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C60E1A"/>
    <w:multiLevelType w:val="hybridMultilevel"/>
    <w:tmpl w:val="1A5A4F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C37C1D"/>
    <w:multiLevelType w:val="hybridMultilevel"/>
    <w:tmpl w:val="F6CA5A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7D7C28"/>
    <w:multiLevelType w:val="hybridMultilevel"/>
    <w:tmpl w:val="B7BA010C"/>
    <w:lvl w:ilvl="0" w:tplc="C2F0177E">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67093B"/>
    <w:multiLevelType w:val="hybridMultilevel"/>
    <w:tmpl w:val="75081B06"/>
    <w:lvl w:ilvl="0" w:tplc="CA9EC82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486AE3"/>
    <w:multiLevelType w:val="hybridMultilevel"/>
    <w:tmpl w:val="CD34DCD6"/>
    <w:lvl w:ilvl="0" w:tplc="CA9EC82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4E41A7"/>
    <w:multiLevelType w:val="hybridMultilevel"/>
    <w:tmpl w:val="AB6C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949CA"/>
    <w:multiLevelType w:val="hybridMultilevel"/>
    <w:tmpl w:val="0B249ED6"/>
    <w:lvl w:ilvl="0" w:tplc="CA9EC82A">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C96B69"/>
    <w:multiLevelType w:val="hybridMultilevel"/>
    <w:tmpl w:val="DA3019EE"/>
    <w:lvl w:ilvl="0" w:tplc="CA9EC82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C64C49"/>
    <w:multiLevelType w:val="hybridMultilevel"/>
    <w:tmpl w:val="C4407CF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134C6D"/>
    <w:multiLevelType w:val="hybridMultilevel"/>
    <w:tmpl w:val="8FA4155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9" w15:restartNumberingAfterBreak="0">
    <w:nsid w:val="768A4FD6"/>
    <w:multiLevelType w:val="hybridMultilevel"/>
    <w:tmpl w:val="191ED6B8"/>
    <w:lvl w:ilvl="0" w:tplc="CA9EC82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2E6389"/>
    <w:multiLevelType w:val="hybridMultilevel"/>
    <w:tmpl w:val="96445474"/>
    <w:lvl w:ilvl="0" w:tplc="CA9EC82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D574D9"/>
    <w:multiLevelType w:val="hybridMultilevel"/>
    <w:tmpl w:val="6DCA6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400A6F"/>
    <w:multiLevelType w:val="hybridMultilevel"/>
    <w:tmpl w:val="D03C4692"/>
    <w:lvl w:ilvl="0" w:tplc="C2F0177E">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F1294"/>
    <w:multiLevelType w:val="hybridMultilevel"/>
    <w:tmpl w:val="1C1E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1"/>
  </w:num>
  <w:num w:numId="4">
    <w:abstractNumId w:val="6"/>
  </w:num>
  <w:num w:numId="5">
    <w:abstractNumId w:val="8"/>
  </w:num>
  <w:num w:numId="6">
    <w:abstractNumId w:val="32"/>
  </w:num>
  <w:num w:numId="7">
    <w:abstractNumId w:val="13"/>
  </w:num>
  <w:num w:numId="8">
    <w:abstractNumId w:val="31"/>
  </w:num>
  <w:num w:numId="9">
    <w:abstractNumId w:val="14"/>
  </w:num>
  <w:num w:numId="10">
    <w:abstractNumId w:val="17"/>
  </w:num>
  <w:num w:numId="11">
    <w:abstractNumId w:val="3"/>
  </w:num>
  <w:num w:numId="12">
    <w:abstractNumId w:val="20"/>
  </w:num>
  <w:num w:numId="13">
    <w:abstractNumId w:val="1"/>
  </w:num>
  <w:num w:numId="14">
    <w:abstractNumId w:val="7"/>
  </w:num>
  <w:num w:numId="15">
    <w:abstractNumId w:val="33"/>
  </w:num>
  <w:num w:numId="16">
    <w:abstractNumId w:val="16"/>
  </w:num>
  <w:num w:numId="17">
    <w:abstractNumId w:val="5"/>
  </w:num>
  <w:num w:numId="18">
    <w:abstractNumId w:val="24"/>
  </w:num>
  <w:num w:numId="19">
    <w:abstractNumId w:val="2"/>
  </w:num>
  <w:num w:numId="20">
    <w:abstractNumId w:val="28"/>
  </w:num>
  <w:num w:numId="21">
    <w:abstractNumId w:val="12"/>
  </w:num>
  <w:num w:numId="22">
    <w:abstractNumId w:val="10"/>
  </w:num>
  <w:num w:numId="23">
    <w:abstractNumId w:val="19"/>
  </w:num>
  <w:num w:numId="24">
    <w:abstractNumId w:val="18"/>
  </w:num>
  <w:num w:numId="25">
    <w:abstractNumId w:val="22"/>
  </w:num>
  <w:num w:numId="26">
    <w:abstractNumId w:val="4"/>
  </w:num>
  <w:num w:numId="27">
    <w:abstractNumId w:val="29"/>
  </w:num>
  <w:num w:numId="28">
    <w:abstractNumId w:val="27"/>
  </w:num>
  <w:num w:numId="29">
    <w:abstractNumId w:val="25"/>
  </w:num>
  <w:num w:numId="30">
    <w:abstractNumId w:val="26"/>
  </w:num>
  <w:num w:numId="31">
    <w:abstractNumId w:val="23"/>
  </w:num>
  <w:num w:numId="32">
    <w:abstractNumId w:val="9"/>
  </w:num>
  <w:num w:numId="33">
    <w:abstractNumId w:val="1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57"/>
    <w:rsid w:val="0000110E"/>
    <w:rsid w:val="0000789F"/>
    <w:rsid w:val="000133CD"/>
    <w:rsid w:val="00015B08"/>
    <w:rsid w:val="00041D5C"/>
    <w:rsid w:val="00054012"/>
    <w:rsid w:val="00076DD6"/>
    <w:rsid w:val="00092060"/>
    <w:rsid w:val="000A16A1"/>
    <w:rsid w:val="000A4767"/>
    <w:rsid w:val="000A53E0"/>
    <w:rsid w:val="000B49BA"/>
    <w:rsid w:val="000B6472"/>
    <w:rsid w:val="000C3059"/>
    <w:rsid w:val="000E6223"/>
    <w:rsid w:val="000F453F"/>
    <w:rsid w:val="00102410"/>
    <w:rsid w:val="00125F57"/>
    <w:rsid w:val="0012666C"/>
    <w:rsid w:val="0013339D"/>
    <w:rsid w:val="00152E90"/>
    <w:rsid w:val="001735B2"/>
    <w:rsid w:val="00175F11"/>
    <w:rsid w:val="001B5190"/>
    <w:rsid w:val="001B6227"/>
    <w:rsid w:val="002144BF"/>
    <w:rsid w:val="002145CB"/>
    <w:rsid w:val="002208D6"/>
    <w:rsid w:val="0022098F"/>
    <w:rsid w:val="0022121E"/>
    <w:rsid w:val="00226D13"/>
    <w:rsid w:val="00230E72"/>
    <w:rsid w:val="00236815"/>
    <w:rsid w:val="00242F45"/>
    <w:rsid w:val="002477E9"/>
    <w:rsid w:val="00247F23"/>
    <w:rsid w:val="002973A0"/>
    <w:rsid w:val="002A536B"/>
    <w:rsid w:val="002A6AE2"/>
    <w:rsid w:val="002A7951"/>
    <w:rsid w:val="002B0D28"/>
    <w:rsid w:val="002B176B"/>
    <w:rsid w:val="002B1EB7"/>
    <w:rsid w:val="002C0368"/>
    <w:rsid w:val="002C1309"/>
    <w:rsid w:val="002C3B89"/>
    <w:rsid w:val="002D0D1B"/>
    <w:rsid w:val="002D585B"/>
    <w:rsid w:val="002D78F8"/>
    <w:rsid w:val="002F07B7"/>
    <w:rsid w:val="002F6F30"/>
    <w:rsid w:val="003067F5"/>
    <w:rsid w:val="00314468"/>
    <w:rsid w:val="0031709E"/>
    <w:rsid w:val="00321339"/>
    <w:rsid w:val="0032721D"/>
    <w:rsid w:val="00332722"/>
    <w:rsid w:val="00332812"/>
    <w:rsid w:val="00346BAF"/>
    <w:rsid w:val="00373502"/>
    <w:rsid w:val="00390367"/>
    <w:rsid w:val="003A55F7"/>
    <w:rsid w:val="003B1469"/>
    <w:rsid w:val="003B5B9E"/>
    <w:rsid w:val="003B6E39"/>
    <w:rsid w:val="003F6EBC"/>
    <w:rsid w:val="00414C7F"/>
    <w:rsid w:val="00415976"/>
    <w:rsid w:val="004355EF"/>
    <w:rsid w:val="00435CCE"/>
    <w:rsid w:val="0044727B"/>
    <w:rsid w:val="00454938"/>
    <w:rsid w:val="00474C1F"/>
    <w:rsid w:val="00481AF9"/>
    <w:rsid w:val="00487316"/>
    <w:rsid w:val="0049304B"/>
    <w:rsid w:val="004949C5"/>
    <w:rsid w:val="004A6862"/>
    <w:rsid w:val="004D4FF6"/>
    <w:rsid w:val="004E36E4"/>
    <w:rsid w:val="004E5974"/>
    <w:rsid w:val="005201FE"/>
    <w:rsid w:val="005247D8"/>
    <w:rsid w:val="00535BFC"/>
    <w:rsid w:val="00542CF4"/>
    <w:rsid w:val="005447E7"/>
    <w:rsid w:val="005476CF"/>
    <w:rsid w:val="00553739"/>
    <w:rsid w:val="0057629B"/>
    <w:rsid w:val="00585061"/>
    <w:rsid w:val="0059782C"/>
    <w:rsid w:val="005A75EE"/>
    <w:rsid w:val="005C79B2"/>
    <w:rsid w:val="005E03C2"/>
    <w:rsid w:val="006154BD"/>
    <w:rsid w:val="0061668C"/>
    <w:rsid w:val="006202E6"/>
    <w:rsid w:val="00635C27"/>
    <w:rsid w:val="0064762D"/>
    <w:rsid w:val="006877FE"/>
    <w:rsid w:val="006B09F4"/>
    <w:rsid w:val="006B5D36"/>
    <w:rsid w:val="006C12EA"/>
    <w:rsid w:val="006D01DE"/>
    <w:rsid w:val="006F128F"/>
    <w:rsid w:val="006F7E52"/>
    <w:rsid w:val="0070653A"/>
    <w:rsid w:val="00707787"/>
    <w:rsid w:val="007319C1"/>
    <w:rsid w:val="007321DA"/>
    <w:rsid w:val="00744A4C"/>
    <w:rsid w:val="00765E73"/>
    <w:rsid w:val="007A385A"/>
    <w:rsid w:val="007A4560"/>
    <w:rsid w:val="007B266B"/>
    <w:rsid w:val="007D25A2"/>
    <w:rsid w:val="007D7792"/>
    <w:rsid w:val="007E2012"/>
    <w:rsid w:val="007E4B31"/>
    <w:rsid w:val="00806CC0"/>
    <w:rsid w:val="00807CC5"/>
    <w:rsid w:val="00813635"/>
    <w:rsid w:val="00817E58"/>
    <w:rsid w:val="00820140"/>
    <w:rsid w:val="00857069"/>
    <w:rsid w:val="00861287"/>
    <w:rsid w:val="00866B1A"/>
    <w:rsid w:val="00875566"/>
    <w:rsid w:val="008813DE"/>
    <w:rsid w:val="00887787"/>
    <w:rsid w:val="008A45CC"/>
    <w:rsid w:val="008B5087"/>
    <w:rsid w:val="008E3B87"/>
    <w:rsid w:val="00901BA5"/>
    <w:rsid w:val="009027F4"/>
    <w:rsid w:val="0092007D"/>
    <w:rsid w:val="00946677"/>
    <w:rsid w:val="0095247D"/>
    <w:rsid w:val="009539CA"/>
    <w:rsid w:val="00956E3B"/>
    <w:rsid w:val="009575B4"/>
    <w:rsid w:val="00960BE6"/>
    <w:rsid w:val="00977F04"/>
    <w:rsid w:val="009914DD"/>
    <w:rsid w:val="009A3895"/>
    <w:rsid w:val="009A5D47"/>
    <w:rsid w:val="009B6BDD"/>
    <w:rsid w:val="009C62EC"/>
    <w:rsid w:val="009D660A"/>
    <w:rsid w:val="009E0FD2"/>
    <w:rsid w:val="009E48B4"/>
    <w:rsid w:val="009F2133"/>
    <w:rsid w:val="00A0753B"/>
    <w:rsid w:val="00A25A7A"/>
    <w:rsid w:val="00A25E7E"/>
    <w:rsid w:val="00A32ACA"/>
    <w:rsid w:val="00A338AC"/>
    <w:rsid w:val="00A35F09"/>
    <w:rsid w:val="00A61632"/>
    <w:rsid w:val="00A77509"/>
    <w:rsid w:val="00A91EE5"/>
    <w:rsid w:val="00AA3E58"/>
    <w:rsid w:val="00AB5E5C"/>
    <w:rsid w:val="00AB7070"/>
    <w:rsid w:val="00AC4DBA"/>
    <w:rsid w:val="00AD2A6F"/>
    <w:rsid w:val="00AE2233"/>
    <w:rsid w:val="00AE7703"/>
    <w:rsid w:val="00AF01B1"/>
    <w:rsid w:val="00AF680A"/>
    <w:rsid w:val="00B020EF"/>
    <w:rsid w:val="00B03601"/>
    <w:rsid w:val="00B12B47"/>
    <w:rsid w:val="00B31DB4"/>
    <w:rsid w:val="00B34E10"/>
    <w:rsid w:val="00B35FC8"/>
    <w:rsid w:val="00B5211D"/>
    <w:rsid w:val="00B53FD6"/>
    <w:rsid w:val="00B71D6A"/>
    <w:rsid w:val="00B72DFC"/>
    <w:rsid w:val="00B80249"/>
    <w:rsid w:val="00BA7AFE"/>
    <w:rsid w:val="00BB2795"/>
    <w:rsid w:val="00BB4446"/>
    <w:rsid w:val="00BC690B"/>
    <w:rsid w:val="00BD2975"/>
    <w:rsid w:val="00BD4C28"/>
    <w:rsid w:val="00BE3D81"/>
    <w:rsid w:val="00BE55E2"/>
    <w:rsid w:val="00BE74F4"/>
    <w:rsid w:val="00BF1666"/>
    <w:rsid w:val="00BF4978"/>
    <w:rsid w:val="00C329B0"/>
    <w:rsid w:val="00C3694C"/>
    <w:rsid w:val="00C50007"/>
    <w:rsid w:val="00C82399"/>
    <w:rsid w:val="00C82DF0"/>
    <w:rsid w:val="00C9334E"/>
    <w:rsid w:val="00C96DA3"/>
    <w:rsid w:val="00CA3525"/>
    <w:rsid w:val="00CB35CF"/>
    <w:rsid w:val="00CC2F7F"/>
    <w:rsid w:val="00CD5159"/>
    <w:rsid w:val="00CD6856"/>
    <w:rsid w:val="00CE202F"/>
    <w:rsid w:val="00CF5C98"/>
    <w:rsid w:val="00CF6852"/>
    <w:rsid w:val="00D136DF"/>
    <w:rsid w:val="00D24591"/>
    <w:rsid w:val="00D60DD5"/>
    <w:rsid w:val="00D706F1"/>
    <w:rsid w:val="00D87721"/>
    <w:rsid w:val="00DA33A3"/>
    <w:rsid w:val="00DA7BA5"/>
    <w:rsid w:val="00DB0104"/>
    <w:rsid w:val="00DB0270"/>
    <w:rsid w:val="00DC7A5E"/>
    <w:rsid w:val="00DD03CA"/>
    <w:rsid w:val="00DD1C2F"/>
    <w:rsid w:val="00DF71C3"/>
    <w:rsid w:val="00E047C6"/>
    <w:rsid w:val="00E05A2F"/>
    <w:rsid w:val="00E12F19"/>
    <w:rsid w:val="00E15C7D"/>
    <w:rsid w:val="00E16B9B"/>
    <w:rsid w:val="00E24AC6"/>
    <w:rsid w:val="00E34722"/>
    <w:rsid w:val="00E562EA"/>
    <w:rsid w:val="00E708C8"/>
    <w:rsid w:val="00E720C7"/>
    <w:rsid w:val="00E7367A"/>
    <w:rsid w:val="00E817ED"/>
    <w:rsid w:val="00E866D9"/>
    <w:rsid w:val="00E93826"/>
    <w:rsid w:val="00E96800"/>
    <w:rsid w:val="00EA0A41"/>
    <w:rsid w:val="00EA1492"/>
    <w:rsid w:val="00EB319E"/>
    <w:rsid w:val="00EC3F50"/>
    <w:rsid w:val="00EC5232"/>
    <w:rsid w:val="00EC7F0B"/>
    <w:rsid w:val="00ED3ED6"/>
    <w:rsid w:val="00EE1514"/>
    <w:rsid w:val="00EE4EF8"/>
    <w:rsid w:val="00EF34CA"/>
    <w:rsid w:val="00EF71C2"/>
    <w:rsid w:val="00F11CEC"/>
    <w:rsid w:val="00F373BA"/>
    <w:rsid w:val="00F47E73"/>
    <w:rsid w:val="00F65532"/>
    <w:rsid w:val="00F65F6D"/>
    <w:rsid w:val="00F769B0"/>
    <w:rsid w:val="00F84038"/>
    <w:rsid w:val="00F92D48"/>
    <w:rsid w:val="00F9510B"/>
    <w:rsid w:val="00FA225D"/>
    <w:rsid w:val="00FB0DAF"/>
    <w:rsid w:val="00FD7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5A01294"/>
  <w15:docId w15:val="{A0A740F8-4A34-42F9-A088-5CB04D0E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DD5"/>
  </w:style>
  <w:style w:type="paragraph" w:styleId="Heading1">
    <w:name w:val="heading 1"/>
    <w:basedOn w:val="Normal"/>
    <w:next w:val="Normal"/>
    <w:link w:val="Heading1Char"/>
    <w:uiPriority w:val="9"/>
    <w:qFormat/>
    <w:rsid w:val="00D60DD5"/>
    <w:pPr>
      <w:keepNext/>
      <w:keepLines/>
      <w:spacing w:before="480"/>
      <w:outlineLvl w:val="0"/>
    </w:pPr>
    <w:rPr>
      <w:rFonts w:ascii="Arial" w:eastAsiaTheme="majorEastAsia" w:hAnsi="Arial" w:cstheme="majorBidi"/>
      <w:b/>
      <w:bCs/>
      <w:sz w:val="36"/>
      <w:szCs w:val="28"/>
    </w:rPr>
  </w:style>
  <w:style w:type="paragraph" w:styleId="Heading2">
    <w:name w:val="heading 2"/>
    <w:basedOn w:val="Heading1"/>
    <w:next w:val="Normal"/>
    <w:link w:val="Heading2Char"/>
    <w:uiPriority w:val="9"/>
    <w:unhideWhenUsed/>
    <w:qFormat/>
    <w:rsid w:val="00D60DD5"/>
    <w:pPr>
      <w:spacing w:before="240"/>
      <w:outlineLvl w:val="1"/>
    </w:pPr>
    <w:rPr>
      <w:bCs w:val="0"/>
      <w:sz w:val="32"/>
      <w:szCs w:val="26"/>
    </w:rPr>
  </w:style>
  <w:style w:type="paragraph" w:styleId="Heading3">
    <w:name w:val="heading 3"/>
    <w:basedOn w:val="Heading2"/>
    <w:next w:val="Normal"/>
    <w:link w:val="Heading3Char"/>
    <w:uiPriority w:val="9"/>
    <w:unhideWhenUsed/>
    <w:qFormat/>
    <w:rsid w:val="00D60DD5"/>
    <w:pPr>
      <w:outlineLvl w:val="2"/>
    </w:pPr>
    <w:rPr>
      <w:bCs/>
      <w:sz w:val="28"/>
    </w:rPr>
  </w:style>
  <w:style w:type="paragraph" w:styleId="Heading4">
    <w:name w:val="heading 4"/>
    <w:basedOn w:val="Heading3"/>
    <w:next w:val="Normal"/>
    <w:link w:val="Heading4Char"/>
    <w:uiPriority w:val="9"/>
    <w:unhideWhenUsed/>
    <w:qFormat/>
    <w:rsid w:val="00D60DD5"/>
    <w:pPr>
      <w:outlineLvl w:val="3"/>
    </w:pPr>
    <w:rPr>
      <w:bCs w:val="0"/>
      <w:iCs/>
      <w:sz w:val="24"/>
    </w:rPr>
  </w:style>
  <w:style w:type="paragraph" w:styleId="Heading5">
    <w:name w:val="heading 5"/>
    <w:basedOn w:val="Heading4"/>
    <w:next w:val="Normal"/>
    <w:link w:val="Heading5Char"/>
    <w:uiPriority w:val="9"/>
    <w:semiHidden/>
    <w:unhideWhenUsed/>
    <w:qFormat/>
    <w:rsid w:val="00D60DD5"/>
    <w:pPr>
      <w:outlineLvl w:val="4"/>
    </w:pPr>
    <w:rPr>
      <w:sz w:val="28"/>
    </w:rPr>
  </w:style>
  <w:style w:type="paragraph" w:styleId="Heading6">
    <w:name w:val="heading 6"/>
    <w:basedOn w:val="Normal"/>
    <w:next w:val="Normal"/>
    <w:link w:val="Heading6Char"/>
    <w:uiPriority w:val="9"/>
    <w:semiHidden/>
    <w:unhideWhenUsed/>
    <w:qFormat/>
    <w:rsid w:val="00D60DD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60D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0DD5"/>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D60DD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52E90"/>
    <w:rPr>
      <w:color w:val="0000FF"/>
      <w:u w:val="single"/>
    </w:rPr>
  </w:style>
  <w:style w:type="character" w:styleId="Emphasis">
    <w:name w:val="Emphasis"/>
    <w:basedOn w:val="DefaultParagraphFont"/>
    <w:uiPriority w:val="20"/>
    <w:qFormat/>
    <w:rsid w:val="00D60DD5"/>
    <w:rPr>
      <w:i/>
      <w:iCs/>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D60DD5"/>
    <w:pPr>
      <w:spacing w:line="240" w:lineRule="auto"/>
      <w:ind w:left="720"/>
      <w:contextualSpacing/>
    </w:pPr>
    <w:rPr>
      <w:rFonts w:eastAsiaTheme="minorHAnsi"/>
      <w:lang w:eastAsia="en-AU"/>
    </w:rPr>
  </w:style>
  <w:style w:type="paragraph" w:styleId="BalloonText">
    <w:name w:val="Balloon Text"/>
    <w:basedOn w:val="Normal"/>
    <w:link w:val="BalloonTextChar"/>
    <w:uiPriority w:val="99"/>
    <w:semiHidden/>
    <w:unhideWhenUsed/>
    <w:rsid w:val="00076D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6DD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47E73"/>
    <w:rPr>
      <w:sz w:val="16"/>
      <w:szCs w:val="16"/>
    </w:rPr>
  </w:style>
  <w:style w:type="paragraph" w:styleId="CommentText">
    <w:name w:val="annotation text"/>
    <w:basedOn w:val="Normal"/>
    <w:link w:val="CommentTextChar"/>
    <w:uiPriority w:val="99"/>
    <w:semiHidden/>
    <w:unhideWhenUsed/>
    <w:rsid w:val="00F47E73"/>
    <w:rPr>
      <w:sz w:val="20"/>
      <w:szCs w:val="20"/>
    </w:rPr>
  </w:style>
  <w:style w:type="character" w:customStyle="1" w:styleId="CommentTextChar">
    <w:name w:val="Comment Text Char"/>
    <w:basedOn w:val="DefaultParagraphFont"/>
    <w:link w:val="CommentText"/>
    <w:uiPriority w:val="99"/>
    <w:semiHidden/>
    <w:rsid w:val="00F47E73"/>
    <w:rPr>
      <w:sz w:val="20"/>
      <w:szCs w:val="20"/>
    </w:rPr>
  </w:style>
  <w:style w:type="paragraph" w:styleId="CommentSubject">
    <w:name w:val="annotation subject"/>
    <w:basedOn w:val="CommentText"/>
    <w:next w:val="CommentText"/>
    <w:link w:val="CommentSubjectChar"/>
    <w:uiPriority w:val="99"/>
    <w:semiHidden/>
    <w:unhideWhenUsed/>
    <w:rsid w:val="00F47E73"/>
    <w:rPr>
      <w:b/>
      <w:bCs/>
    </w:rPr>
  </w:style>
  <w:style w:type="character" w:customStyle="1" w:styleId="CommentSubjectChar">
    <w:name w:val="Comment Subject Char"/>
    <w:basedOn w:val="CommentTextChar"/>
    <w:link w:val="CommentSubject"/>
    <w:uiPriority w:val="99"/>
    <w:semiHidden/>
    <w:rsid w:val="00F47E73"/>
    <w:rPr>
      <w:b/>
      <w:bCs/>
      <w:sz w:val="20"/>
      <w:szCs w:val="20"/>
    </w:rPr>
  </w:style>
  <w:style w:type="paragraph" w:styleId="Header">
    <w:name w:val="header"/>
    <w:basedOn w:val="Normal"/>
    <w:link w:val="HeaderChar"/>
    <w:uiPriority w:val="99"/>
    <w:unhideWhenUsed/>
    <w:rsid w:val="0044727B"/>
    <w:pPr>
      <w:tabs>
        <w:tab w:val="center" w:pos="4513"/>
        <w:tab w:val="right" w:pos="9026"/>
      </w:tabs>
    </w:pPr>
  </w:style>
  <w:style w:type="character" w:customStyle="1" w:styleId="HeaderChar">
    <w:name w:val="Header Char"/>
    <w:basedOn w:val="DefaultParagraphFont"/>
    <w:link w:val="Header"/>
    <w:uiPriority w:val="99"/>
    <w:rsid w:val="0044727B"/>
  </w:style>
  <w:style w:type="paragraph" w:styleId="Footer">
    <w:name w:val="footer"/>
    <w:basedOn w:val="Normal"/>
    <w:link w:val="FooterChar"/>
    <w:uiPriority w:val="99"/>
    <w:unhideWhenUsed/>
    <w:rsid w:val="0044727B"/>
    <w:pPr>
      <w:tabs>
        <w:tab w:val="center" w:pos="4513"/>
        <w:tab w:val="right" w:pos="9026"/>
      </w:tabs>
    </w:pPr>
  </w:style>
  <w:style w:type="character" w:customStyle="1" w:styleId="FooterChar">
    <w:name w:val="Footer Char"/>
    <w:basedOn w:val="DefaultParagraphFont"/>
    <w:link w:val="Footer"/>
    <w:uiPriority w:val="99"/>
    <w:rsid w:val="0044727B"/>
  </w:style>
  <w:style w:type="paragraph" w:styleId="Revision">
    <w:name w:val="Revision"/>
    <w:hidden/>
    <w:uiPriority w:val="99"/>
    <w:semiHidden/>
    <w:rsid w:val="00242F45"/>
  </w:style>
  <w:style w:type="paragraph" w:styleId="Title">
    <w:name w:val="Title"/>
    <w:basedOn w:val="Normal"/>
    <w:next w:val="Normal"/>
    <w:link w:val="TitleChar"/>
    <w:uiPriority w:val="10"/>
    <w:qFormat/>
    <w:rsid w:val="00D60DD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D60DD5"/>
    <w:rPr>
      <w:rFonts w:asciiTheme="majorHAnsi" w:eastAsiaTheme="majorEastAsia" w:hAnsiTheme="majorHAnsi" w:cstheme="majorBidi"/>
      <w:color w:val="323E4F" w:themeColor="text2" w:themeShade="BF"/>
      <w:spacing w:val="5"/>
      <w:sz w:val="52"/>
      <w:szCs w:val="52"/>
    </w:rPr>
  </w:style>
  <w:style w:type="paragraph" w:customStyle="1" w:styleId="Callout">
    <w:name w:val="Callout"/>
    <w:basedOn w:val="Normal"/>
    <w:link w:val="CalloutChar"/>
    <w:qFormat/>
    <w:rsid w:val="00D60DD5"/>
    <w:pPr>
      <w:pBdr>
        <w:left w:val="single" w:sz="24" w:space="4" w:color="2E74B5" w:themeColor="accent1" w:themeShade="BF"/>
      </w:pBdr>
      <w:spacing w:after="120"/>
      <w:ind w:left="284"/>
    </w:pPr>
    <w:rPr>
      <w:lang w:eastAsia="en-AU"/>
    </w:rPr>
  </w:style>
  <w:style w:type="character" w:customStyle="1" w:styleId="CalloutChar">
    <w:name w:val="Callout Char"/>
    <w:basedOn w:val="DefaultParagraphFont"/>
    <w:link w:val="Callout"/>
    <w:rsid w:val="00D60DD5"/>
    <w:rPr>
      <w:lang w:eastAsia="en-AU"/>
    </w:rPr>
  </w:style>
  <w:style w:type="character" w:customStyle="1" w:styleId="Heading1Char">
    <w:name w:val="Heading 1 Char"/>
    <w:basedOn w:val="DefaultParagraphFont"/>
    <w:link w:val="Heading1"/>
    <w:uiPriority w:val="9"/>
    <w:rsid w:val="00D60DD5"/>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D60DD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D60DD5"/>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D60DD5"/>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semiHidden/>
    <w:rsid w:val="00D60DD5"/>
    <w:rPr>
      <w:rFonts w:ascii="Arial" w:eastAsiaTheme="majorEastAsia" w:hAnsi="Arial" w:cstheme="majorBidi"/>
      <w:b/>
      <w:iCs/>
      <w:sz w:val="28"/>
      <w:szCs w:val="26"/>
    </w:rPr>
  </w:style>
  <w:style w:type="character" w:customStyle="1" w:styleId="Heading6Char">
    <w:name w:val="Heading 6 Char"/>
    <w:basedOn w:val="DefaultParagraphFont"/>
    <w:link w:val="Heading6"/>
    <w:uiPriority w:val="9"/>
    <w:semiHidden/>
    <w:rsid w:val="00D60DD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D60D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0DD5"/>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D60DD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60DD5"/>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D60DD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D60DD5"/>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D60DD5"/>
    <w:rPr>
      <w:b/>
      <w:bCs/>
    </w:rPr>
  </w:style>
  <w:style w:type="paragraph" w:styleId="NoSpacing">
    <w:name w:val="No Spacing"/>
    <w:uiPriority w:val="1"/>
    <w:qFormat/>
    <w:rsid w:val="00D60DD5"/>
    <w:pPr>
      <w:spacing w:after="0" w:line="240" w:lineRule="auto"/>
    </w:p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D60DD5"/>
    <w:rPr>
      <w:rFonts w:eastAsiaTheme="minorHAnsi"/>
      <w:lang w:eastAsia="en-AU"/>
    </w:rPr>
  </w:style>
  <w:style w:type="paragraph" w:styleId="Quote">
    <w:name w:val="Quote"/>
    <w:basedOn w:val="Normal"/>
    <w:next w:val="Normal"/>
    <w:link w:val="QuoteChar"/>
    <w:uiPriority w:val="29"/>
    <w:qFormat/>
    <w:rsid w:val="00D60DD5"/>
    <w:rPr>
      <w:i/>
      <w:iCs/>
      <w:color w:val="000000" w:themeColor="text1"/>
    </w:rPr>
  </w:style>
  <w:style w:type="character" w:customStyle="1" w:styleId="QuoteChar">
    <w:name w:val="Quote Char"/>
    <w:basedOn w:val="DefaultParagraphFont"/>
    <w:link w:val="Quote"/>
    <w:uiPriority w:val="29"/>
    <w:rsid w:val="00D60DD5"/>
    <w:rPr>
      <w:i/>
      <w:iCs/>
      <w:color w:val="000000" w:themeColor="text1"/>
    </w:rPr>
  </w:style>
  <w:style w:type="paragraph" w:styleId="IntenseQuote">
    <w:name w:val="Intense Quote"/>
    <w:basedOn w:val="Normal"/>
    <w:next w:val="Normal"/>
    <w:link w:val="IntenseQuoteChar"/>
    <w:uiPriority w:val="30"/>
    <w:qFormat/>
    <w:rsid w:val="00D60DD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D60DD5"/>
    <w:rPr>
      <w:b/>
      <w:bCs/>
      <w:i/>
      <w:iCs/>
      <w:color w:val="5B9BD5" w:themeColor="accent1"/>
    </w:rPr>
  </w:style>
  <w:style w:type="character" w:styleId="SubtleEmphasis">
    <w:name w:val="Subtle Emphasis"/>
    <w:basedOn w:val="DefaultParagraphFont"/>
    <w:uiPriority w:val="19"/>
    <w:qFormat/>
    <w:rsid w:val="00D60DD5"/>
    <w:rPr>
      <w:i/>
      <w:iCs/>
      <w:color w:val="808080" w:themeColor="text1" w:themeTint="7F"/>
    </w:rPr>
  </w:style>
  <w:style w:type="character" w:styleId="IntenseEmphasis">
    <w:name w:val="Intense Emphasis"/>
    <w:basedOn w:val="DefaultParagraphFont"/>
    <w:uiPriority w:val="21"/>
    <w:qFormat/>
    <w:rsid w:val="00D60DD5"/>
    <w:rPr>
      <w:b/>
      <w:bCs/>
      <w:i/>
      <w:iCs/>
      <w:color w:val="5B9BD5" w:themeColor="accent1"/>
    </w:rPr>
  </w:style>
  <w:style w:type="character" w:styleId="SubtleReference">
    <w:name w:val="Subtle Reference"/>
    <w:basedOn w:val="DefaultParagraphFont"/>
    <w:uiPriority w:val="31"/>
    <w:qFormat/>
    <w:rsid w:val="00D60DD5"/>
    <w:rPr>
      <w:smallCaps/>
      <w:color w:val="ED7D31" w:themeColor="accent2"/>
      <w:u w:val="single"/>
    </w:rPr>
  </w:style>
  <w:style w:type="character" w:styleId="IntenseReference">
    <w:name w:val="Intense Reference"/>
    <w:basedOn w:val="DefaultParagraphFont"/>
    <w:uiPriority w:val="32"/>
    <w:qFormat/>
    <w:rsid w:val="00D60DD5"/>
    <w:rPr>
      <w:b/>
      <w:bCs/>
      <w:smallCaps/>
      <w:color w:val="ED7D31" w:themeColor="accent2"/>
      <w:spacing w:val="5"/>
      <w:u w:val="single"/>
    </w:rPr>
  </w:style>
  <w:style w:type="character" w:styleId="BookTitle">
    <w:name w:val="Book Title"/>
    <w:basedOn w:val="DefaultParagraphFont"/>
    <w:uiPriority w:val="33"/>
    <w:qFormat/>
    <w:rsid w:val="00D60DD5"/>
    <w:rPr>
      <w:b/>
      <w:bCs/>
      <w:smallCaps/>
      <w:spacing w:val="5"/>
    </w:rPr>
  </w:style>
  <w:style w:type="paragraph" w:styleId="TOCHeading">
    <w:name w:val="TOC Heading"/>
    <w:basedOn w:val="Heading1"/>
    <w:next w:val="Normal"/>
    <w:uiPriority w:val="39"/>
    <w:semiHidden/>
    <w:unhideWhenUsed/>
    <w:qFormat/>
    <w:rsid w:val="00D60DD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8434">
      <w:bodyDiv w:val="1"/>
      <w:marLeft w:val="0"/>
      <w:marRight w:val="0"/>
      <w:marTop w:val="0"/>
      <w:marBottom w:val="0"/>
      <w:divBdr>
        <w:top w:val="none" w:sz="0" w:space="0" w:color="auto"/>
        <w:left w:val="none" w:sz="0" w:space="0" w:color="auto"/>
        <w:bottom w:val="none" w:sz="0" w:space="0" w:color="auto"/>
        <w:right w:val="none" w:sz="0" w:space="0" w:color="auto"/>
      </w:divBdr>
    </w:div>
    <w:div w:id="339740244">
      <w:bodyDiv w:val="1"/>
      <w:marLeft w:val="0"/>
      <w:marRight w:val="0"/>
      <w:marTop w:val="0"/>
      <w:marBottom w:val="0"/>
      <w:divBdr>
        <w:top w:val="none" w:sz="0" w:space="0" w:color="auto"/>
        <w:left w:val="none" w:sz="0" w:space="0" w:color="auto"/>
        <w:bottom w:val="none" w:sz="0" w:space="0" w:color="auto"/>
        <w:right w:val="none" w:sz="0" w:space="0" w:color="auto"/>
      </w:divBdr>
    </w:div>
    <w:div w:id="421881621">
      <w:bodyDiv w:val="1"/>
      <w:marLeft w:val="0"/>
      <w:marRight w:val="0"/>
      <w:marTop w:val="0"/>
      <w:marBottom w:val="0"/>
      <w:divBdr>
        <w:top w:val="none" w:sz="0" w:space="0" w:color="auto"/>
        <w:left w:val="none" w:sz="0" w:space="0" w:color="auto"/>
        <w:bottom w:val="none" w:sz="0" w:space="0" w:color="auto"/>
        <w:right w:val="none" w:sz="0" w:space="0" w:color="auto"/>
      </w:divBdr>
    </w:div>
    <w:div w:id="749231862">
      <w:bodyDiv w:val="1"/>
      <w:marLeft w:val="0"/>
      <w:marRight w:val="0"/>
      <w:marTop w:val="0"/>
      <w:marBottom w:val="0"/>
      <w:divBdr>
        <w:top w:val="none" w:sz="0" w:space="0" w:color="auto"/>
        <w:left w:val="none" w:sz="0" w:space="0" w:color="auto"/>
        <w:bottom w:val="none" w:sz="0" w:space="0" w:color="auto"/>
        <w:right w:val="none" w:sz="0" w:space="0" w:color="auto"/>
      </w:divBdr>
    </w:div>
    <w:div w:id="779566995">
      <w:bodyDiv w:val="1"/>
      <w:marLeft w:val="0"/>
      <w:marRight w:val="0"/>
      <w:marTop w:val="0"/>
      <w:marBottom w:val="0"/>
      <w:divBdr>
        <w:top w:val="none" w:sz="0" w:space="0" w:color="auto"/>
        <w:left w:val="none" w:sz="0" w:space="0" w:color="auto"/>
        <w:bottom w:val="none" w:sz="0" w:space="0" w:color="auto"/>
        <w:right w:val="none" w:sz="0" w:space="0" w:color="auto"/>
      </w:divBdr>
    </w:div>
    <w:div w:id="780808784">
      <w:bodyDiv w:val="1"/>
      <w:marLeft w:val="0"/>
      <w:marRight w:val="0"/>
      <w:marTop w:val="0"/>
      <w:marBottom w:val="0"/>
      <w:divBdr>
        <w:top w:val="none" w:sz="0" w:space="0" w:color="auto"/>
        <w:left w:val="none" w:sz="0" w:space="0" w:color="auto"/>
        <w:bottom w:val="none" w:sz="0" w:space="0" w:color="auto"/>
        <w:right w:val="none" w:sz="0" w:space="0" w:color="auto"/>
      </w:divBdr>
    </w:div>
    <w:div w:id="1245649049">
      <w:bodyDiv w:val="1"/>
      <w:marLeft w:val="0"/>
      <w:marRight w:val="0"/>
      <w:marTop w:val="0"/>
      <w:marBottom w:val="0"/>
      <w:divBdr>
        <w:top w:val="none" w:sz="0" w:space="0" w:color="auto"/>
        <w:left w:val="none" w:sz="0" w:space="0" w:color="auto"/>
        <w:bottom w:val="none" w:sz="0" w:space="0" w:color="auto"/>
        <w:right w:val="none" w:sz="0" w:space="0" w:color="auto"/>
      </w:divBdr>
    </w:div>
    <w:div w:id="1340347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372790E2-3BC6-4060-AD6B-9922A7C4FC9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7717B5E75A749B52A2A1ED9FAFC2F" ma:contentTypeVersion="13" ma:contentTypeDescription="Create a new document." ma:contentTypeScope="" ma:versionID="37e6c51bb9cbd607b56572f25a6d8d3b">
  <xsd:schema xmlns:xsd="http://www.w3.org/2001/XMLSchema" xmlns:xs="http://www.w3.org/2001/XMLSchema" xmlns:p="http://schemas.microsoft.com/office/2006/metadata/properties" xmlns:ns3="7fe9b2ad-a624-4b84-b8ab-2d334fee27a1" xmlns:ns4="8a6433de-a4a2-468c-83d4-ad14dac3724d" targetNamespace="http://schemas.microsoft.com/office/2006/metadata/properties" ma:root="true" ma:fieldsID="c3e99bdd5658860acbeb4de4ab3078b7" ns3:_="" ns4:_="">
    <xsd:import namespace="7fe9b2ad-a624-4b84-b8ab-2d334fee27a1"/>
    <xsd:import namespace="8a6433de-a4a2-468c-83d4-ad14dac372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9b2ad-a624-4b84-b8ab-2d334fee2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6433de-a4a2-468c-83d4-ad14dac372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78B12-7029-4464-A568-433A64F4786C}">
  <ds:schemaRefs>
    <ds:schemaRef ds:uri="http://purl.org/dc/elements/1.1/"/>
    <ds:schemaRef ds:uri="http://schemas.microsoft.com/office/2006/metadata/properties"/>
    <ds:schemaRef ds:uri="http://schemas.microsoft.com/office/2006/documentManagement/types"/>
    <ds:schemaRef ds:uri="8a6433de-a4a2-468c-83d4-ad14dac3724d"/>
    <ds:schemaRef ds:uri="http://purl.org/dc/terms/"/>
    <ds:schemaRef ds:uri="http://schemas.openxmlformats.org/package/2006/metadata/core-properties"/>
    <ds:schemaRef ds:uri="http://purl.org/dc/dcmitype/"/>
    <ds:schemaRef ds:uri="http://schemas.microsoft.com/office/infopath/2007/PartnerControls"/>
    <ds:schemaRef ds:uri="7fe9b2ad-a624-4b84-b8ab-2d334fee27a1"/>
    <ds:schemaRef ds:uri="http://www.w3.org/XML/1998/namespace"/>
  </ds:schemaRefs>
</ds:datastoreItem>
</file>

<file path=customXml/itemProps2.xml><?xml version="1.0" encoding="utf-8"?>
<ds:datastoreItem xmlns:ds="http://schemas.openxmlformats.org/officeDocument/2006/customXml" ds:itemID="{69A6F18D-BA17-4032-ADDF-B5B11AB5BD96}">
  <ds:schemaRefs>
    <ds:schemaRef ds:uri="http://schemas.microsoft.com/sharepoint/v3/contenttype/forms"/>
  </ds:schemaRefs>
</ds:datastoreItem>
</file>

<file path=customXml/itemProps3.xml><?xml version="1.0" encoding="utf-8"?>
<ds:datastoreItem xmlns:ds="http://schemas.openxmlformats.org/officeDocument/2006/customXml" ds:itemID="{8D1145E5-3465-44AA-B05A-5B3262EF5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9b2ad-a624-4b84-b8ab-2d334fee27a1"/>
    <ds:schemaRef ds:uri="8a6433de-a4a2-468c-83d4-ad14dac37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874E9-5B1D-4ECE-B28D-37A79711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PHLN statement on nucleic acid test false positive results for SARS-CoV-2</dc:title>
  <dc:subject>Communicable diseases; Emergency health managment</dc:subject>
  <dc:creator>Australian Government Department of Health</dc:creator>
  <cp:keywords>coronavirus; covid-19; testing</cp:keywords>
  <cp:lastModifiedBy>McCay, Meryl</cp:lastModifiedBy>
  <cp:revision>4</cp:revision>
  <cp:lastPrinted>2020-06-04T05:24:00Z</cp:lastPrinted>
  <dcterms:created xsi:type="dcterms:W3CDTF">2020-07-16T00:28:00Z</dcterms:created>
  <dcterms:modified xsi:type="dcterms:W3CDTF">2020-07-22T01:09:00Z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0x01010066D7717B5E75A749B52A2A1ED9FAFC2F</vt:lpwstr>
  </property>
</Properties>
</file>