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CE2FE" w14:textId="4858F9D3" w:rsidR="004E37AE" w:rsidRPr="006B1A2F" w:rsidRDefault="00920F9F" w:rsidP="006B1A2F">
      <w:pPr>
        <w:pStyle w:val="Title"/>
        <w:jc w:val="left"/>
        <w:rPr>
          <w:rFonts w:ascii="Arial" w:hAnsi="Arial" w:cs="Arial"/>
          <w:b w:val="0"/>
          <w:lang w:val="en"/>
        </w:rPr>
      </w:pPr>
      <w:r w:rsidRPr="006B1A2F">
        <w:rPr>
          <w:rFonts w:ascii="Arial" w:hAnsi="Arial" w:cs="Arial"/>
          <w:b w:val="0"/>
          <w:lang w:val="en"/>
        </w:rPr>
        <w:t>HPV vaccination coverage by dose number (Australia) for</w:t>
      </w:r>
      <w:r w:rsidR="009C0411" w:rsidRPr="006B1A2F">
        <w:rPr>
          <w:rFonts w:ascii="Arial" w:hAnsi="Arial" w:cs="Arial"/>
          <w:b w:val="0"/>
          <w:lang w:val="en"/>
        </w:rPr>
        <w:t xml:space="preserve"> </w:t>
      </w:r>
      <w:r w:rsidR="00CC6916" w:rsidRPr="006B1A2F">
        <w:rPr>
          <w:rFonts w:ascii="Arial" w:hAnsi="Arial" w:cs="Arial"/>
          <w:b w:val="0"/>
          <w:lang w:val="en"/>
        </w:rPr>
        <w:t xml:space="preserve">females by age group in </w:t>
      </w:r>
      <w:proofErr w:type="spellStart"/>
      <w:r w:rsidR="00CC6916" w:rsidRPr="006B1A2F">
        <w:rPr>
          <w:rFonts w:ascii="Arial" w:hAnsi="Arial" w:cs="Arial"/>
          <w:b w:val="0"/>
          <w:lang w:val="en"/>
        </w:rPr>
        <w:t>mid</w:t>
      </w:r>
      <w:r w:rsidR="00850D9D">
        <w:rPr>
          <w:rFonts w:ascii="Arial" w:hAnsi="Arial" w:cs="Arial"/>
          <w:b w:val="0"/>
          <w:lang w:val="en"/>
        </w:rPr>
        <w:t xml:space="preserve"> </w:t>
      </w:r>
      <w:r w:rsidR="00CC6916" w:rsidRPr="006B1A2F">
        <w:rPr>
          <w:rFonts w:ascii="Arial" w:hAnsi="Arial" w:cs="Arial"/>
          <w:b w:val="0"/>
          <w:lang w:val="en"/>
        </w:rPr>
        <w:t>2011</w:t>
      </w:r>
      <w:proofErr w:type="spellEnd"/>
    </w:p>
    <w:p w14:paraId="53DD1BB7" w14:textId="77777777" w:rsidR="004E37AE" w:rsidRPr="006A2D82" w:rsidRDefault="004E37AE" w:rsidP="006A2D82">
      <w:pPr>
        <w:spacing w:after="120" w:line="240" w:lineRule="auto"/>
        <w:rPr>
          <w:lang w:eastAsia="en-AU"/>
        </w:rPr>
      </w:pPr>
    </w:p>
    <w:p w14:paraId="647D159E" w14:textId="336D6ABB" w:rsidR="004E37AE" w:rsidRPr="006A2D82" w:rsidRDefault="004E37AE" w:rsidP="006A2D82">
      <w:pPr>
        <w:pStyle w:val="Caption"/>
        <w:spacing w:after="120" w:line="240" w:lineRule="auto"/>
        <w:rPr>
          <w:rFonts w:ascii="Arial" w:hAnsi="Arial" w:cs="Arial"/>
          <w:b w:val="0"/>
          <w:sz w:val="24"/>
          <w:szCs w:val="24"/>
        </w:rPr>
      </w:pPr>
      <w:r w:rsidRPr="006A2D82">
        <w:rPr>
          <w:rFonts w:ascii="Arial" w:hAnsi="Arial" w:cs="Arial"/>
          <w:b w:val="0"/>
          <w:sz w:val="24"/>
          <w:szCs w:val="24"/>
        </w:rPr>
        <w:t xml:space="preserve">Graph </w:t>
      </w:r>
      <w:r w:rsidRPr="006A2D82">
        <w:rPr>
          <w:rFonts w:ascii="Arial" w:hAnsi="Arial" w:cs="Arial"/>
          <w:b w:val="0"/>
          <w:sz w:val="24"/>
          <w:szCs w:val="24"/>
        </w:rPr>
        <w:fldChar w:fldCharType="begin"/>
      </w:r>
      <w:r w:rsidRPr="006A2D82">
        <w:rPr>
          <w:rFonts w:ascii="Arial" w:hAnsi="Arial" w:cs="Arial"/>
          <w:b w:val="0"/>
          <w:sz w:val="24"/>
          <w:szCs w:val="24"/>
        </w:rPr>
        <w:instrText xml:space="preserve"> SEQ Graph \* ARABIC </w:instrText>
      </w:r>
      <w:r w:rsidRPr="006A2D82">
        <w:rPr>
          <w:rFonts w:ascii="Arial" w:hAnsi="Arial" w:cs="Arial"/>
          <w:b w:val="0"/>
          <w:sz w:val="24"/>
          <w:szCs w:val="24"/>
        </w:rPr>
        <w:fldChar w:fldCharType="separate"/>
      </w:r>
      <w:r w:rsidRPr="006A2D82">
        <w:rPr>
          <w:rFonts w:ascii="Arial" w:hAnsi="Arial" w:cs="Arial"/>
          <w:b w:val="0"/>
          <w:sz w:val="24"/>
          <w:szCs w:val="24"/>
        </w:rPr>
        <w:t>1</w:t>
      </w:r>
      <w:r w:rsidRPr="006A2D82">
        <w:rPr>
          <w:rFonts w:ascii="Arial" w:hAnsi="Arial" w:cs="Arial"/>
          <w:b w:val="0"/>
          <w:sz w:val="24"/>
          <w:szCs w:val="24"/>
        </w:rPr>
        <w:fldChar w:fldCharType="end"/>
      </w:r>
      <w:r w:rsidR="00850D9D">
        <w:rPr>
          <w:rFonts w:ascii="Arial" w:hAnsi="Arial" w:cs="Arial"/>
          <w:b w:val="0"/>
          <w:sz w:val="24"/>
          <w:szCs w:val="24"/>
        </w:rPr>
        <w:t>.</w:t>
      </w:r>
      <w:r w:rsidRPr="006A2D82">
        <w:rPr>
          <w:rFonts w:ascii="Arial" w:hAnsi="Arial" w:cs="Arial"/>
          <w:b w:val="0"/>
          <w:sz w:val="24"/>
          <w:szCs w:val="24"/>
        </w:rPr>
        <w:t xml:space="preserve"> </w:t>
      </w:r>
      <w:r w:rsidR="00920F9F" w:rsidRPr="006A2D82">
        <w:rPr>
          <w:rFonts w:ascii="Arial" w:hAnsi="Arial" w:cs="Arial"/>
          <w:b w:val="0"/>
          <w:sz w:val="24"/>
          <w:szCs w:val="24"/>
        </w:rPr>
        <w:t xml:space="preserve">HPV vaccination coverage </w:t>
      </w:r>
      <w:proofErr w:type="gramStart"/>
      <w:r w:rsidR="00920F9F" w:rsidRPr="006A2D82">
        <w:rPr>
          <w:rFonts w:ascii="Arial" w:hAnsi="Arial" w:cs="Arial"/>
          <w:b w:val="0"/>
          <w:sz w:val="24"/>
          <w:szCs w:val="24"/>
        </w:rPr>
        <w:t>by dose number for</w:t>
      </w:r>
      <w:r w:rsidR="009C0411" w:rsidRPr="006A2D82">
        <w:rPr>
          <w:rFonts w:ascii="Arial" w:hAnsi="Arial" w:cs="Arial"/>
          <w:b w:val="0"/>
          <w:sz w:val="24"/>
          <w:szCs w:val="24"/>
        </w:rPr>
        <w:t xml:space="preserve"> females by age group in </w:t>
      </w:r>
      <w:proofErr w:type="spellStart"/>
      <w:r w:rsidR="009C0411" w:rsidRPr="006A2D82">
        <w:rPr>
          <w:rFonts w:ascii="Arial" w:hAnsi="Arial" w:cs="Arial"/>
          <w:b w:val="0"/>
          <w:sz w:val="24"/>
          <w:szCs w:val="24"/>
        </w:rPr>
        <w:t>mid</w:t>
      </w:r>
      <w:r w:rsidR="00850D9D">
        <w:rPr>
          <w:rFonts w:ascii="Arial" w:hAnsi="Arial" w:cs="Arial"/>
          <w:b w:val="0"/>
          <w:sz w:val="24"/>
          <w:szCs w:val="24"/>
        </w:rPr>
        <w:t xml:space="preserve"> </w:t>
      </w:r>
      <w:r w:rsidR="009C0411" w:rsidRPr="006A2D82">
        <w:rPr>
          <w:rFonts w:ascii="Arial" w:hAnsi="Arial" w:cs="Arial"/>
          <w:b w:val="0"/>
          <w:sz w:val="24"/>
          <w:szCs w:val="24"/>
        </w:rPr>
        <w:t>201</w:t>
      </w:r>
      <w:r w:rsidR="00CC6916" w:rsidRPr="006A2D82">
        <w:rPr>
          <w:rFonts w:ascii="Arial" w:hAnsi="Arial" w:cs="Arial"/>
          <w:b w:val="0"/>
          <w:sz w:val="24"/>
          <w:szCs w:val="24"/>
        </w:rPr>
        <w:t>1</w:t>
      </w:r>
      <w:proofErr w:type="spellEnd"/>
      <w:proofErr w:type="gramEnd"/>
      <w:r w:rsidRPr="006A2D82">
        <w:rPr>
          <w:rFonts w:ascii="Arial" w:hAnsi="Arial" w:cs="Arial"/>
          <w:b w:val="0"/>
          <w:sz w:val="24"/>
          <w:szCs w:val="24"/>
        </w:rPr>
        <w:t>.</w:t>
      </w:r>
    </w:p>
    <w:p w14:paraId="2DB33BF2" w14:textId="77777777" w:rsidR="004E37AE" w:rsidRPr="006A2D82" w:rsidRDefault="005C5F45" w:rsidP="006A2D82">
      <w:pPr>
        <w:spacing w:after="120" w:line="240" w:lineRule="auto"/>
      </w:pPr>
      <w:bookmarkStart w:id="0" w:name="_GoBack"/>
      <w:r w:rsidRPr="006A2D82">
        <w:rPr>
          <w:noProof/>
          <w:lang w:eastAsia="en-AU"/>
        </w:rPr>
        <w:drawing>
          <wp:inline distT="0" distB="0" distL="0" distR="0" wp14:anchorId="1C3BBAB5" wp14:editId="7177E3B9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0BE0E00B" w14:textId="77777777" w:rsidR="00850D9D" w:rsidRPr="00BA5BA7" w:rsidRDefault="00850D9D" w:rsidP="00850D9D">
      <w:pPr>
        <w:spacing w:after="120" w:line="240" w:lineRule="auto"/>
        <w:rPr>
          <w:rFonts w:ascii="Arial" w:hAnsi="Arial" w:cs="Arial"/>
        </w:rPr>
      </w:pPr>
    </w:p>
    <w:p w14:paraId="4CFFC130" w14:textId="3BE03464" w:rsidR="00850D9D" w:rsidRPr="00BA5BA7" w:rsidRDefault="00850D9D" w:rsidP="00850D9D">
      <w:pPr>
        <w:pStyle w:val="Caption"/>
        <w:spacing w:after="120" w:line="240" w:lineRule="auto"/>
        <w:rPr>
          <w:rFonts w:ascii="Arial" w:hAnsi="Arial" w:cs="Arial"/>
          <w:b w:val="0"/>
          <w:sz w:val="24"/>
          <w:szCs w:val="24"/>
        </w:rPr>
      </w:pPr>
      <w:r w:rsidRPr="00BA5BA7">
        <w:rPr>
          <w:rFonts w:ascii="Arial" w:hAnsi="Arial" w:cs="Arial"/>
          <w:b w:val="0"/>
          <w:sz w:val="24"/>
          <w:szCs w:val="24"/>
        </w:rPr>
        <w:t xml:space="preserve">Table </w:t>
      </w:r>
      <w:r w:rsidRPr="00BA5BA7">
        <w:rPr>
          <w:rFonts w:ascii="Arial" w:hAnsi="Arial" w:cs="Arial"/>
          <w:b w:val="0"/>
          <w:sz w:val="24"/>
          <w:szCs w:val="24"/>
        </w:rPr>
        <w:fldChar w:fldCharType="begin"/>
      </w:r>
      <w:r w:rsidRPr="00BA5BA7">
        <w:rPr>
          <w:rFonts w:ascii="Arial" w:hAnsi="Arial" w:cs="Arial"/>
          <w:b w:val="0"/>
          <w:sz w:val="24"/>
          <w:szCs w:val="24"/>
        </w:rPr>
        <w:instrText xml:space="preserve"> SEQ Table \* ARABIC </w:instrText>
      </w:r>
      <w:r w:rsidRPr="00BA5BA7">
        <w:rPr>
          <w:rFonts w:ascii="Arial" w:hAnsi="Arial" w:cs="Arial"/>
          <w:b w:val="0"/>
          <w:sz w:val="24"/>
          <w:szCs w:val="24"/>
        </w:rPr>
        <w:fldChar w:fldCharType="separate"/>
      </w:r>
      <w:r w:rsidRPr="00BA5BA7">
        <w:rPr>
          <w:rFonts w:ascii="Arial" w:hAnsi="Arial" w:cs="Arial"/>
          <w:b w:val="0"/>
          <w:noProof/>
          <w:sz w:val="24"/>
          <w:szCs w:val="24"/>
        </w:rPr>
        <w:t>1</w:t>
      </w:r>
      <w:r w:rsidRPr="00BA5BA7">
        <w:rPr>
          <w:rFonts w:ascii="Arial" w:hAnsi="Arial" w:cs="Arial"/>
          <w:b w:val="0"/>
          <w:sz w:val="24"/>
          <w:szCs w:val="24"/>
        </w:rPr>
        <w:fldChar w:fldCharType="end"/>
      </w:r>
      <w:r w:rsidRPr="00BA5BA7">
        <w:rPr>
          <w:rFonts w:ascii="Arial" w:hAnsi="Arial" w:cs="Arial"/>
          <w:b w:val="0"/>
          <w:sz w:val="24"/>
          <w:szCs w:val="24"/>
        </w:rPr>
        <w:t xml:space="preserve">. HPV vaccination coverage </w:t>
      </w:r>
      <w:proofErr w:type="gramStart"/>
      <w:r w:rsidRPr="00BA5BA7">
        <w:rPr>
          <w:rFonts w:ascii="Arial" w:hAnsi="Arial" w:cs="Arial"/>
          <w:b w:val="0"/>
          <w:sz w:val="24"/>
          <w:szCs w:val="24"/>
        </w:rPr>
        <w:t xml:space="preserve">by dose number </w:t>
      </w:r>
      <w:r>
        <w:rPr>
          <w:rFonts w:ascii="Arial" w:hAnsi="Arial" w:cs="Arial"/>
          <w:b w:val="0"/>
          <w:sz w:val="24"/>
          <w:szCs w:val="24"/>
        </w:rPr>
        <w:t xml:space="preserve">for females by age group in </w:t>
      </w:r>
      <w:proofErr w:type="spellStart"/>
      <w:r>
        <w:rPr>
          <w:rFonts w:ascii="Arial" w:hAnsi="Arial" w:cs="Arial"/>
          <w:b w:val="0"/>
          <w:sz w:val="24"/>
          <w:szCs w:val="24"/>
        </w:rPr>
        <w:t>mid 2011</w:t>
      </w:r>
      <w:proofErr w:type="spellEnd"/>
      <w:proofErr w:type="gramEnd"/>
      <w:r>
        <w:rPr>
          <w:rFonts w:ascii="Arial" w:hAnsi="Arial" w:cs="Arial"/>
          <w:b w:val="0"/>
          <w:sz w:val="24"/>
          <w:szCs w:val="24"/>
        </w:rPr>
        <w:t>.</w:t>
      </w:r>
    </w:p>
    <w:tbl>
      <w:tblPr>
        <w:tblStyle w:val="GridTable4-Accent51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shd w:val="clear" w:color="auto" w:fill="548DD4" w:themeFill="text2" w:themeFillTint="99"/>
        <w:tblLook w:val="04A0" w:firstRow="1" w:lastRow="0" w:firstColumn="1" w:lastColumn="0" w:noHBand="0" w:noVBand="1"/>
        <w:tblCaption w:val="Table 1 Number of doses and coverage per cent for dose 1, 2 and 3 by age"/>
        <w:tblDescription w:val="Table 1 Number of doses and coverage per cent for dose 1, 2 and 3 by age in 2007. "/>
      </w:tblPr>
      <w:tblGrid>
        <w:gridCol w:w="1555"/>
        <w:gridCol w:w="1236"/>
        <w:gridCol w:w="1396"/>
        <w:gridCol w:w="1396"/>
        <w:gridCol w:w="1396"/>
        <w:gridCol w:w="1396"/>
        <w:gridCol w:w="1396"/>
      </w:tblGrid>
      <w:tr w:rsidR="00850D9D" w:rsidRPr="00F34B37" w14:paraId="42822231" w14:textId="77777777" w:rsidTr="00FA0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  <w:vAlign w:val="center"/>
          </w:tcPr>
          <w:p w14:paraId="0AA33B50" w14:textId="6E7A11A7" w:rsidR="00850D9D" w:rsidRPr="00F34B37" w:rsidRDefault="00F677C9" w:rsidP="000A7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 </w:t>
            </w:r>
            <w:r>
              <w:rPr>
                <w:rFonts w:ascii="Arial" w:hAnsi="Arial" w:cs="Arial"/>
              </w:rPr>
              <w:br/>
              <w:t xml:space="preserve">(in years at </w:t>
            </w:r>
            <w:proofErr w:type="spellStart"/>
            <w:r>
              <w:rPr>
                <w:rFonts w:ascii="Arial" w:hAnsi="Arial" w:cs="Arial"/>
              </w:rPr>
              <w:t xml:space="preserve">mid </w:t>
            </w:r>
            <w:r w:rsidR="00850D9D" w:rsidRPr="00F34B37">
              <w:rPr>
                <w:rFonts w:ascii="Arial" w:hAnsi="Arial" w:cs="Arial"/>
              </w:rPr>
              <w:t>20</w:t>
            </w:r>
            <w:r w:rsidR="00850D9D">
              <w:rPr>
                <w:rFonts w:ascii="Arial" w:hAnsi="Arial" w:cs="Arial"/>
              </w:rPr>
              <w:t>11</w:t>
            </w:r>
            <w:proofErr w:type="spellEnd"/>
            <w:r w:rsidR="00850D9D" w:rsidRPr="00F34B37">
              <w:rPr>
                <w:rFonts w:ascii="Arial" w:hAnsi="Arial" w:cs="Arial"/>
              </w:rPr>
              <w:t>)</w:t>
            </w: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  <w:vAlign w:val="center"/>
          </w:tcPr>
          <w:p w14:paraId="33271C9E" w14:textId="77777777" w:rsidR="00850D9D" w:rsidRPr="00F34B37" w:rsidRDefault="00850D9D" w:rsidP="000A75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34B37">
              <w:rPr>
                <w:rFonts w:ascii="Arial" w:hAnsi="Arial" w:cs="Arial"/>
              </w:rPr>
              <w:t>12-13</w:t>
            </w: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  <w:vAlign w:val="center"/>
          </w:tcPr>
          <w:p w14:paraId="7E81A7D8" w14:textId="77777777" w:rsidR="00850D9D" w:rsidRPr="00F34B37" w:rsidRDefault="00850D9D" w:rsidP="000A75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34B37">
              <w:rPr>
                <w:rFonts w:ascii="Arial" w:hAnsi="Arial" w:cs="Arial"/>
              </w:rPr>
              <w:t>14-15</w:t>
            </w: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  <w:vAlign w:val="center"/>
          </w:tcPr>
          <w:p w14:paraId="4F11107D" w14:textId="77777777" w:rsidR="00850D9D" w:rsidRPr="00F34B37" w:rsidRDefault="00850D9D" w:rsidP="000A75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34B37">
              <w:rPr>
                <w:rFonts w:ascii="Arial" w:hAnsi="Arial" w:cs="Arial"/>
              </w:rPr>
              <w:t>16-17</w:t>
            </w: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  <w:vAlign w:val="center"/>
          </w:tcPr>
          <w:p w14:paraId="5CB27189" w14:textId="77777777" w:rsidR="00850D9D" w:rsidRPr="00F34B37" w:rsidRDefault="00850D9D" w:rsidP="000A75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34B37">
              <w:rPr>
                <w:rFonts w:ascii="Arial" w:hAnsi="Arial" w:cs="Arial"/>
              </w:rPr>
              <w:t>18-19</w:t>
            </w: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  <w:vAlign w:val="center"/>
          </w:tcPr>
          <w:p w14:paraId="44BA84B6" w14:textId="77777777" w:rsidR="00850D9D" w:rsidRPr="00F34B37" w:rsidRDefault="00850D9D" w:rsidP="000A75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34B37">
              <w:rPr>
                <w:rFonts w:ascii="Arial" w:hAnsi="Arial" w:cs="Arial"/>
              </w:rPr>
              <w:t>20-26</w:t>
            </w:r>
          </w:p>
        </w:tc>
      </w:tr>
      <w:tr w:rsidR="00850D9D" w:rsidRPr="00BA5BA7" w14:paraId="5FE6C2F7" w14:textId="77777777" w:rsidTr="000A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gridSpan w:val="2"/>
            <w:shd w:val="clear" w:color="auto" w:fill="548DD4" w:themeFill="text2" w:themeFillTint="99"/>
            <w:vAlign w:val="center"/>
          </w:tcPr>
          <w:p w14:paraId="1566971B" w14:textId="0C12E67D" w:rsidR="00850D9D" w:rsidRPr="00494ECD" w:rsidRDefault="00F677C9" w:rsidP="00850D9D">
            <w:pPr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Population</w:t>
            </w:r>
            <w:r>
              <w:rPr>
                <w:rFonts w:ascii="Arial" w:hAnsi="Arial" w:cs="Arial"/>
                <w:color w:val="FFFFFF" w:themeColor="background1"/>
              </w:rPr>
              <w:br/>
              <w:t xml:space="preserve">(in years at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 xml:space="preserve">mid </w:t>
            </w:r>
            <w:r w:rsidR="00850D9D" w:rsidRPr="00494ECD">
              <w:rPr>
                <w:rFonts w:ascii="Arial" w:hAnsi="Arial" w:cs="Arial"/>
                <w:color w:val="FFFFFF" w:themeColor="background1"/>
              </w:rPr>
              <w:t>20</w:t>
            </w:r>
            <w:r w:rsidR="00850D9D">
              <w:rPr>
                <w:rFonts w:ascii="Arial" w:hAnsi="Arial" w:cs="Arial"/>
                <w:color w:val="FFFFFF" w:themeColor="background1"/>
              </w:rPr>
              <w:t>11</w:t>
            </w:r>
            <w:proofErr w:type="spellEnd"/>
            <w:r w:rsidR="00850D9D" w:rsidRPr="00494ECD">
              <w:rPr>
                <w:rFonts w:ascii="Arial" w:hAnsi="Arial" w:cs="Arial"/>
                <w:color w:val="FFFFFF" w:themeColor="background1"/>
              </w:rPr>
              <w:t>)</w:t>
            </w:r>
          </w:p>
        </w:tc>
        <w:tc>
          <w:tcPr>
            <w:tcW w:w="1396" w:type="dxa"/>
            <w:shd w:val="clear" w:color="auto" w:fill="DBE5F1" w:themeFill="accent1" w:themeFillTint="33"/>
            <w:vAlign w:val="center"/>
          </w:tcPr>
          <w:p w14:paraId="1BBFB077" w14:textId="24D16205" w:rsidR="00850D9D" w:rsidRPr="00BA5BA7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1A2F">
              <w:rPr>
                <w:rFonts w:ascii="Arial" w:hAnsi="Arial" w:cs="Arial"/>
              </w:rPr>
              <w:t>270,208</w:t>
            </w:r>
          </w:p>
        </w:tc>
        <w:tc>
          <w:tcPr>
            <w:tcW w:w="1396" w:type="dxa"/>
            <w:shd w:val="clear" w:color="auto" w:fill="DBE5F1" w:themeFill="accent1" w:themeFillTint="33"/>
            <w:vAlign w:val="center"/>
          </w:tcPr>
          <w:p w14:paraId="23E18DEA" w14:textId="0DCC19E2" w:rsidR="00850D9D" w:rsidRPr="00BA5BA7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1A2F">
              <w:rPr>
                <w:rFonts w:ascii="Arial" w:hAnsi="Arial" w:cs="Arial"/>
              </w:rPr>
              <w:t>273,994</w:t>
            </w:r>
          </w:p>
        </w:tc>
        <w:tc>
          <w:tcPr>
            <w:tcW w:w="1396" w:type="dxa"/>
            <w:shd w:val="clear" w:color="auto" w:fill="DBE5F1" w:themeFill="accent1" w:themeFillTint="33"/>
            <w:vAlign w:val="center"/>
          </w:tcPr>
          <w:p w14:paraId="1F0E04D4" w14:textId="0DD29E41" w:rsidR="00850D9D" w:rsidRPr="00BA5BA7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1A2F">
              <w:rPr>
                <w:rFonts w:ascii="Arial" w:hAnsi="Arial" w:cs="Arial"/>
              </w:rPr>
              <w:t>280,855</w:t>
            </w:r>
          </w:p>
        </w:tc>
        <w:tc>
          <w:tcPr>
            <w:tcW w:w="1396" w:type="dxa"/>
            <w:shd w:val="clear" w:color="auto" w:fill="DBE5F1" w:themeFill="accent1" w:themeFillTint="33"/>
            <w:vAlign w:val="center"/>
          </w:tcPr>
          <w:p w14:paraId="77DC030B" w14:textId="01BC6223" w:rsidR="00850D9D" w:rsidRPr="00BA5BA7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1A2F">
              <w:rPr>
                <w:rFonts w:ascii="Arial" w:hAnsi="Arial" w:cs="Arial"/>
              </w:rPr>
              <w:t>288,761</w:t>
            </w:r>
          </w:p>
        </w:tc>
        <w:tc>
          <w:tcPr>
            <w:tcW w:w="1396" w:type="dxa"/>
            <w:shd w:val="clear" w:color="auto" w:fill="DBE5F1" w:themeFill="accent1" w:themeFillTint="33"/>
            <w:vAlign w:val="center"/>
          </w:tcPr>
          <w:p w14:paraId="4E6DA885" w14:textId="2749E230" w:rsidR="00850D9D" w:rsidRPr="00BA5BA7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1A2F">
              <w:rPr>
                <w:rFonts w:ascii="Arial" w:hAnsi="Arial" w:cs="Arial"/>
              </w:rPr>
              <w:t>1,114,683</w:t>
            </w:r>
          </w:p>
        </w:tc>
      </w:tr>
      <w:tr w:rsidR="00850D9D" w:rsidRPr="00BA5BA7" w14:paraId="5354B638" w14:textId="77777777" w:rsidTr="000A758B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1" w:type="dxa"/>
            <w:gridSpan w:val="2"/>
            <w:shd w:val="clear" w:color="auto" w:fill="548DD4" w:themeFill="text2" w:themeFillTint="99"/>
            <w:vAlign w:val="center"/>
          </w:tcPr>
          <w:p w14:paraId="32D276F7" w14:textId="77777777" w:rsidR="00850D9D" w:rsidRPr="00494ECD" w:rsidRDefault="00850D9D" w:rsidP="00850D9D">
            <w:pPr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494ECD">
              <w:rPr>
                <w:rFonts w:ascii="Arial" w:hAnsi="Arial" w:cs="Arial"/>
                <w:color w:val="FFFFFF" w:themeColor="background1"/>
              </w:rPr>
              <w:t>Total no. of doses notified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4F2AB786" w14:textId="6A9F2BD6" w:rsidR="00850D9D" w:rsidRPr="00BA5BA7" w:rsidRDefault="00850D9D" w:rsidP="00850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1A2F">
              <w:rPr>
                <w:rFonts w:ascii="Arial" w:hAnsi="Arial" w:cs="Arial"/>
              </w:rPr>
              <w:t>653,912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34CF68B2" w14:textId="79FEE362" w:rsidR="00850D9D" w:rsidRPr="00BA5BA7" w:rsidRDefault="00850D9D" w:rsidP="00850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1A2F">
              <w:rPr>
                <w:rFonts w:ascii="Arial" w:hAnsi="Arial" w:cs="Arial"/>
              </w:rPr>
              <w:t>651,572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13F0466A" w14:textId="64DCF3B8" w:rsidR="00850D9D" w:rsidRPr="00BA5BA7" w:rsidRDefault="00850D9D" w:rsidP="00850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1A2F">
              <w:rPr>
                <w:rFonts w:ascii="Arial" w:hAnsi="Arial" w:cs="Arial"/>
              </w:rPr>
              <w:t>662,613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03CA0A82" w14:textId="1797A88D" w:rsidR="00850D9D" w:rsidRPr="00BA5BA7" w:rsidRDefault="00850D9D" w:rsidP="00850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1A2F">
              <w:rPr>
                <w:rFonts w:ascii="Arial" w:hAnsi="Arial" w:cs="Arial"/>
              </w:rPr>
              <w:t>662,736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7901C0F7" w14:textId="509FF53A" w:rsidR="00850D9D" w:rsidRPr="00BA5BA7" w:rsidRDefault="00850D9D" w:rsidP="00850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1A2F">
              <w:rPr>
                <w:rFonts w:ascii="Arial" w:hAnsi="Arial" w:cs="Arial"/>
              </w:rPr>
              <w:t>1,689,481</w:t>
            </w:r>
          </w:p>
        </w:tc>
      </w:tr>
      <w:tr w:rsidR="00850D9D" w:rsidRPr="00BA5BA7" w14:paraId="1126E69F" w14:textId="77777777" w:rsidTr="000A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548DD4" w:themeFill="text2" w:themeFillTint="99"/>
            <w:vAlign w:val="center"/>
          </w:tcPr>
          <w:p w14:paraId="73DF7129" w14:textId="77777777" w:rsidR="00850D9D" w:rsidRPr="00494ECD" w:rsidRDefault="00850D9D" w:rsidP="00850D9D">
            <w:pPr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 w:rsidRPr="00494ECD">
              <w:rPr>
                <w:rFonts w:ascii="Arial" w:hAnsi="Arial" w:cs="Arial"/>
                <w:color w:val="FFFFFF" w:themeColor="background1"/>
              </w:rPr>
              <w:t xml:space="preserve">Coverage Rate </w:t>
            </w:r>
            <w:r>
              <w:rPr>
                <w:rFonts w:ascii="Arial" w:hAnsi="Arial" w:cs="Arial"/>
                <w:color w:val="FFFFFF" w:themeColor="background1"/>
              </w:rPr>
              <w:br/>
            </w:r>
            <w:r w:rsidRPr="00494ECD">
              <w:rPr>
                <w:rFonts w:ascii="Arial" w:hAnsi="Arial" w:cs="Arial"/>
                <w:color w:val="FFFFFF" w:themeColor="background1"/>
              </w:rPr>
              <w:t>(as at 30 June 2018)</w:t>
            </w:r>
          </w:p>
        </w:tc>
        <w:tc>
          <w:tcPr>
            <w:tcW w:w="1236" w:type="dxa"/>
            <w:shd w:val="clear" w:color="auto" w:fill="8DB3E2" w:themeFill="text2" w:themeFillTint="66"/>
            <w:vAlign w:val="center"/>
          </w:tcPr>
          <w:p w14:paraId="5E052489" w14:textId="77777777" w:rsidR="00850D9D" w:rsidRPr="00494ECD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94ECD">
              <w:rPr>
                <w:rFonts w:ascii="Arial" w:hAnsi="Arial" w:cs="Arial"/>
                <w:b/>
                <w:bCs/>
                <w:color w:val="FFFFFF" w:themeColor="background1"/>
              </w:rPr>
              <w:t>DOSE 1</w:t>
            </w:r>
          </w:p>
        </w:tc>
        <w:tc>
          <w:tcPr>
            <w:tcW w:w="1396" w:type="dxa"/>
            <w:shd w:val="clear" w:color="auto" w:fill="DBE5F1" w:themeFill="accent1" w:themeFillTint="33"/>
            <w:vAlign w:val="center"/>
          </w:tcPr>
          <w:p w14:paraId="06577251" w14:textId="4671C100" w:rsidR="00850D9D" w:rsidRPr="00BA5BA7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  <w:r w:rsidRPr="006B1A2F">
              <w:rPr>
                <w:rFonts w:ascii="Arial" w:hAnsi="Arial" w:cs="Arial"/>
              </w:rPr>
              <w:t>%</w:t>
            </w:r>
          </w:p>
        </w:tc>
        <w:tc>
          <w:tcPr>
            <w:tcW w:w="1396" w:type="dxa"/>
            <w:shd w:val="clear" w:color="auto" w:fill="DBE5F1" w:themeFill="accent1" w:themeFillTint="33"/>
            <w:vAlign w:val="center"/>
          </w:tcPr>
          <w:p w14:paraId="63C93908" w14:textId="5E7FBEE7" w:rsidR="00850D9D" w:rsidRPr="00BA5BA7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1A2F">
              <w:rPr>
                <w:rFonts w:ascii="Arial" w:hAnsi="Arial" w:cs="Arial"/>
              </w:rPr>
              <w:t>84%</w:t>
            </w:r>
          </w:p>
        </w:tc>
        <w:tc>
          <w:tcPr>
            <w:tcW w:w="1396" w:type="dxa"/>
            <w:shd w:val="clear" w:color="auto" w:fill="DBE5F1" w:themeFill="accent1" w:themeFillTint="33"/>
            <w:vAlign w:val="center"/>
          </w:tcPr>
          <w:p w14:paraId="399DDD2B" w14:textId="291F5E43" w:rsidR="00850D9D" w:rsidRPr="00BA5BA7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  <w:r w:rsidRPr="006B1A2F">
              <w:rPr>
                <w:rFonts w:ascii="Arial" w:hAnsi="Arial" w:cs="Arial"/>
              </w:rPr>
              <w:t>%</w:t>
            </w:r>
          </w:p>
        </w:tc>
        <w:tc>
          <w:tcPr>
            <w:tcW w:w="1396" w:type="dxa"/>
            <w:shd w:val="clear" w:color="auto" w:fill="DBE5F1" w:themeFill="accent1" w:themeFillTint="33"/>
            <w:vAlign w:val="center"/>
          </w:tcPr>
          <w:p w14:paraId="783A9EB9" w14:textId="3F811991" w:rsidR="00850D9D" w:rsidRPr="00BA5BA7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  <w:r w:rsidRPr="006B1A2F">
              <w:rPr>
                <w:rFonts w:ascii="Arial" w:hAnsi="Arial" w:cs="Arial"/>
              </w:rPr>
              <w:t>%</w:t>
            </w:r>
          </w:p>
        </w:tc>
        <w:tc>
          <w:tcPr>
            <w:tcW w:w="1396" w:type="dxa"/>
            <w:shd w:val="clear" w:color="auto" w:fill="DBE5F1" w:themeFill="accent1" w:themeFillTint="33"/>
            <w:vAlign w:val="center"/>
          </w:tcPr>
          <w:p w14:paraId="7BE812D1" w14:textId="54A1CB04" w:rsidR="00850D9D" w:rsidRPr="00BA5BA7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Pr="006B1A2F">
              <w:rPr>
                <w:rFonts w:ascii="Arial" w:hAnsi="Arial" w:cs="Arial"/>
              </w:rPr>
              <w:t>%</w:t>
            </w:r>
          </w:p>
        </w:tc>
      </w:tr>
      <w:tr w:rsidR="00850D9D" w:rsidRPr="00BA5BA7" w14:paraId="258D65CD" w14:textId="77777777" w:rsidTr="000A758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548DD4" w:themeFill="text2" w:themeFillTint="99"/>
            <w:vAlign w:val="center"/>
          </w:tcPr>
          <w:p w14:paraId="1C6A1DA2" w14:textId="77777777" w:rsidR="00850D9D" w:rsidRPr="00494ECD" w:rsidRDefault="00850D9D" w:rsidP="00850D9D">
            <w:pPr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</w:p>
        </w:tc>
        <w:tc>
          <w:tcPr>
            <w:tcW w:w="1236" w:type="dxa"/>
            <w:shd w:val="clear" w:color="auto" w:fill="8DB3E2" w:themeFill="text2" w:themeFillTint="66"/>
            <w:vAlign w:val="center"/>
          </w:tcPr>
          <w:p w14:paraId="2DFF8859" w14:textId="77777777" w:rsidR="00850D9D" w:rsidRPr="00494ECD" w:rsidRDefault="00850D9D" w:rsidP="00850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94ECD">
              <w:rPr>
                <w:rFonts w:ascii="Arial" w:hAnsi="Arial" w:cs="Arial"/>
                <w:b/>
                <w:bCs/>
                <w:color w:val="FFFFFF" w:themeColor="background1"/>
              </w:rPr>
              <w:t>DOSE 2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3F1E9686" w14:textId="6B2773CD" w:rsidR="00850D9D" w:rsidRPr="00BA5BA7" w:rsidRDefault="00850D9D" w:rsidP="00850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  <w:r w:rsidRPr="006B1A2F">
              <w:rPr>
                <w:rFonts w:ascii="Arial" w:hAnsi="Arial" w:cs="Arial"/>
              </w:rPr>
              <w:t>%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13816481" w14:textId="1D43B1E7" w:rsidR="00850D9D" w:rsidRPr="00BA5BA7" w:rsidRDefault="00850D9D" w:rsidP="00850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Pr="006B1A2F">
              <w:rPr>
                <w:rFonts w:ascii="Arial" w:hAnsi="Arial" w:cs="Arial"/>
              </w:rPr>
              <w:t>%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65F969D3" w14:textId="048B762D" w:rsidR="00850D9D" w:rsidRPr="00BA5BA7" w:rsidRDefault="00850D9D" w:rsidP="00850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Pr="006B1A2F">
              <w:rPr>
                <w:rFonts w:ascii="Arial" w:hAnsi="Arial" w:cs="Arial"/>
              </w:rPr>
              <w:t>%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2C5DB000" w14:textId="41CCC232" w:rsidR="00850D9D" w:rsidRPr="00BA5BA7" w:rsidRDefault="00850D9D" w:rsidP="00850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Pr="006B1A2F">
              <w:rPr>
                <w:rFonts w:ascii="Arial" w:hAnsi="Arial" w:cs="Arial"/>
              </w:rPr>
              <w:t>%</w:t>
            </w:r>
          </w:p>
        </w:tc>
        <w:tc>
          <w:tcPr>
            <w:tcW w:w="1396" w:type="dxa"/>
            <w:shd w:val="clear" w:color="auto" w:fill="FFFFFF" w:themeFill="background1"/>
            <w:vAlign w:val="center"/>
          </w:tcPr>
          <w:p w14:paraId="2135BC81" w14:textId="7793904B" w:rsidR="00850D9D" w:rsidRPr="00BA5BA7" w:rsidRDefault="00850D9D" w:rsidP="00850D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Pr="006B1A2F">
              <w:rPr>
                <w:rFonts w:ascii="Arial" w:hAnsi="Arial" w:cs="Arial"/>
              </w:rPr>
              <w:t>%</w:t>
            </w:r>
          </w:p>
        </w:tc>
      </w:tr>
      <w:tr w:rsidR="00850D9D" w:rsidRPr="00BA5BA7" w14:paraId="52E25E08" w14:textId="77777777" w:rsidTr="000A7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shd w:val="clear" w:color="auto" w:fill="548DD4" w:themeFill="text2" w:themeFillTint="99"/>
            <w:vAlign w:val="center"/>
          </w:tcPr>
          <w:p w14:paraId="3C872125" w14:textId="77777777" w:rsidR="00850D9D" w:rsidRPr="00494ECD" w:rsidRDefault="00850D9D" w:rsidP="00850D9D">
            <w:pPr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</w:p>
        </w:tc>
        <w:tc>
          <w:tcPr>
            <w:tcW w:w="1236" w:type="dxa"/>
            <w:shd w:val="clear" w:color="auto" w:fill="8DB3E2" w:themeFill="text2" w:themeFillTint="66"/>
            <w:vAlign w:val="center"/>
          </w:tcPr>
          <w:p w14:paraId="270F60B5" w14:textId="77777777" w:rsidR="00850D9D" w:rsidRPr="00494ECD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94ECD">
              <w:rPr>
                <w:rFonts w:ascii="Arial" w:hAnsi="Arial" w:cs="Arial"/>
                <w:b/>
                <w:bCs/>
                <w:color w:val="FFFFFF" w:themeColor="background1"/>
              </w:rPr>
              <w:t>DOSE 3</w:t>
            </w:r>
          </w:p>
        </w:tc>
        <w:tc>
          <w:tcPr>
            <w:tcW w:w="1396" w:type="dxa"/>
            <w:shd w:val="clear" w:color="auto" w:fill="DBE5F1" w:themeFill="accent1" w:themeFillTint="33"/>
            <w:vAlign w:val="center"/>
          </w:tcPr>
          <w:p w14:paraId="13FDD88C" w14:textId="225A0147" w:rsidR="00850D9D" w:rsidRPr="00BA5BA7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Pr="006B1A2F">
              <w:rPr>
                <w:rFonts w:ascii="Arial" w:hAnsi="Arial" w:cs="Arial"/>
              </w:rPr>
              <w:t>%</w:t>
            </w:r>
          </w:p>
        </w:tc>
        <w:tc>
          <w:tcPr>
            <w:tcW w:w="1396" w:type="dxa"/>
            <w:shd w:val="clear" w:color="auto" w:fill="DBE5F1" w:themeFill="accent1" w:themeFillTint="33"/>
            <w:vAlign w:val="center"/>
          </w:tcPr>
          <w:p w14:paraId="0C692FB4" w14:textId="5EDDE75A" w:rsidR="00850D9D" w:rsidRPr="00BA5BA7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Pr="006B1A2F">
              <w:rPr>
                <w:rFonts w:ascii="Arial" w:hAnsi="Arial" w:cs="Arial"/>
              </w:rPr>
              <w:t>%</w:t>
            </w:r>
          </w:p>
        </w:tc>
        <w:tc>
          <w:tcPr>
            <w:tcW w:w="1396" w:type="dxa"/>
            <w:shd w:val="clear" w:color="auto" w:fill="DBE5F1" w:themeFill="accent1" w:themeFillTint="33"/>
            <w:vAlign w:val="center"/>
          </w:tcPr>
          <w:p w14:paraId="3A57D2C0" w14:textId="344023F0" w:rsidR="00850D9D" w:rsidRPr="00BA5BA7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1A2F">
              <w:rPr>
                <w:rFonts w:ascii="Arial" w:hAnsi="Arial" w:cs="Arial"/>
              </w:rPr>
              <w:t>7</w:t>
            </w:r>
            <w:r w:rsidR="0015152D">
              <w:rPr>
                <w:rFonts w:ascii="Arial" w:hAnsi="Arial" w:cs="Arial"/>
              </w:rPr>
              <w:t>3</w:t>
            </w:r>
            <w:r w:rsidRPr="006B1A2F">
              <w:rPr>
                <w:rFonts w:ascii="Arial" w:hAnsi="Arial" w:cs="Arial"/>
              </w:rPr>
              <w:t>%</w:t>
            </w:r>
          </w:p>
        </w:tc>
        <w:tc>
          <w:tcPr>
            <w:tcW w:w="1396" w:type="dxa"/>
            <w:shd w:val="clear" w:color="auto" w:fill="DBE5F1" w:themeFill="accent1" w:themeFillTint="33"/>
            <w:vAlign w:val="center"/>
          </w:tcPr>
          <w:p w14:paraId="563CD8BB" w14:textId="11F8CAF8" w:rsidR="00850D9D" w:rsidRPr="00BA5BA7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Pr="006B1A2F">
              <w:rPr>
                <w:rFonts w:ascii="Arial" w:hAnsi="Arial" w:cs="Arial"/>
              </w:rPr>
              <w:t>%</w:t>
            </w:r>
          </w:p>
        </w:tc>
        <w:tc>
          <w:tcPr>
            <w:tcW w:w="1396" w:type="dxa"/>
            <w:shd w:val="clear" w:color="auto" w:fill="DBE5F1" w:themeFill="accent1" w:themeFillTint="33"/>
            <w:vAlign w:val="center"/>
          </w:tcPr>
          <w:p w14:paraId="7753549F" w14:textId="1EC12397" w:rsidR="00850D9D" w:rsidRPr="00BA5BA7" w:rsidRDefault="00850D9D" w:rsidP="00850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6B1A2F">
              <w:rPr>
                <w:rFonts w:ascii="Arial" w:hAnsi="Arial" w:cs="Arial"/>
              </w:rPr>
              <w:t>%</w:t>
            </w:r>
          </w:p>
        </w:tc>
      </w:tr>
    </w:tbl>
    <w:p w14:paraId="513E45ED" w14:textId="77777777" w:rsidR="00850D9D" w:rsidRPr="00BA5BA7" w:rsidRDefault="00850D9D" w:rsidP="00850D9D">
      <w:pPr>
        <w:spacing w:after="120" w:line="240" w:lineRule="auto"/>
        <w:rPr>
          <w:rFonts w:ascii="Arial" w:hAnsi="Arial" w:cs="Arial"/>
          <w:u w:val="single"/>
        </w:rPr>
      </w:pPr>
    </w:p>
    <w:p w14:paraId="5D0D79F3" w14:textId="77777777" w:rsidR="00850D9D" w:rsidRPr="00BA5BA7" w:rsidRDefault="00850D9D" w:rsidP="00850D9D">
      <w:pPr>
        <w:pStyle w:val="Heading1"/>
        <w:spacing w:before="0" w:after="120"/>
        <w:rPr>
          <w:rFonts w:ascii="Arial" w:hAnsi="Arial"/>
          <w:b w:val="0"/>
        </w:rPr>
      </w:pPr>
      <w:r w:rsidRPr="00BA5BA7">
        <w:rPr>
          <w:rFonts w:ascii="Arial" w:hAnsi="Arial"/>
          <w:b w:val="0"/>
        </w:rPr>
        <w:t>Notes:</w:t>
      </w:r>
    </w:p>
    <w:p w14:paraId="690C4BD9" w14:textId="77777777" w:rsidR="00850D9D" w:rsidRPr="00BA5BA7" w:rsidRDefault="00850D9D" w:rsidP="00850D9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en-AU"/>
        </w:rPr>
      </w:pPr>
      <w:r w:rsidRPr="00BA5BA7">
        <w:rPr>
          <w:rFonts w:ascii="Arial" w:eastAsia="Times New Roman" w:hAnsi="Arial" w:cs="Arial"/>
          <w:sz w:val="20"/>
          <w:szCs w:val="20"/>
          <w:lang w:eastAsia="en-AU"/>
        </w:rPr>
        <w:t xml:space="preserve">Data extracted from the National HPV Vaccination Program Register (HPV Register) as at </w:t>
      </w:r>
      <w:r>
        <w:rPr>
          <w:rFonts w:ascii="Arial" w:eastAsia="Times New Roman" w:hAnsi="Arial" w:cs="Arial"/>
          <w:sz w:val="20"/>
          <w:szCs w:val="20"/>
          <w:lang w:eastAsia="en-AU"/>
        </w:rPr>
        <w:t>4</w:t>
      </w:r>
      <w:r w:rsidRPr="00BA5BA7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AU"/>
        </w:rPr>
        <w:t>July</w:t>
      </w:r>
      <w:r w:rsidRPr="00BA5BA7">
        <w:rPr>
          <w:rFonts w:ascii="Arial" w:eastAsia="Times New Roman" w:hAnsi="Arial" w:cs="Arial"/>
          <w:sz w:val="20"/>
          <w:szCs w:val="20"/>
          <w:lang w:eastAsia="en-AU"/>
        </w:rPr>
        <w:t xml:space="preserve"> 2018 and includes females vaccinated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between April 2007 and June 2018.</w:t>
      </w:r>
    </w:p>
    <w:p w14:paraId="475C1642" w14:textId="77777777" w:rsidR="00174B0E" w:rsidRPr="00850D9D" w:rsidRDefault="00174B0E" w:rsidP="00850D9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en-AU"/>
        </w:rPr>
      </w:pPr>
      <w:r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Includes doses that comply with the recommended vaccine dosage and administration as per the Australian Immunisation Handbook (up to </w:t>
      </w:r>
      <w:proofErr w:type="gramStart"/>
      <w:r w:rsidRPr="00850D9D">
        <w:rPr>
          <w:rFonts w:ascii="Arial" w:eastAsia="Times New Roman" w:hAnsi="Arial" w:cs="Arial"/>
          <w:sz w:val="20"/>
          <w:szCs w:val="20"/>
          <w:lang w:eastAsia="en-AU"/>
        </w:rPr>
        <w:t>3</w:t>
      </w:r>
      <w:proofErr w:type="gramEnd"/>
      <w:r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 doses adminis</w:t>
      </w:r>
      <w:r w:rsidR="006A2D82" w:rsidRPr="00850D9D">
        <w:rPr>
          <w:rFonts w:ascii="Arial" w:eastAsia="Times New Roman" w:hAnsi="Arial" w:cs="Arial"/>
          <w:sz w:val="20"/>
          <w:szCs w:val="20"/>
          <w:lang w:eastAsia="en-AU"/>
        </w:rPr>
        <w:t>tered at prescribed intervals).</w:t>
      </w:r>
    </w:p>
    <w:p w14:paraId="32CEBBAB" w14:textId="7CE56524" w:rsidR="00174B0E" w:rsidRPr="00850D9D" w:rsidRDefault="00174B0E" w:rsidP="00850D9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en-AU"/>
        </w:rPr>
      </w:pPr>
      <w:r w:rsidRPr="00850D9D">
        <w:rPr>
          <w:rFonts w:ascii="Arial" w:eastAsia="Times New Roman" w:hAnsi="Arial" w:cs="Arial"/>
          <w:sz w:val="20"/>
          <w:szCs w:val="20"/>
          <w:lang w:eastAsia="en-AU"/>
        </w:rPr>
        <w:t>Estimated Resident Population 2011 (as at 30/06/2011) is from the Australian Bureau of Statistics</w:t>
      </w:r>
      <w:proofErr w:type="gramStart"/>
      <w:r w:rsidRPr="00850D9D">
        <w:rPr>
          <w:rFonts w:ascii="Arial" w:eastAsia="Times New Roman" w:hAnsi="Arial" w:cs="Arial"/>
          <w:sz w:val="20"/>
          <w:szCs w:val="20"/>
          <w:lang w:eastAsia="en-AU"/>
        </w:rPr>
        <w:t>  -</w:t>
      </w:r>
      <w:proofErr w:type="gramEnd"/>
      <w:r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 Cat 3101.0 Australian Demographic Statistics, Tables 51 to 58:  Estimated Resident Population By Single year of Age by State and Territory,</w:t>
      </w:r>
      <w:r w:rsidR="006A2D82"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 FINAL data published </w:t>
      </w:r>
      <w:r w:rsidR="00850D9D">
        <w:rPr>
          <w:rFonts w:ascii="Arial" w:eastAsia="Times New Roman" w:hAnsi="Arial" w:cs="Arial"/>
          <w:sz w:val="20"/>
          <w:szCs w:val="20"/>
          <w:lang w:eastAsia="en-AU"/>
        </w:rPr>
        <w:t>December</w:t>
      </w:r>
      <w:r w:rsidR="006A2D82"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 2013.</w:t>
      </w:r>
    </w:p>
    <w:p w14:paraId="400252DB" w14:textId="77777777" w:rsidR="00174B0E" w:rsidRPr="00850D9D" w:rsidRDefault="00174B0E" w:rsidP="00850D9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en-AU"/>
        </w:rPr>
      </w:pPr>
      <w:r w:rsidRPr="00850D9D">
        <w:rPr>
          <w:rFonts w:ascii="Arial" w:eastAsia="Times New Roman" w:hAnsi="Arial" w:cs="Arial"/>
          <w:sz w:val="20"/>
          <w:szCs w:val="20"/>
          <w:lang w:eastAsia="en-AU"/>
        </w:rPr>
        <w:t>Age is age as at date of</w:t>
      </w:r>
      <w:r w:rsidR="006A2D82"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 ERP estimate (30th June 2011).</w:t>
      </w:r>
    </w:p>
    <w:p w14:paraId="34317D31" w14:textId="77777777" w:rsidR="00174B0E" w:rsidRPr="00850D9D" w:rsidRDefault="00174B0E" w:rsidP="00850D9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en-AU"/>
        </w:rPr>
      </w:pPr>
      <w:r w:rsidRPr="00850D9D">
        <w:rPr>
          <w:rFonts w:ascii="Arial" w:eastAsia="Times New Roman" w:hAnsi="Arial" w:cs="Arial"/>
          <w:sz w:val="20"/>
          <w:szCs w:val="20"/>
          <w:lang w:eastAsia="en-AU"/>
        </w:rPr>
        <w:lastRenderedPageBreak/>
        <w:t xml:space="preserve">Coverage </w:t>
      </w:r>
      <w:proofErr w:type="gramStart"/>
      <w:r w:rsidRPr="00850D9D">
        <w:rPr>
          <w:rFonts w:ascii="Arial" w:eastAsia="Times New Roman" w:hAnsi="Arial" w:cs="Arial"/>
          <w:sz w:val="20"/>
          <w:szCs w:val="20"/>
          <w:lang w:eastAsia="en-AU"/>
        </w:rPr>
        <w:t>is calculated</w:t>
      </w:r>
      <w:proofErr w:type="gramEnd"/>
      <w:r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 as doses administered and reported to the HPV Register/Estimated Resident Popula</w:t>
      </w:r>
      <w:r w:rsidR="006A2D82" w:rsidRPr="00850D9D">
        <w:rPr>
          <w:rFonts w:ascii="Arial" w:eastAsia="Times New Roman" w:hAnsi="Arial" w:cs="Arial"/>
          <w:sz w:val="20"/>
          <w:szCs w:val="20"/>
          <w:lang w:eastAsia="en-AU"/>
        </w:rPr>
        <w:t>tion expressed as a percentage.</w:t>
      </w:r>
    </w:p>
    <w:p w14:paraId="699C8E46" w14:textId="77777777" w:rsidR="00174B0E" w:rsidRPr="00850D9D" w:rsidRDefault="00174B0E" w:rsidP="00850D9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en-AU"/>
        </w:rPr>
      </w:pPr>
      <w:r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Excludes consumers who do not wish their details to </w:t>
      </w:r>
      <w:proofErr w:type="gramStart"/>
      <w:r w:rsidRPr="00850D9D">
        <w:rPr>
          <w:rFonts w:ascii="Arial" w:eastAsia="Times New Roman" w:hAnsi="Arial" w:cs="Arial"/>
          <w:sz w:val="20"/>
          <w:szCs w:val="20"/>
          <w:lang w:eastAsia="en-AU"/>
        </w:rPr>
        <w:t>b</w:t>
      </w:r>
      <w:r w:rsidR="006A2D82" w:rsidRPr="00850D9D">
        <w:rPr>
          <w:rFonts w:ascii="Arial" w:eastAsia="Times New Roman" w:hAnsi="Arial" w:cs="Arial"/>
          <w:sz w:val="20"/>
          <w:szCs w:val="20"/>
          <w:lang w:eastAsia="en-AU"/>
        </w:rPr>
        <w:t>e recorded</w:t>
      </w:r>
      <w:proofErr w:type="gramEnd"/>
      <w:r w:rsidR="006A2D82"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 on the HPV Register.</w:t>
      </w:r>
    </w:p>
    <w:p w14:paraId="360B0C97" w14:textId="77777777" w:rsidR="00174B0E" w:rsidRPr="00850D9D" w:rsidRDefault="00174B0E" w:rsidP="00850D9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en-AU"/>
        </w:rPr>
      </w:pPr>
      <w:r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Dose number </w:t>
      </w:r>
      <w:proofErr w:type="gramStart"/>
      <w:r w:rsidRPr="00850D9D">
        <w:rPr>
          <w:rFonts w:ascii="Arial" w:eastAsia="Times New Roman" w:hAnsi="Arial" w:cs="Arial"/>
          <w:sz w:val="20"/>
          <w:szCs w:val="20"/>
          <w:lang w:eastAsia="en-AU"/>
        </w:rPr>
        <w:t>is calculated</w:t>
      </w:r>
      <w:proofErr w:type="gramEnd"/>
      <w:r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 according to the number of doses held by the register for each person. Incoming records </w:t>
      </w:r>
      <w:proofErr w:type="gramStart"/>
      <w:r w:rsidRPr="00850D9D">
        <w:rPr>
          <w:rFonts w:ascii="Arial" w:eastAsia="Times New Roman" w:hAnsi="Arial" w:cs="Arial"/>
          <w:sz w:val="20"/>
          <w:szCs w:val="20"/>
          <w:lang w:eastAsia="en-AU"/>
        </w:rPr>
        <w:t>are matched</w:t>
      </w:r>
      <w:proofErr w:type="gramEnd"/>
      <w:r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 to existing records for that person and date of administration is use</w:t>
      </w:r>
      <w:r w:rsidR="006A2D82" w:rsidRPr="00850D9D">
        <w:rPr>
          <w:rFonts w:ascii="Arial" w:eastAsia="Times New Roman" w:hAnsi="Arial" w:cs="Arial"/>
          <w:sz w:val="20"/>
          <w:szCs w:val="20"/>
          <w:lang w:eastAsia="en-AU"/>
        </w:rPr>
        <w:t>d to determine the dose number.</w:t>
      </w:r>
    </w:p>
    <w:p w14:paraId="60EECBAE" w14:textId="07660726" w:rsidR="00174B0E" w:rsidRPr="00850D9D" w:rsidRDefault="00174B0E" w:rsidP="00850D9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en-AU"/>
        </w:rPr>
      </w:pPr>
      <w:r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The National HPV Vaccination Program initially provided </w:t>
      </w:r>
      <w:proofErr w:type="spellStart"/>
      <w:r w:rsidRPr="00850D9D">
        <w:rPr>
          <w:rFonts w:ascii="Arial" w:eastAsia="Times New Roman" w:hAnsi="Arial" w:cs="Arial"/>
          <w:sz w:val="20"/>
          <w:szCs w:val="20"/>
          <w:lang w:eastAsia="en-AU"/>
        </w:rPr>
        <w:t>quadrivalent</w:t>
      </w:r>
      <w:proofErr w:type="spellEnd"/>
      <w:r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 HPV vaccine for all females aged 12-26 years as at </w:t>
      </w:r>
      <w:proofErr w:type="spellStart"/>
      <w:r w:rsidRPr="00850D9D">
        <w:rPr>
          <w:rFonts w:ascii="Arial" w:eastAsia="Times New Roman" w:hAnsi="Arial" w:cs="Arial"/>
          <w:sz w:val="20"/>
          <w:szCs w:val="20"/>
          <w:lang w:eastAsia="en-AU"/>
        </w:rPr>
        <w:t>mid 2007</w:t>
      </w:r>
      <w:proofErr w:type="spellEnd"/>
      <w:r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 (school program commenced April 2007 and GP/community program in July 2007) until end December 2009. From </w:t>
      </w:r>
      <w:proofErr w:type="gramStart"/>
      <w:r w:rsidRPr="00850D9D">
        <w:rPr>
          <w:rFonts w:ascii="Arial" w:eastAsia="Times New Roman" w:hAnsi="Arial" w:cs="Arial"/>
          <w:sz w:val="20"/>
          <w:szCs w:val="20"/>
          <w:lang w:eastAsia="en-AU"/>
        </w:rPr>
        <w:t>2009</w:t>
      </w:r>
      <w:proofErr w:type="gramEnd"/>
      <w:r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 the Program offered HPV vaccination routinely to females in the first year of high school (usually at 12-13 years). From 2013, males were also offered HPV vaccination routinely in the first year of high school (age 12-13 years), with a catch-up program available for males age</w:t>
      </w:r>
      <w:r w:rsidR="006A2D82" w:rsidRPr="00850D9D">
        <w:rPr>
          <w:rFonts w:ascii="Arial" w:eastAsia="Times New Roman" w:hAnsi="Arial" w:cs="Arial"/>
          <w:sz w:val="20"/>
          <w:szCs w:val="20"/>
          <w:lang w:eastAsia="en-AU"/>
        </w:rPr>
        <w:t>d 14-15 years in 2013 and 2014.</w:t>
      </w:r>
    </w:p>
    <w:p w14:paraId="4408AF59" w14:textId="77777777" w:rsidR="00280050" w:rsidRPr="00850D9D" w:rsidRDefault="00174B0E" w:rsidP="00850D9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2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en-AU"/>
        </w:rPr>
      </w:pPr>
      <w:r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HPV Vaccination doses administered through general practice and in other community settings </w:t>
      </w:r>
      <w:proofErr w:type="gramStart"/>
      <w:r w:rsidRPr="00850D9D">
        <w:rPr>
          <w:rFonts w:ascii="Arial" w:eastAsia="Times New Roman" w:hAnsi="Arial" w:cs="Arial"/>
          <w:sz w:val="20"/>
          <w:szCs w:val="20"/>
          <w:lang w:eastAsia="en-AU"/>
        </w:rPr>
        <w:t>may be incompletely notified</w:t>
      </w:r>
      <w:proofErr w:type="gramEnd"/>
      <w:r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 to the HPV Register. The extent of under notification differs by jurisdiction, with the Northern Territory and Queensland expected to have the most complete notification, </w:t>
      </w:r>
      <w:proofErr w:type="gramStart"/>
      <w:r w:rsidRPr="00850D9D">
        <w:rPr>
          <w:rFonts w:ascii="Arial" w:eastAsia="Times New Roman" w:hAnsi="Arial" w:cs="Arial"/>
          <w:sz w:val="20"/>
          <w:szCs w:val="20"/>
          <w:lang w:eastAsia="en-AU"/>
        </w:rPr>
        <w:t>due</w:t>
      </w:r>
      <w:proofErr w:type="gramEnd"/>
      <w:r w:rsidRPr="00850D9D">
        <w:rPr>
          <w:rFonts w:ascii="Arial" w:eastAsia="Times New Roman" w:hAnsi="Arial" w:cs="Arial"/>
          <w:sz w:val="20"/>
          <w:szCs w:val="20"/>
          <w:lang w:eastAsia="en-AU"/>
        </w:rPr>
        <w:t xml:space="preserve"> to notification of doses via State based immunisation registers.</w:t>
      </w:r>
    </w:p>
    <w:sectPr w:rsidR="00280050" w:rsidRPr="00850D9D" w:rsidSect="00725BF5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7AC6"/>
    <w:multiLevelType w:val="multilevel"/>
    <w:tmpl w:val="9720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1472C"/>
    <w:multiLevelType w:val="multilevel"/>
    <w:tmpl w:val="6998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AE"/>
    <w:rsid w:val="0000128D"/>
    <w:rsid w:val="0001098C"/>
    <w:rsid w:val="00065EE3"/>
    <w:rsid w:val="000867AB"/>
    <w:rsid w:val="00095859"/>
    <w:rsid w:val="000C5420"/>
    <w:rsid w:val="0015152D"/>
    <w:rsid w:val="00174B0E"/>
    <w:rsid w:val="001B4435"/>
    <w:rsid w:val="001B69E9"/>
    <w:rsid w:val="00280050"/>
    <w:rsid w:val="00335A34"/>
    <w:rsid w:val="00427702"/>
    <w:rsid w:val="0043638D"/>
    <w:rsid w:val="00451FFE"/>
    <w:rsid w:val="004E37AE"/>
    <w:rsid w:val="005405FF"/>
    <w:rsid w:val="005431DE"/>
    <w:rsid w:val="005C26DC"/>
    <w:rsid w:val="005C333E"/>
    <w:rsid w:val="005C5F45"/>
    <w:rsid w:val="00635D9E"/>
    <w:rsid w:val="006A2D82"/>
    <w:rsid w:val="006B1A2F"/>
    <w:rsid w:val="00727CF6"/>
    <w:rsid w:val="007B68E3"/>
    <w:rsid w:val="008033E5"/>
    <w:rsid w:val="00850D9D"/>
    <w:rsid w:val="008F6809"/>
    <w:rsid w:val="00920F9F"/>
    <w:rsid w:val="009A0550"/>
    <w:rsid w:val="009C0411"/>
    <w:rsid w:val="00A23762"/>
    <w:rsid w:val="00A64A40"/>
    <w:rsid w:val="00B6437C"/>
    <w:rsid w:val="00CC6916"/>
    <w:rsid w:val="00D3280F"/>
    <w:rsid w:val="00D417A6"/>
    <w:rsid w:val="00D70F6A"/>
    <w:rsid w:val="00D81EF9"/>
    <w:rsid w:val="00E10BFC"/>
    <w:rsid w:val="00E919AF"/>
    <w:rsid w:val="00F14D6C"/>
    <w:rsid w:val="00F677C9"/>
    <w:rsid w:val="00F93E27"/>
    <w:rsid w:val="00F9558A"/>
    <w:rsid w:val="00FA0EFC"/>
    <w:rsid w:val="00FA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C258"/>
  <w15:chartTrackingRefBased/>
  <w15:docId w15:val="{7C54B179-E27D-4BB6-AC9E-777AFAFB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AE"/>
  </w:style>
  <w:style w:type="paragraph" w:styleId="Heading1">
    <w:name w:val="heading 1"/>
    <w:next w:val="Normal"/>
    <w:link w:val="Heading1Char"/>
    <w:uiPriority w:val="9"/>
    <w:qFormat/>
    <w:rsid w:val="004E37AE"/>
    <w:pPr>
      <w:keepNext/>
      <w:spacing w:before="120" w:after="60" w:line="240" w:lineRule="auto"/>
      <w:outlineLvl w:val="0"/>
    </w:pPr>
    <w:rPr>
      <w:rFonts w:asciiTheme="minorHAnsi" w:eastAsia="Times New Roman" w:hAnsiTheme="minorHAnsi" w:cs="Arial"/>
      <w:b/>
      <w:bCs/>
      <w:kern w:val="28"/>
      <w:sz w:val="28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7AE"/>
    <w:rPr>
      <w:rFonts w:asciiTheme="minorHAnsi" w:eastAsia="Times New Roman" w:hAnsiTheme="minorHAnsi" w:cs="Arial"/>
      <w:b/>
      <w:bCs/>
      <w:kern w:val="28"/>
      <w:sz w:val="28"/>
      <w:szCs w:val="32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4E37AE"/>
    <w:pPr>
      <w:pBdr>
        <w:bottom w:val="single" w:sz="8" w:space="4" w:color="4F81BD" w:themeColor="accent1"/>
      </w:pBdr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37AE"/>
    <w:rPr>
      <w:rFonts w:eastAsiaTheme="majorEastAsia" w:cstheme="majorBidi"/>
      <w:b/>
      <w:kern w:val="28"/>
      <w:sz w:val="32"/>
      <w:szCs w:val="52"/>
    </w:rPr>
  </w:style>
  <w:style w:type="paragraph" w:styleId="Caption">
    <w:name w:val="caption"/>
    <w:basedOn w:val="Normal"/>
    <w:next w:val="Normal"/>
    <w:unhideWhenUsed/>
    <w:qFormat/>
    <w:rsid w:val="004E37AE"/>
    <w:pPr>
      <w:keepNext/>
      <w:spacing w:after="60"/>
    </w:pPr>
    <w:rPr>
      <w:b/>
      <w:bCs/>
      <w:sz w:val="20"/>
      <w:szCs w:val="18"/>
    </w:rPr>
  </w:style>
  <w:style w:type="table" w:customStyle="1" w:styleId="GridTable4-Accent51">
    <w:name w:val="Grid Table 4 - Accent 51"/>
    <w:basedOn w:val="TableNormal"/>
    <w:uiPriority w:val="49"/>
    <w:rsid w:val="004E37A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39"/>
    <w:rsid w:val="004E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277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42770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55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4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A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Dose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12-13</c:v>
                </c:pt>
                <c:pt idx="1">
                  <c:v>14-15</c:v>
                </c:pt>
                <c:pt idx="2">
                  <c:v>16-17</c:v>
                </c:pt>
                <c:pt idx="3">
                  <c:v>18-19</c:v>
                </c:pt>
                <c:pt idx="4">
                  <c:v>20-26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0.88</c:v>
                </c:pt>
                <c:pt idx="1">
                  <c:v>0.84</c:v>
                </c:pt>
                <c:pt idx="2">
                  <c:v>0.83</c:v>
                </c:pt>
                <c:pt idx="3">
                  <c:v>0.81</c:v>
                </c:pt>
                <c:pt idx="4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19-442D-90EF-22098709A4E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Dose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12-13</c:v>
                </c:pt>
                <c:pt idx="1">
                  <c:v>14-15</c:v>
                </c:pt>
                <c:pt idx="2">
                  <c:v>16-17</c:v>
                </c:pt>
                <c:pt idx="3">
                  <c:v>18-19</c:v>
                </c:pt>
                <c:pt idx="4">
                  <c:v>20-26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0.84</c:v>
                </c:pt>
                <c:pt idx="1">
                  <c:v>0.8</c:v>
                </c:pt>
                <c:pt idx="2">
                  <c:v>0.79</c:v>
                </c:pt>
                <c:pt idx="3">
                  <c:v>0.77</c:v>
                </c:pt>
                <c:pt idx="4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19-442D-90EF-22098709A4E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Dose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12-13</c:v>
                </c:pt>
                <c:pt idx="1">
                  <c:v>14-15</c:v>
                </c:pt>
                <c:pt idx="2">
                  <c:v>16-17</c:v>
                </c:pt>
                <c:pt idx="3">
                  <c:v>18-19</c:v>
                </c:pt>
                <c:pt idx="4">
                  <c:v>20-26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0.78</c:v>
                </c:pt>
                <c:pt idx="1">
                  <c:v>0.72</c:v>
                </c:pt>
                <c:pt idx="2">
                  <c:v>0.72</c:v>
                </c:pt>
                <c:pt idx="3">
                  <c:v>0.69</c:v>
                </c:pt>
                <c:pt idx="4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19-442D-90EF-22098709A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281672"/>
        <c:axId val="145279376"/>
      </c:barChart>
      <c:catAx>
        <c:axId val="1452816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Age</a:t>
                </a:r>
                <a:r>
                  <a:rPr lang="en-AU" baseline="0"/>
                  <a:t> (in years at mid 2011)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279376"/>
        <c:crosses val="autoZero"/>
        <c:auto val="1"/>
        <c:lblAlgn val="ctr"/>
        <c:lblOffset val="100"/>
        <c:noMultiLvlLbl val="0"/>
      </c:catAx>
      <c:valAx>
        <c:axId val="14527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Per cent immunised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281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Ancel</dc:creator>
  <cp:keywords/>
  <dc:description/>
  <cp:lastModifiedBy>McCay, Meryl</cp:lastModifiedBy>
  <cp:revision>17</cp:revision>
  <dcterms:created xsi:type="dcterms:W3CDTF">2019-06-20T00:22:00Z</dcterms:created>
  <dcterms:modified xsi:type="dcterms:W3CDTF">2020-07-08T08:02:00Z</dcterms:modified>
</cp:coreProperties>
</file>