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BB41" w14:textId="77777777" w:rsidR="005B422E" w:rsidRPr="00D24484" w:rsidRDefault="00B60BAD" w:rsidP="00575A2E">
      <w:pPr>
        <w:pStyle w:val="Heading1"/>
        <w:spacing w:after="120"/>
        <w:rPr>
          <w:sz w:val="40"/>
        </w:rPr>
      </w:pPr>
      <w:r w:rsidRPr="00D24484">
        <w:rPr>
          <w:sz w:val="40"/>
        </w:rPr>
        <w:t>STATUS OF PRECEDENT CONDITIONS</w:t>
      </w:r>
    </w:p>
    <w:tbl>
      <w:tblPr>
        <w:tblW w:w="217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3652"/>
        <w:gridCol w:w="6095"/>
        <w:gridCol w:w="5387"/>
        <w:gridCol w:w="6662"/>
      </w:tblGrid>
      <w:tr w:rsidR="00865FE6" w:rsidRPr="00BB4AEB" w14:paraId="34FFBB45" w14:textId="09F7CF86" w:rsidTr="00277A6E">
        <w:trPr>
          <w:trHeight w:val="600"/>
          <w:tblHeader/>
        </w:trPr>
        <w:tc>
          <w:tcPr>
            <w:tcW w:w="3652" w:type="dxa"/>
            <w:shd w:val="clear" w:color="auto" w:fill="008A23"/>
            <w:hideMark/>
          </w:tcPr>
          <w:p w14:paraId="34FFBB42" w14:textId="77777777" w:rsidR="00865FE6" w:rsidRPr="00E5157A" w:rsidRDefault="00865FE6" w:rsidP="00865FE6">
            <w:pPr>
              <w:pStyle w:val="Heading3"/>
              <w:rPr>
                <w:sz w:val="27"/>
                <w:szCs w:val="27"/>
              </w:rPr>
            </w:pPr>
            <w:r w:rsidRPr="00E5157A">
              <w:rPr>
                <w:sz w:val="27"/>
                <w:szCs w:val="27"/>
              </w:rPr>
              <w:t>Precedent Conditions</w:t>
            </w:r>
          </w:p>
        </w:tc>
        <w:tc>
          <w:tcPr>
            <w:tcW w:w="6095" w:type="dxa"/>
            <w:shd w:val="clear" w:color="auto" w:fill="008A23"/>
            <w:hideMark/>
          </w:tcPr>
          <w:p w14:paraId="34FFBB43" w14:textId="3F4809F6" w:rsidR="00865FE6" w:rsidRPr="00E5157A" w:rsidRDefault="00815E69" w:rsidP="00865FE6">
            <w:pPr>
              <w:pStyle w:val="Heading3"/>
              <w:rPr>
                <w:sz w:val="27"/>
                <w:szCs w:val="27"/>
              </w:rPr>
            </w:pPr>
            <w:r w:rsidRPr="00E5157A">
              <w:rPr>
                <w:sz w:val="27"/>
                <w:szCs w:val="27"/>
              </w:rPr>
              <w:t xml:space="preserve">Status – </w:t>
            </w:r>
            <w:r w:rsidR="006C13A4" w:rsidRPr="00E5157A">
              <w:rPr>
                <w:sz w:val="27"/>
                <w:szCs w:val="27"/>
              </w:rPr>
              <w:t>24 June 2020</w:t>
            </w:r>
          </w:p>
        </w:tc>
        <w:tc>
          <w:tcPr>
            <w:tcW w:w="5387" w:type="dxa"/>
            <w:shd w:val="clear" w:color="auto" w:fill="008A23"/>
            <w:hideMark/>
          </w:tcPr>
          <w:p w14:paraId="34FFBB44" w14:textId="0D156C8C" w:rsidR="00865FE6" w:rsidRPr="00E5157A" w:rsidRDefault="00815E69" w:rsidP="00865FE6">
            <w:pPr>
              <w:pStyle w:val="Heading3"/>
              <w:rPr>
                <w:sz w:val="27"/>
                <w:szCs w:val="27"/>
              </w:rPr>
            </w:pPr>
            <w:r w:rsidRPr="00E5157A">
              <w:rPr>
                <w:sz w:val="27"/>
                <w:szCs w:val="27"/>
              </w:rPr>
              <w:t xml:space="preserve">Status – </w:t>
            </w:r>
            <w:r w:rsidR="006C13A4" w:rsidRPr="00E5157A">
              <w:rPr>
                <w:sz w:val="27"/>
                <w:szCs w:val="27"/>
              </w:rPr>
              <w:t>8 JULY 2020</w:t>
            </w:r>
          </w:p>
        </w:tc>
        <w:tc>
          <w:tcPr>
            <w:tcW w:w="6662" w:type="dxa"/>
            <w:shd w:val="clear" w:color="auto" w:fill="008A23"/>
          </w:tcPr>
          <w:p w14:paraId="02E10619" w14:textId="2121D9E7" w:rsidR="00865FE6" w:rsidRPr="00E5157A" w:rsidRDefault="006C13A4" w:rsidP="00865FE6">
            <w:pPr>
              <w:pStyle w:val="Heading3"/>
              <w:rPr>
                <w:sz w:val="27"/>
                <w:szCs w:val="27"/>
              </w:rPr>
            </w:pPr>
            <w:r w:rsidRPr="00E5157A">
              <w:rPr>
                <w:sz w:val="27"/>
                <w:szCs w:val="27"/>
              </w:rPr>
              <w:t>STATUS – 22</w:t>
            </w:r>
            <w:r w:rsidR="00815E69" w:rsidRPr="00E5157A">
              <w:rPr>
                <w:sz w:val="27"/>
                <w:szCs w:val="27"/>
              </w:rPr>
              <w:t xml:space="preserve"> JULY 2020</w:t>
            </w:r>
          </w:p>
        </w:tc>
      </w:tr>
      <w:tr w:rsidR="00865FE6" w:rsidRPr="00BB4AEB" w14:paraId="34FFBB47" w14:textId="6C4737FC" w:rsidTr="00277A6E">
        <w:trPr>
          <w:trHeight w:val="300"/>
        </w:trPr>
        <w:tc>
          <w:tcPr>
            <w:tcW w:w="21796" w:type="dxa"/>
            <w:gridSpan w:val="4"/>
            <w:shd w:val="clear" w:color="auto" w:fill="E7E6E6" w:themeFill="background2"/>
            <w:vAlign w:val="center"/>
            <w:hideMark/>
          </w:tcPr>
          <w:p w14:paraId="033BBE87" w14:textId="606823EB" w:rsidR="00865FE6" w:rsidRPr="00BB4AEB" w:rsidRDefault="00865FE6" w:rsidP="00865FE6">
            <w:pPr>
              <w:pStyle w:val="Heading4"/>
              <w:spacing w:after="0"/>
              <w:rPr>
                <w:highlight w:val="yellow"/>
              </w:rPr>
            </w:pPr>
            <w:r w:rsidRPr="00BB4AEB">
              <w:t>Situational awareness of current measures and their impact</w:t>
            </w:r>
          </w:p>
        </w:tc>
      </w:tr>
      <w:tr w:rsidR="008F5B26" w:rsidRPr="008F5B26" w14:paraId="34FFBB4B" w14:textId="41B91BBF" w:rsidTr="00277A6E">
        <w:trPr>
          <w:trHeight w:val="2640"/>
        </w:trPr>
        <w:tc>
          <w:tcPr>
            <w:tcW w:w="3652" w:type="dxa"/>
            <w:vMerge w:val="restart"/>
            <w:shd w:val="clear" w:color="auto" w:fill="auto"/>
            <w:hideMark/>
          </w:tcPr>
          <w:p w14:paraId="34FFBB48" w14:textId="77777777" w:rsidR="008F5B26" w:rsidRPr="00E5157A" w:rsidRDefault="008F5B26" w:rsidP="00865FE6">
            <w:pPr>
              <w:rPr>
                <w:sz w:val="24"/>
                <w:szCs w:val="24"/>
                <w:lang w:eastAsia="en-AU"/>
              </w:rPr>
            </w:pPr>
            <w:r w:rsidRPr="00E5157A">
              <w:rPr>
                <w:sz w:val="24"/>
                <w:szCs w:val="24"/>
                <w:lang w:eastAsia="en-AU"/>
              </w:rPr>
              <w:t>Sophisticated surveillance of disease incidence and spread</w:t>
            </w:r>
          </w:p>
        </w:tc>
        <w:tc>
          <w:tcPr>
            <w:tcW w:w="6095" w:type="dxa"/>
            <w:shd w:val="clear" w:color="auto" w:fill="E2EFD9" w:themeFill="accent6" w:themeFillTint="33"/>
          </w:tcPr>
          <w:p w14:paraId="1E281BD0" w14:textId="77777777" w:rsidR="00865FE6" w:rsidRPr="00E5157A" w:rsidRDefault="00865FE6" w:rsidP="00865FE6">
            <w:pPr>
              <w:rPr>
                <w:sz w:val="24"/>
                <w:szCs w:val="24"/>
                <w:lang w:eastAsia="en-AU"/>
              </w:rPr>
            </w:pPr>
            <w:r w:rsidRPr="00E5157A">
              <w:rPr>
                <w:sz w:val="24"/>
                <w:szCs w:val="24"/>
                <w:lang w:eastAsia="en-AU"/>
              </w:rPr>
              <w:t>Expansion of disease surveillance mechanisms nationally is occurring in-line with the Australian National Disease Surveillance Plan for COVID-19. Indicators identified in the surveillance plan that support evaluation of disease incidence and spread are currently considered to be fully implemented for the most part within jurisdictions, with accurate capture at the national level in the process of being finalised.</w:t>
            </w:r>
          </w:p>
          <w:p w14:paraId="34FFBB49" w14:textId="2021805D" w:rsidR="008F5B26" w:rsidRPr="00E5157A" w:rsidRDefault="00865FE6" w:rsidP="00865FE6">
            <w:pPr>
              <w:rPr>
                <w:sz w:val="24"/>
                <w:szCs w:val="24"/>
                <w:lang w:eastAsia="en-AU"/>
              </w:rPr>
            </w:pPr>
            <w:r w:rsidRPr="00E5157A">
              <w:rPr>
                <w:sz w:val="24"/>
                <w:szCs w:val="24"/>
                <w:lang w:eastAsia="en-AU"/>
              </w:rPr>
              <w:t xml:space="preserve">Testing recommendations are being implemented by jurisdictions in accordance with the Communicable Diseases Network Australia (CDNA) national COVID-19 guidelines for public health units and </w:t>
            </w:r>
            <w:r w:rsidR="00E5157A">
              <w:rPr>
                <w:sz w:val="24"/>
                <w:szCs w:val="24"/>
                <w:lang w:eastAsia="en-AU"/>
              </w:rPr>
              <w:br/>
            </w:r>
            <w:r w:rsidRPr="00E5157A">
              <w:rPr>
                <w:sz w:val="24"/>
                <w:szCs w:val="24"/>
                <w:lang w:eastAsia="en-AU"/>
              </w:rPr>
              <w:t>AHPPC recommendations.</w:t>
            </w:r>
          </w:p>
        </w:tc>
        <w:tc>
          <w:tcPr>
            <w:tcW w:w="5387" w:type="dxa"/>
            <w:shd w:val="clear" w:color="auto" w:fill="E2EFD9" w:themeFill="accent6" w:themeFillTint="33"/>
          </w:tcPr>
          <w:p w14:paraId="34FFBB4A" w14:textId="7E78D4B5" w:rsidR="008F5B26" w:rsidRPr="00E5157A" w:rsidRDefault="00865FE6" w:rsidP="00865FE6">
            <w:pPr>
              <w:rPr>
                <w:sz w:val="24"/>
                <w:szCs w:val="24"/>
                <w:lang w:eastAsia="en-AU"/>
              </w:rPr>
            </w:pPr>
            <w:r w:rsidRPr="00E5157A">
              <w:rPr>
                <w:sz w:val="24"/>
                <w:szCs w:val="24"/>
                <w:lang w:eastAsia="en-AU"/>
              </w:rPr>
              <w:t>No Change</w:t>
            </w:r>
          </w:p>
        </w:tc>
        <w:tc>
          <w:tcPr>
            <w:tcW w:w="6662" w:type="dxa"/>
            <w:shd w:val="clear" w:color="auto" w:fill="E2EFD9" w:themeFill="accent6" w:themeFillTint="33"/>
          </w:tcPr>
          <w:p w14:paraId="16E69D62" w14:textId="77777777" w:rsidR="008F5B26" w:rsidRPr="00E5157A" w:rsidRDefault="00EF5C8E" w:rsidP="00865FE6">
            <w:pPr>
              <w:rPr>
                <w:sz w:val="24"/>
                <w:szCs w:val="24"/>
                <w:lang w:eastAsia="en-AU"/>
              </w:rPr>
            </w:pPr>
            <w:r w:rsidRPr="00E5157A">
              <w:rPr>
                <w:sz w:val="24"/>
                <w:szCs w:val="24"/>
                <w:lang w:eastAsia="en-AU"/>
              </w:rPr>
              <w:t>No Change</w:t>
            </w:r>
          </w:p>
          <w:p w14:paraId="756A3BA3" w14:textId="671402A0" w:rsidR="003A0AFC" w:rsidRPr="00E5157A" w:rsidRDefault="003A0AFC" w:rsidP="006C13A4">
            <w:pPr>
              <w:rPr>
                <w:color w:val="FF0000"/>
                <w:sz w:val="24"/>
                <w:szCs w:val="24"/>
                <w:lang w:eastAsia="en-AU"/>
              </w:rPr>
            </w:pPr>
          </w:p>
        </w:tc>
      </w:tr>
      <w:tr w:rsidR="00865FE6" w:rsidRPr="008F5B26" w14:paraId="34FFBB4F" w14:textId="3F6D1269" w:rsidTr="00277A6E">
        <w:trPr>
          <w:trHeight w:val="1605"/>
        </w:trPr>
        <w:tc>
          <w:tcPr>
            <w:tcW w:w="3652" w:type="dxa"/>
            <w:vMerge/>
            <w:vAlign w:val="center"/>
            <w:hideMark/>
          </w:tcPr>
          <w:p w14:paraId="34FFBB4C" w14:textId="77777777" w:rsidR="00865FE6" w:rsidRPr="00E5157A" w:rsidRDefault="00865FE6" w:rsidP="00865FE6">
            <w:pPr>
              <w:rPr>
                <w:sz w:val="24"/>
                <w:szCs w:val="24"/>
                <w:lang w:eastAsia="en-AU"/>
              </w:rPr>
            </w:pPr>
          </w:p>
        </w:tc>
        <w:tc>
          <w:tcPr>
            <w:tcW w:w="6095" w:type="dxa"/>
            <w:shd w:val="clear" w:color="000000" w:fill="E0E0E0"/>
          </w:tcPr>
          <w:p w14:paraId="6BF39CC9" w14:textId="179A93B7" w:rsidR="00865FE6" w:rsidRPr="00E5157A" w:rsidRDefault="00865FE6" w:rsidP="00865FE6">
            <w:pPr>
              <w:rPr>
                <w:sz w:val="24"/>
                <w:szCs w:val="24"/>
                <w:lang w:eastAsia="en-AU"/>
              </w:rPr>
            </w:pPr>
            <w:r w:rsidRPr="00E5157A">
              <w:rPr>
                <w:sz w:val="24"/>
                <w:szCs w:val="24"/>
                <w:lang w:eastAsia="en-AU"/>
              </w:rPr>
              <w:t xml:space="preserve">At the national level, </w:t>
            </w:r>
            <w:proofErr w:type="spellStart"/>
            <w:r w:rsidRPr="00E5157A">
              <w:rPr>
                <w:sz w:val="24"/>
                <w:szCs w:val="24"/>
                <w:lang w:eastAsia="en-AU"/>
              </w:rPr>
              <w:t>serosurveillance</w:t>
            </w:r>
            <w:proofErr w:type="spellEnd"/>
            <w:r w:rsidRPr="00E5157A">
              <w:rPr>
                <w:sz w:val="24"/>
                <w:szCs w:val="24"/>
                <w:lang w:eastAsia="en-AU"/>
              </w:rPr>
              <w:t xml:space="preserve"> is a longer term goal that will be guided by the Australian National Disease Surveillance Plan for COVID-19.  Jurisdictions are involved in the advanced planning stage for the first national </w:t>
            </w:r>
            <w:proofErr w:type="spellStart"/>
            <w:r w:rsidRPr="00E5157A">
              <w:rPr>
                <w:sz w:val="24"/>
                <w:szCs w:val="24"/>
                <w:lang w:eastAsia="en-AU"/>
              </w:rPr>
              <w:t>serosurveillance</w:t>
            </w:r>
            <w:proofErr w:type="spellEnd"/>
            <w:r w:rsidRPr="00E5157A">
              <w:rPr>
                <w:sz w:val="24"/>
                <w:szCs w:val="24"/>
                <w:lang w:eastAsia="en-AU"/>
              </w:rPr>
              <w:t xml:space="preserve"> study, coordinated by National Centre for Immunisation Research and Surveillance and the Kirby Institute (funded by </w:t>
            </w:r>
            <w:r w:rsidR="00E5157A">
              <w:rPr>
                <w:sz w:val="24"/>
                <w:szCs w:val="24"/>
                <w:lang w:eastAsia="en-AU"/>
              </w:rPr>
              <w:br/>
            </w:r>
            <w:r w:rsidRPr="00E5157A">
              <w:rPr>
                <w:sz w:val="24"/>
                <w:szCs w:val="24"/>
                <w:lang w:eastAsia="en-AU"/>
              </w:rPr>
              <w:t>the NHMRC).</w:t>
            </w:r>
          </w:p>
          <w:p w14:paraId="34FFBB4D" w14:textId="765E3816" w:rsidR="00865FE6" w:rsidRPr="00E5157A" w:rsidRDefault="00865FE6" w:rsidP="00865FE6">
            <w:pPr>
              <w:rPr>
                <w:sz w:val="24"/>
                <w:szCs w:val="24"/>
                <w:lang w:eastAsia="en-AU"/>
              </w:rPr>
            </w:pPr>
            <w:r w:rsidRPr="00E5157A">
              <w:rPr>
                <w:sz w:val="24"/>
                <w:szCs w:val="24"/>
                <w:lang w:eastAsia="en-AU"/>
              </w:rPr>
              <w:t xml:space="preserve">A NSW-based </w:t>
            </w:r>
            <w:proofErr w:type="spellStart"/>
            <w:r w:rsidRPr="00E5157A">
              <w:rPr>
                <w:sz w:val="24"/>
                <w:szCs w:val="24"/>
                <w:lang w:eastAsia="en-AU"/>
              </w:rPr>
              <w:t>seroprevalence</w:t>
            </w:r>
            <w:proofErr w:type="spellEnd"/>
            <w:r w:rsidRPr="00E5157A">
              <w:rPr>
                <w:sz w:val="24"/>
                <w:szCs w:val="24"/>
                <w:lang w:eastAsia="en-AU"/>
              </w:rPr>
              <w:t xml:space="preserve"> survey is </w:t>
            </w:r>
            <w:r w:rsidR="00E5157A">
              <w:rPr>
                <w:sz w:val="24"/>
                <w:szCs w:val="24"/>
                <w:lang w:eastAsia="en-AU"/>
              </w:rPr>
              <w:br/>
            </w:r>
            <w:r w:rsidRPr="00E5157A">
              <w:rPr>
                <w:sz w:val="24"/>
                <w:szCs w:val="24"/>
                <w:lang w:eastAsia="en-AU"/>
              </w:rPr>
              <w:t>currently underway.</w:t>
            </w:r>
          </w:p>
        </w:tc>
        <w:tc>
          <w:tcPr>
            <w:tcW w:w="5387" w:type="dxa"/>
            <w:shd w:val="clear" w:color="auto" w:fill="E0E0E0"/>
          </w:tcPr>
          <w:p w14:paraId="34FFBB4E" w14:textId="4E78DC25" w:rsidR="00865FE6" w:rsidRPr="00E5157A" w:rsidRDefault="00865FE6" w:rsidP="00865FE6">
            <w:pPr>
              <w:rPr>
                <w:sz w:val="24"/>
                <w:szCs w:val="24"/>
                <w:lang w:eastAsia="en-AU"/>
              </w:rPr>
            </w:pPr>
            <w:r w:rsidRPr="00E5157A">
              <w:rPr>
                <w:sz w:val="24"/>
                <w:szCs w:val="24"/>
                <w:lang w:eastAsia="en-AU"/>
              </w:rPr>
              <w:t>No Change</w:t>
            </w:r>
          </w:p>
        </w:tc>
        <w:tc>
          <w:tcPr>
            <w:tcW w:w="6662" w:type="dxa"/>
            <w:shd w:val="clear" w:color="auto" w:fill="E0E0E0"/>
          </w:tcPr>
          <w:p w14:paraId="566819D7" w14:textId="6314E1D3" w:rsidR="00865FE6" w:rsidRPr="00E5157A" w:rsidRDefault="00471F1A" w:rsidP="00865FE6">
            <w:pPr>
              <w:rPr>
                <w:sz w:val="24"/>
                <w:szCs w:val="24"/>
                <w:lang w:eastAsia="en-AU"/>
              </w:rPr>
            </w:pPr>
            <w:r w:rsidRPr="00E5157A">
              <w:rPr>
                <w:sz w:val="24"/>
                <w:szCs w:val="24"/>
                <w:lang w:eastAsia="en-AU"/>
              </w:rPr>
              <w:t>No Change</w:t>
            </w:r>
          </w:p>
        </w:tc>
      </w:tr>
      <w:tr w:rsidR="006C13A4" w:rsidRPr="008F5B26" w14:paraId="34FFBB53" w14:textId="7D750AF7" w:rsidTr="00277A6E">
        <w:trPr>
          <w:trHeight w:val="1511"/>
        </w:trPr>
        <w:tc>
          <w:tcPr>
            <w:tcW w:w="3652" w:type="dxa"/>
            <w:shd w:val="clear" w:color="auto" w:fill="auto"/>
            <w:hideMark/>
          </w:tcPr>
          <w:p w14:paraId="34FFBB50" w14:textId="7A4CFBA1" w:rsidR="006C13A4" w:rsidRPr="00E5157A" w:rsidRDefault="006C13A4" w:rsidP="006C13A4">
            <w:pPr>
              <w:rPr>
                <w:sz w:val="24"/>
                <w:szCs w:val="24"/>
                <w:lang w:eastAsia="en-AU"/>
              </w:rPr>
            </w:pPr>
            <w:r w:rsidRPr="00E5157A">
              <w:rPr>
                <w:sz w:val="24"/>
                <w:szCs w:val="24"/>
                <w:lang w:eastAsia="en-AU"/>
              </w:rPr>
              <w:t xml:space="preserve">Community adherence and acceptance to public </w:t>
            </w:r>
            <w:r w:rsidR="00E5157A">
              <w:rPr>
                <w:sz w:val="24"/>
                <w:szCs w:val="24"/>
                <w:lang w:eastAsia="en-AU"/>
              </w:rPr>
              <w:br/>
            </w:r>
            <w:r w:rsidRPr="00E5157A">
              <w:rPr>
                <w:sz w:val="24"/>
                <w:szCs w:val="24"/>
                <w:lang w:eastAsia="en-AU"/>
              </w:rPr>
              <w:t>health measures</w:t>
            </w:r>
          </w:p>
        </w:tc>
        <w:tc>
          <w:tcPr>
            <w:tcW w:w="6095" w:type="dxa"/>
            <w:shd w:val="clear" w:color="auto" w:fill="E2EFD9" w:themeFill="accent6" w:themeFillTint="33"/>
          </w:tcPr>
          <w:p w14:paraId="474E14CF" w14:textId="77777777" w:rsidR="006C13A4" w:rsidRPr="00E5157A" w:rsidRDefault="006C13A4" w:rsidP="006C13A4">
            <w:pPr>
              <w:rPr>
                <w:sz w:val="24"/>
                <w:szCs w:val="24"/>
                <w:lang w:eastAsia="en-AU"/>
              </w:rPr>
            </w:pPr>
            <w:r w:rsidRPr="00E5157A">
              <w:rPr>
                <w:sz w:val="24"/>
                <w:szCs w:val="24"/>
                <w:lang w:eastAsia="en-AU"/>
              </w:rPr>
              <w:t xml:space="preserve">Acceptance - community acceptance of public health measures has remained stable. </w:t>
            </w:r>
          </w:p>
          <w:p w14:paraId="34FFBB51" w14:textId="3E37B5FA" w:rsidR="006C13A4" w:rsidRPr="00E5157A" w:rsidRDefault="006C13A4" w:rsidP="006C13A4">
            <w:pPr>
              <w:rPr>
                <w:sz w:val="24"/>
                <w:szCs w:val="24"/>
                <w:lang w:eastAsia="en-AU"/>
              </w:rPr>
            </w:pPr>
            <w:r w:rsidRPr="00E5157A">
              <w:rPr>
                <w:sz w:val="24"/>
                <w:szCs w:val="24"/>
                <w:lang w:eastAsia="en-AU"/>
              </w:rPr>
              <w:t xml:space="preserve">Adherence - modelling suggests that levels of both macro-distancing and micro-distancing behaviour have waned since both peak adherence in early April and the last PHIP reporting period. There has been a decrease in good hygiene, physical distancing </w:t>
            </w:r>
            <w:r w:rsidR="00E5157A">
              <w:rPr>
                <w:sz w:val="24"/>
                <w:szCs w:val="24"/>
                <w:lang w:eastAsia="en-AU"/>
              </w:rPr>
              <w:br/>
            </w:r>
            <w:r w:rsidRPr="00E5157A">
              <w:rPr>
                <w:sz w:val="24"/>
                <w:szCs w:val="24"/>
                <w:lang w:eastAsia="en-AU"/>
              </w:rPr>
              <w:t>and self-isolation.</w:t>
            </w:r>
          </w:p>
        </w:tc>
        <w:tc>
          <w:tcPr>
            <w:tcW w:w="5387" w:type="dxa"/>
            <w:shd w:val="clear" w:color="auto" w:fill="E7E6E6" w:themeFill="background2"/>
          </w:tcPr>
          <w:p w14:paraId="34FFBB52" w14:textId="4081FB03" w:rsidR="006C13A4" w:rsidRPr="00E5157A" w:rsidRDefault="006C13A4" w:rsidP="006C13A4">
            <w:pPr>
              <w:rPr>
                <w:sz w:val="24"/>
                <w:szCs w:val="24"/>
                <w:lang w:eastAsia="en-AU"/>
              </w:rPr>
            </w:pPr>
            <w:r w:rsidRPr="00E5157A">
              <w:rPr>
                <w:sz w:val="24"/>
                <w:szCs w:val="24"/>
                <w:lang w:eastAsia="en-AU"/>
              </w:rPr>
              <w:t>No Change</w:t>
            </w:r>
          </w:p>
        </w:tc>
        <w:tc>
          <w:tcPr>
            <w:tcW w:w="6662" w:type="dxa"/>
            <w:shd w:val="clear" w:color="auto" w:fill="E7E6E6" w:themeFill="background2"/>
          </w:tcPr>
          <w:p w14:paraId="4C2D1622" w14:textId="4C558B26" w:rsidR="006C13A4" w:rsidRPr="00E5157A" w:rsidRDefault="006C13A4" w:rsidP="006C13A4">
            <w:pPr>
              <w:tabs>
                <w:tab w:val="left" w:pos="1183"/>
              </w:tabs>
              <w:rPr>
                <w:sz w:val="24"/>
                <w:szCs w:val="24"/>
                <w:lang w:eastAsia="en-AU"/>
              </w:rPr>
            </w:pPr>
            <w:r w:rsidRPr="00E5157A">
              <w:rPr>
                <w:sz w:val="24"/>
                <w:szCs w:val="24"/>
                <w:lang w:eastAsia="en-AU"/>
              </w:rPr>
              <w:t xml:space="preserve">Acceptance - Community acceptance of public health </w:t>
            </w:r>
            <w:r w:rsidR="00850DE5" w:rsidRPr="00E5157A">
              <w:rPr>
                <w:sz w:val="24"/>
                <w:szCs w:val="24"/>
                <w:lang w:eastAsia="en-AU"/>
              </w:rPr>
              <w:t>measures has remained</w:t>
            </w:r>
            <w:r w:rsidRPr="00E5157A">
              <w:rPr>
                <w:sz w:val="24"/>
                <w:szCs w:val="24"/>
                <w:lang w:eastAsia="en-AU"/>
              </w:rPr>
              <w:t xml:space="preserve"> stable during the reporting period.</w:t>
            </w:r>
          </w:p>
          <w:p w14:paraId="07D14FFC" w14:textId="464FC9C2" w:rsidR="006C13A4" w:rsidRPr="00E5157A" w:rsidRDefault="006C13A4" w:rsidP="00C86BF6">
            <w:pPr>
              <w:tabs>
                <w:tab w:val="left" w:pos="1183"/>
              </w:tabs>
              <w:rPr>
                <w:sz w:val="24"/>
                <w:szCs w:val="24"/>
                <w:highlight w:val="yellow"/>
                <w:lang w:eastAsia="en-AU"/>
              </w:rPr>
            </w:pPr>
            <w:r w:rsidRPr="00E5157A">
              <w:rPr>
                <w:sz w:val="24"/>
                <w:szCs w:val="24"/>
                <w:lang w:eastAsia="en-AU"/>
              </w:rPr>
              <w:t xml:space="preserve">Adherence - modelling suggests that levels of both </w:t>
            </w:r>
            <w:r w:rsidR="00E5157A">
              <w:rPr>
                <w:sz w:val="24"/>
                <w:szCs w:val="24"/>
                <w:lang w:eastAsia="en-AU"/>
              </w:rPr>
              <w:br/>
            </w:r>
            <w:r w:rsidRPr="00E5157A">
              <w:rPr>
                <w:sz w:val="24"/>
                <w:szCs w:val="24"/>
                <w:lang w:eastAsia="en-AU"/>
              </w:rPr>
              <w:t>macro-distancing and micro-distancing behaviour have waned since both peak adherence in early April and the last PHIP reporting period in all states/territories except Victoria. In Victoria, there is evidence of increased adherence to the 1.5m rule and decreased population mobility.</w:t>
            </w:r>
          </w:p>
        </w:tc>
      </w:tr>
      <w:tr w:rsidR="001C4AB9" w:rsidRPr="008F5B26" w14:paraId="638D0EF8" w14:textId="77777777" w:rsidTr="00277A6E">
        <w:trPr>
          <w:trHeight w:val="25"/>
        </w:trPr>
        <w:tc>
          <w:tcPr>
            <w:tcW w:w="21796" w:type="dxa"/>
            <w:gridSpan w:val="4"/>
            <w:shd w:val="clear" w:color="auto" w:fill="E7E6E6" w:themeFill="background2"/>
          </w:tcPr>
          <w:p w14:paraId="4973338A" w14:textId="791D4B16" w:rsidR="001C4AB9" w:rsidRPr="001C4AB9" w:rsidRDefault="001C4AB9" w:rsidP="001C4AB9">
            <w:pPr>
              <w:pStyle w:val="NoSpacing"/>
              <w:rPr>
                <w:b/>
                <w:lang w:eastAsia="en-AU"/>
              </w:rPr>
            </w:pPr>
            <w:r w:rsidRPr="00E5157A">
              <w:rPr>
                <w:b/>
                <w:sz w:val="24"/>
                <w:lang w:eastAsia="en-AU"/>
              </w:rPr>
              <w:lastRenderedPageBreak/>
              <w:t>FINALISED SURVEILLANCE PLAN</w:t>
            </w:r>
          </w:p>
        </w:tc>
      </w:tr>
      <w:tr w:rsidR="001C4AB9" w:rsidRPr="008F5B26" w14:paraId="30F3DC5E" w14:textId="77777777" w:rsidTr="00277A6E">
        <w:trPr>
          <w:trHeight w:val="1040"/>
        </w:trPr>
        <w:tc>
          <w:tcPr>
            <w:tcW w:w="3652" w:type="dxa"/>
            <w:shd w:val="clear" w:color="auto" w:fill="auto"/>
          </w:tcPr>
          <w:p w14:paraId="22D69FDA" w14:textId="1600741D" w:rsidR="001C4AB9" w:rsidRPr="00E5157A" w:rsidRDefault="001C4AB9" w:rsidP="001C4AB9">
            <w:pPr>
              <w:rPr>
                <w:sz w:val="24"/>
                <w:lang w:eastAsia="en-AU"/>
              </w:rPr>
            </w:pPr>
            <w:r w:rsidRPr="00E5157A">
              <w:rPr>
                <w:sz w:val="24"/>
                <w:lang w:eastAsia="en-AU"/>
              </w:rPr>
              <w:t>Must be wholly enabled with adequate resources</w:t>
            </w:r>
          </w:p>
        </w:tc>
        <w:tc>
          <w:tcPr>
            <w:tcW w:w="6095" w:type="dxa"/>
            <w:shd w:val="clear" w:color="auto" w:fill="E2EFD9" w:themeFill="accent6" w:themeFillTint="33"/>
          </w:tcPr>
          <w:p w14:paraId="1EBF4258" w14:textId="7774A89D" w:rsidR="001C4AB9" w:rsidRPr="00E5157A" w:rsidRDefault="001C4AB9" w:rsidP="001C4AB9">
            <w:pPr>
              <w:rPr>
                <w:sz w:val="24"/>
                <w:lang w:eastAsia="en-AU"/>
              </w:rPr>
            </w:pPr>
            <w:r w:rsidRPr="00E5157A">
              <w:rPr>
                <w:sz w:val="24"/>
                <w:lang w:eastAsia="en-AU"/>
              </w:rPr>
              <w:t xml:space="preserve">The Australian National Disease Surveillance Plan for COVID-19 has been finalised. </w:t>
            </w:r>
            <w:r w:rsidR="00E5157A">
              <w:rPr>
                <w:sz w:val="24"/>
                <w:lang w:eastAsia="en-AU"/>
              </w:rPr>
              <w:br/>
            </w:r>
            <w:r w:rsidRPr="00E5157A">
              <w:rPr>
                <w:sz w:val="24"/>
                <w:lang w:eastAsia="en-AU"/>
              </w:rPr>
              <w:t>Implementation continues.</w:t>
            </w:r>
          </w:p>
        </w:tc>
        <w:tc>
          <w:tcPr>
            <w:tcW w:w="5387" w:type="dxa"/>
            <w:shd w:val="clear" w:color="auto" w:fill="E2EFD9" w:themeFill="accent6" w:themeFillTint="33"/>
          </w:tcPr>
          <w:p w14:paraId="2A60DCC6" w14:textId="536BA310" w:rsidR="001C4AB9" w:rsidRPr="00E5157A" w:rsidRDefault="001C4AB9" w:rsidP="001C4AB9">
            <w:pPr>
              <w:rPr>
                <w:sz w:val="24"/>
                <w:lang w:eastAsia="en-AU"/>
              </w:rPr>
            </w:pPr>
            <w:r w:rsidRPr="00E5157A">
              <w:rPr>
                <w:sz w:val="24"/>
                <w:lang w:eastAsia="en-AU"/>
              </w:rPr>
              <w:t>No change</w:t>
            </w:r>
          </w:p>
        </w:tc>
        <w:tc>
          <w:tcPr>
            <w:tcW w:w="6662" w:type="dxa"/>
            <w:shd w:val="clear" w:color="auto" w:fill="E2EFD9" w:themeFill="accent6" w:themeFillTint="33"/>
          </w:tcPr>
          <w:p w14:paraId="61025140" w14:textId="434053D1" w:rsidR="001C4AB9" w:rsidRPr="00E5157A" w:rsidRDefault="008A6A9A" w:rsidP="001C4AB9">
            <w:pPr>
              <w:rPr>
                <w:sz w:val="24"/>
                <w:lang w:eastAsia="en-AU"/>
              </w:rPr>
            </w:pPr>
            <w:r w:rsidRPr="00E5157A">
              <w:rPr>
                <w:sz w:val="24"/>
                <w:lang w:eastAsia="en-AU"/>
              </w:rPr>
              <w:t>No change</w:t>
            </w:r>
          </w:p>
        </w:tc>
      </w:tr>
      <w:tr w:rsidR="001C4AB9" w:rsidRPr="001C4AB9" w14:paraId="64C960C9" w14:textId="77777777" w:rsidTr="00277A6E">
        <w:trPr>
          <w:trHeight w:val="25"/>
        </w:trPr>
        <w:tc>
          <w:tcPr>
            <w:tcW w:w="21796" w:type="dxa"/>
            <w:gridSpan w:val="4"/>
            <w:shd w:val="clear" w:color="auto" w:fill="E7E6E6" w:themeFill="background2"/>
          </w:tcPr>
          <w:p w14:paraId="4ED1E19F" w14:textId="5D4EF3E7" w:rsidR="001C4AB9" w:rsidRPr="001C4AB9" w:rsidRDefault="001C4AB9" w:rsidP="006171DF">
            <w:pPr>
              <w:pStyle w:val="NoSpacing"/>
              <w:rPr>
                <w:b/>
                <w:lang w:eastAsia="en-AU"/>
              </w:rPr>
            </w:pPr>
            <w:r w:rsidRPr="00E5157A">
              <w:rPr>
                <w:b/>
                <w:sz w:val="24"/>
                <w:lang w:eastAsia="en-AU"/>
              </w:rPr>
              <w:t>MODELLING</w:t>
            </w:r>
          </w:p>
        </w:tc>
      </w:tr>
      <w:tr w:rsidR="001C4AB9" w:rsidRPr="008F5B26" w14:paraId="4E1FA1BD" w14:textId="77777777" w:rsidTr="00277A6E">
        <w:trPr>
          <w:trHeight w:val="1511"/>
        </w:trPr>
        <w:tc>
          <w:tcPr>
            <w:tcW w:w="3652" w:type="dxa"/>
            <w:shd w:val="clear" w:color="auto" w:fill="auto"/>
          </w:tcPr>
          <w:p w14:paraId="38177C17" w14:textId="03363624" w:rsidR="001C4AB9" w:rsidRPr="00E5157A" w:rsidRDefault="001C4AB9" w:rsidP="001C4AB9">
            <w:pPr>
              <w:rPr>
                <w:sz w:val="24"/>
                <w:lang w:eastAsia="en-AU"/>
              </w:rPr>
            </w:pPr>
            <w:r w:rsidRPr="00E5157A">
              <w:rPr>
                <w:sz w:val="24"/>
                <w:lang w:eastAsia="en-AU"/>
              </w:rPr>
              <w:t>A better understanding of the implications of the modelling and a better understanding of the characteristics and transmission of the virus.</w:t>
            </w:r>
          </w:p>
        </w:tc>
        <w:tc>
          <w:tcPr>
            <w:tcW w:w="6095" w:type="dxa"/>
            <w:shd w:val="clear" w:color="auto" w:fill="E2EFD9" w:themeFill="accent6" w:themeFillTint="33"/>
          </w:tcPr>
          <w:p w14:paraId="78005724" w14:textId="2ECCCD15" w:rsidR="001C4AB9" w:rsidRPr="00E5157A" w:rsidRDefault="001C4AB9" w:rsidP="001C4AB9">
            <w:pPr>
              <w:pStyle w:val="NoSpacing"/>
              <w:rPr>
                <w:sz w:val="24"/>
                <w:lang w:eastAsia="en-AU"/>
              </w:rPr>
            </w:pPr>
            <w:r w:rsidRPr="00E5157A">
              <w:rPr>
                <w:sz w:val="24"/>
                <w:lang w:eastAsia="en-AU"/>
              </w:rPr>
              <w:t>Modelling has been conducted the effective reproduction rate, deviation from state-level transmission potential, future impact on health care system capacity community adherence, PPE and testing demand. All analyses appear to have sufficient data though modelling of community adherence only provides an overall picture of population mobility, rather than the types of mobility.</w:t>
            </w:r>
          </w:p>
        </w:tc>
        <w:tc>
          <w:tcPr>
            <w:tcW w:w="5387" w:type="dxa"/>
            <w:shd w:val="clear" w:color="auto" w:fill="E2EFD9" w:themeFill="accent6" w:themeFillTint="33"/>
          </w:tcPr>
          <w:p w14:paraId="401C09A6" w14:textId="602EE9A7" w:rsidR="001C4AB9" w:rsidRPr="00E5157A" w:rsidRDefault="001C4AB9" w:rsidP="001C4AB9">
            <w:pPr>
              <w:rPr>
                <w:sz w:val="24"/>
                <w:lang w:eastAsia="en-AU"/>
              </w:rPr>
            </w:pPr>
            <w:r w:rsidRPr="00E5157A">
              <w:rPr>
                <w:sz w:val="24"/>
                <w:lang w:eastAsia="en-AU"/>
              </w:rPr>
              <w:t>No change</w:t>
            </w:r>
          </w:p>
        </w:tc>
        <w:tc>
          <w:tcPr>
            <w:tcW w:w="6662" w:type="dxa"/>
            <w:shd w:val="clear" w:color="auto" w:fill="E2EFD9" w:themeFill="accent6" w:themeFillTint="33"/>
          </w:tcPr>
          <w:p w14:paraId="0EAAEBAA" w14:textId="0DEE60D8" w:rsidR="001C4AB9" w:rsidRPr="00E5157A" w:rsidRDefault="008A6A9A" w:rsidP="001C4AB9">
            <w:pPr>
              <w:rPr>
                <w:sz w:val="24"/>
                <w:lang w:eastAsia="en-AU"/>
              </w:rPr>
            </w:pPr>
            <w:r w:rsidRPr="00E5157A">
              <w:rPr>
                <w:sz w:val="24"/>
                <w:lang w:eastAsia="en-AU"/>
              </w:rPr>
              <w:t>No change</w:t>
            </w:r>
          </w:p>
        </w:tc>
      </w:tr>
      <w:tr w:rsidR="001C4AB9" w:rsidRPr="001C4AB9" w14:paraId="0BD8CFA5" w14:textId="77777777" w:rsidTr="00277A6E">
        <w:trPr>
          <w:trHeight w:val="25"/>
        </w:trPr>
        <w:tc>
          <w:tcPr>
            <w:tcW w:w="21796" w:type="dxa"/>
            <w:gridSpan w:val="4"/>
            <w:shd w:val="clear" w:color="auto" w:fill="E7E6E6" w:themeFill="background2"/>
          </w:tcPr>
          <w:p w14:paraId="7704BD23" w14:textId="3D60D622" w:rsidR="001C4AB9" w:rsidRPr="001C4AB9" w:rsidRDefault="001C4AB9" w:rsidP="006171DF">
            <w:pPr>
              <w:pStyle w:val="NoSpacing"/>
              <w:rPr>
                <w:b/>
                <w:lang w:eastAsia="en-AU"/>
              </w:rPr>
            </w:pPr>
            <w:r w:rsidRPr="00E5157A">
              <w:rPr>
                <w:b/>
                <w:sz w:val="24"/>
                <w:lang w:eastAsia="en-AU"/>
              </w:rPr>
              <w:t>COMPLETE MATURATION OF PUBLIC HEALTH CAPACITY</w:t>
            </w:r>
          </w:p>
        </w:tc>
      </w:tr>
      <w:tr w:rsidR="00C117D2" w:rsidRPr="008F5B26" w14:paraId="72E2CE72" w14:textId="77777777" w:rsidTr="00277A6E">
        <w:trPr>
          <w:trHeight w:val="334"/>
        </w:trPr>
        <w:tc>
          <w:tcPr>
            <w:tcW w:w="3652" w:type="dxa"/>
            <w:vMerge w:val="restart"/>
            <w:shd w:val="clear" w:color="auto" w:fill="auto"/>
          </w:tcPr>
          <w:p w14:paraId="7A04A0E9" w14:textId="11EB1F45" w:rsidR="00C117D2" w:rsidRPr="00E5157A" w:rsidRDefault="00C117D2" w:rsidP="001C4AB9">
            <w:pPr>
              <w:rPr>
                <w:sz w:val="24"/>
                <w:lang w:eastAsia="en-AU"/>
              </w:rPr>
            </w:pPr>
            <w:r w:rsidRPr="00E5157A">
              <w:rPr>
                <w:sz w:val="24"/>
                <w:lang w:eastAsia="en-AU"/>
              </w:rPr>
              <w:t>Capacity to conduct testing more broadly</w:t>
            </w:r>
          </w:p>
        </w:tc>
        <w:tc>
          <w:tcPr>
            <w:tcW w:w="6095" w:type="dxa"/>
            <w:shd w:val="clear" w:color="auto" w:fill="E2EFD9" w:themeFill="accent6" w:themeFillTint="33"/>
          </w:tcPr>
          <w:p w14:paraId="1E9E1111" w14:textId="08EC0D44" w:rsidR="00C117D2" w:rsidRPr="00E5157A" w:rsidRDefault="00C117D2" w:rsidP="00C117D2">
            <w:pPr>
              <w:pStyle w:val="NoSpacing"/>
              <w:rPr>
                <w:sz w:val="24"/>
                <w:lang w:eastAsia="en-AU"/>
              </w:rPr>
            </w:pPr>
            <w:r w:rsidRPr="00E5157A">
              <w:rPr>
                <w:sz w:val="24"/>
                <w:lang w:eastAsia="en-AU"/>
              </w:rPr>
              <w:t xml:space="preserve">Jurisdictions have already </w:t>
            </w:r>
            <w:r w:rsidRPr="00E5157A">
              <w:rPr>
                <w:sz w:val="24"/>
              </w:rPr>
              <w:t>expanded</w:t>
            </w:r>
            <w:r w:rsidRPr="00E5157A">
              <w:rPr>
                <w:sz w:val="24"/>
                <w:lang w:eastAsia="en-AU"/>
              </w:rPr>
              <w:t xml:space="preserve"> testing.  </w:t>
            </w:r>
          </w:p>
        </w:tc>
        <w:tc>
          <w:tcPr>
            <w:tcW w:w="5387" w:type="dxa"/>
            <w:shd w:val="clear" w:color="auto" w:fill="E2EFD9" w:themeFill="accent6" w:themeFillTint="33"/>
          </w:tcPr>
          <w:p w14:paraId="31018DEC" w14:textId="242A0981"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23AE5AEC" w14:textId="61828CE6" w:rsidR="00C117D2" w:rsidRPr="00E5157A" w:rsidRDefault="00471F1A" w:rsidP="00C117D2">
            <w:pPr>
              <w:pStyle w:val="NoSpacing"/>
              <w:rPr>
                <w:sz w:val="24"/>
                <w:lang w:eastAsia="en-AU"/>
              </w:rPr>
            </w:pPr>
            <w:r w:rsidRPr="00E5157A">
              <w:rPr>
                <w:sz w:val="24"/>
                <w:lang w:eastAsia="en-AU"/>
              </w:rPr>
              <w:t>No change</w:t>
            </w:r>
          </w:p>
        </w:tc>
      </w:tr>
      <w:tr w:rsidR="00C117D2" w:rsidRPr="008F5B26" w14:paraId="1200A195" w14:textId="77777777" w:rsidTr="00277A6E">
        <w:trPr>
          <w:trHeight w:val="427"/>
        </w:trPr>
        <w:tc>
          <w:tcPr>
            <w:tcW w:w="3652" w:type="dxa"/>
            <w:vMerge/>
            <w:shd w:val="clear" w:color="auto" w:fill="auto"/>
          </w:tcPr>
          <w:p w14:paraId="14B80243" w14:textId="77777777" w:rsidR="00C117D2" w:rsidRPr="00E5157A" w:rsidRDefault="00C117D2" w:rsidP="001C4AB9">
            <w:pPr>
              <w:rPr>
                <w:sz w:val="24"/>
                <w:lang w:eastAsia="en-AU"/>
              </w:rPr>
            </w:pPr>
          </w:p>
        </w:tc>
        <w:tc>
          <w:tcPr>
            <w:tcW w:w="6095" w:type="dxa"/>
            <w:shd w:val="clear" w:color="auto" w:fill="E2EFD9" w:themeFill="accent6" w:themeFillTint="33"/>
          </w:tcPr>
          <w:p w14:paraId="723B8C1E" w14:textId="39E09303" w:rsidR="00C117D2" w:rsidRPr="00E5157A" w:rsidRDefault="00C117D2" w:rsidP="00C117D2">
            <w:pPr>
              <w:pStyle w:val="NoSpacing"/>
              <w:rPr>
                <w:sz w:val="24"/>
                <w:lang w:eastAsia="en-AU"/>
              </w:rPr>
            </w:pPr>
            <w:r w:rsidRPr="00E5157A">
              <w:rPr>
                <w:sz w:val="24"/>
                <w:lang w:eastAsia="en-AU"/>
              </w:rPr>
              <w:t xml:space="preserve">Testing has expanded, as per the COVID-19 </w:t>
            </w:r>
            <w:r w:rsidR="00E5157A">
              <w:rPr>
                <w:sz w:val="24"/>
                <w:lang w:eastAsia="en-AU"/>
              </w:rPr>
              <w:br/>
            </w:r>
            <w:r w:rsidRPr="00E5157A">
              <w:rPr>
                <w:sz w:val="24"/>
                <w:lang w:eastAsia="en-AU"/>
              </w:rPr>
              <w:t>Testing Framework.</w:t>
            </w:r>
          </w:p>
        </w:tc>
        <w:tc>
          <w:tcPr>
            <w:tcW w:w="5387" w:type="dxa"/>
            <w:shd w:val="clear" w:color="auto" w:fill="E2EFD9" w:themeFill="accent6" w:themeFillTint="33"/>
          </w:tcPr>
          <w:p w14:paraId="717B5B8C" w14:textId="5F362A60"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2474056B" w14:textId="6BE8AD35" w:rsidR="00C117D2" w:rsidRPr="00E5157A" w:rsidRDefault="00471F1A" w:rsidP="00C117D2">
            <w:pPr>
              <w:pStyle w:val="NoSpacing"/>
              <w:rPr>
                <w:sz w:val="24"/>
                <w:lang w:eastAsia="en-AU"/>
              </w:rPr>
            </w:pPr>
            <w:r w:rsidRPr="00E5157A">
              <w:rPr>
                <w:sz w:val="24"/>
                <w:lang w:eastAsia="en-AU"/>
              </w:rPr>
              <w:t>No change</w:t>
            </w:r>
          </w:p>
        </w:tc>
      </w:tr>
      <w:tr w:rsidR="00C117D2" w:rsidRPr="008F5B26" w14:paraId="012071BE" w14:textId="77777777" w:rsidTr="00277A6E">
        <w:trPr>
          <w:trHeight w:val="1511"/>
        </w:trPr>
        <w:tc>
          <w:tcPr>
            <w:tcW w:w="3652" w:type="dxa"/>
            <w:vMerge/>
            <w:shd w:val="clear" w:color="auto" w:fill="auto"/>
          </w:tcPr>
          <w:p w14:paraId="70F0ED65" w14:textId="77777777" w:rsidR="00C117D2" w:rsidRPr="00E5157A" w:rsidRDefault="00C117D2" w:rsidP="001C4AB9">
            <w:pPr>
              <w:rPr>
                <w:sz w:val="24"/>
                <w:lang w:eastAsia="en-AU"/>
              </w:rPr>
            </w:pPr>
          </w:p>
        </w:tc>
        <w:tc>
          <w:tcPr>
            <w:tcW w:w="6095" w:type="dxa"/>
            <w:shd w:val="clear" w:color="auto" w:fill="E2EFD9" w:themeFill="accent6" w:themeFillTint="33"/>
          </w:tcPr>
          <w:p w14:paraId="65D02184" w14:textId="0645ABE8" w:rsidR="00C117D2" w:rsidRPr="00E5157A" w:rsidRDefault="00C117D2" w:rsidP="00C117D2">
            <w:pPr>
              <w:pStyle w:val="NoSpacing"/>
              <w:rPr>
                <w:sz w:val="24"/>
                <w:lang w:eastAsia="en-AU"/>
              </w:rPr>
            </w:pPr>
            <w:r w:rsidRPr="00E5157A">
              <w:rPr>
                <w:sz w:val="24"/>
                <w:lang w:eastAsia="en-AU"/>
              </w:rPr>
              <w:t xml:space="preserve">Testing has been expanded to include those with acute respiratory illness. Further encouragement of those who have respiratory symptoms to seek testing is needed, and expansion of contact tracing and time limited epidemiological cohort studies are </w:t>
            </w:r>
            <w:r w:rsidR="00E5157A">
              <w:rPr>
                <w:sz w:val="24"/>
                <w:lang w:eastAsia="en-AU"/>
              </w:rPr>
              <w:br/>
            </w:r>
            <w:r w:rsidRPr="00E5157A">
              <w:rPr>
                <w:sz w:val="24"/>
                <w:lang w:eastAsia="en-AU"/>
              </w:rPr>
              <w:t>being developed.</w:t>
            </w:r>
          </w:p>
        </w:tc>
        <w:tc>
          <w:tcPr>
            <w:tcW w:w="5387" w:type="dxa"/>
            <w:shd w:val="clear" w:color="auto" w:fill="E2EFD9" w:themeFill="accent6" w:themeFillTint="33"/>
          </w:tcPr>
          <w:p w14:paraId="7CA2BF75" w14:textId="1491F7BD"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0A97EB09" w14:textId="43DD5594" w:rsidR="00C117D2" w:rsidRPr="00E5157A" w:rsidRDefault="00471F1A" w:rsidP="00C117D2">
            <w:pPr>
              <w:pStyle w:val="NoSpacing"/>
              <w:rPr>
                <w:sz w:val="24"/>
                <w:lang w:eastAsia="en-AU"/>
              </w:rPr>
            </w:pPr>
            <w:r w:rsidRPr="00E5157A">
              <w:rPr>
                <w:sz w:val="24"/>
                <w:lang w:eastAsia="en-AU"/>
              </w:rPr>
              <w:t>No change</w:t>
            </w:r>
          </w:p>
        </w:tc>
      </w:tr>
      <w:tr w:rsidR="00C117D2" w:rsidRPr="008F5B26" w14:paraId="13ABA3CD" w14:textId="77777777" w:rsidTr="00277A6E">
        <w:trPr>
          <w:trHeight w:val="1511"/>
        </w:trPr>
        <w:tc>
          <w:tcPr>
            <w:tcW w:w="3652" w:type="dxa"/>
            <w:vMerge/>
            <w:shd w:val="clear" w:color="auto" w:fill="auto"/>
          </w:tcPr>
          <w:p w14:paraId="56B9CA37" w14:textId="77777777" w:rsidR="00C117D2" w:rsidRPr="00E5157A" w:rsidRDefault="00C117D2" w:rsidP="001C4AB9">
            <w:pPr>
              <w:rPr>
                <w:sz w:val="24"/>
                <w:lang w:eastAsia="en-AU"/>
              </w:rPr>
            </w:pPr>
          </w:p>
        </w:tc>
        <w:tc>
          <w:tcPr>
            <w:tcW w:w="6095" w:type="dxa"/>
            <w:shd w:val="clear" w:color="auto" w:fill="E2EFD9" w:themeFill="accent6" w:themeFillTint="33"/>
          </w:tcPr>
          <w:p w14:paraId="308F7C71" w14:textId="72496F74" w:rsidR="00C117D2" w:rsidRPr="00E5157A" w:rsidRDefault="00C117D2" w:rsidP="00C117D2">
            <w:pPr>
              <w:pStyle w:val="NoSpacing"/>
              <w:rPr>
                <w:sz w:val="24"/>
                <w:lang w:eastAsia="en-AU"/>
              </w:rPr>
            </w:pPr>
            <w:r w:rsidRPr="00E5157A">
              <w:rPr>
                <w:sz w:val="24"/>
                <w:lang w:eastAsia="en-AU"/>
              </w:rPr>
              <w:t xml:space="preserve">Supply chains for tests, reagents and swabs is established and continues to be monitored. Continuity of supply into the Australian market of tests and reagents of the COVID-19 testing platforms in use is assured and is enough to meet demand at </w:t>
            </w:r>
            <w:r w:rsidR="00E5157A">
              <w:rPr>
                <w:sz w:val="24"/>
                <w:lang w:eastAsia="en-AU"/>
              </w:rPr>
              <w:br/>
            </w:r>
            <w:r w:rsidRPr="00E5157A">
              <w:rPr>
                <w:sz w:val="24"/>
                <w:lang w:eastAsia="en-AU"/>
              </w:rPr>
              <w:t>the moment.</w:t>
            </w:r>
          </w:p>
        </w:tc>
        <w:tc>
          <w:tcPr>
            <w:tcW w:w="5387" w:type="dxa"/>
            <w:shd w:val="clear" w:color="auto" w:fill="E2EFD9" w:themeFill="accent6" w:themeFillTint="33"/>
          </w:tcPr>
          <w:p w14:paraId="0BA5DA70" w14:textId="46B5C0A4"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74B9B6ED" w14:textId="3207CB52" w:rsidR="00C117D2" w:rsidRPr="00E5157A" w:rsidRDefault="00E64A8D" w:rsidP="00C117D2">
            <w:pPr>
              <w:pStyle w:val="NoSpacing"/>
              <w:rPr>
                <w:sz w:val="24"/>
                <w:lang w:eastAsia="en-AU"/>
              </w:rPr>
            </w:pPr>
            <w:r w:rsidRPr="00E5157A">
              <w:rPr>
                <w:sz w:val="24"/>
                <w:lang w:eastAsia="en-AU"/>
              </w:rPr>
              <w:t>No change</w:t>
            </w:r>
          </w:p>
        </w:tc>
      </w:tr>
      <w:tr w:rsidR="00C117D2" w:rsidRPr="008F5B26" w14:paraId="20B31A3C" w14:textId="77777777" w:rsidTr="00277A6E">
        <w:trPr>
          <w:trHeight w:val="686"/>
        </w:trPr>
        <w:tc>
          <w:tcPr>
            <w:tcW w:w="3652" w:type="dxa"/>
            <w:shd w:val="clear" w:color="auto" w:fill="auto"/>
          </w:tcPr>
          <w:p w14:paraId="425D0159" w14:textId="3B1990A9" w:rsidR="00C117D2" w:rsidRPr="00E5157A" w:rsidRDefault="00C117D2" w:rsidP="001C4AB9">
            <w:pPr>
              <w:rPr>
                <w:sz w:val="24"/>
                <w:lang w:eastAsia="en-AU"/>
              </w:rPr>
            </w:pPr>
            <w:r w:rsidRPr="00E5157A">
              <w:rPr>
                <w:sz w:val="24"/>
                <w:lang w:eastAsia="en-AU"/>
              </w:rPr>
              <w:t>Public health workforce</w:t>
            </w:r>
          </w:p>
        </w:tc>
        <w:tc>
          <w:tcPr>
            <w:tcW w:w="6095" w:type="dxa"/>
            <w:shd w:val="clear" w:color="auto" w:fill="E2EFD9" w:themeFill="accent6" w:themeFillTint="33"/>
          </w:tcPr>
          <w:p w14:paraId="050991E5" w14:textId="2C1946D0" w:rsidR="00C117D2" w:rsidRPr="00E5157A" w:rsidRDefault="00C117D2" w:rsidP="00C117D2">
            <w:pPr>
              <w:pStyle w:val="NoSpacing"/>
              <w:rPr>
                <w:sz w:val="24"/>
                <w:lang w:eastAsia="en-AU"/>
              </w:rPr>
            </w:pPr>
            <w:r w:rsidRPr="00E5157A">
              <w:rPr>
                <w:sz w:val="24"/>
                <w:lang w:eastAsia="en-AU"/>
              </w:rPr>
              <w:t>Jurisdictions have well developed, skilled core public health teams available to respond quickly to cases.</w:t>
            </w:r>
          </w:p>
        </w:tc>
        <w:tc>
          <w:tcPr>
            <w:tcW w:w="5387" w:type="dxa"/>
            <w:shd w:val="clear" w:color="auto" w:fill="EDEDED" w:themeFill="accent3" w:themeFillTint="33"/>
          </w:tcPr>
          <w:p w14:paraId="5B2EBA82" w14:textId="73732F15" w:rsidR="00C117D2" w:rsidRPr="00E5157A" w:rsidRDefault="006C13A4" w:rsidP="00C117D2">
            <w:pPr>
              <w:pStyle w:val="NoSpacing"/>
              <w:rPr>
                <w:sz w:val="24"/>
                <w:lang w:eastAsia="en-AU"/>
              </w:rPr>
            </w:pPr>
            <w:r w:rsidRPr="00E5157A">
              <w:rPr>
                <w:sz w:val="24"/>
                <w:lang w:eastAsia="en-AU"/>
              </w:rPr>
              <w:t>Jurisdictions have redirected resources to Victoria to provide assistance where required.</w:t>
            </w:r>
          </w:p>
        </w:tc>
        <w:tc>
          <w:tcPr>
            <w:tcW w:w="6662" w:type="dxa"/>
            <w:shd w:val="clear" w:color="auto" w:fill="E7E6E6" w:themeFill="background2"/>
          </w:tcPr>
          <w:p w14:paraId="2AB5EF89" w14:textId="3769106B" w:rsidR="00C117D2" w:rsidRPr="00E5157A" w:rsidRDefault="006C13A4" w:rsidP="00C117D2">
            <w:pPr>
              <w:pStyle w:val="NoSpacing"/>
              <w:rPr>
                <w:sz w:val="24"/>
                <w:lang w:eastAsia="en-AU"/>
              </w:rPr>
            </w:pPr>
            <w:r w:rsidRPr="00E5157A">
              <w:rPr>
                <w:sz w:val="24"/>
                <w:lang w:eastAsia="en-AU"/>
              </w:rPr>
              <w:t>N</w:t>
            </w:r>
            <w:bookmarkStart w:id="0" w:name="_GoBack"/>
            <w:bookmarkEnd w:id="0"/>
            <w:r w:rsidRPr="00E5157A">
              <w:rPr>
                <w:sz w:val="24"/>
                <w:lang w:eastAsia="en-AU"/>
              </w:rPr>
              <w:t>o change</w:t>
            </w:r>
          </w:p>
        </w:tc>
      </w:tr>
      <w:tr w:rsidR="00C117D2" w:rsidRPr="008F5B26" w14:paraId="785EAAD5" w14:textId="77777777" w:rsidTr="00277A6E">
        <w:trPr>
          <w:trHeight w:val="824"/>
        </w:trPr>
        <w:tc>
          <w:tcPr>
            <w:tcW w:w="3652" w:type="dxa"/>
            <w:vMerge w:val="restart"/>
            <w:shd w:val="clear" w:color="auto" w:fill="auto"/>
          </w:tcPr>
          <w:p w14:paraId="0DFD059A" w14:textId="6DB7A810" w:rsidR="00C117D2" w:rsidRPr="00E5157A" w:rsidRDefault="00C117D2" w:rsidP="001C4AB9">
            <w:pPr>
              <w:rPr>
                <w:sz w:val="24"/>
                <w:lang w:eastAsia="en-AU"/>
              </w:rPr>
            </w:pPr>
            <w:r w:rsidRPr="00E5157A">
              <w:rPr>
                <w:sz w:val="24"/>
                <w:lang w:eastAsia="en-AU"/>
              </w:rPr>
              <w:t>Contact-tracing capacity</w:t>
            </w:r>
          </w:p>
        </w:tc>
        <w:tc>
          <w:tcPr>
            <w:tcW w:w="6095" w:type="dxa"/>
            <w:shd w:val="clear" w:color="auto" w:fill="E2EFD9" w:themeFill="accent6" w:themeFillTint="33"/>
          </w:tcPr>
          <w:p w14:paraId="3ECCAC0D" w14:textId="4BB4B77E" w:rsidR="00C117D2" w:rsidRPr="00E5157A" w:rsidRDefault="00C117D2" w:rsidP="00C117D2">
            <w:pPr>
              <w:pStyle w:val="NoSpacing"/>
              <w:rPr>
                <w:sz w:val="24"/>
              </w:rPr>
            </w:pPr>
            <w:r w:rsidRPr="00E5157A">
              <w:rPr>
                <w:sz w:val="24"/>
                <w:lang w:eastAsia="en-AU"/>
              </w:rPr>
              <w:t>Contact tracing mechanisms are well established in jurisdictions, and the Australian National Disease Surveillance Plan for COVID-19, in conjunction with the Testing Framework detail expansion of disease surveillance and testing.</w:t>
            </w:r>
          </w:p>
        </w:tc>
        <w:tc>
          <w:tcPr>
            <w:tcW w:w="5387" w:type="dxa"/>
            <w:shd w:val="clear" w:color="auto" w:fill="E2EFD9" w:themeFill="accent6" w:themeFillTint="33"/>
          </w:tcPr>
          <w:p w14:paraId="4CF15706" w14:textId="47FF161C"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61A45506" w14:textId="7064CB39" w:rsidR="00C117D2" w:rsidRPr="00E5157A" w:rsidRDefault="00471F1A" w:rsidP="00C117D2">
            <w:pPr>
              <w:pStyle w:val="NoSpacing"/>
              <w:rPr>
                <w:sz w:val="24"/>
                <w:lang w:eastAsia="en-AU"/>
              </w:rPr>
            </w:pPr>
            <w:r w:rsidRPr="00E5157A">
              <w:rPr>
                <w:sz w:val="24"/>
                <w:lang w:eastAsia="en-AU"/>
              </w:rPr>
              <w:t>No change</w:t>
            </w:r>
          </w:p>
        </w:tc>
      </w:tr>
      <w:tr w:rsidR="00C117D2" w:rsidRPr="008F5B26" w14:paraId="64164724" w14:textId="77777777" w:rsidTr="00277A6E">
        <w:trPr>
          <w:trHeight w:val="425"/>
        </w:trPr>
        <w:tc>
          <w:tcPr>
            <w:tcW w:w="3652" w:type="dxa"/>
            <w:vMerge/>
            <w:shd w:val="clear" w:color="auto" w:fill="auto"/>
          </w:tcPr>
          <w:p w14:paraId="556B7C7D" w14:textId="77777777" w:rsidR="00C117D2" w:rsidRPr="00E5157A" w:rsidRDefault="00C117D2" w:rsidP="001C4AB9">
            <w:pPr>
              <w:rPr>
                <w:sz w:val="24"/>
                <w:lang w:eastAsia="en-AU"/>
              </w:rPr>
            </w:pPr>
          </w:p>
        </w:tc>
        <w:tc>
          <w:tcPr>
            <w:tcW w:w="6095" w:type="dxa"/>
            <w:shd w:val="clear" w:color="auto" w:fill="E2EFD9" w:themeFill="accent6" w:themeFillTint="33"/>
          </w:tcPr>
          <w:p w14:paraId="1793A91F" w14:textId="133327EC" w:rsidR="00C117D2" w:rsidRPr="00E5157A" w:rsidRDefault="00C117D2" w:rsidP="00C117D2">
            <w:pPr>
              <w:pStyle w:val="NoSpacing"/>
              <w:rPr>
                <w:sz w:val="24"/>
                <w:lang w:eastAsia="en-AU"/>
              </w:rPr>
            </w:pPr>
            <w:r w:rsidRPr="00E5157A">
              <w:rPr>
                <w:sz w:val="24"/>
                <w:lang w:eastAsia="en-AU"/>
              </w:rPr>
              <w:t>Jurisdictions have plans in place to rapidly surge capacity for contact tracing.</w:t>
            </w:r>
          </w:p>
        </w:tc>
        <w:tc>
          <w:tcPr>
            <w:tcW w:w="5387" w:type="dxa"/>
            <w:shd w:val="clear" w:color="auto" w:fill="EDEDED" w:themeFill="accent3" w:themeFillTint="33"/>
          </w:tcPr>
          <w:p w14:paraId="16CBB858" w14:textId="6B90C4BB" w:rsidR="00C117D2" w:rsidRPr="00E5157A" w:rsidRDefault="006C13A4" w:rsidP="00C117D2">
            <w:pPr>
              <w:pStyle w:val="NoSpacing"/>
              <w:rPr>
                <w:sz w:val="24"/>
                <w:lang w:eastAsia="en-AU"/>
              </w:rPr>
            </w:pPr>
            <w:r w:rsidRPr="00E5157A">
              <w:rPr>
                <w:sz w:val="24"/>
                <w:lang w:eastAsia="en-AU"/>
              </w:rPr>
              <w:t>Jurisdictions have redirected resources to Victoria to provide assistance where required.</w:t>
            </w:r>
          </w:p>
        </w:tc>
        <w:tc>
          <w:tcPr>
            <w:tcW w:w="6662" w:type="dxa"/>
            <w:shd w:val="clear" w:color="auto" w:fill="E7E6E6" w:themeFill="background2"/>
          </w:tcPr>
          <w:p w14:paraId="206BD6A5" w14:textId="02C86896" w:rsidR="00C117D2" w:rsidRPr="00E5157A" w:rsidRDefault="006C13A4" w:rsidP="00C117D2">
            <w:pPr>
              <w:pStyle w:val="NoSpacing"/>
              <w:rPr>
                <w:sz w:val="24"/>
                <w:lang w:eastAsia="en-AU"/>
              </w:rPr>
            </w:pPr>
            <w:r w:rsidRPr="00E5157A">
              <w:rPr>
                <w:sz w:val="24"/>
                <w:lang w:eastAsia="en-AU"/>
              </w:rPr>
              <w:t>No change</w:t>
            </w:r>
          </w:p>
        </w:tc>
      </w:tr>
      <w:tr w:rsidR="006C13A4" w:rsidRPr="008F5B26" w14:paraId="38B5B4B2" w14:textId="77777777" w:rsidTr="00277A6E">
        <w:trPr>
          <w:trHeight w:val="425"/>
        </w:trPr>
        <w:tc>
          <w:tcPr>
            <w:tcW w:w="3652" w:type="dxa"/>
            <w:shd w:val="clear" w:color="auto" w:fill="auto"/>
          </w:tcPr>
          <w:p w14:paraId="7B176B19" w14:textId="06536612" w:rsidR="006C13A4" w:rsidRPr="00E5157A" w:rsidRDefault="006C13A4" w:rsidP="006C13A4">
            <w:pPr>
              <w:pStyle w:val="NoSpacing"/>
              <w:rPr>
                <w:sz w:val="24"/>
                <w:lang w:eastAsia="en-AU"/>
              </w:rPr>
            </w:pPr>
            <w:r w:rsidRPr="00E5157A">
              <w:rPr>
                <w:sz w:val="24"/>
                <w:lang w:eastAsia="en-AU"/>
              </w:rPr>
              <w:t>Technology for contact tracing, data collection and analysis</w:t>
            </w:r>
          </w:p>
        </w:tc>
        <w:tc>
          <w:tcPr>
            <w:tcW w:w="6095" w:type="dxa"/>
            <w:shd w:val="clear" w:color="auto" w:fill="E2EFD9" w:themeFill="accent6" w:themeFillTint="33"/>
          </w:tcPr>
          <w:p w14:paraId="4C74984A" w14:textId="6E0FFBD1" w:rsidR="006C13A4" w:rsidRPr="00E5157A" w:rsidRDefault="006C13A4" w:rsidP="006C13A4">
            <w:pPr>
              <w:pStyle w:val="NoSpacing"/>
              <w:rPr>
                <w:sz w:val="24"/>
                <w:lang w:eastAsia="en-AU"/>
              </w:rPr>
            </w:pPr>
            <w:r w:rsidRPr="00E5157A">
              <w:rPr>
                <w:sz w:val="24"/>
                <w:lang w:eastAsia="en-AU"/>
              </w:rPr>
              <w:t>As at 23 June, the number of COVIDSafe registrations was 6.4 million.</w:t>
            </w:r>
          </w:p>
        </w:tc>
        <w:tc>
          <w:tcPr>
            <w:tcW w:w="5387" w:type="dxa"/>
            <w:shd w:val="clear" w:color="auto" w:fill="E2EFD9" w:themeFill="accent6" w:themeFillTint="33"/>
          </w:tcPr>
          <w:p w14:paraId="3003329D" w14:textId="07CE5C5C" w:rsidR="006C13A4" w:rsidRPr="00E5157A" w:rsidRDefault="006C13A4" w:rsidP="006C13A4">
            <w:pPr>
              <w:pStyle w:val="NoSpacing"/>
              <w:rPr>
                <w:sz w:val="24"/>
                <w:lang w:eastAsia="en-AU"/>
              </w:rPr>
            </w:pPr>
            <w:r w:rsidRPr="00E5157A">
              <w:rPr>
                <w:sz w:val="24"/>
                <w:lang w:eastAsia="en-AU"/>
              </w:rPr>
              <w:t>As at 7 July, the number of COVIDSafe registrations was 6.5 million. The COVIDSafe App has now been released in the following languages: English, Mandarin, Cantonese, Vietnamese, Arabic and Korean.</w:t>
            </w:r>
          </w:p>
        </w:tc>
        <w:tc>
          <w:tcPr>
            <w:tcW w:w="6662" w:type="dxa"/>
            <w:shd w:val="clear" w:color="auto" w:fill="E2EFD9" w:themeFill="accent6" w:themeFillTint="33"/>
          </w:tcPr>
          <w:p w14:paraId="05B981D0" w14:textId="2E399658" w:rsidR="006C13A4" w:rsidRPr="00E5157A" w:rsidRDefault="006C13A4" w:rsidP="006C13A4">
            <w:pPr>
              <w:pStyle w:val="NoSpacing"/>
              <w:rPr>
                <w:sz w:val="24"/>
                <w:lang w:eastAsia="en-AU"/>
              </w:rPr>
            </w:pPr>
            <w:r w:rsidRPr="00E5157A">
              <w:rPr>
                <w:sz w:val="24"/>
                <w:lang w:eastAsia="en-AU"/>
              </w:rPr>
              <w:t xml:space="preserve">As of 20 July there were over 6.74m registrations for the COVIDSafe app. The COVIDSafe App has now been released in the following languages: English, Mandarin, Cantonese, Vietnamese, Arabic, Korean, Greek </w:t>
            </w:r>
            <w:r w:rsidR="00E5157A">
              <w:rPr>
                <w:sz w:val="24"/>
                <w:lang w:eastAsia="en-AU"/>
              </w:rPr>
              <w:br/>
            </w:r>
            <w:r w:rsidRPr="00E5157A">
              <w:rPr>
                <w:sz w:val="24"/>
                <w:lang w:eastAsia="en-AU"/>
              </w:rPr>
              <w:t>and Italian.</w:t>
            </w:r>
          </w:p>
        </w:tc>
      </w:tr>
      <w:tr w:rsidR="00C117D2" w:rsidRPr="001C4AB9" w14:paraId="6F6B3F08" w14:textId="77777777" w:rsidTr="00277A6E">
        <w:trPr>
          <w:trHeight w:val="25"/>
        </w:trPr>
        <w:tc>
          <w:tcPr>
            <w:tcW w:w="21796" w:type="dxa"/>
            <w:gridSpan w:val="4"/>
            <w:shd w:val="clear" w:color="auto" w:fill="E7E6E6" w:themeFill="background2"/>
          </w:tcPr>
          <w:p w14:paraId="4811D6D3" w14:textId="17D6C85E" w:rsidR="00C117D2" w:rsidRPr="001C4AB9" w:rsidRDefault="00C117D2" w:rsidP="006171DF">
            <w:pPr>
              <w:pStyle w:val="NoSpacing"/>
              <w:rPr>
                <w:b/>
                <w:lang w:eastAsia="en-AU"/>
              </w:rPr>
            </w:pPr>
            <w:r w:rsidRPr="00E5157A">
              <w:rPr>
                <w:b/>
                <w:sz w:val="24"/>
                <w:lang w:eastAsia="en-AU"/>
              </w:rPr>
              <w:t>ASSURANCE OF ADEQUATE HEALTH SYSTEM CAPACITY</w:t>
            </w:r>
          </w:p>
        </w:tc>
      </w:tr>
      <w:tr w:rsidR="00C117D2" w:rsidRPr="008F5B26" w14:paraId="342D82C2" w14:textId="77777777" w:rsidTr="00277A6E">
        <w:trPr>
          <w:trHeight w:val="425"/>
        </w:trPr>
        <w:tc>
          <w:tcPr>
            <w:tcW w:w="3652" w:type="dxa"/>
            <w:shd w:val="clear" w:color="auto" w:fill="auto"/>
          </w:tcPr>
          <w:p w14:paraId="7637499F" w14:textId="0076EE18" w:rsidR="00C117D2" w:rsidRPr="00E5157A" w:rsidRDefault="00C117D2" w:rsidP="00C117D2">
            <w:pPr>
              <w:pStyle w:val="NoSpacing"/>
              <w:rPr>
                <w:sz w:val="24"/>
                <w:lang w:eastAsia="en-AU"/>
              </w:rPr>
            </w:pPr>
            <w:r w:rsidRPr="00E5157A">
              <w:rPr>
                <w:sz w:val="24"/>
              </w:rPr>
              <w:t>Health system status</w:t>
            </w:r>
          </w:p>
        </w:tc>
        <w:tc>
          <w:tcPr>
            <w:tcW w:w="6095" w:type="dxa"/>
            <w:shd w:val="clear" w:color="auto" w:fill="E2EFD9" w:themeFill="accent6" w:themeFillTint="33"/>
          </w:tcPr>
          <w:p w14:paraId="4210446F" w14:textId="6D98BEF8" w:rsidR="00C117D2" w:rsidRPr="00E5157A" w:rsidRDefault="00C117D2" w:rsidP="00C117D2">
            <w:pPr>
              <w:pStyle w:val="NoSpacing"/>
              <w:rPr>
                <w:sz w:val="24"/>
                <w:lang w:eastAsia="en-AU"/>
              </w:rPr>
            </w:pPr>
            <w:r w:rsidRPr="00E5157A">
              <w:rPr>
                <w:sz w:val="24"/>
              </w:rPr>
              <w:t>The health system is currently able to manage usual healthcare needs in addition to current levels of COVID-19 related illness.</w:t>
            </w:r>
          </w:p>
        </w:tc>
        <w:tc>
          <w:tcPr>
            <w:tcW w:w="5387" w:type="dxa"/>
            <w:shd w:val="clear" w:color="auto" w:fill="E2EFD9" w:themeFill="accent6" w:themeFillTint="33"/>
          </w:tcPr>
          <w:p w14:paraId="051E30EB" w14:textId="17E32F67" w:rsidR="00C117D2" w:rsidRPr="00E5157A" w:rsidRDefault="00C117D2" w:rsidP="00C117D2">
            <w:pPr>
              <w:pStyle w:val="NoSpacing"/>
              <w:rPr>
                <w:sz w:val="24"/>
                <w:lang w:eastAsia="en-AU"/>
              </w:rPr>
            </w:pPr>
            <w:r w:rsidRPr="00E5157A">
              <w:rPr>
                <w:sz w:val="24"/>
              </w:rPr>
              <w:t>No change</w:t>
            </w:r>
          </w:p>
        </w:tc>
        <w:tc>
          <w:tcPr>
            <w:tcW w:w="6662" w:type="dxa"/>
            <w:shd w:val="clear" w:color="auto" w:fill="E2EFD9" w:themeFill="accent6" w:themeFillTint="33"/>
          </w:tcPr>
          <w:p w14:paraId="72474BA2" w14:textId="79C0FD3F" w:rsidR="00C117D2" w:rsidRPr="00E5157A" w:rsidRDefault="0033219A" w:rsidP="00C117D2">
            <w:pPr>
              <w:pStyle w:val="NoSpacing"/>
              <w:rPr>
                <w:sz w:val="24"/>
                <w:lang w:eastAsia="en-AU"/>
              </w:rPr>
            </w:pPr>
            <w:r w:rsidRPr="00E5157A">
              <w:rPr>
                <w:sz w:val="24"/>
              </w:rPr>
              <w:t>No change</w:t>
            </w:r>
          </w:p>
        </w:tc>
      </w:tr>
      <w:tr w:rsidR="00C117D2" w:rsidRPr="008F5B26" w14:paraId="33FFDE4C" w14:textId="77777777" w:rsidTr="00277A6E">
        <w:trPr>
          <w:trHeight w:val="425"/>
        </w:trPr>
        <w:tc>
          <w:tcPr>
            <w:tcW w:w="3652" w:type="dxa"/>
            <w:shd w:val="clear" w:color="auto" w:fill="auto"/>
          </w:tcPr>
          <w:p w14:paraId="476FF97A" w14:textId="272DA5CF" w:rsidR="00C117D2" w:rsidRPr="00E5157A" w:rsidRDefault="00C117D2" w:rsidP="00C117D2">
            <w:pPr>
              <w:pStyle w:val="NoSpacing"/>
              <w:rPr>
                <w:sz w:val="24"/>
                <w:lang w:eastAsia="en-AU"/>
              </w:rPr>
            </w:pPr>
            <w:r w:rsidRPr="00E5157A">
              <w:rPr>
                <w:sz w:val="24"/>
              </w:rPr>
              <w:t>Surge Capacity</w:t>
            </w:r>
          </w:p>
        </w:tc>
        <w:tc>
          <w:tcPr>
            <w:tcW w:w="6095" w:type="dxa"/>
            <w:shd w:val="clear" w:color="auto" w:fill="E2EFD9" w:themeFill="accent6" w:themeFillTint="33"/>
          </w:tcPr>
          <w:p w14:paraId="2DC299B5" w14:textId="1D3EB4D7" w:rsidR="00C117D2" w:rsidRPr="00E5157A" w:rsidRDefault="00C117D2" w:rsidP="00C117D2">
            <w:pPr>
              <w:pStyle w:val="NoSpacing"/>
              <w:rPr>
                <w:sz w:val="24"/>
                <w:lang w:eastAsia="en-AU"/>
              </w:rPr>
            </w:pPr>
            <w:r w:rsidRPr="00E5157A">
              <w:rPr>
                <w:sz w:val="24"/>
              </w:rPr>
              <w:t>The health system currently has the ability to surge.</w:t>
            </w:r>
          </w:p>
        </w:tc>
        <w:tc>
          <w:tcPr>
            <w:tcW w:w="5387" w:type="dxa"/>
            <w:shd w:val="clear" w:color="auto" w:fill="E2EFD9" w:themeFill="accent6" w:themeFillTint="33"/>
          </w:tcPr>
          <w:p w14:paraId="1D8F8D2C" w14:textId="09AC7041" w:rsidR="00C117D2" w:rsidRPr="00E5157A" w:rsidRDefault="00C117D2" w:rsidP="00C117D2">
            <w:pPr>
              <w:pStyle w:val="NoSpacing"/>
              <w:rPr>
                <w:sz w:val="24"/>
                <w:lang w:eastAsia="en-AU"/>
              </w:rPr>
            </w:pPr>
            <w:r w:rsidRPr="00E5157A">
              <w:rPr>
                <w:sz w:val="24"/>
              </w:rPr>
              <w:t>No change</w:t>
            </w:r>
          </w:p>
        </w:tc>
        <w:tc>
          <w:tcPr>
            <w:tcW w:w="6662" w:type="dxa"/>
            <w:shd w:val="clear" w:color="auto" w:fill="E2EFD9" w:themeFill="accent6" w:themeFillTint="33"/>
          </w:tcPr>
          <w:p w14:paraId="2727915A" w14:textId="7A56EE82" w:rsidR="00C117D2" w:rsidRPr="00E5157A" w:rsidRDefault="0033219A" w:rsidP="00C117D2">
            <w:pPr>
              <w:pStyle w:val="NoSpacing"/>
              <w:rPr>
                <w:sz w:val="24"/>
                <w:lang w:eastAsia="en-AU"/>
              </w:rPr>
            </w:pPr>
            <w:r w:rsidRPr="00E5157A">
              <w:rPr>
                <w:sz w:val="24"/>
              </w:rPr>
              <w:t>No change</w:t>
            </w:r>
          </w:p>
        </w:tc>
      </w:tr>
      <w:tr w:rsidR="00C117D2" w:rsidRPr="008F5B26" w14:paraId="45246E4B" w14:textId="77777777" w:rsidTr="00277A6E">
        <w:trPr>
          <w:trHeight w:val="425"/>
        </w:trPr>
        <w:tc>
          <w:tcPr>
            <w:tcW w:w="3652" w:type="dxa"/>
            <w:shd w:val="clear" w:color="auto" w:fill="auto"/>
          </w:tcPr>
          <w:p w14:paraId="258DF256" w14:textId="12C30694" w:rsidR="00C117D2" w:rsidRPr="00E5157A" w:rsidRDefault="00C117D2" w:rsidP="00C117D2">
            <w:pPr>
              <w:pStyle w:val="NoSpacing"/>
              <w:rPr>
                <w:sz w:val="24"/>
                <w:lang w:eastAsia="en-AU"/>
              </w:rPr>
            </w:pPr>
            <w:r w:rsidRPr="00E5157A">
              <w:rPr>
                <w:sz w:val="24"/>
              </w:rPr>
              <w:t>Hospital beds/Ventilators</w:t>
            </w:r>
          </w:p>
        </w:tc>
        <w:tc>
          <w:tcPr>
            <w:tcW w:w="6095" w:type="dxa"/>
            <w:shd w:val="clear" w:color="auto" w:fill="E2EFD9" w:themeFill="accent6" w:themeFillTint="33"/>
          </w:tcPr>
          <w:p w14:paraId="5196A3DC" w14:textId="4D897AD2" w:rsidR="00C117D2" w:rsidRPr="00E5157A" w:rsidRDefault="00C117D2" w:rsidP="00C117D2">
            <w:pPr>
              <w:pStyle w:val="NoSpacing"/>
              <w:rPr>
                <w:sz w:val="24"/>
                <w:lang w:eastAsia="en-AU"/>
              </w:rPr>
            </w:pPr>
            <w:r w:rsidRPr="00E5157A">
              <w:rPr>
                <w:sz w:val="24"/>
              </w:rPr>
              <w:t xml:space="preserve">Jurisdictions provide daily updates on bed states, including ICU beds and patients requiring ventilation/ECMO (Extracorporeal </w:t>
            </w:r>
            <w:r w:rsidR="00E5157A">
              <w:rPr>
                <w:sz w:val="24"/>
              </w:rPr>
              <w:br/>
            </w:r>
            <w:r w:rsidRPr="00E5157A">
              <w:rPr>
                <w:sz w:val="24"/>
              </w:rPr>
              <w:t xml:space="preserve">membrane oxygenation). </w:t>
            </w:r>
          </w:p>
        </w:tc>
        <w:tc>
          <w:tcPr>
            <w:tcW w:w="5387" w:type="dxa"/>
            <w:shd w:val="clear" w:color="auto" w:fill="E2EFD9" w:themeFill="accent6" w:themeFillTint="33"/>
          </w:tcPr>
          <w:p w14:paraId="1B1907DD" w14:textId="187CF7BB" w:rsidR="00C117D2" w:rsidRPr="00E5157A" w:rsidRDefault="00855D52" w:rsidP="00C117D2">
            <w:pPr>
              <w:pStyle w:val="NoSpacing"/>
              <w:rPr>
                <w:sz w:val="24"/>
                <w:lang w:eastAsia="en-AU"/>
              </w:rPr>
            </w:pPr>
            <w:r w:rsidRPr="00E5157A">
              <w:rPr>
                <w:sz w:val="24"/>
              </w:rPr>
              <w:t>No change</w:t>
            </w:r>
          </w:p>
        </w:tc>
        <w:tc>
          <w:tcPr>
            <w:tcW w:w="6662" w:type="dxa"/>
            <w:shd w:val="clear" w:color="auto" w:fill="E2EFD9" w:themeFill="accent6" w:themeFillTint="33"/>
          </w:tcPr>
          <w:p w14:paraId="2A4F7411" w14:textId="506DDFAF" w:rsidR="00C117D2" w:rsidRPr="00E5157A" w:rsidRDefault="0033219A" w:rsidP="00C117D2">
            <w:pPr>
              <w:pStyle w:val="NoSpacing"/>
              <w:rPr>
                <w:sz w:val="24"/>
                <w:lang w:eastAsia="en-AU"/>
              </w:rPr>
            </w:pPr>
            <w:r w:rsidRPr="00E5157A">
              <w:rPr>
                <w:sz w:val="24"/>
              </w:rPr>
              <w:t>No change</w:t>
            </w:r>
          </w:p>
        </w:tc>
      </w:tr>
      <w:tr w:rsidR="00C117D2" w:rsidRPr="008F5B26" w14:paraId="246690CE" w14:textId="77777777" w:rsidTr="00277A6E">
        <w:trPr>
          <w:trHeight w:val="425"/>
        </w:trPr>
        <w:tc>
          <w:tcPr>
            <w:tcW w:w="3652" w:type="dxa"/>
            <w:shd w:val="clear" w:color="auto" w:fill="auto"/>
          </w:tcPr>
          <w:p w14:paraId="6475F753" w14:textId="3E4F36E7" w:rsidR="00C117D2" w:rsidRPr="00E5157A" w:rsidRDefault="00C117D2" w:rsidP="00C117D2">
            <w:pPr>
              <w:pStyle w:val="NoSpacing"/>
              <w:rPr>
                <w:sz w:val="24"/>
                <w:lang w:eastAsia="en-AU"/>
              </w:rPr>
            </w:pPr>
            <w:r w:rsidRPr="00E5157A">
              <w:rPr>
                <w:sz w:val="24"/>
                <w:lang w:eastAsia="en-AU"/>
              </w:rPr>
              <w:t xml:space="preserve">Stocks of PPE – Masks </w:t>
            </w:r>
          </w:p>
        </w:tc>
        <w:tc>
          <w:tcPr>
            <w:tcW w:w="6095" w:type="dxa"/>
            <w:shd w:val="clear" w:color="auto" w:fill="E2EFD9" w:themeFill="accent6" w:themeFillTint="33"/>
          </w:tcPr>
          <w:p w14:paraId="7FFA0FAF" w14:textId="77777777" w:rsidR="00C117D2" w:rsidRPr="00E5157A" w:rsidRDefault="00C117D2" w:rsidP="00C117D2">
            <w:pPr>
              <w:pStyle w:val="NoSpacing"/>
              <w:rPr>
                <w:sz w:val="24"/>
                <w:lang w:eastAsia="en-AU"/>
              </w:rPr>
            </w:pPr>
            <w:r w:rsidRPr="00E5157A">
              <w:rPr>
                <w:sz w:val="24"/>
                <w:lang w:eastAsia="en-AU"/>
              </w:rPr>
              <w:t>The National Medical Stockpile details Personal Protective Equipment stores in Australia.</w:t>
            </w:r>
          </w:p>
          <w:p w14:paraId="1C9E097D" w14:textId="3738AFA0" w:rsidR="00C117D2" w:rsidRPr="00E5157A" w:rsidRDefault="00C117D2" w:rsidP="00C117D2">
            <w:pPr>
              <w:pStyle w:val="NoSpacing"/>
              <w:rPr>
                <w:sz w:val="24"/>
                <w:lang w:eastAsia="en-AU"/>
              </w:rPr>
            </w:pPr>
            <w:r w:rsidRPr="00E5157A">
              <w:rPr>
                <w:sz w:val="24"/>
                <w:lang w:eastAsia="en-AU"/>
              </w:rPr>
              <w:t>National Medical Stockpile has capacity to meet 8 week mask demand for States and Territories and Primary Health Network distributions, out until end December 2020 (at current usage rates).  Significant additional orders are still to come and local manufacturing capability is developing.</w:t>
            </w:r>
          </w:p>
        </w:tc>
        <w:tc>
          <w:tcPr>
            <w:tcW w:w="5387" w:type="dxa"/>
            <w:shd w:val="clear" w:color="auto" w:fill="E2EFD9" w:themeFill="accent6" w:themeFillTint="33"/>
          </w:tcPr>
          <w:p w14:paraId="75DECE2F" w14:textId="14B65B21" w:rsidR="00C117D2" w:rsidRPr="00E5157A" w:rsidRDefault="00C117D2" w:rsidP="00C117D2">
            <w:pPr>
              <w:pStyle w:val="NoSpacing"/>
              <w:rPr>
                <w:sz w:val="24"/>
                <w:lang w:eastAsia="en-AU"/>
              </w:rPr>
            </w:pPr>
            <w:r w:rsidRPr="00E5157A">
              <w:rPr>
                <w:sz w:val="24"/>
                <w:lang w:eastAsia="en-AU"/>
              </w:rPr>
              <w:t>No change</w:t>
            </w:r>
          </w:p>
        </w:tc>
        <w:tc>
          <w:tcPr>
            <w:tcW w:w="6662" w:type="dxa"/>
            <w:shd w:val="clear" w:color="auto" w:fill="E2EFD9" w:themeFill="accent6" w:themeFillTint="33"/>
          </w:tcPr>
          <w:p w14:paraId="7F98CFBD" w14:textId="350B6049" w:rsidR="00C117D2" w:rsidRPr="00E5157A" w:rsidRDefault="008A6A9A" w:rsidP="00815E69">
            <w:pPr>
              <w:pStyle w:val="NoSpacing"/>
              <w:rPr>
                <w:sz w:val="24"/>
                <w:lang w:eastAsia="en-AU"/>
              </w:rPr>
            </w:pPr>
            <w:r w:rsidRPr="00E5157A">
              <w:rPr>
                <w:sz w:val="24"/>
                <w:lang w:eastAsia="en-AU"/>
              </w:rPr>
              <w:t>No change</w:t>
            </w:r>
          </w:p>
        </w:tc>
      </w:tr>
      <w:tr w:rsidR="00550A76" w:rsidRPr="008F5B26" w14:paraId="4E613E8A" w14:textId="77777777" w:rsidTr="00277A6E">
        <w:trPr>
          <w:trHeight w:val="425"/>
        </w:trPr>
        <w:tc>
          <w:tcPr>
            <w:tcW w:w="3652" w:type="dxa"/>
            <w:shd w:val="clear" w:color="auto" w:fill="auto"/>
          </w:tcPr>
          <w:p w14:paraId="05494181" w14:textId="78902933" w:rsidR="00550A76" w:rsidRPr="00E5157A" w:rsidRDefault="00550A76" w:rsidP="00550A76">
            <w:pPr>
              <w:pStyle w:val="NoSpacing"/>
              <w:rPr>
                <w:sz w:val="24"/>
                <w:lang w:eastAsia="en-AU"/>
              </w:rPr>
            </w:pPr>
            <w:r w:rsidRPr="00E5157A">
              <w:rPr>
                <w:sz w:val="24"/>
              </w:rPr>
              <w:t xml:space="preserve">Stocks of PPE – Gowns </w:t>
            </w:r>
            <w:r w:rsidR="00E5157A">
              <w:rPr>
                <w:sz w:val="24"/>
              </w:rPr>
              <w:br/>
            </w:r>
            <w:r w:rsidRPr="00E5157A">
              <w:rPr>
                <w:sz w:val="24"/>
              </w:rPr>
              <w:t>and gloves</w:t>
            </w:r>
          </w:p>
        </w:tc>
        <w:tc>
          <w:tcPr>
            <w:tcW w:w="6095" w:type="dxa"/>
            <w:shd w:val="clear" w:color="auto" w:fill="E7E6E6" w:themeFill="background2"/>
          </w:tcPr>
          <w:p w14:paraId="6662B140" w14:textId="164FC502" w:rsidR="00550A76" w:rsidRPr="00E5157A" w:rsidRDefault="00550A76" w:rsidP="00550A76">
            <w:pPr>
              <w:pStyle w:val="NoSpacing"/>
              <w:rPr>
                <w:sz w:val="24"/>
                <w:lang w:eastAsia="en-AU"/>
              </w:rPr>
            </w:pPr>
            <w:r w:rsidRPr="00E5157A">
              <w:rPr>
                <w:sz w:val="24"/>
              </w:rPr>
              <w:t>Pressure on the supply of gowns has eased, though some jurisdictions are still experiencing issues.  Supply of both sterile and non-sterile gloves is still an issue which will be monitored.</w:t>
            </w:r>
          </w:p>
        </w:tc>
        <w:tc>
          <w:tcPr>
            <w:tcW w:w="5387" w:type="dxa"/>
            <w:shd w:val="clear" w:color="auto" w:fill="E7E6E6" w:themeFill="background2"/>
          </w:tcPr>
          <w:p w14:paraId="7336D7B6" w14:textId="425E985D" w:rsidR="00550A76" w:rsidRPr="00E5157A" w:rsidRDefault="00550A76" w:rsidP="00550A76">
            <w:pPr>
              <w:pStyle w:val="NoSpacing"/>
              <w:rPr>
                <w:sz w:val="24"/>
                <w:lang w:eastAsia="en-AU"/>
              </w:rPr>
            </w:pPr>
            <w:r w:rsidRPr="00E5157A">
              <w:rPr>
                <w:sz w:val="24"/>
                <w:lang w:eastAsia="en-AU"/>
              </w:rPr>
              <w:t>Jurisdictional data shows the supply of both sterile and non-sterile gloves continues to improve. However, the potential deficit of gloves remains an issue at this stage.</w:t>
            </w:r>
          </w:p>
        </w:tc>
        <w:tc>
          <w:tcPr>
            <w:tcW w:w="6662" w:type="dxa"/>
            <w:shd w:val="clear" w:color="auto" w:fill="E7E6E6" w:themeFill="background2"/>
          </w:tcPr>
          <w:p w14:paraId="19FE5DCD" w14:textId="4CE84B7E" w:rsidR="00550A76" w:rsidRPr="00E5157A" w:rsidRDefault="00550A76" w:rsidP="00550A76">
            <w:pPr>
              <w:pStyle w:val="NoSpacing"/>
              <w:rPr>
                <w:sz w:val="24"/>
                <w:lang w:eastAsia="en-AU"/>
              </w:rPr>
            </w:pPr>
            <w:r w:rsidRPr="00E5157A">
              <w:rPr>
                <w:sz w:val="24"/>
                <w:lang w:eastAsia="en-AU"/>
              </w:rPr>
              <w:t>No change.</w:t>
            </w:r>
          </w:p>
        </w:tc>
      </w:tr>
      <w:tr w:rsidR="00D24484" w:rsidRPr="008F5B26" w14:paraId="46332048" w14:textId="77777777" w:rsidTr="00277A6E">
        <w:trPr>
          <w:trHeight w:val="425"/>
        </w:trPr>
        <w:tc>
          <w:tcPr>
            <w:tcW w:w="3652" w:type="dxa"/>
            <w:shd w:val="clear" w:color="auto" w:fill="auto"/>
          </w:tcPr>
          <w:p w14:paraId="3635C42E" w14:textId="0A00C298" w:rsidR="00D24484" w:rsidRPr="00E5157A" w:rsidRDefault="00D24484" w:rsidP="00D24484">
            <w:pPr>
              <w:pStyle w:val="NoSpacing"/>
              <w:rPr>
                <w:sz w:val="24"/>
                <w:szCs w:val="24"/>
              </w:rPr>
            </w:pPr>
            <w:r w:rsidRPr="00E5157A">
              <w:rPr>
                <w:sz w:val="24"/>
                <w:szCs w:val="24"/>
              </w:rPr>
              <w:t xml:space="preserve">Stocks of </w:t>
            </w:r>
            <w:r w:rsidR="00E5157A">
              <w:rPr>
                <w:sz w:val="24"/>
                <w:szCs w:val="24"/>
              </w:rPr>
              <w:br/>
            </w:r>
            <w:r w:rsidRPr="00E5157A">
              <w:rPr>
                <w:sz w:val="24"/>
                <w:szCs w:val="24"/>
              </w:rPr>
              <w:t>healthcare consumables</w:t>
            </w:r>
          </w:p>
        </w:tc>
        <w:tc>
          <w:tcPr>
            <w:tcW w:w="6095" w:type="dxa"/>
            <w:shd w:val="clear" w:color="auto" w:fill="E2EFD9" w:themeFill="accent6" w:themeFillTint="33"/>
          </w:tcPr>
          <w:p w14:paraId="47B3DADF" w14:textId="346CEB37" w:rsidR="00D24484" w:rsidRPr="00E5157A" w:rsidRDefault="00D24484" w:rsidP="00D24484">
            <w:pPr>
              <w:pStyle w:val="NoSpacing"/>
              <w:rPr>
                <w:sz w:val="24"/>
                <w:szCs w:val="24"/>
              </w:rPr>
            </w:pPr>
            <w:r w:rsidRPr="00E5157A">
              <w:rPr>
                <w:sz w:val="24"/>
                <w:szCs w:val="24"/>
              </w:rPr>
              <w:t>TGA monitors drug and Australian Register of Therapeutic Goods registered consumable shortages. There are currently no reported shortages.</w:t>
            </w:r>
          </w:p>
        </w:tc>
        <w:tc>
          <w:tcPr>
            <w:tcW w:w="5387" w:type="dxa"/>
            <w:shd w:val="clear" w:color="auto" w:fill="E2EFD9" w:themeFill="accent6" w:themeFillTint="33"/>
          </w:tcPr>
          <w:p w14:paraId="59E085C3" w14:textId="51886BCE" w:rsidR="00D24484" w:rsidRPr="00E5157A" w:rsidRDefault="00D24484" w:rsidP="00D24484">
            <w:pPr>
              <w:pStyle w:val="NoSpacing"/>
              <w:rPr>
                <w:sz w:val="24"/>
                <w:szCs w:val="24"/>
              </w:rPr>
            </w:pPr>
            <w:r w:rsidRPr="00E5157A">
              <w:rPr>
                <w:sz w:val="24"/>
                <w:szCs w:val="24"/>
              </w:rPr>
              <w:t>No change</w:t>
            </w:r>
          </w:p>
        </w:tc>
        <w:tc>
          <w:tcPr>
            <w:tcW w:w="6662" w:type="dxa"/>
            <w:shd w:val="clear" w:color="auto" w:fill="E2EFD9" w:themeFill="accent6" w:themeFillTint="33"/>
          </w:tcPr>
          <w:p w14:paraId="15786122" w14:textId="766802B3" w:rsidR="00D24484" w:rsidRPr="00E5157A" w:rsidRDefault="00121B2E" w:rsidP="00D24484">
            <w:pPr>
              <w:pStyle w:val="NoSpacing"/>
              <w:rPr>
                <w:sz w:val="24"/>
                <w:szCs w:val="24"/>
              </w:rPr>
            </w:pPr>
            <w:r w:rsidRPr="00E5157A">
              <w:rPr>
                <w:sz w:val="24"/>
                <w:szCs w:val="24"/>
              </w:rPr>
              <w:t>No change</w:t>
            </w:r>
          </w:p>
        </w:tc>
      </w:tr>
      <w:tr w:rsidR="00550A76" w:rsidRPr="008F5B26" w14:paraId="6CF151D0" w14:textId="77777777" w:rsidTr="00277A6E">
        <w:trPr>
          <w:trHeight w:val="425"/>
        </w:trPr>
        <w:tc>
          <w:tcPr>
            <w:tcW w:w="3652" w:type="dxa"/>
            <w:shd w:val="clear" w:color="auto" w:fill="auto"/>
          </w:tcPr>
          <w:p w14:paraId="75E30888" w14:textId="07F213D5" w:rsidR="00550A76" w:rsidRPr="00E5157A" w:rsidRDefault="00550A76" w:rsidP="00550A76">
            <w:pPr>
              <w:pStyle w:val="NoSpacing"/>
              <w:rPr>
                <w:sz w:val="24"/>
                <w:szCs w:val="24"/>
              </w:rPr>
            </w:pPr>
            <w:r w:rsidRPr="00E5157A">
              <w:rPr>
                <w:sz w:val="24"/>
                <w:szCs w:val="24"/>
              </w:rPr>
              <w:t>Stocks of laboratory consumables (tests, reagents and swabs)</w:t>
            </w:r>
          </w:p>
        </w:tc>
        <w:tc>
          <w:tcPr>
            <w:tcW w:w="6095" w:type="dxa"/>
            <w:shd w:val="clear" w:color="auto" w:fill="E2EFD9" w:themeFill="accent6" w:themeFillTint="33"/>
          </w:tcPr>
          <w:p w14:paraId="21CB3096" w14:textId="5A360361" w:rsidR="00550A76" w:rsidRPr="00E5157A" w:rsidRDefault="00550A76" w:rsidP="00550A76">
            <w:pPr>
              <w:pStyle w:val="NoSpacing"/>
              <w:rPr>
                <w:sz w:val="24"/>
                <w:szCs w:val="24"/>
              </w:rPr>
            </w:pPr>
            <w:r w:rsidRPr="00E5157A">
              <w:rPr>
                <w:sz w:val="24"/>
                <w:szCs w:val="24"/>
              </w:rPr>
              <w:t xml:space="preserve">The first modelling report is being reviewed by </w:t>
            </w:r>
            <w:r w:rsidR="00E5157A">
              <w:rPr>
                <w:sz w:val="24"/>
                <w:szCs w:val="24"/>
              </w:rPr>
              <w:br/>
            </w:r>
            <w:r w:rsidRPr="00E5157A">
              <w:rPr>
                <w:sz w:val="24"/>
                <w:szCs w:val="24"/>
              </w:rPr>
              <w:t>the Department.</w:t>
            </w:r>
          </w:p>
        </w:tc>
        <w:tc>
          <w:tcPr>
            <w:tcW w:w="5387" w:type="dxa"/>
            <w:shd w:val="clear" w:color="auto" w:fill="E2EFD9" w:themeFill="accent6" w:themeFillTint="33"/>
          </w:tcPr>
          <w:p w14:paraId="0B13A29E" w14:textId="6E9B0CCD" w:rsidR="00550A76" w:rsidRPr="00E5157A" w:rsidRDefault="00550A76" w:rsidP="00550A76">
            <w:pPr>
              <w:pStyle w:val="NoSpacing"/>
              <w:rPr>
                <w:sz w:val="24"/>
                <w:szCs w:val="24"/>
              </w:rPr>
            </w:pPr>
            <w:r w:rsidRPr="00E5157A">
              <w:rPr>
                <w:sz w:val="24"/>
                <w:szCs w:val="24"/>
              </w:rPr>
              <w:t>Feedback on final modelling report provided to project team for action.</w:t>
            </w:r>
          </w:p>
        </w:tc>
        <w:tc>
          <w:tcPr>
            <w:tcW w:w="6662" w:type="dxa"/>
            <w:shd w:val="clear" w:color="auto" w:fill="E2EFD9" w:themeFill="accent6" w:themeFillTint="33"/>
          </w:tcPr>
          <w:p w14:paraId="0B523CC0" w14:textId="652C88FC" w:rsidR="00550A76" w:rsidRPr="00E5157A" w:rsidRDefault="00550A76" w:rsidP="00550A76">
            <w:pPr>
              <w:pStyle w:val="NoSpacing"/>
              <w:rPr>
                <w:sz w:val="24"/>
                <w:szCs w:val="24"/>
              </w:rPr>
            </w:pPr>
            <w:r w:rsidRPr="00E5157A">
              <w:rPr>
                <w:sz w:val="24"/>
                <w:szCs w:val="24"/>
              </w:rPr>
              <w:t xml:space="preserve">Final modelling report presented to AHPPC, PHLN </w:t>
            </w:r>
            <w:r w:rsidR="00E5157A">
              <w:rPr>
                <w:sz w:val="24"/>
                <w:szCs w:val="24"/>
              </w:rPr>
              <w:br/>
            </w:r>
            <w:r w:rsidRPr="00E5157A">
              <w:rPr>
                <w:sz w:val="24"/>
                <w:szCs w:val="24"/>
              </w:rPr>
              <w:t>and CDNA.</w:t>
            </w:r>
          </w:p>
        </w:tc>
      </w:tr>
      <w:tr w:rsidR="00D24484" w:rsidRPr="008F5B26" w14:paraId="57C0FE72" w14:textId="77777777" w:rsidTr="00277A6E">
        <w:trPr>
          <w:trHeight w:val="425"/>
        </w:trPr>
        <w:tc>
          <w:tcPr>
            <w:tcW w:w="3652" w:type="dxa"/>
            <w:shd w:val="clear" w:color="auto" w:fill="auto"/>
          </w:tcPr>
          <w:p w14:paraId="3033A040" w14:textId="76ED5EBC" w:rsidR="00D24484" w:rsidRPr="00E5157A" w:rsidRDefault="00D24484" w:rsidP="00D24484">
            <w:pPr>
              <w:pStyle w:val="NoSpacing"/>
              <w:rPr>
                <w:sz w:val="24"/>
                <w:szCs w:val="24"/>
              </w:rPr>
            </w:pPr>
            <w:r w:rsidRPr="00E5157A">
              <w:rPr>
                <w:sz w:val="24"/>
                <w:szCs w:val="24"/>
              </w:rPr>
              <w:t>Ongoing workforce training</w:t>
            </w:r>
          </w:p>
        </w:tc>
        <w:tc>
          <w:tcPr>
            <w:tcW w:w="6095" w:type="dxa"/>
            <w:shd w:val="clear" w:color="auto" w:fill="E2EFD9" w:themeFill="accent6" w:themeFillTint="33"/>
          </w:tcPr>
          <w:p w14:paraId="47978208" w14:textId="0B584F5B" w:rsidR="00D24484" w:rsidRPr="00E5157A" w:rsidRDefault="00D24484" w:rsidP="00D24484">
            <w:pPr>
              <w:pStyle w:val="NoSpacing"/>
              <w:rPr>
                <w:sz w:val="24"/>
                <w:szCs w:val="24"/>
              </w:rPr>
            </w:pPr>
            <w:r w:rsidRPr="00E5157A">
              <w:rPr>
                <w:sz w:val="24"/>
                <w:szCs w:val="24"/>
              </w:rPr>
              <w:t>Ongoing training for critical care nurses is occurring.</w:t>
            </w:r>
          </w:p>
        </w:tc>
        <w:tc>
          <w:tcPr>
            <w:tcW w:w="5387" w:type="dxa"/>
            <w:shd w:val="clear" w:color="auto" w:fill="E2EFD9" w:themeFill="accent6" w:themeFillTint="33"/>
          </w:tcPr>
          <w:p w14:paraId="1A643687" w14:textId="55E90FAD" w:rsidR="00D24484" w:rsidRPr="00E5157A" w:rsidRDefault="00D24484" w:rsidP="00D24484">
            <w:pPr>
              <w:pStyle w:val="NoSpacing"/>
              <w:rPr>
                <w:sz w:val="24"/>
                <w:szCs w:val="24"/>
              </w:rPr>
            </w:pPr>
            <w:r w:rsidRPr="00E5157A">
              <w:rPr>
                <w:sz w:val="24"/>
                <w:szCs w:val="24"/>
              </w:rPr>
              <w:t>No change</w:t>
            </w:r>
          </w:p>
        </w:tc>
        <w:tc>
          <w:tcPr>
            <w:tcW w:w="6662" w:type="dxa"/>
            <w:shd w:val="clear" w:color="auto" w:fill="E2EFD9" w:themeFill="accent6" w:themeFillTint="33"/>
          </w:tcPr>
          <w:p w14:paraId="118C8B19" w14:textId="32167D72" w:rsidR="00D24484" w:rsidRPr="00E5157A" w:rsidRDefault="00644938" w:rsidP="00D24484">
            <w:pPr>
              <w:pStyle w:val="NoSpacing"/>
              <w:rPr>
                <w:sz w:val="24"/>
                <w:szCs w:val="24"/>
              </w:rPr>
            </w:pPr>
            <w:r w:rsidRPr="00E5157A">
              <w:rPr>
                <w:sz w:val="24"/>
                <w:szCs w:val="24"/>
                <w:lang w:eastAsia="en-AU"/>
              </w:rPr>
              <w:t>No change</w:t>
            </w:r>
          </w:p>
        </w:tc>
      </w:tr>
    </w:tbl>
    <w:p w14:paraId="34FFBBA9" w14:textId="1081BC30" w:rsidR="00B60BAD" w:rsidRDefault="00B60BAD"/>
    <w:sectPr w:rsidR="00B60BAD" w:rsidSect="00575A2E">
      <w:headerReference w:type="default" r:id="rId9"/>
      <w:headerReference w:type="first" r:id="rId10"/>
      <w:pgSz w:w="23811" w:h="16838" w:orient="landscape" w:code="8"/>
      <w:pgMar w:top="1843" w:right="1440" w:bottom="851"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D13B" w14:textId="77777777" w:rsidR="00BB4AEB" w:rsidRDefault="00BB4AEB" w:rsidP="00BB4AEB">
      <w:pPr>
        <w:spacing w:after="0" w:line="240" w:lineRule="auto"/>
      </w:pPr>
      <w:r>
        <w:separator/>
      </w:r>
    </w:p>
  </w:endnote>
  <w:endnote w:type="continuationSeparator" w:id="0">
    <w:p w14:paraId="639E6F89" w14:textId="77777777" w:rsidR="00BB4AEB" w:rsidRDefault="00BB4AEB" w:rsidP="00B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12D0" w14:textId="77777777" w:rsidR="00BB4AEB" w:rsidRDefault="00BB4AEB" w:rsidP="00BB4AEB">
      <w:pPr>
        <w:spacing w:after="0" w:line="240" w:lineRule="auto"/>
      </w:pPr>
      <w:r>
        <w:separator/>
      </w:r>
    </w:p>
  </w:footnote>
  <w:footnote w:type="continuationSeparator" w:id="0">
    <w:p w14:paraId="281E1DB3" w14:textId="77777777" w:rsidR="00BB4AEB" w:rsidRDefault="00BB4AEB" w:rsidP="00BB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A474" w14:textId="20B8FB28" w:rsidR="00BB4AEB" w:rsidRDefault="00575A2E">
    <w:pPr>
      <w:pStyle w:val="Header"/>
    </w:pPr>
    <w:r>
      <w:rPr>
        <w:noProof/>
        <w:lang w:eastAsia="en-AU"/>
      </w:rPr>
      <w:drawing>
        <wp:anchor distT="0" distB="0" distL="114300" distR="114300" simplePos="0" relativeHeight="251673600" behindDoc="1" locked="0" layoutInCell="1" allowOverlap="1" wp14:anchorId="17685714" wp14:editId="40301AD2">
          <wp:simplePos x="0" y="0"/>
          <wp:positionH relativeFrom="margin">
            <wp:posOffset>11662410</wp:posOffset>
          </wp:positionH>
          <wp:positionV relativeFrom="margin">
            <wp:posOffset>-789305</wp:posOffset>
          </wp:positionV>
          <wp:extent cx="2399665" cy="431800"/>
          <wp:effectExtent l="0" t="0" r="635" b="6350"/>
          <wp:wrapSquare wrapText="bothSides"/>
          <wp:docPr id="34" name="Picture 34" descr="BeCOVIDSAFE black bullet icon" title="Be CovidSa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47B4" w14:textId="699201CC" w:rsidR="00277A6E" w:rsidRDefault="00277A6E">
    <w:pPr>
      <w:pStyle w:val="Header"/>
      <w:rPr>
        <w:noProof/>
        <w:lang w:eastAsia="en-AU"/>
      </w:rPr>
    </w:pPr>
    <w:r>
      <w:rPr>
        <w:noProof/>
        <w:lang w:eastAsia="en-AU"/>
      </w:rPr>
      <mc:AlternateContent>
        <mc:Choice Requires="wps">
          <w:drawing>
            <wp:anchor distT="0" distB="0" distL="114300" distR="114300" simplePos="0" relativeHeight="251633152" behindDoc="0" locked="0" layoutInCell="1" allowOverlap="1" wp14:anchorId="0FB23ABE" wp14:editId="4D13DCBD">
              <wp:simplePos x="0" y="0"/>
              <wp:positionH relativeFrom="column">
                <wp:posOffset>-541655</wp:posOffset>
              </wp:positionH>
              <wp:positionV relativeFrom="paragraph">
                <wp:posOffset>-248285</wp:posOffset>
              </wp:positionV>
              <wp:extent cx="14772904" cy="1404000"/>
              <wp:effectExtent l="0" t="0" r="0" b="571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14772904" cy="1404000"/>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F6179" id="Rectangle 4" o:spid="_x0000_s1026" alt="Title: Be CovidSafe Green - Description: Header-Green box" style="position:absolute;margin-left:-42.65pt;margin-top:-19.55pt;width:1163.2pt;height:110.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" fillcolor="#008a23" stroked="f" strokeweight=".5pt"/>
          </w:pict>
        </mc:Fallback>
      </mc:AlternateContent>
    </w:r>
    <w:r>
      <w:rPr>
        <w:noProof/>
        <w:lang w:eastAsia="en-AU"/>
      </w:rPr>
      <w:drawing>
        <wp:anchor distT="0" distB="0" distL="114300" distR="114300" simplePos="0" relativeHeight="251687424" behindDoc="0" locked="0" layoutInCell="1" allowOverlap="1" wp14:anchorId="4663C362" wp14:editId="2AEF07CB">
          <wp:simplePos x="0" y="0"/>
          <wp:positionH relativeFrom="column">
            <wp:posOffset>11563350</wp:posOffset>
          </wp:positionH>
          <wp:positionV relativeFrom="paragraph">
            <wp:posOffset>222060</wp:posOffset>
          </wp:positionV>
          <wp:extent cx="2407418" cy="432000"/>
          <wp:effectExtent l="0" t="0" r="0" b="6350"/>
          <wp:wrapNone/>
          <wp:docPr id="5" name="Picture 5" descr="Be CovidSafe black bullet icon&#10;" title="Be Covid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 CovidSafe black bullet icon&#10;" title="Be CovidSafe"/>
                  <pic:cNvPicPr/>
                </pic:nvPicPr>
                <pic:blipFill>
                  <a:blip r:embed="rId1">
                    <a:extLst>
                      <a:ext uri="{28A0092B-C50C-407E-A947-70E740481C1C}">
                        <a14:useLocalDpi xmlns:a14="http://schemas.microsoft.com/office/drawing/2010/main" val="0"/>
                      </a:ext>
                    </a:extLst>
                  </a:blip>
                  <a:stretch>
                    <a:fillRect/>
                  </a:stretch>
                </pic:blipFill>
                <pic:spPr>
                  <a:xfrm>
                    <a:off x="0" y="0"/>
                    <a:ext cx="2407418" cy="43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37600" behindDoc="0" locked="0" layoutInCell="1" allowOverlap="1" wp14:anchorId="7346BAA4" wp14:editId="739D1A58">
          <wp:simplePos x="0" y="0"/>
          <wp:positionH relativeFrom="column">
            <wp:posOffset>-278130</wp:posOffset>
          </wp:positionH>
          <wp:positionV relativeFrom="paragraph">
            <wp:posOffset>122365</wp:posOffset>
          </wp:positionV>
          <wp:extent cx="2887345" cy="699770"/>
          <wp:effectExtent l="0" t="0" r="8255" b="5080"/>
          <wp:wrapNone/>
          <wp:docPr id="6" name="Picture 6" descr="Australian Government Coat of Arms" title="Australian Government"/>
          <wp:cNvGraphicFramePr/>
          <a:graphic xmlns:a="http://schemas.openxmlformats.org/drawingml/2006/main">
            <a:graphicData uri="http://schemas.openxmlformats.org/drawingml/2006/picture">
              <pic:pic xmlns:pic="http://schemas.openxmlformats.org/drawingml/2006/picture">
                <pic:nvPicPr>
                  <pic:cNvPr id="6" name="Picture 6" descr="Australian Government Coat of Arms" title="Australian Government"/>
                  <pic:cNvPicPr/>
                </pic:nvPicPr>
                <pic:blipFill>
                  <a:blip r:embed="rId2">
                    <a:extLst>
                      <a:ext uri="{28A0092B-C50C-407E-A947-70E740481C1C}">
                        <a14:useLocalDpi xmlns:a14="http://schemas.microsoft.com/office/drawing/2010/main" val="0"/>
                      </a:ext>
                    </a:extLst>
                  </a:blip>
                  <a:stretch>
                    <a:fillRect/>
                  </a:stretch>
                </pic:blipFill>
                <pic:spPr>
                  <a:xfrm>
                    <a:off x="0" y="0"/>
                    <a:ext cx="2887345" cy="699770"/>
                  </a:xfrm>
                  <a:prstGeom prst="rect">
                    <a:avLst/>
                  </a:prstGeom>
                </pic:spPr>
              </pic:pic>
            </a:graphicData>
          </a:graphic>
        </wp:anchor>
      </w:drawing>
    </w:r>
  </w:p>
  <w:p w14:paraId="215BD876" w14:textId="77777777" w:rsidR="00277A6E" w:rsidRDefault="00277A6E">
    <w:pPr>
      <w:pStyle w:val="Header"/>
      <w:rPr>
        <w:noProof/>
        <w:lang w:eastAsia="en-AU"/>
      </w:rPr>
    </w:pPr>
  </w:p>
  <w:p w14:paraId="61F473AB" w14:textId="7A0661B3" w:rsidR="00277A6E" w:rsidRDefault="00277A6E">
    <w:pPr>
      <w:pStyle w:val="Header"/>
      <w:rPr>
        <w:noProof/>
        <w:lang w:eastAsia="en-AU"/>
      </w:rPr>
    </w:pPr>
  </w:p>
  <w:p w14:paraId="61DF1686" w14:textId="466FEE51" w:rsidR="00277A6E" w:rsidRDefault="00277A6E">
    <w:pPr>
      <w:pStyle w:val="Header"/>
      <w:rPr>
        <w:noProof/>
        <w:lang w:eastAsia="en-AU"/>
      </w:rPr>
    </w:pPr>
  </w:p>
  <w:p w14:paraId="4F1678E2" w14:textId="2C285FAD" w:rsidR="00277A6E" w:rsidRDefault="00277A6E">
    <w:pPr>
      <w:pStyle w:val="Header"/>
      <w:rPr>
        <w:noProof/>
        <w:lang w:eastAsia="en-AU"/>
      </w:rPr>
    </w:pPr>
  </w:p>
  <w:p w14:paraId="23EB4711" w14:textId="14121B24" w:rsidR="00277A6E" w:rsidRDefault="00277A6E">
    <w:pPr>
      <w:pStyle w:val="Header"/>
      <w:rPr>
        <w:noProof/>
        <w:lang w:eastAsia="en-AU"/>
      </w:rPr>
    </w:pPr>
  </w:p>
  <w:p w14:paraId="15A7DDE4" w14:textId="77777777" w:rsidR="00277A6E" w:rsidRDefault="00277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AD"/>
    <w:rsid w:val="00036D4F"/>
    <w:rsid w:val="00037BAB"/>
    <w:rsid w:val="00063B1A"/>
    <w:rsid w:val="000C1F7C"/>
    <w:rsid w:val="000E1421"/>
    <w:rsid w:val="00121B2E"/>
    <w:rsid w:val="001C4AB9"/>
    <w:rsid w:val="002740B1"/>
    <w:rsid w:val="00277A6E"/>
    <w:rsid w:val="002D6272"/>
    <w:rsid w:val="003111CF"/>
    <w:rsid w:val="0033219A"/>
    <w:rsid w:val="003A0AFC"/>
    <w:rsid w:val="003A1CD8"/>
    <w:rsid w:val="00471F1A"/>
    <w:rsid w:val="00550A76"/>
    <w:rsid w:val="00575A2E"/>
    <w:rsid w:val="005A4BBF"/>
    <w:rsid w:val="005B422E"/>
    <w:rsid w:val="006243C7"/>
    <w:rsid w:val="00644938"/>
    <w:rsid w:val="006716CE"/>
    <w:rsid w:val="006C13A4"/>
    <w:rsid w:val="0073049A"/>
    <w:rsid w:val="007F2747"/>
    <w:rsid w:val="007F4539"/>
    <w:rsid w:val="00814F60"/>
    <w:rsid w:val="00815E69"/>
    <w:rsid w:val="00850DE5"/>
    <w:rsid w:val="00851169"/>
    <w:rsid w:val="00855D52"/>
    <w:rsid w:val="00863E3A"/>
    <w:rsid w:val="00865FE6"/>
    <w:rsid w:val="008A6A9A"/>
    <w:rsid w:val="008F5B26"/>
    <w:rsid w:val="0092183F"/>
    <w:rsid w:val="009326BD"/>
    <w:rsid w:val="009758CA"/>
    <w:rsid w:val="00A56EDA"/>
    <w:rsid w:val="00A60510"/>
    <w:rsid w:val="00AF583F"/>
    <w:rsid w:val="00B11C66"/>
    <w:rsid w:val="00B27407"/>
    <w:rsid w:val="00B60BAD"/>
    <w:rsid w:val="00BB4AEB"/>
    <w:rsid w:val="00C117D2"/>
    <w:rsid w:val="00C32841"/>
    <w:rsid w:val="00C37F96"/>
    <w:rsid w:val="00C86BF6"/>
    <w:rsid w:val="00CB6A6A"/>
    <w:rsid w:val="00CD4AE8"/>
    <w:rsid w:val="00D24484"/>
    <w:rsid w:val="00D9407A"/>
    <w:rsid w:val="00E016E7"/>
    <w:rsid w:val="00E43EBF"/>
    <w:rsid w:val="00E5157A"/>
    <w:rsid w:val="00E56A0F"/>
    <w:rsid w:val="00E64A8D"/>
    <w:rsid w:val="00EF5C8E"/>
    <w:rsid w:val="00F5251B"/>
    <w:rsid w:val="00F762D5"/>
    <w:rsid w:val="00FD59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4FFBB41"/>
  <w15:docId w15:val="{E422AABA-A915-49E6-86C9-A72219D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B"/>
    <w:rPr>
      <w:rFonts w:ascii="Arial" w:hAnsi="Arial"/>
    </w:rPr>
  </w:style>
  <w:style w:type="paragraph" w:styleId="Heading1">
    <w:name w:val="heading 1"/>
    <w:basedOn w:val="Normal"/>
    <w:next w:val="Normal"/>
    <w:link w:val="Heading1Char"/>
    <w:uiPriority w:val="9"/>
    <w:qFormat/>
    <w:rsid w:val="00BB4AEB"/>
    <w:pPr>
      <w:keepNext/>
      <w:keepLines/>
      <w:spacing w:before="480" w:after="0"/>
      <w:outlineLvl w:val="0"/>
    </w:pPr>
    <w:rPr>
      <w:rFonts w:eastAsiaTheme="majorEastAsia" w:cs="Arial"/>
      <w:bCs/>
      <w:color w:val="006141"/>
      <w:sz w:val="36"/>
      <w:szCs w:val="36"/>
    </w:rPr>
  </w:style>
  <w:style w:type="paragraph" w:styleId="Heading2">
    <w:name w:val="heading 2"/>
    <w:aliases w:val="Headings"/>
    <w:basedOn w:val="NoSpacing"/>
    <w:next w:val="Normal"/>
    <w:link w:val="Heading2Char"/>
    <w:uiPriority w:val="9"/>
    <w:unhideWhenUsed/>
    <w:qFormat/>
    <w:rsid w:val="00F5251B"/>
    <w:pPr>
      <w:spacing w:before="120" w:after="120"/>
      <w:ind w:left="357" w:hanging="357"/>
      <w:jc w:val="both"/>
      <w:outlineLvl w:val="1"/>
    </w:pPr>
    <w:rPr>
      <w:rFonts w:cs="Arial"/>
      <w:b/>
      <w:sz w:val="24"/>
    </w:rPr>
  </w:style>
  <w:style w:type="paragraph" w:styleId="Heading3">
    <w:name w:val="heading 3"/>
    <w:basedOn w:val="Normal"/>
    <w:next w:val="Normal"/>
    <w:link w:val="Heading3Char"/>
    <w:uiPriority w:val="9"/>
    <w:unhideWhenUsed/>
    <w:qFormat/>
    <w:rsid w:val="00E5157A"/>
    <w:pPr>
      <w:keepNext/>
      <w:keepLines/>
      <w:spacing w:before="200" w:after="0"/>
      <w:outlineLvl w:val="2"/>
    </w:pPr>
    <w:rPr>
      <w:rFonts w:eastAsiaTheme="majorEastAsia" w:cs="Arial"/>
      <w:b/>
      <w:bCs/>
      <w:caps/>
      <w:color w:val="FFFFFF" w:themeColor="background1"/>
      <w:sz w:val="28"/>
      <w:szCs w:val="28"/>
      <w:lang w:eastAsia="en-AU"/>
    </w:rPr>
  </w:style>
  <w:style w:type="paragraph" w:styleId="Heading4">
    <w:name w:val="heading 4"/>
    <w:basedOn w:val="Normal"/>
    <w:next w:val="Normal"/>
    <w:link w:val="Heading4Char"/>
    <w:uiPriority w:val="9"/>
    <w:unhideWhenUsed/>
    <w:qFormat/>
    <w:rsid w:val="00BB4AEB"/>
    <w:pPr>
      <w:outlineLvl w:val="3"/>
    </w:pPr>
    <w:rPr>
      <w:b/>
      <w:cap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s Char"/>
    <w:basedOn w:val="DefaultParagraphFont"/>
    <w:link w:val="Heading2"/>
    <w:uiPriority w:val="9"/>
    <w:rsid w:val="00F5251B"/>
    <w:rPr>
      <w:rFonts w:cs="Arial"/>
      <w:b/>
      <w:sz w:val="24"/>
    </w:rPr>
  </w:style>
  <w:style w:type="paragraph" w:styleId="NoSpacing">
    <w:name w:val="No Spacing"/>
    <w:uiPriority w:val="1"/>
    <w:qFormat/>
    <w:rsid w:val="00C117D2"/>
    <w:pPr>
      <w:spacing w:after="0"/>
    </w:pPr>
    <w:rPr>
      <w:rFonts w:ascii="Arial" w:hAnsi="Arial"/>
    </w:rPr>
  </w:style>
  <w:style w:type="character" w:customStyle="1" w:styleId="Heading1Char">
    <w:name w:val="Heading 1 Char"/>
    <w:basedOn w:val="DefaultParagraphFont"/>
    <w:link w:val="Heading1"/>
    <w:uiPriority w:val="9"/>
    <w:rsid w:val="00BB4AEB"/>
    <w:rPr>
      <w:rFonts w:ascii="Arial" w:eastAsiaTheme="majorEastAsia" w:hAnsi="Arial" w:cs="Arial"/>
      <w:bCs/>
      <w:color w:val="006141"/>
      <w:sz w:val="36"/>
      <w:szCs w:val="36"/>
    </w:rPr>
  </w:style>
  <w:style w:type="paragraph" w:styleId="BalloonText">
    <w:name w:val="Balloon Text"/>
    <w:basedOn w:val="Normal"/>
    <w:link w:val="BalloonTextChar"/>
    <w:uiPriority w:val="99"/>
    <w:semiHidden/>
    <w:unhideWhenUsed/>
    <w:rsid w:val="00D9407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07A"/>
    <w:rPr>
      <w:rFonts w:ascii="Lucida Grande" w:hAnsi="Lucida Grande"/>
      <w:sz w:val="18"/>
      <w:szCs w:val="18"/>
    </w:rPr>
  </w:style>
  <w:style w:type="paragraph" w:styleId="Header">
    <w:name w:val="header"/>
    <w:basedOn w:val="Normal"/>
    <w:link w:val="HeaderChar"/>
    <w:uiPriority w:val="99"/>
    <w:unhideWhenUsed/>
    <w:rsid w:val="00BB4A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4AEB"/>
  </w:style>
  <w:style w:type="paragraph" w:styleId="Footer">
    <w:name w:val="footer"/>
    <w:basedOn w:val="Normal"/>
    <w:link w:val="FooterChar"/>
    <w:uiPriority w:val="99"/>
    <w:unhideWhenUsed/>
    <w:rsid w:val="00BB4A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4AEB"/>
  </w:style>
  <w:style w:type="character" w:customStyle="1" w:styleId="Heading3Char">
    <w:name w:val="Heading 3 Char"/>
    <w:basedOn w:val="DefaultParagraphFont"/>
    <w:link w:val="Heading3"/>
    <w:uiPriority w:val="9"/>
    <w:rsid w:val="00E5157A"/>
    <w:rPr>
      <w:rFonts w:ascii="Arial" w:eastAsiaTheme="majorEastAsia" w:hAnsi="Arial" w:cs="Arial"/>
      <w:b/>
      <w:bCs/>
      <w:caps/>
      <w:color w:val="FFFFFF" w:themeColor="background1"/>
      <w:sz w:val="28"/>
      <w:szCs w:val="28"/>
      <w:lang w:eastAsia="en-AU"/>
    </w:rPr>
  </w:style>
  <w:style w:type="character" w:customStyle="1" w:styleId="Heading4Char">
    <w:name w:val="Heading 4 Char"/>
    <w:basedOn w:val="DefaultParagraphFont"/>
    <w:link w:val="Heading4"/>
    <w:uiPriority w:val="9"/>
    <w:rsid w:val="00BB4AEB"/>
    <w:rPr>
      <w:rFonts w:ascii="Arial" w:hAnsi="Arial"/>
      <w:b/>
      <w:cap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D551C-4531-49D8-B325-B1D1BBCE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88EBA-F8F6-4FD4-A420-EF1502A542C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60CD85F-29AF-4BEF-94D4-7918E7D68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Chloe</dc:creator>
  <cp:keywords/>
  <dc:description/>
  <cp:lastModifiedBy>Serafin, Aaron</cp:lastModifiedBy>
  <cp:revision>34</cp:revision>
  <cp:lastPrinted>2020-07-23T03:21:00Z</cp:lastPrinted>
  <dcterms:created xsi:type="dcterms:W3CDTF">2020-06-26T02:32:00Z</dcterms:created>
  <dcterms:modified xsi:type="dcterms:W3CDTF">2020-07-23T03:24:00Z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