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0620" w14:textId="2D1EBC8A" w:rsidR="003261EE" w:rsidRPr="00DD43B4" w:rsidRDefault="00B0600E" w:rsidP="003261EE">
      <w:pPr>
        <w:rPr>
          <w:rFonts w:asciiTheme="majorHAnsi" w:hAnsiTheme="majorHAnsi"/>
          <w:b/>
          <w:color w:val="36424A" w:themeColor="text2"/>
          <w:sz w:val="28"/>
        </w:rPr>
      </w:pPr>
      <w:r>
        <w:rPr>
          <w:noProof/>
          <w:lang w:val="en-AU" w:eastAsia="en-AU"/>
        </w:rPr>
        <mc:AlternateContent>
          <mc:Choice Requires="wpg">
            <w:drawing>
              <wp:anchor distT="0" distB="0" distL="114300" distR="114300" simplePos="0" relativeHeight="251658240" behindDoc="0" locked="0" layoutInCell="1" allowOverlap="1" wp14:anchorId="0313306C" wp14:editId="6D0B3CE7">
                <wp:simplePos x="0" y="0"/>
                <wp:positionH relativeFrom="column">
                  <wp:posOffset>-549910</wp:posOffset>
                </wp:positionH>
                <wp:positionV relativeFrom="paragraph">
                  <wp:posOffset>4730750</wp:posOffset>
                </wp:positionV>
                <wp:extent cx="6854825" cy="4318000"/>
                <wp:effectExtent l="0" t="0" r="3175" b="6350"/>
                <wp:wrapNone/>
                <wp:docPr id="78" name="Group 78" descr="Digital Breast Tomosynthesis&#10;&#10;An update of Aleen+Clarke's literature reviews on the use of tomosynthesis in the BreastScreen Australia program.&#10;&#10;Final report: 8 May 2020&#10;&#10;Allen+Clarke"/>
                <wp:cNvGraphicFramePr/>
                <a:graphic xmlns:a="http://schemas.openxmlformats.org/drawingml/2006/main">
                  <a:graphicData uri="http://schemas.microsoft.com/office/word/2010/wordprocessingGroup">
                    <wpg:wgp>
                      <wpg:cNvGrpSpPr/>
                      <wpg:grpSpPr>
                        <a:xfrm>
                          <a:off x="0" y="0"/>
                          <a:ext cx="6854825" cy="4318000"/>
                          <a:chOff x="-16458" y="4796593"/>
                          <a:chExt cx="6856044" cy="4319254"/>
                        </a:xfrm>
                      </wpg:grpSpPr>
                      <wps:wsp>
                        <wps:cNvPr id="80" name="Text Box 2" descr="Digital breast tomosynthesis&#10;An update of Allen + Clarke's literature reviews on the use of tomosynthesis in the BreastScreen Australia program.&#10;Final report: 8 May 2020"/>
                        <wps:cNvSpPr txBox="1">
                          <a:spLocks noChangeArrowheads="1"/>
                        </wps:cNvSpPr>
                        <wps:spPr bwMode="auto">
                          <a:xfrm>
                            <a:off x="-16458" y="4796593"/>
                            <a:ext cx="6856044" cy="3059430"/>
                          </a:xfrm>
                          <a:prstGeom prst="rect">
                            <a:avLst/>
                          </a:prstGeom>
                          <a:solidFill>
                            <a:schemeClr val="tx2"/>
                          </a:solidFill>
                          <a:ln w="9525">
                            <a:noFill/>
                            <a:miter lim="800000"/>
                            <a:headEnd/>
                            <a:tailEnd/>
                          </a:ln>
                        </wps:spPr>
                        <wps:txbx>
                          <w:txbxContent>
                            <w:p w14:paraId="6DB68A76" w14:textId="77777777" w:rsidR="00387823" w:rsidRDefault="00387823" w:rsidP="003261EE">
                              <w:pPr>
                                <w:pStyle w:val="ACReport-MainTitle"/>
                              </w:pPr>
                              <w:r>
                                <w:t>Digital breast tomosynthesis</w:t>
                              </w:r>
                            </w:p>
                            <w:p w14:paraId="0EEAB9D8" w14:textId="77777777" w:rsidR="00387823" w:rsidRDefault="00387823" w:rsidP="003261EE">
                              <w:pPr>
                                <w:pStyle w:val="ACReport-Subtitle"/>
                              </w:pPr>
                              <w:r>
                                <w:t xml:space="preserve">An update of </w:t>
                              </w:r>
                              <w:r>
                                <w:rPr>
                                  <w:i/>
                                  <w:iCs/>
                                </w:rPr>
                                <w:t>Allen + Clarke</w:t>
                              </w:r>
                              <w:r>
                                <w:t>’s literature reviews on the use of tomosynthesis in the BreastScreen Australia program</w:t>
                              </w:r>
                            </w:p>
                            <w:p w14:paraId="5DE85960" w14:textId="0982CE57" w:rsidR="00387823" w:rsidRPr="003F7AF2" w:rsidRDefault="00387823" w:rsidP="003261EE">
                              <w:pPr>
                                <w:pStyle w:val="ACReportDate"/>
                              </w:pPr>
                              <w:r>
                                <w:t>Final report: 8 May 2020</w:t>
                              </w:r>
                            </w:p>
                            <w:p w14:paraId="35B9A3C6" w14:textId="77777777" w:rsidR="00387823" w:rsidRPr="003F7AF2" w:rsidRDefault="00387823" w:rsidP="003261EE">
                              <w:pPr>
                                <w:pStyle w:val="ACReportDate"/>
                              </w:pPr>
                            </w:p>
                          </w:txbxContent>
                        </wps:txbx>
                        <wps:bodyPr rot="0" vert="horz" wrap="square" lIns="91440" tIns="45720" rIns="91440" bIns="45720" anchor="t" anchorCtr="0">
                          <a:noAutofit/>
                        </wps:bodyPr>
                      </wps:wsp>
                      <wps:wsp>
                        <wps:cNvPr id="81" name="Text Box 2" descr="Logo: Allen + Clarke"/>
                        <wps:cNvSpPr txBox="1">
                          <a:spLocks noChangeArrowheads="1"/>
                        </wps:cNvSpPr>
                        <wps:spPr bwMode="auto">
                          <a:xfrm>
                            <a:off x="-16458" y="7855847"/>
                            <a:ext cx="6856043" cy="1260000"/>
                          </a:xfrm>
                          <a:prstGeom prst="rect">
                            <a:avLst/>
                          </a:prstGeom>
                          <a:solidFill>
                            <a:schemeClr val="bg2"/>
                          </a:solidFill>
                          <a:ln w="9525">
                            <a:noFill/>
                            <a:miter lim="800000"/>
                            <a:headEnd/>
                            <a:tailEnd/>
                          </a:ln>
                        </wps:spPr>
                        <wps:txbx>
                          <w:txbxContent>
                            <w:p w14:paraId="1FEEC036" w14:textId="77777777" w:rsidR="00387823" w:rsidRDefault="00387823" w:rsidP="003261EE">
                              <w:pPr>
                                <w:jc w:val="center"/>
                              </w:pPr>
                            </w:p>
                          </w:txbxContent>
                        </wps:txbx>
                        <wps:bodyPr rot="0" vert="horz" wrap="square" lIns="91440" tIns="45720" rIns="91440" bIns="45720" anchor="t" anchorCtr="0">
                          <a:noAutofit/>
                        </wps:bodyPr>
                      </wps:wsp>
                    </wpg:wgp>
                  </a:graphicData>
                </a:graphic>
              </wp:anchor>
            </w:drawing>
          </mc:Choice>
          <mc:Fallback>
            <w:pict>
              <v:group w14:anchorId="0313306C" id="Group 78" o:spid="_x0000_s1026" alt="Digital Breast Tomosynthesis&#10;&#10;An update of Aleen+Clarke's literature reviews on the use of tomosynthesis in the BreastScreen Australia program.&#10;&#10;Final report: 8 May 2020&#10;&#10;Allen+Clarke" style="position:absolute;margin-left:-43.3pt;margin-top:372.5pt;width:539.75pt;height:340pt;z-index:251658240" coordorigin="-164,47965" coordsize="68560,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">
                <v:shapetype id="_x0000_t202" coordsize="21600,21600" o:spt="202" path="m,l,21600r21600,l21600,xe">
                  <v:stroke joinstyle="miter"/>
                  <v:path gradientshapeok="t" o:connecttype="rect"/>
                </v:shapetype>
                <v:shape id="Text Box 2" o:spid="_x0000_s1027" type="#_x0000_t202" alt="Digital breast tomosynthesis&#10;An update of Allen + Clarke's literature reviews on the use of tomosynthesis in the BreastScreen Australia program.&#10;Final report: 8 May 2020" style="position:absolute;left:-164;top:47965;width:68559;height:30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" fillcolor="#36424a [3215]" stroked="f">
                  <v:textbox>
                    <w:txbxContent>
                      <w:p w14:paraId="6DB68A76" w14:textId="77777777" w:rsidR="00387823" w:rsidRDefault="00387823" w:rsidP="003261EE">
                        <w:pPr>
                          <w:pStyle w:val="ACReport-MainTitle"/>
                        </w:pPr>
                        <w:r>
                          <w:t>Digital breast tomosynthesis</w:t>
                        </w:r>
                      </w:p>
                      <w:p w14:paraId="0EEAB9D8" w14:textId="77777777" w:rsidR="00387823" w:rsidRDefault="00387823" w:rsidP="003261EE">
                        <w:pPr>
                          <w:pStyle w:val="ACReport-Subtitle"/>
                        </w:pPr>
                        <w:r>
                          <w:t xml:space="preserve">An update of </w:t>
                        </w:r>
                        <w:r>
                          <w:rPr>
                            <w:i/>
                            <w:iCs/>
                          </w:rPr>
                          <w:t>Allen + Clarke</w:t>
                        </w:r>
                        <w:r>
                          <w:t>’s literature reviews on the use of tomosynthesis in the BreastScreen Australia program</w:t>
                        </w:r>
                      </w:p>
                      <w:p w14:paraId="5DE85960" w14:textId="0982CE57" w:rsidR="00387823" w:rsidRPr="003F7AF2" w:rsidRDefault="00387823" w:rsidP="003261EE">
                        <w:pPr>
                          <w:pStyle w:val="ACReportDate"/>
                        </w:pPr>
                        <w:r>
                          <w:t>Final report: 8 May 2020</w:t>
                        </w:r>
                      </w:p>
                      <w:p w14:paraId="35B9A3C6" w14:textId="77777777" w:rsidR="00387823" w:rsidRPr="003F7AF2" w:rsidRDefault="00387823" w:rsidP="003261EE">
                        <w:pPr>
                          <w:pStyle w:val="ACReportDate"/>
                        </w:pPr>
                      </w:p>
                    </w:txbxContent>
                  </v:textbox>
                </v:shape>
                <v:shape id="Text Box 2" o:spid="_x0000_s1028" type="#_x0000_t202" alt="Logo: Allen + Clarke" style="position:absolute;left:-164;top:78558;width:68559;height:1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" fillcolor="#77b800 [3214]" stroked="f">
                  <v:textbox>
                    <w:txbxContent>
                      <w:p w14:paraId="1FEEC036" w14:textId="77777777" w:rsidR="00387823" w:rsidRDefault="00387823" w:rsidP="003261EE">
                        <w:pPr>
                          <w:jc w:val="center"/>
                        </w:pPr>
                      </w:p>
                    </w:txbxContent>
                  </v:textbox>
                </v:shape>
              </v:group>
            </w:pict>
          </mc:Fallback>
        </mc:AlternateContent>
      </w:r>
      <w:r>
        <w:rPr>
          <w:noProof/>
          <w:lang w:val="en-AU" w:eastAsia="en-AU"/>
        </w:rPr>
        <w:drawing>
          <wp:anchor distT="0" distB="0" distL="114300" distR="114300" simplePos="0" relativeHeight="251659264" behindDoc="0" locked="0" layoutInCell="1" allowOverlap="1" wp14:anchorId="69D44D53" wp14:editId="736043CC">
            <wp:simplePos x="0" y="0"/>
            <wp:positionH relativeFrom="column">
              <wp:posOffset>842509</wp:posOffset>
            </wp:positionH>
            <wp:positionV relativeFrom="paragraph">
              <wp:posOffset>7962421</wp:posOffset>
            </wp:positionV>
            <wp:extent cx="4070261" cy="924992"/>
            <wp:effectExtent l="0" t="0" r="6985" b="8890"/>
            <wp:wrapNone/>
            <wp:docPr id="82" name="Picture 82" descr="Allen +Clar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0261" cy="924992"/>
                    </a:xfrm>
                    <a:prstGeom prst="rect">
                      <a:avLst/>
                    </a:prstGeom>
                  </pic:spPr>
                </pic:pic>
              </a:graphicData>
            </a:graphic>
          </wp:anchor>
        </w:drawing>
      </w:r>
      <w:r w:rsidR="003261EE" w:rsidRPr="00E44152">
        <w:rPr>
          <w:noProof/>
          <w:lang w:val="en-AU" w:eastAsia="en-AU"/>
        </w:rPr>
        <w:drawing>
          <wp:anchor distT="0" distB="0" distL="114300" distR="114300" simplePos="0" relativeHeight="251660288" behindDoc="0" locked="0" layoutInCell="1" allowOverlap="1" wp14:anchorId="2FB6A103" wp14:editId="75DED625">
            <wp:simplePos x="0" y="0"/>
            <wp:positionH relativeFrom="margin">
              <wp:posOffset>-549275</wp:posOffset>
            </wp:positionH>
            <wp:positionV relativeFrom="paragraph">
              <wp:posOffset>0</wp:posOffset>
            </wp:positionV>
            <wp:extent cx="6849745" cy="4796155"/>
            <wp:effectExtent l="0" t="0" r="8255" b="4445"/>
            <wp:wrapSquare wrapText="bothSides"/>
            <wp:docPr id="1" name="Picture 1" descr="Pic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49745" cy="4796155"/>
                    </a:xfrm>
                    <a:prstGeom prst="rect">
                      <a:avLst/>
                    </a:prstGeom>
                  </pic:spPr>
                </pic:pic>
              </a:graphicData>
            </a:graphic>
            <wp14:sizeRelH relativeFrom="margin">
              <wp14:pctWidth>0</wp14:pctWidth>
            </wp14:sizeRelH>
            <wp14:sizeRelV relativeFrom="margin">
              <wp14:pctHeight>0</wp14:pctHeight>
            </wp14:sizeRelV>
          </wp:anchor>
        </w:drawing>
      </w:r>
      <w:r w:rsidR="003261EE" w:rsidRPr="00E44152">
        <w:rPr>
          <w:rFonts w:asciiTheme="majorHAnsi" w:hAnsiTheme="majorHAnsi"/>
          <w:b/>
          <w:color w:val="36424A" w:themeColor="text2"/>
          <w:sz w:val="28"/>
        </w:rPr>
        <w:br w:type="page"/>
      </w:r>
      <w:bookmarkStart w:id="0" w:name="_GoBack"/>
      <w:bookmarkEnd w:id="0"/>
    </w:p>
    <w:p w14:paraId="6CC3E764" w14:textId="77777777" w:rsidR="003261EE" w:rsidRPr="00E44152" w:rsidRDefault="003261EE" w:rsidP="00DD43B4">
      <w:pPr>
        <w:spacing w:before="8200"/>
      </w:pPr>
    </w:p>
    <w:p w14:paraId="3290EB94" w14:textId="77777777" w:rsidR="003261EE" w:rsidRPr="00E44152" w:rsidRDefault="003261EE" w:rsidP="00DD43B4">
      <w:pPr>
        <w:spacing w:before="8200"/>
      </w:pPr>
    </w:p>
    <w:tbl>
      <w:tblPr>
        <w:tblStyle w:val="TableGrid"/>
        <w:tblW w:w="5078" w:type="pct"/>
        <w:tblLayout w:type="fixed"/>
        <w:tblLook w:val="0480" w:firstRow="0" w:lastRow="0" w:firstColumn="1" w:lastColumn="0" w:noHBand="0" w:noVBand="1"/>
        <w:tblDescription w:val="Allen + Clarke has been independently certified as compliant with ISO9001:2015 Quality Management Systems"/>
      </w:tblPr>
      <w:tblGrid>
        <w:gridCol w:w="1838"/>
        <w:gridCol w:w="3967"/>
        <w:gridCol w:w="3402"/>
      </w:tblGrid>
      <w:tr w:rsidR="003261EE" w:rsidRPr="00E44152" w14:paraId="4A2D223A" w14:textId="77777777" w:rsidTr="00FE4B9F">
        <w:trPr>
          <w:tblHeader/>
        </w:trPr>
        <w:tc>
          <w:tcPr>
            <w:tcW w:w="1838" w:type="dxa"/>
          </w:tcPr>
          <w:p w14:paraId="7CAA572B" w14:textId="77777777" w:rsidR="003261EE" w:rsidRPr="00E44152" w:rsidRDefault="003261EE" w:rsidP="00236D7C">
            <w:pPr>
              <w:pStyle w:val="Footer"/>
              <w:rPr>
                <w:b/>
              </w:rPr>
            </w:pPr>
            <w:bookmarkStart w:id="1" w:name="_Toc507015870"/>
            <w:bookmarkStart w:id="2" w:name="_Toc507015993"/>
            <w:r w:rsidRPr="00E44152">
              <w:rPr>
                <w:b/>
              </w:rPr>
              <w:t xml:space="preserve">Document status: </w:t>
            </w:r>
          </w:p>
        </w:tc>
        <w:tc>
          <w:tcPr>
            <w:tcW w:w="3967" w:type="dxa"/>
            <w:tcBorders>
              <w:right w:val="single" w:sz="4" w:space="0" w:color="auto"/>
            </w:tcBorders>
          </w:tcPr>
          <w:p w14:paraId="2DDEF49F" w14:textId="06F42EBC" w:rsidR="003261EE" w:rsidRPr="00E44152" w:rsidRDefault="00935D4C" w:rsidP="00236D7C">
            <w:pPr>
              <w:pStyle w:val="Footer"/>
            </w:pPr>
            <w:r>
              <w:t xml:space="preserve">Final </w:t>
            </w:r>
            <w:r w:rsidR="003261EE">
              <w:t>report</w:t>
            </w:r>
          </w:p>
        </w:tc>
        <w:tc>
          <w:tcPr>
            <w:tcW w:w="3402" w:type="dxa"/>
            <w:vMerge w:val="restart"/>
            <w:tcBorders>
              <w:top w:val="nil"/>
              <w:left w:val="single" w:sz="4" w:space="0" w:color="auto"/>
              <w:bottom w:val="nil"/>
              <w:right w:val="nil"/>
            </w:tcBorders>
          </w:tcPr>
          <w:p w14:paraId="5D5B5618" w14:textId="77777777" w:rsidR="003261EE" w:rsidRPr="00E44152" w:rsidRDefault="003261EE" w:rsidP="00236D7C">
            <w:pPr>
              <w:pStyle w:val="Table-para"/>
              <w:ind w:left="320"/>
              <w:jc w:val="right"/>
            </w:pPr>
            <w:r w:rsidRPr="00E44152">
              <w:rPr>
                <w:i/>
                <w:noProof/>
                <w:lang w:val="en-AU" w:eastAsia="en-AU"/>
              </w:rPr>
              <w:drawing>
                <wp:anchor distT="0" distB="0" distL="114300" distR="114300" simplePos="0" relativeHeight="251661312" behindDoc="0" locked="0" layoutInCell="1" allowOverlap="1" wp14:anchorId="3CA31C58" wp14:editId="75EB4787">
                  <wp:simplePos x="0" y="0"/>
                  <wp:positionH relativeFrom="column">
                    <wp:posOffset>1720850</wp:posOffset>
                  </wp:positionH>
                  <wp:positionV relativeFrom="paragraph">
                    <wp:posOffset>887730</wp:posOffset>
                  </wp:positionV>
                  <wp:extent cx="540000" cy="1065600"/>
                  <wp:effectExtent l="0" t="0" r="0" b="1270"/>
                  <wp:wrapTopAndBottom/>
                  <wp:docPr id="5" name="Picture 5" descr="Telarc registered. Quality 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larc-Registration-ISO-9001 sm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1065600"/>
                          </a:xfrm>
                          <a:prstGeom prst="rect">
                            <a:avLst/>
                          </a:prstGeom>
                        </pic:spPr>
                      </pic:pic>
                    </a:graphicData>
                  </a:graphic>
                  <wp14:sizeRelH relativeFrom="margin">
                    <wp14:pctWidth>0</wp14:pctWidth>
                  </wp14:sizeRelH>
                  <wp14:sizeRelV relativeFrom="margin">
                    <wp14:pctHeight>0</wp14:pctHeight>
                  </wp14:sizeRelV>
                </wp:anchor>
              </w:drawing>
            </w:r>
            <w:r w:rsidRPr="00E44152">
              <w:rPr>
                <w:i/>
              </w:rPr>
              <w:t>Allen + Clarke</w:t>
            </w:r>
            <w:r w:rsidRPr="00E44152">
              <w:t xml:space="preserve"> has been independently certified as compliant with ISO9001:2015 Quality Management Systems</w:t>
            </w:r>
          </w:p>
          <w:p w14:paraId="1402CADC" w14:textId="77777777" w:rsidR="003261EE" w:rsidRPr="00E44152" w:rsidRDefault="003261EE" w:rsidP="00236D7C">
            <w:pPr>
              <w:pStyle w:val="Table-para"/>
              <w:ind w:left="320"/>
              <w:jc w:val="right"/>
              <w:rPr>
                <w:noProof/>
              </w:rPr>
            </w:pPr>
            <w:r w:rsidRPr="00E44152">
              <w:rPr>
                <w:noProof/>
              </w:rPr>
              <w:t xml:space="preserve"> </w:t>
            </w:r>
          </w:p>
        </w:tc>
      </w:tr>
      <w:tr w:rsidR="003261EE" w:rsidRPr="00E44152" w14:paraId="71EA298D" w14:textId="77777777" w:rsidTr="00935D4C">
        <w:tc>
          <w:tcPr>
            <w:tcW w:w="1838" w:type="dxa"/>
          </w:tcPr>
          <w:p w14:paraId="4086EFC6" w14:textId="77777777" w:rsidR="003261EE" w:rsidRPr="00E44152" w:rsidRDefault="003261EE" w:rsidP="00236D7C">
            <w:pPr>
              <w:pStyle w:val="Footer"/>
              <w:rPr>
                <w:b/>
              </w:rPr>
            </w:pPr>
            <w:r w:rsidRPr="00E44152">
              <w:rPr>
                <w:b/>
              </w:rPr>
              <w:t>Version and date:</w:t>
            </w:r>
          </w:p>
        </w:tc>
        <w:tc>
          <w:tcPr>
            <w:tcW w:w="3967" w:type="dxa"/>
            <w:tcBorders>
              <w:right w:val="single" w:sz="4" w:space="0" w:color="auto"/>
            </w:tcBorders>
          </w:tcPr>
          <w:p w14:paraId="13A95D91" w14:textId="457A3127" w:rsidR="003261EE" w:rsidRPr="00E44152" w:rsidRDefault="003261EE" w:rsidP="00236D7C">
            <w:pPr>
              <w:pStyle w:val="Footer"/>
            </w:pPr>
            <w:r>
              <w:t>V</w:t>
            </w:r>
            <w:r w:rsidR="005816C5">
              <w:t>3</w:t>
            </w:r>
            <w:r>
              <w:t xml:space="preserve">, </w:t>
            </w:r>
            <w:r w:rsidR="005816C5">
              <w:t>18 June</w:t>
            </w:r>
            <w:r w:rsidR="00935D4C">
              <w:t xml:space="preserve"> 2020</w:t>
            </w:r>
          </w:p>
        </w:tc>
        <w:tc>
          <w:tcPr>
            <w:tcW w:w="3402" w:type="dxa"/>
            <w:vMerge/>
            <w:tcBorders>
              <w:left w:val="single" w:sz="4" w:space="0" w:color="auto"/>
              <w:bottom w:val="nil"/>
              <w:right w:val="nil"/>
            </w:tcBorders>
          </w:tcPr>
          <w:p w14:paraId="637746F6" w14:textId="77777777" w:rsidR="003261EE" w:rsidRPr="00E44152" w:rsidRDefault="003261EE" w:rsidP="00236D7C">
            <w:pPr>
              <w:pStyle w:val="Table-para"/>
              <w:rPr>
                <w:sz w:val="18"/>
              </w:rPr>
            </w:pPr>
          </w:p>
        </w:tc>
      </w:tr>
      <w:tr w:rsidR="003261EE" w:rsidRPr="00E44152" w14:paraId="0F05CD86" w14:textId="77777777" w:rsidTr="00935D4C">
        <w:tc>
          <w:tcPr>
            <w:tcW w:w="1838" w:type="dxa"/>
          </w:tcPr>
          <w:p w14:paraId="3F48EC6D" w14:textId="77777777" w:rsidR="003261EE" w:rsidRPr="00E44152" w:rsidRDefault="003261EE" w:rsidP="00236D7C">
            <w:pPr>
              <w:pStyle w:val="Footer"/>
              <w:rPr>
                <w:b/>
              </w:rPr>
            </w:pPr>
            <w:r w:rsidRPr="00E44152">
              <w:rPr>
                <w:b/>
              </w:rPr>
              <w:t>Author(s):</w:t>
            </w:r>
          </w:p>
        </w:tc>
        <w:tc>
          <w:tcPr>
            <w:tcW w:w="3967" w:type="dxa"/>
            <w:tcBorders>
              <w:right w:val="single" w:sz="4" w:space="0" w:color="auto"/>
            </w:tcBorders>
          </w:tcPr>
          <w:p w14:paraId="6BA2E225" w14:textId="215E3858" w:rsidR="003261EE" w:rsidRPr="00E44152" w:rsidRDefault="003261EE" w:rsidP="00236D7C">
            <w:pPr>
              <w:pStyle w:val="Footer"/>
            </w:pPr>
            <w:r>
              <w:t>Anna Gribble</w:t>
            </w:r>
            <w:r w:rsidR="0019605F">
              <w:t>, Sarah Renals</w:t>
            </w:r>
          </w:p>
        </w:tc>
        <w:tc>
          <w:tcPr>
            <w:tcW w:w="3402" w:type="dxa"/>
            <w:vMerge/>
            <w:tcBorders>
              <w:left w:val="single" w:sz="4" w:space="0" w:color="auto"/>
              <w:bottom w:val="nil"/>
              <w:right w:val="nil"/>
            </w:tcBorders>
          </w:tcPr>
          <w:p w14:paraId="62CA8965" w14:textId="77777777" w:rsidR="003261EE" w:rsidRPr="00E44152" w:rsidRDefault="003261EE" w:rsidP="00236D7C">
            <w:pPr>
              <w:pStyle w:val="Table-para"/>
              <w:rPr>
                <w:sz w:val="18"/>
              </w:rPr>
            </w:pPr>
          </w:p>
        </w:tc>
      </w:tr>
      <w:tr w:rsidR="003261EE" w:rsidRPr="00E44152" w14:paraId="0E6E81A4" w14:textId="77777777" w:rsidTr="00935D4C">
        <w:tc>
          <w:tcPr>
            <w:tcW w:w="1838" w:type="dxa"/>
          </w:tcPr>
          <w:p w14:paraId="6CAA3B62" w14:textId="77777777" w:rsidR="003261EE" w:rsidRPr="00E44152" w:rsidRDefault="003261EE" w:rsidP="00236D7C">
            <w:pPr>
              <w:pStyle w:val="Footer"/>
              <w:rPr>
                <w:b/>
              </w:rPr>
            </w:pPr>
            <w:r w:rsidRPr="00E44152">
              <w:rPr>
                <w:b/>
              </w:rPr>
              <w:t>Filing Locat</w:t>
            </w:r>
            <w:r>
              <w:rPr>
                <w:b/>
              </w:rPr>
              <w:t>io</w:t>
            </w:r>
            <w:r w:rsidRPr="00E44152">
              <w:rPr>
                <w:b/>
              </w:rPr>
              <w:t>n:</w:t>
            </w:r>
          </w:p>
        </w:tc>
        <w:tc>
          <w:tcPr>
            <w:tcW w:w="3967" w:type="dxa"/>
            <w:tcBorders>
              <w:right w:val="single" w:sz="4" w:space="0" w:color="auto"/>
            </w:tcBorders>
          </w:tcPr>
          <w:p w14:paraId="59B51729" w14:textId="77777777" w:rsidR="003261EE" w:rsidRPr="00E44152" w:rsidRDefault="003261EE" w:rsidP="00236D7C">
            <w:pPr>
              <w:pStyle w:val="Footer"/>
            </w:pPr>
            <w:r w:rsidRPr="002237B6">
              <w:t>W:\Department of Health and Ageing Australia\Breastscreen Australia 2017\Deliverables\Tomosynthesis\Tomo in screening\2019 update</w:t>
            </w:r>
          </w:p>
        </w:tc>
        <w:tc>
          <w:tcPr>
            <w:tcW w:w="3402" w:type="dxa"/>
            <w:vMerge/>
            <w:tcBorders>
              <w:left w:val="single" w:sz="4" w:space="0" w:color="auto"/>
              <w:bottom w:val="nil"/>
              <w:right w:val="nil"/>
            </w:tcBorders>
          </w:tcPr>
          <w:p w14:paraId="134663C7" w14:textId="77777777" w:rsidR="003261EE" w:rsidRPr="00E44152" w:rsidRDefault="003261EE" w:rsidP="00236D7C">
            <w:pPr>
              <w:pStyle w:val="Table-para"/>
              <w:rPr>
                <w:sz w:val="18"/>
              </w:rPr>
            </w:pPr>
          </w:p>
        </w:tc>
      </w:tr>
      <w:tr w:rsidR="003261EE" w:rsidRPr="00E44152" w14:paraId="3F7873F9" w14:textId="77777777" w:rsidTr="00935D4C">
        <w:tc>
          <w:tcPr>
            <w:tcW w:w="1838" w:type="dxa"/>
          </w:tcPr>
          <w:p w14:paraId="689B1199" w14:textId="77777777" w:rsidR="003261EE" w:rsidRPr="00E44152" w:rsidRDefault="003261EE" w:rsidP="00236D7C">
            <w:pPr>
              <w:pStyle w:val="Footer"/>
              <w:rPr>
                <w:b/>
              </w:rPr>
            </w:pPr>
            <w:r w:rsidRPr="00E44152">
              <w:rPr>
                <w:b/>
              </w:rPr>
              <w:t>Verification that QA changes made:</w:t>
            </w:r>
          </w:p>
        </w:tc>
        <w:tc>
          <w:tcPr>
            <w:tcW w:w="3967" w:type="dxa"/>
            <w:tcBorders>
              <w:right w:val="single" w:sz="4" w:space="0" w:color="auto"/>
            </w:tcBorders>
          </w:tcPr>
          <w:p w14:paraId="1FFEFC71" w14:textId="77777777" w:rsidR="003261EE" w:rsidRPr="00E44152" w:rsidRDefault="003261EE" w:rsidP="00236D7C">
            <w:pPr>
              <w:pStyle w:val="Footer"/>
            </w:pPr>
            <w:r w:rsidRPr="00E44152">
              <w:t>Anna Gribble</w:t>
            </w:r>
          </w:p>
        </w:tc>
        <w:tc>
          <w:tcPr>
            <w:tcW w:w="3402" w:type="dxa"/>
            <w:vMerge/>
            <w:tcBorders>
              <w:left w:val="single" w:sz="4" w:space="0" w:color="auto"/>
              <w:bottom w:val="nil"/>
              <w:right w:val="nil"/>
            </w:tcBorders>
          </w:tcPr>
          <w:p w14:paraId="14273712" w14:textId="77777777" w:rsidR="003261EE" w:rsidRPr="00E44152" w:rsidRDefault="003261EE" w:rsidP="00236D7C">
            <w:pPr>
              <w:pStyle w:val="Table-para"/>
              <w:rPr>
                <w:sz w:val="18"/>
              </w:rPr>
            </w:pPr>
          </w:p>
        </w:tc>
      </w:tr>
      <w:tr w:rsidR="003261EE" w:rsidRPr="00E44152" w14:paraId="7018F764" w14:textId="77777777" w:rsidTr="00935D4C">
        <w:tc>
          <w:tcPr>
            <w:tcW w:w="1838" w:type="dxa"/>
          </w:tcPr>
          <w:p w14:paraId="0B05E769" w14:textId="3254A3FB" w:rsidR="003261EE" w:rsidRPr="00E44152" w:rsidRDefault="00285D7E" w:rsidP="00236D7C">
            <w:pPr>
              <w:pStyle w:val="Footer"/>
              <w:rPr>
                <w:b/>
              </w:rPr>
            </w:pPr>
            <w:r w:rsidRPr="00E44152">
              <w:rPr>
                <w:b/>
              </w:rPr>
              <w:t>Proofread</w:t>
            </w:r>
            <w:r w:rsidR="003261EE" w:rsidRPr="00E44152">
              <w:rPr>
                <w:b/>
              </w:rPr>
              <w:t>:</w:t>
            </w:r>
          </w:p>
        </w:tc>
        <w:tc>
          <w:tcPr>
            <w:tcW w:w="3967" w:type="dxa"/>
            <w:tcBorders>
              <w:right w:val="single" w:sz="4" w:space="0" w:color="auto"/>
            </w:tcBorders>
          </w:tcPr>
          <w:p w14:paraId="7C8B5359" w14:textId="42C82A99" w:rsidR="003261EE" w:rsidRPr="00E44152" w:rsidRDefault="00100A83" w:rsidP="00236D7C">
            <w:pPr>
              <w:pStyle w:val="Footer"/>
            </w:pPr>
            <w:r>
              <w:t>Rob Smith</w:t>
            </w:r>
            <w:r w:rsidR="006148B7">
              <w:t>, Sarah Renals</w:t>
            </w:r>
          </w:p>
        </w:tc>
        <w:tc>
          <w:tcPr>
            <w:tcW w:w="3402" w:type="dxa"/>
            <w:vMerge/>
            <w:tcBorders>
              <w:left w:val="single" w:sz="4" w:space="0" w:color="auto"/>
              <w:bottom w:val="nil"/>
              <w:right w:val="nil"/>
            </w:tcBorders>
          </w:tcPr>
          <w:p w14:paraId="080983FB" w14:textId="77777777" w:rsidR="003261EE" w:rsidRPr="00E44152" w:rsidRDefault="003261EE" w:rsidP="00236D7C">
            <w:pPr>
              <w:pStyle w:val="Table-para"/>
              <w:rPr>
                <w:sz w:val="18"/>
              </w:rPr>
            </w:pPr>
          </w:p>
        </w:tc>
      </w:tr>
      <w:tr w:rsidR="003261EE" w:rsidRPr="00E44152" w14:paraId="3B6F1A29" w14:textId="77777777" w:rsidTr="00935D4C">
        <w:tc>
          <w:tcPr>
            <w:tcW w:w="1838" w:type="dxa"/>
            <w:tcBorders>
              <w:bottom w:val="single" w:sz="4" w:space="0" w:color="auto"/>
            </w:tcBorders>
          </w:tcPr>
          <w:p w14:paraId="08D7B4E9" w14:textId="77777777" w:rsidR="003261EE" w:rsidRPr="00E44152" w:rsidRDefault="003261EE" w:rsidP="00236D7C">
            <w:pPr>
              <w:pStyle w:val="Footer"/>
              <w:rPr>
                <w:b/>
              </w:rPr>
            </w:pPr>
            <w:r w:rsidRPr="00E44152">
              <w:rPr>
                <w:b/>
              </w:rPr>
              <w:t>Formatting:</w:t>
            </w:r>
          </w:p>
        </w:tc>
        <w:tc>
          <w:tcPr>
            <w:tcW w:w="3967" w:type="dxa"/>
            <w:tcBorders>
              <w:bottom w:val="single" w:sz="4" w:space="0" w:color="auto"/>
              <w:right w:val="single" w:sz="4" w:space="0" w:color="auto"/>
            </w:tcBorders>
          </w:tcPr>
          <w:p w14:paraId="5644129A" w14:textId="77777777" w:rsidR="003261EE" w:rsidRPr="00E44152" w:rsidRDefault="003261EE" w:rsidP="00236D7C">
            <w:pPr>
              <w:pStyle w:val="Footer"/>
            </w:pPr>
            <w:r>
              <w:t>Anna Gribble</w:t>
            </w:r>
          </w:p>
        </w:tc>
        <w:tc>
          <w:tcPr>
            <w:tcW w:w="3402" w:type="dxa"/>
            <w:vMerge/>
            <w:tcBorders>
              <w:left w:val="single" w:sz="4" w:space="0" w:color="auto"/>
              <w:bottom w:val="nil"/>
              <w:right w:val="nil"/>
            </w:tcBorders>
          </w:tcPr>
          <w:p w14:paraId="0C8A947C" w14:textId="77777777" w:rsidR="003261EE" w:rsidRPr="00E44152" w:rsidRDefault="003261EE" w:rsidP="00236D7C">
            <w:pPr>
              <w:pStyle w:val="Table-para"/>
              <w:rPr>
                <w:sz w:val="18"/>
              </w:rPr>
            </w:pPr>
          </w:p>
        </w:tc>
      </w:tr>
      <w:tr w:rsidR="003261EE" w:rsidRPr="00E44152" w14:paraId="6E208F40" w14:textId="77777777" w:rsidTr="00935D4C">
        <w:tc>
          <w:tcPr>
            <w:tcW w:w="1838" w:type="dxa"/>
            <w:tcBorders>
              <w:bottom w:val="single" w:sz="4" w:space="0" w:color="auto"/>
            </w:tcBorders>
          </w:tcPr>
          <w:p w14:paraId="304B6AD1" w14:textId="77777777" w:rsidR="003261EE" w:rsidRPr="00E44152" w:rsidRDefault="003261EE" w:rsidP="00236D7C">
            <w:pPr>
              <w:pStyle w:val="Footer"/>
              <w:rPr>
                <w:b/>
              </w:rPr>
            </w:pPr>
            <w:r w:rsidRPr="00E44152">
              <w:rPr>
                <w:b/>
              </w:rPr>
              <w:t>Final QA check and approved for release:</w:t>
            </w:r>
          </w:p>
        </w:tc>
        <w:tc>
          <w:tcPr>
            <w:tcW w:w="3967" w:type="dxa"/>
            <w:tcBorders>
              <w:bottom w:val="single" w:sz="4" w:space="0" w:color="auto"/>
              <w:right w:val="single" w:sz="4" w:space="0" w:color="auto"/>
            </w:tcBorders>
          </w:tcPr>
          <w:p w14:paraId="584D982F" w14:textId="77777777" w:rsidR="003261EE" w:rsidRPr="00E44152" w:rsidRDefault="003261EE" w:rsidP="00236D7C">
            <w:pPr>
              <w:pStyle w:val="Footer"/>
            </w:pPr>
            <w:r w:rsidRPr="00E44152">
              <w:t>Anna Gribble</w:t>
            </w:r>
          </w:p>
        </w:tc>
        <w:tc>
          <w:tcPr>
            <w:tcW w:w="3402" w:type="dxa"/>
            <w:vMerge/>
            <w:tcBorders>
              <w:left w:val="single" w:sz="4" w:space="0" w:color="auto"/>
              <w:bottom w:val="nil"/>
              <w:right w:val="nil"/>
            </w:tcBorders>
          </w:tcPr>
          <w:p w14:paraId="33D42F1F" w14:textId="77777777" w:rsidR="003261EE" w:rsidRPr="00E44152" w:rsidRDefault="003261EE" w:rsidP="00236D7C">
            <w:pPr>
              <w:pStyle w:val="Table-para"/>
              <w:rPr>
                <w:sz w:val="18"/>
              </w:rPr>
            </w:pPr>
          </w:p>
        </w:tc>
      </w:tr>
    </w:tbl>
    <w:p w14:paraId="7E36BD70" w14:textId="27F34F29" w:rsidR="003261EE" w:rsidRDefault="003261EE" w:rsidP="003261EE">
      <w:pPr>
        <w:pStyle w:val="Heading1"/>
      </w:pPr>
      <w:bookmarkStart w:id="3" w:name="_Toc507089552"/>
      <w:bookmarkStart w:id="4" w:name="_Toc507826985"/>
      <w:bookmarkStart w:id="5" w:name="_Toc508010583"/>
      <w:bookmarkStart w:id="6" w:name="_Toc513112113"/>
      <w:bookmarkStart w:id="7" w:name="_Toc27477523"/>
      <w:bookmarkStart w:id="8" w:name="_Toc27665660"/>
      <w:bookmarkStart w:id="9" w:name="_Toc27844447"/>
      <w:bookmarkStart w:id="10" w:name="_Toc27859578"/>
      <w:bookmarkStart w:id="11" w:name="_Toc27904693"/>
      <w:bookmarkStart w:id="12" w:name="_Toc43376245"/>
      <w:r>
        <w:lastRenderedPageBreak/>
        <w:t>C</w:t>
      </w:r>
      <w:r w:rsidRPr="00E44152">
        <w:t>ontents</w:t>
      </w:r>
      <w:bookmarkEnd w:id="1"/>
      <w:bookmarkEnd w:id="2"/>
      <w:bookmarkEnd w:id="3"/>
      <w:bookmarkEnd w:id="4"/>
      <w:bookmarkEnd w:id="5"/>
      <w:bookmarkEnd w:id="6"/>
      <w:bookmarkEnd w:id="7"/>
      <w:bookmarkEnd w:id="8"/>
      <w:bookmarkEnd w:id="9"/>
      <w:bookmarkEnd w:id="10"/>
      <w:bookmarkEnd w:id="11"/>
      <w:bookmarkEnd w:id="12"/>
    </w:p>
    <w:bookmarkStart w:id="13" w:name="_Toc513112114" w:displacedByCustomXml="next"/>
    <w:sdt>
      <w:sdtPr>
        <w:rPr>
          <w:rFonts w:asciiTheme="minorHAnsi" w:hAnsiTheme="minorHAnsi"/>
          <w:b w:val="0"/>
          <w:caps w:val="0"/>
          <w:noProof w:val="0"/>
          <w:color w:val="36424A" w:themeColor="text2"/>
          <w:sz w:val="28"/>
        </w:rPr>
        <w:id w:val="1836564494"/>
        <w:docPartObj>
          <w:docPartGallery w:val="Table of Contents"/>
          <w:docPartUnique/>
        </w:docPartObj>
      </w:sdtPr>
      <w:sdtEndPr>
        <w:rPr>
          <w:rFonts w:asciiTheme="majorHAnsi" w:hAnsiTheme="majorHAnsi"/>
          <w:caps/>
          <w:noProof/>
          <w:color w:val="auto"/>
          <w:sz w:val="24"/>
        </w:rPr>
      </w:sdtEndPr>
      <w:sdtContent>
        <w:p w14:paraId="2046169D" w14:textId="6E17AA65" w:rsidR="0014159E" w:rsidRDefault="002C0215">
          <w:pPr>
            <w:pStyle w:val="TOC1"/>
            <w:rPr>
              <w:rFonts w:asciiTheme="minorHAnsi" w:eastAsiaTheme="minorEastAsia" w:hAnsiTheme="minorHAnsi"/>
              <w:b w:val="0"/>
              <w:caps w:val="0"/>
              <w:lang w:eastAsia="en-NZ"/>
            </w:rPr>
          </w:pPr>
          <w:r>
            <w:rPr>
              <w:lang w:val="en-US"/>
            </w:rPr>
            <w:fldChar w:fldCharType="begin"/>
          </w:r>
          <w:r>
            <w:instrText xml:space="preserve"> TOC \o "1-3" \h \z \t "Heading 1 Numbered,1,Heading 2 Numbered,2,Heading 3 Numbered,3" </w:instrText>
          </w:r>
          <w:r>
            <w:rPr>
              <w:lang w:val="en-US"/>
            </w:rPr>
            <w:fldChar w:fldCharType="separate"/>
          </w:r>
        </w:p>
        <w:p w14:paraId="3BDE3883" w14:textId="60F66CEC" w:rsidR="0014159E" w:rsidRDefault="00A1058E">
          <w:pPr>
            <w:pStyle w:val="TOC1"/>
            <w:rPr>
              <w:rFonts w:asciiTheme="minorHAnsi" w:eastAsiaTheme="minorEastAsia" w:hAnsiTheme="minorHAnsi"/>
              <w:b w:val="0"/>
              <w:caps w:val="0"/>
              <w:lang w:eastAsia="en-NZ"/>
            </w:rPr>
          </w:pPr>
          <w:hyperlink w:anchor="_Toc43376246" w:history="1">
            <w:r w:rsidR="0014159E" w:rsidRPr="00E373C2">
              <w:rPr>
                <w:rStyle w:val="Hyperlink"/>
              </w:rPr>
              <w:t>ACRONYMS</w:t>
            </w:r>
            <w:r w:rsidR="0014159E">
              <w:rPr>
                <w:webHidden/>
              </w:rPr>
              <w:tab/>
            </w:r>
            <w:r w:rsidR="0014159E">
              <w:rPr>
                <w:webHidden/>
              </w:rPr>
              <w:fldChar w:fldCharType="begin"/>
            </w:r>
            <w:r w:rsidR="0014159E">
              <w:rPr>
                <w:webHidden/>
              </w:rPr>
              <w:instrText xml:space="preserve"> PAGEREF _Toc43376246 \h </w:instrText>
            </w:r>
            <w:r w:rsidR="0014159E">
              <w:rPr>
                <w:webHidden/>
              </w:rPr>
            </w:r>
            <w:r w:rsidR="0014159E">
              <w:rPr>
                <w:webHidden/>
              </w:rPr>
              <w:fldChar w:fldCharType="separate"/>
            </w:r>
            <w:r w:rsidR="00AB18B5">
              <w:rPr>
                <w:webHidden/>
              </w:rPr>
              <w:t>4</w:t>
            </w:r>
            <w:r w:rsidR="0014159E">
              <w:rPr>
                <w:webHidden/>
              </w:rPr>
              <w:fldChar w:fldCharType="end"/>
            </w:r>
          </w:hyperlink>
        </w:p>
        <w:p w14:paraId="572ACB43" w14:textId="17EB7E4D" w:rsidR="0014159E" w:rsidRDefault="00A1058E">
          <w:pPr>
            <w:pStyle w:val="TOC1"/>
            <w:rPr>
              <w:rFonts w:asciiTheme="minorHAnsi" w:eastAsiaTheme="minorEastAsia" w:hAnsiTheme="minorHAnsi"/>
              <w:b w:val="0"/>
              <w:caps w:val="0"/>
              <w:lang w:eastAsia="en-NZ"/>
            </w:rPr>
          </w:pPr>
          <w:hyperlink w:anchor="_Toc43376247" w:history="1">
            <w:r w:rsidR="0014159E" w:rsidRPr="00E373C2">
              <w:rPr>
                <w:rStyle w:val="Hyperlink"/>
              </w:rPr>
              <w:t>Guidance on how to read this report</w:t>
            </w:r>
            <w:r w:rsidR="0014159E">
              <w:rPr>
                <w:webHidden/>
              </w:rPr>
              <w:tab/>
            </w:r>
            <w:r w:rsidR="0014159E">
              <w:rPr>
                <w:webHidden/>
              </w:rPr>
              <w:fldChar w:fldCharType="begin"/>
            </w:r>
            <w:r w:rsidR="0014159E">
              <w:rPr>
                <w:webHidden/>
              </w:rPr>
              <w:instrText xml:space="preserve"> PAGEREF _Toc43376247 \h </w:instrText>
            </w:r>
            <w:r w:rsidR="0014159E">
              <w:rPr>
                <w:webHidden/>
              </w:rPr>
            </w:r>
            <w:r w:rsidR="0014159E">
              <w:rPr>
                <w:webHidden/>
              </w:rPr>
              <w:fldChar w:fldCharType="separate"/>
            </w:r>
            <w:r w:rsidR="00AB18B5">
              <w:rPr>
                <w:webHidden/>
              </w:rPr>
              <w:t>5</w:t>
            </w:r>
            <w:r w:rsidR="0014159E">
              <w:rPr>
                <w:webHidden/>
              </w:rPr>
              <w:fldChar w:fldCharType="end"/>
            </w:r>
          </w:hyperlink>
        </w:p>
        <w:p w14:paraId="1FC4A2BB" w14:textId="3161EA66" w:rsidR="0014159E" w:rsidRDefault="00A1058E">
          <w:pPr>
            <w:pStyle w:val="TOC1"/>
            <w:rPr>
              <w:rFonts w:asciiTheme="minorHAnsi" w:eastAsiaTheme="minorEastAsia" w:hAnsiTheme="minorHAnsi"/>
              <w:b w:val="0"/>
              <w:caps w:val="0"/>
              <w:lang w:eastAsia="en-NZ"/>
            </w:rPr>
          </w:pPr>
          <w:hyperlink w:anchor="_Toc43376248" w:history="1">
            <w:r w:rsidR="0014159E" w:rsidRPr="00E373C2">
              <w:rPr>
                <w:rStyle w:val="Hyperlink"/>
              </w:rPr>
              <w:t>Key findings</w:t>
            </w:r>
            <w:r w:rsidR="0014159E">
              <w:rPr>
                <w:webHidden/>
              </w:rPr>
              <w:tab/>
            </w:r>
            <w:r w:rsidR="0014159E">
              <w:rPr>
                <w:webHidden/>
              </w:rPr>
              <w:fldChar w:fldCharType="begin"/>
            </w:r>
            <w:r w:rsidR="0014159E">
              <w:rPr>
                <w:webHidden/>
              </w:rPr>
              <w:instrText xml:space="preserve"> PAGEREF _Toc43376248 \h </w:instrText>
            </w:r>
            <w:r w:rsidR="0014159E">
              <w:rPr>
                <w:webHidden/>
              </w:rPr>
            </w:r>
            <w:r w:rsidR="0014159E">
              <w:rPr>
                <w:webHidden/>
              </w:rPr>
              <w:fldChar w:fldCharType="separate"/>
            </w:r>
            <w:r w:rsidR="00AB18B5">
              <w:rPr>
                <w:webHidden/>
              </w:rPr>
              <w:t>6</w:t>
            </w:r>
            <w:r w:rsidR="0014159E">
              <w:rPr>
                <w:webHidden/>
              </w:rPr>
              <w:fldChar w:fldCharType="end"/>
            </w:r>
          </w:hyperlink>
        </w:p>
        <w:p w14:paraId="55A3AE28" w14:textId="46AEBB85" w:rsidR="0014159E" w:rsidRDefault="00A1058E">
          <w:pPr>
            <w:pStyle w:val="TOC2"/>
            <w:rPr>
              <w:rFonts w:asciiTheme="minorHAnsi" w:eastAsiaTheme="minorEastAsia" w:hAnsiTheme="minorHAnsi"/>
              <w:lang w:eastAsia="en-NZ"/>
            </w:rPr>
          </w:pPr>
          <w:hyperlink w:anchor="_Toc43376249" w:history="1">
            <w:r w:rsidR="0014159E" w:rsidRPr="00E373C2">
              <w:rPr>
                <w:rStyle w:val="Hyperlink"/>
              </w:rPr>
              <w:t>Methodology</w:t>
            </w:r>
            <w:r w:rsidR="0014159E">
              <w:rPr>
                <w:webHidden/>
              </w:rPr>
              <w:tab/>
            </w:r>
            <w:r w:rsidR="0014159E">
              <w:rPr>
                <w:webHidden/>
              </w:rPr>
              <w:fldChar w:fldCharType="begin"/>
            </w:r>
            <w:r w:rsidR="0014159E">
              <w:rPr>
                <w:webHidden/>
              </w:rPr>
              <w:instrText xml:space="preserve"> PAGEREF _Toc43376249 \h </w:instrText>
            </w:r>
            <w:r w:rsidR="0014159E">
              <w:rPr>
                <w:webHidden/>
              </w:rPr>
            </w:r>
            <w:r w:rsidR="0014159E">
              <w:rPr>
                <w:webHidden/>
              </w:rPr>
              <w:fldChar w:fldCharType="separate"/>
            </w:r>
            <w:r w:rsidR="00AB18B5">
              <w:rPr>
                <w:webHidden/>
              </w:rPr>
              <w:t>6</w:t>
            </w:r>
            <w:r w:rsidR="0014159E">
              <w:rPr>
                <w:webHidden/>
              </w:rPr>
              <w:fldChar w:fldCharType="end"/>
            </w:r>
          </w:hyperlink>
        </w:p>
        <w:p w14:paraId="035D26A7" w14:textId="571694C6" w:rsidR="0014159E" w:rsidRDefault="00A1058E">
          <w:pPr>
            <w:pStyle w:val="TOC2"/>
            <w:rPr>
              <w:rFonts w:asciiTheme="minorHAnsi" w:eastAsiaTheme="minorEastAsia" w:hAnsiTheme="minorHAnsi"/>
              <w:lang w:eastAsia="en-NZ"/>
            </w:rPr>
          </w:pPr>
          <w:hyperlink w:anchor="_Toc43376250" w:history="1">
            <w:r w:rsidR="0014159E" w:rsidRPr="00E373C2">
              <w:rPr>
                <w:rStyle w:val="Hyperlink"/>
              </w:rPr>
              <w:t>Results</w:t>
            </w:r>
            <w:r w:rsidR="0014159E">
              <w:rPr>
                <w:rStyle w:val="Hyperlink"/>
              </w:rPr>
              <w:tab/>
            </w:r>
            <w:r w:rsidR="0014159E">
              <w:rPr>
                <w:webHidden/>
              </w:rPr>
              <w:tab/>
            </w:r>
            <w:r w:rsidR="0014159E">
              <w:rPr>
                <w:webHidden/>
              </w:rPr>
              <w:fldChar w:fldCharType="begin"/>
            </w:r>
            <w:r w:rsidR="0014159E">
              <w:rPr>
                <w:webHidden/>
              </w:rPr>
              <w:instrText xml:space="preserve"> PAGEREF _Toc43376250 \h </w:instrText>
            </w:r>
            <w:r w:rsidR="0014159E">
              <w:rPr>
                <w:webHidden/>
              </w:rPr>
            </w:r>
            <w:r w:rsidR="0014159E">
              <w:rPr>
                <w:webHidden/>
              </w:rPr>
              <w:fldChar w:fldCharType="separate"/>
            </w:r>
            <w:r w:rsidR="00AB18B5">
              <w:rPr>
                <w:webHidden/>
              </w:rPr>
              <w:t>6</w:t>
            </w:r>
            <w:r w:rsidR="0014159E">
              <w:rPr>
                <w:webHidden/>
              </w:rPr>
              <w:fldChar w:fldCharType="end"/>
            </w:r>
          </w:hyperlink>
        </w:p>
        <w:p w14:paraId="3E588749" w14:textId="40FCE060" w:rsidR="0014159E" w:rsidRDefault="00A1058E">
          <w:pPr>
            <w:pStyle w:val="TOC2"/>
            <w:rPr>
              <w:rFonts w:asciiTheme="minorHAnsi" w:eastAsiaTheme="minorEastAsia" w:hAnsiTheme="minorHAnsi"/>
              <w:lang w:eastAsia="en-NZ"/>
            </w:rPr>
          </w:pPr>
          <w:hyperlink w:anchor="_Toc43376257" w:history="1">
            <w:r w:rsidR="0014159E" w:rsidRPr="00E373C2">
              <w:rPr>
                <w:rStyle w:val="Hyperlink"/>
              </w:rPr>
              <w:t>Assessment of evidence table summary</w:t>
            </w:r>
            <w:r w:rsidR="0014159E">
              <w:rPr>
                <w:webHidden/>
              </w:rPr>
              <w:tab/>
            </w:r>
            <w:r w:rsidR="0014159E">
              <w:rPr>
                <w:webHidden/>
              </w:rPr>
              <w:fldChar w:fldCharType="begin"/>
            </w:r>
            <w:r w:rsidR="0014159E">
              <w:rPr>
                <w:webHidden/>
              </w:rPr>
              <w:instrText xml:space="preserve"> PAGEREF _Toc43376257 \h </w:instrText>
            </w:r>
            <w:r w:rsidR="0014159E">
              <w:rPr>
                <w:webHidden/>
              </w:rPr>
            </w:r>
            <w:r w:rsidR="0014159E">
              <w:rPr>
                <w:webHidden/>
              </w:rPr>
              <w:fldChar w:fldCharType="separate"/>
            </w:r>
            <w:r w:rsidR="00AB18B5">
              <w:rPr>
                <w:webHidden/>
              </w:rPr>
              <w:t>14</w:t>
            </w:r>
            <w:r w:rsidR="0014159E">
              <w:rPr>
                <w:webHidden/>
              </w:rPr>
              <w:fldChar w:fldCharType="end"/>
            </w:r>
          </w:hyperlink>
        </w:p>
        <w:p w14:paraId="654ACCAA" w14:textId="59538DF5" w:rsidR="0014159E" w:rsidRDefault="00A1058E">
          <w:pPr>
            <w:pStyle w:val="TOC1"/>
            <w:rPr>
              <w:rFonts w:asciiTheme="minorHAnsi" w:eastAsiaTheme="minorEastAsia" w:hAnsiTheme="minorHAnsi"/>
              <w:b w:val="0"/>
              <w:caps w:val="0"/>
              <w:lang w:eastAsia="en-NZ"/>
            </w:rPr>
          </w:pPr>
          <w:hyperlink w:anchor="_Toc43376258" w:history="1">
            <w:r w:rsidR="0014159E" w:rsidRPr="00E373C2">
              <w:rPr>
                <w:rStyle w:val="Hyperlink"/>
              </w:rPr>
              <w:t>1.</w:t>
            </w:r>
            <w:r w:rsidR="0014159E">
              <w:rPr>
                <w:rFonts w:asciiTheme="minorHAnsi" w:eastAsiaTheme="minorEastAsia" w:hAnsiTheme="minorHAnsi"/>
                <w:b w:val="0"/>
                <w:caps w:val="0"/>
                <w:lang w:eastAsia="en-NZ"/>
              </w:rPr>
              <w:tab/>
            </w:r>
            <w:r w:rsidR="0014159E" w:rsidRPr="00E373C2">
              <w:rPr>
                <w:rStyle w:val="Hyperlink"/>
              </w:rPr>
              <w:t>Introduction</w:t>
            </w:r>
            <w:r w:rsidR="0014159E">
              <w:rPr>
                <w:webHidden/>
              </w:rPr>
              <w:tab/>
            </w:r>
            <w:r w:rsidR="0014159E">
              <w:rPr>
                <w:webHidden/>
              </w:rPr>
              <w:fldChar w:fldCharType="begin"/>
            </w:r>
            <w:r w:rsidR="0014159E">
              <w:rPr>
                <w:webHidden/>
              </w:rPr>
              <w:instrText xml:space="preserve"> PAGEREF _Toc43376258 \h </w:instrText>
            </w:r>
            <w:r w:rsidR="0014159E">
              <w:rPr>
                <w:webHidden/>
              </w:rPr>
            </w:r>
            <w:r w:rsidR="0014159E">
              <w:rPr>
                <w:webHidden/>
              </w:rPr>
              <w:fldChar w:fldCharType="separate"/>
            </w:r>
            <w:r w:rsidR="00AB18B5">
              <w:rPr>
                <w:webHidden/>
              </w:rPr>
              <w:t>17</w:t>
            </w:r>
            <w:r w:rsidR="0014159E">
              <w:rPr>
                <w:webHidden/>
              </w:rPr>
              <w:fldChar w:fldCharType="end"/>
            </w:r>
          </w:hyperlink>
        </w:p>
        <w:p w14:paraId="019A8B1A" w14:textId="5F888F60" w:rsidR="0014159E" w:rsidRDefault="00A1058E">
          <w:pPr>
            <w:pStyle w:val="TOC2"/>
            <w:rPr>
              <w:rFonts w:asciiTheme="minorHAnsi" w:eastAsiaTheme="minorEastAsia" w:hAnsiTheme="minorHAnsi"/>
              <w:lang w:eastAsia="en-NZ"/>
            </w:rPr>
          </w:pPr>
          <w:hyperlink w:anchor="_Toc43376259" w:history="1">
            <w:r w:rsidR="0014159E" w:rsidRPr="00E373C2">
              <w:rPr>
                <w:rStyle w:val="Hyperlink"/>
              </w:rPr>
              <w:t>1.1.</w:t>
            </w:r>
            <w:r w:rsidR="0014159E">
              <w:rPr>
                <w:rFonts w:asciiTheme="minorHAnsi" w:eastAsiaTheme="minorEastAsia" w:hAnsiTheme="minorHAnsi"/>
                <w:lang w:eastAsia="en-NZ"/>
              </w:rPr>
              <w:tab/>
            </w:r>
            <w:r w:rsidR="0014159E" w:rsidRPr="00E373C2">
              <w:rPr>
                <w:rStyle w:val="Hyperlink"/>
              </w:rPr>
              <w:t>About digital breast tomosynthesis</w:t>
            </w:r>
            <w:r w:rsidR="0014159E">
              <w:rPr>
                <w:webHidden/>
              </w:rPr>
              <w:tab/>
            </w:r>
            <w:r w:rsidR="0014159E">
              <w:rPr>
                <w:webHidden/>
              </w:rPr>
              <w:fldChar w:fldCharType="begin"/>
            </w:r>
            <w:r w:rsidR="0014159E">
              <w:rPr>
                <w:webHidden/>
              </w:rPr>
              <w:instrText xml:space="preserve"> PAGEREF _Toc43376259 \h </w:instrText>
            </w:r>
            <w:r w:rsidR="0014159E">
              <w:rPr>
                <w:webHidden/>
              </w:rPr>
            </w:r>
            <w:r w:rsidR="0014159E">
              <w:rPr>
                <w:webHidden/>
              </w:rPr>
              <w:fldChar w:fldCharType="separate"/>
            </w:r>
            <w:r w:rsidR="00AB18B5">
              <w:rPr>
                <w:webHidden/>
              </w:rPr>
              <w:t>17</w:t>
            </w:r>
            <w:r w:rsidR="0014159E">
              <w:rPr>
                <w:webHidden/>
              </w:rPr>
              <w:fldChar w:fldCharType="end"/>
            </w:r>
          </w:hyperlink>
        </w:p>
        <w:p w14:paraId="20D702CB" w14:textId="075827C6" w:rsidR="0014159E" w:rsidRDefault="00A1058E">
          <w:pPr>
            <w:pStyle w:val="TOC2"/>
            <w:rPr>
              <w:rFonts w:asciiTheme="minorHAnsi" w:eastAsiaTheme="minorEastAsia" w:hAnsiTheme="minorHAnsi"/>
              <w:lang w:eastAsia="en-NZ"/>
            </w:rPr>
          </w:pPr>
          <w:hyperlink w:anchor="_Toc43376260" w:history="1">
            <w:r w:rsidR="0014159E" w:rsidRPr="00E373C2">
              <w:rPr>
                <w:rStyle w:val="Hyperlink"/>
              </w:rPr>
              <w:t>1.2.</w:t>
            </w:r>
            <w:r w:rsidR="0014159E">
              <w:rPr>
                <w:rFonts w:asciiTheme="minorHAnsi" w:eastAsiaTheme="minorEastAsia" w:hAnsiTheme="minorHAnsi"/>
                <w:lang w:eastAsia="en-NZ"/>
              </w:rPr>
              <w:tab/>
            </w:r>
            <w:r w:rsidR="0014159E" w:rsidRPr="00E373C2">
              <w:rPr>
                <w:rStyle w:val="Hyperlink"/>
              </w:rPr>
              <w:t>BreastScreen Australia’s position statement on tomosynthesis</w:t>
            </w:r>
            <w:r w:rsidR="0014159E">
              <w:rPr>
                <w:webHidden/>
              </w:rPr>
              <w:tab/>
            </w:r>
            <w:r w:rsidR="0014159E">
              <w:rPr>
                <w:webHidden/>
              </w:rPr>
              <w:fldChar w:fldCharType="begin"/>
            </w:r>
            <w:r w:rsidR="0014159E">
              <w:rPr>
                <w:webHidden/>
              </w:rPr>
              <w:instrText xml:space="preserve"> PAGEREF _Toc43376260 \h </w:instrText>
            </w:r>
            <w:r w:rsidR="0014159E">
              <w:rPr>
                <w:webHidden/>
              </w:rPr>
            </w:r>
            <w:r w:rsidR="0014159E">
              <w:rPr>
                <w:webHidden/>
              </w:rPr>
              <w:fldChar w:fldCharType="separate"/>
            </w:r>
            <w:r w:rsidR="00AB18B5">
              <w:rPr>
                <w:webHidden/>
              </w:rPr>
              <w:t>17</w:t>
            </w:r>
            <w:r w:rsidR="0014159E">
              <w:rPr>
                <w:webHidden/>
              </w:rPr>
              <w:fldChar w:fldCharType="end"/>
            </w:r>
          </w:hyperlink>
        </w:p>
        <w:p w14:paraId="7392EEE0" w14:textId="33636310" w:rsidR="0014159E" w:rsidRDefault="00A1058E">
          <w:pPr>
            <w:pStyle w:val="TOC2"/>
            <w:rPr>
              <w:rFonts w:asciiTheme="minorHAnsi" w:eastAsiaTheme="minorEastAsia" w:hAnsiTheme="minorHAnsi"/>
              <w:lang w:eastAsia="en-NZ"/>
            </w:rPr>
          </w:pPr>
          <w:hyperlink w:anchor="_Toc43376261" w:history="1">
            <w:r w:rsidR="0014159E" w:rsidRPr="00E373C2">
              <w:rPr>
                <w:rStyle w:val="Hyperlink"/>
              </w:rPr>
              <w:t>1.3.</w:t>
            </w:r>
            <w:r w:rsidR="0014159E">
              <w:rPr>
                <w:rFonts w:asciiTheme="minorHAnsi" w:eastAsiaTheme="minorEastAsia" w:hAnsiTheme="minorHAnsi"/>
                <w:lang w:eastAsia="en-NZ"/>
              </w:rPr>
              <w:tab/>
            </w:r>
            <w:r w:rsidR="0014159E" w:rsidRPr="00E373C2">
              <w:rPr>
                <w:rStyle w:val="Hyperlink"/>
              </w:rPr>
              <w:t xml:space="preserve">Previous literature reviews undertaken by </w:t>
            </w:r>
            <w:r w:rsidR="0014159E" w:rsidRPr="00E373C2">
              <w:rPr>
                <w:rStyle w:val="Hyperlink"/>
                <w:i/>
                <w:iCs/>
              </w:rPr>
              <w:t>Allen + Clarke</w:t>
            </w:r>
            <w:r w:rsidR="0014159E">
              <w:rPr>
                <w:webHidden/>
              </w:rPr>
              <w:tab/>
            </w:r>
            <w:r w:rsidR="0014159E">
              <w:rPr>
                <w:webHidden/>
              </w:rPr>
              <w:fldChar w:fldCharType="begin"/>
            </w:r>
            <w:r w:rsidR="0014159E">
              <w:rPr>
                <w:webHidden/>
              </w:rPr>
              <w:instrText xml:space="preserve"> PAGEREF _Toc43376261 \h </w:instrText>
            </w:r>
            <w:r w:rsidR="0014159E">
              <w:rPr>
                <w:webHidden/>
              </w:rPr>
            </w:r>
            <w:r w:rsidR="0014159E">
              <w:rPr>
                <w:webHidden/>
              </w:rPr>
              <w:fldChar w:fldCharType="separate"/>
            </w:r>
            <w:r w:rsidR="00AB18B5">
              <w:rPr>
                <w:webHidden/>
              </w:rPr>
              <w:t>18</w:t>
            </w:r>
            <w:r w:rsidR="0014159E">
              <w:rPr>
                <w:webHidden/>
              </w:rPr>
              <w:fldChar w:fldCharType="end"/>
            </w:r>
          </w:hyperlink>
        </w:p>
        <w:p w14:paraId="601E5A56" w14:textId="44E5277C" w:rsidR="0014159E" w:rsidRDefault="00A1058E">
          <w:pPr>
            <w:pStyle w:val="TOC2"/>
            <w:rPr>
              <w:rFonts w:asciiTheme="minorHAnsi" w:eastAsiaTheme="minorEastAsia" w:hAnsiTheme="minorHAnsi"/>
              <w:lang w:eastAsia="en-NZ"/>
            </w:rPr>
          </w:pPr>
          <w:hyperlink w:anchor="_Toc43376264" w:history="1">
            <w:r w:rsidR="0014159E" w:rsidRPr="00E373C2">
              <w:rPr>
                <w:rStyle w:val="Hyperlink"/>
              </w:rPr>
              <w:t>1.4.</w:t>
            </w:r>
            <w:r w:rsidR="0014159E">
              <w:rPr>
                <w:rFonts w:asciiTheme="minorHAnsi" w:eastAsiaTheme="minorEastAsia" w:hAnsiTheme="minorHAnsi"/>
                <w:lang w:eastAsia="en-NZ"/>
              </w:rPr>
              <w:tab/>
            </w:r>
            <w:r w:rsidR="0014159E" w:rsidRPr="00E373C2">
              <w:rPr>
                <w:rStyle w:val="Hyperlink"/>
              </w:rPr>
              <w:t>Purpose and scope of this literature review</w:t>
            </w:r>
            <w:r w:rsidR="0014159E">
              <w:rPr>
                <w:webHidden/>
              </w:rPr>
              <w:tab/>
            </w:r>
            <w:r w:rsidR="0014159E">
              <w:rPr>
                <w:webHidden/>
              </w:rPr>
              <w:fldChar w:fldCharType="begin"/>
            </w:r>
            <w:r w:rsidR="0014159E">
              <w:rPr>
                <w:webHidden/>
              </w:rPr>
              <w:instrText xml:space="preserve"> PAGEREF _Toc43376264 \h </w:instrText>
            </w:r>
            <w:r w:rsidR="0014159E">
              <w:rPr>
                <w:webHidden/>
              </w:rPr>
            </w:r>
            <w:r w:rsidR="0014159E">
              <w:rPr>
                <w:webHidden/>
              </w:rPr>
              <w:fldChar w:fldCharType="separate"/>
            </w:r>
            <w:r w:rsidR="00AB18B5">
              <w:rPr>
                <w:webHidden/>
              </w:rPr>
              <w:t>18</w:t>
            </w:r>
            <w:r w:rsidR="0014159E">
              <w:rPr>
                <w:webHidden/>
              </w:rPr>
              <w:fldChar w:fldCharType="end"/>
            </w:r>
          </w:hyperlink>
        </w:p>
        <w:p w14:paraId="077C6CD6" w14:textId="7D8AB7CF" w:rsidR="0014159E" w:rsidRDefault="00A1058E">
          <w:pPr>
            <w:pStyle w:val="TOC2"/>
            <w:rPr>
              <w:rFonts w:asciiTheme="minorHAnsi" w:eastAsiaTheme="minorEastAsia" w:hAnsiTheme="minorHAnsi"/>
              <w:lang w:eastAsia="en-NZ"/>
            </w:rPr>
          </w:pPr>
          <w:hyperlink w:anchor="_Toc43376265" w:history="1">
            <w:r w:rsidR="0014159E" w:rsidRPr="00E373C2">
              <w:rPr>
                <w:rStyle w:val="Hyperlink"/>
              </w:rPr>
              <w:t>1.5.</w:t>
            </w:r>
            <w:r w:rsidR="0014159E">
              <w:rPr>
                <w:rFonts w:asciiTheme="minorHAnsi" w:eastAsiaTheme="minorEastAsia" w:hAnsiTheme="minorHAnsi"/>
                <w:lang w:eastAsia="en-NZ"/>
              </w:rPr>
              <w:tab/>
            </w:r>
            <w:r w:rsidR="0014159E" w:rsidRPr="00E373C2">
              <w:rPr>
                <w:rStyle w:val="Hyperlink"/>
              </w:rPr>
              <w:t>Ongoing research</w:t>
            </w:r>
            <w:r w:rsidR="0014159E">
              <w:rPr>
                <w:webHidden/>
              </w:rPr>
              <w:tab/>
            </w:r>
            <w:r w:rsidR="0014159E">
              <w:rPr>
                <w:webHidden/>
              </w:rPr>
              <w:fldChar w:fldCharType="begin"/>
            </w:r>
            <w:r w:rsidR="0014159E">
              <w:rPr>
                <w:webHidden/>
              </w:rPr>
              <w:instrText xml:space="preserve"> PAGEREF _Toc43376265 \h </w:instrText>
            </w:r>
            <w:r w:rsidR="0014159E">
              <w:rPr>
                <w:webHidden/>
              </w:rPr>
            </w:r>
            <w:r w:rsidR="0014159E">
              <w:rPr>
                <w:webHidden/>
              </w:rPr>
              <w:fldChar w:fldCharType="separate"/>
            </w:r>
            <w:r w:rsidR="00AB18B5">
              <w:rPr>
                <w:webHidden/>
              </w:rPr>
              <w:t>19</w:t>
            </w:r>
            <w:r w:rsidR="0014159E">
              <w:rPr>
                <w:webHidden/>
              </w:rPr>
              <w:fldChar w:fldCharType="end"/>
            </w:r>
          </w:hyperlink>
        </w:p>
        <w:p w14:paraId="4B680E2E" w14:textId="0413E13E" w:rsidR="0014159E" w:rsidRDefault="00A1058E">
          <w:pPr>
            <w:pStyle w:val="TOC1"/>
            <w:rPr>
              <w:rFonts w:asciiTheme="minorHAnsi" w:eastAsiaTheme="minorEastAsia" w:hAnsiTheme="minorHAnsi"/>
              <w:b w:val="0"/>
              <w:caps w:val="0"/>
              <w:lang w:eastAsia="en-NZ"/>
            </w:rPr>
          </w:pPr>
          <w:hyperlink w:anchor="_Toc43376266" w:history="1">
            <w:r w:rsidR="0014159E" w:rsidRPr="00E373C2">
              <w:rPr>
                <w:rStyle w:val="Hyperlink"/>
              </w:rPr>
              <w:t>2.</w:t>
            </w:r>
            <w:r w:rsidR="0014159E">
              <w:rPr>
                <w:rFonts w:asciiTheme="minorHAnsi" w:eastAsiaTheme="minorEastAsia" w:hAnsiTheme="minorHAnsi"/>
                <w:b w:val="0"/>
                <w:caps w:val="0"/>
                <w:lang w:eastAsia="en-NZ"/>
              </w:rPr>
              <w:tab/>
            </w:r>
            <w:r w:rsidR="0014159E" w:rsidRPr="00E373C2">
              <w:rPr>
                <w:rStyle w:val="Hyperlink"/>
              </w:rPr>
              <w:t>Methodology</w:t>
            </w:r>
            <w:r w:rsidR="0014159E">
              <w:rPr>
                <w:webHidden/>
              </w:rPr>
              <w:tab/>
            </w:r>
            <w:r w:rsidR="0014159E">
              <w:rPr>
                <w:webHidden/>
              </w:rPr>
              <w:fldChar w:fldCharType="begin"/>
            </w:r>
            <w:r w:rsidR="0014159E">
              <w:rPr>
                <w:webHidden/>
              </w:rPr>
              <w:instrText xml:space="preserve"> PAGEREF _Toc43376266 \h </w:instrText>
            </w:r>
            <w:r w:rsidR="0014159E">
              <w:rPr>
                <w:webHidden/>
              </w:rPr>
            </w:r>
            <w:r w:rsidR="0014159E">
              <w:rPr>
                <w:webHidden/>
              </w:rPr>
              <w:fldChar w:fldCharType="separate"/>
            </w:r>
            <w:r w:rsidR="00AB18B5">
              <w:rPr>
                <w:webHidden/>
              </w:rPr>
              <w:t>21</w:t>
            </w:r>
            <w:r w:rsidR="0014159E">
              <w:rPr>
                <w:webHidden/>
              </w:rPr>
              <w:fldChar w:fldCharType="end"/>
            </w:r>
          </w:hyperlink>
        </w:p>
        <w:p w14:paraId="71F4DCA4" w14:textId="745FED37" w:rsidR="0014159E" w:rsidRDefault="00A1058E">
          <w:pPr>
            <w:pStyle w:val="TOC2"/>
            <w:rPr>
              <w:rFonts w:asciiTheme="minorHAnsi" w:eastAsiaTheme="minorEastAsia" w:hAnsiTheme="minorHAnsi"/>
              <w:lang w:eastAsia="en-NZ"/>
            </w:rPr>
          </w:pPr>
          <w:hyperlink w:anchor="_Toc43376267" w:history="1">
            <w:r w:rsidR="0014159E" w:rsidRPr="00E373C2">
              <w:rPr>
                <w:rStyle w:val="Hyperlink"/>
              </w:rPr>
              <w:t>2.1.</w:t>
            </w:r>
            <w:r w:rsidR="0014159E">
              <w:rPr>
                <w:rFonts w:asciiTheme="minorHAnsi" w:eastAsiaTheme="minorEastAsia" w:hAnsiTheme="minorHAnsi"/>
                <w:lang w:eastAsia="en-NZ"/>
              </w:rPr>
              <w:tab/>
            </w:r>
            <w:r w:rsidR="0014159E" w:rsidRPr="00E373C2">
              <w:rPr>
                <w:rStyle w:val="Hyperlink"/>
              </w:rPr>
              <w:t>Objectives</w:t>
            </w:r>
            <w:r w:rsidR="0014159E">
              <w:rPr>
                <w:webHidden/>
              </w:rPr>
              <w:tab/>
            </w:r>
            <w:r w:rsidR="0014159E">
              <w:rPr>
                <w:webHidden/>
              </w:rPr>
              <w:fldChar w:fldCharType="begin"/>
            </w:r>
            <w:r w:rsidR="0014159E">
              <w:rPr>
                <w:webHidden/>
              </w:rPr>
              <w:instrText xml:space="preserve"> PAGEREF _Toc43376267 \h </w:instrText>
            </w:r>
            <w:r w:rsidR="0014159E">
              <w:rPr>
                <w:webHidden/>
              </w:rPr>
            </w:r>
            <w:r w:rsidR="0014159E">
              <w:rPr>
                <w:webHidden/>
              </w:rPr>
              <w:fldChar w:fldCharType="separate"/>
            </w:r>
            <w:r w:rsidR="00AB18B5">
              <w:rPr>
                <w:webHidden/>
              </w:rPr>
              <w:t>22</w:t>
            </w:r>
            <w:r w:rsidR="0014159E">
              <w:rPr>
                <w:webHidden/>
              </w:rPr>
              <w:fldChar w:fldCharType="end"/>
            </w:r>
          </w:hyperlink>
        </w:p>
        <w:p w14:paraId="59C168ED" w14:textId="19E27EEF" w:rsidR="0014159E" w:rsidRDefault="00A1058E">
          <w:pPr>
            <w:pStyle w:val="TOC2"/>
            <w:rPr>
              <w:rFonts w:asciiTheme="minorHAnsi" w:eastAsiaTheme="minorEastAsia" w:hAnsiTheme="minorHAnsi"/>
              <w:lang w:eastAsia="en-NZ"/>
            </w:rPr>
          </w:pPr>
          <w:hyperlink w:anchor="_Toc43376268" w:history="1">
            <w:r w:rsidR="0014159E" w:rsidRPr="00E373C2">
              <w:rPr>
                <w:rStyle w:val="Hyperlink"/>
              </w:rPr>
              <w:t>2.2.</w:t>
            </w:r>
            <w:r w:rsidR="0014159E">
              <w:rPr>
                <w:rFonts w:asciiTheme="minorHAnsi" w:eastAsiaTheme="minorEastAsia" w:hAnsiTheme="minorHAnsi"/>
                <w:lang w:eastAsia="en-NZ"/>
              </w:rPr>
              <w:tab/>
            </w:r>
            <w:r w:rsidR="0014159E" w:rsidRPr="00E373C2">
              <w:rPr>
                <w:rStyle w:val="Hyperlink"/>
              </w:rPr>
              <w:t>Research questions</w:t>
            </w:r>
            <w:r w:rsidR="0014159E">
              <w:rPr>
                <w:webHidden/>
              </w:rPr>
              <w:tab/>
            </w:r>
            <w:r w:rsidR="0014159E">
              <w:rPr>
                <w:webHidden/>
              </w:rPr>
              <w:fldChar w:fldCharType="begin"/>
            </w:r>
            <w:r w:rsidR="0014159E">
              <w:rPr>
                <w:webHidden/>
              </w:rPr>
              <w:instrText xml:space="preserve"> PAGEREF _Toc43376268 \h </w:instrText>
            </w:r>
            <w:r w:rsidR="0014159E">
              <w:rPr>
                <w:webHidden/>
              </w:rPr>
            </w:r>
            <w:r w:rsidR="0014159E">
              <w:rPr>
                <w:webHidden/>
              </w:rPr>
              <w:fldChar w:fldCharType="separate"/>
            </w:r>
            <w:r w:rsidR="00AB18B5">
              <w:rPr>
                <w:webHidden/>
              </w:rPr>
              <w:t>22</w:t>
            </w:r>
            <w:r w:rsidR="0014159E">
              <w:rPr>
                <w:webHidden/>
              </w:rPr>
              <w:fldChar w:fldCharType="end"/>
            </w:r>
          </w:hyperlink>
        </w:p>
        <w:p w14:paraId="7FB4E194" w14:textId="3E41BA15" w:rsidR="0014159E" w:rsidRDefault="00A1058E">
          <w:pPr>
            <w:pStyle w:val="TOC2"/>
            <w:rPr>
              <w:rFonts w:asciiTheme="minorHAnsi" w:eastAsiaTheme="minorEastAsia" w:hAnsiTheme="minorHAnsi"/>
              <w:lang w:eastAsia="en-NZ"/>
            </w:rPr>
          </w:pPr>
          <w:hyperlink w:anchor="_Toc43376272" w:history="1">
            <w:r w:rsidR="0014159E" w:rsidRPr="00E373C2">
              <w:rPr>
                <w:rStyle w:val="Hyperlink"/>
              </w:rPr>
              <w:t>2.3.</w:t>
            </w:r>
            <w:r w:rsidR="0014159E">
              <w:rPr>
                <w:rFonts w:asciiTheme="minorHAnsi" w:eastAsiaTheme="minorEastAsia" w:hAnsiTheme="minorHAnsi"/>
                <w:lang w:eastAsia="en-NZ"/>
              </w:rPr>
              <w:tab/>
            </w:r>
            <w:r w:rsidR="0014159E" w:rsidRPr="00E373C2">
              <w:rPr>
                <w:rStyle w:val="Hyperlink"/>
              </w:rPr>
              <w:t>Literature search</w:t>
            </w:r>
            <w:r w:rsidR="0014159E">
              <w:rPr>
                <w:webHidden/>
              </w:rPr>
              <w:tab/>
            </w:r>
            <w:r w:rsidR="0014159E">
              <w:rPr>
                <w:webHidden/>
              </w:rPr>
              <w:fldChar w:fldCharType="begin"/>
            </w:r>
            <w:r w:rsidR="0014159E">
              <w:rPr>
                <w:webHidden/>
              </w:rPr>
              <w:instrText xml:space="preserve"> PAGEREF _Toc43376272 \h </w:instrText>
            </w:r>
            <w:r w:rsidR="0014159E">
              <w:rPr>
                <w:webHidden/>
              </w:rPr>
            </w:r>
            <w:r w:rsidR="0014159E">
              <w:rPr>
                <w:webHidden/>
              </w:rPr>
              <w:fldChar w:fldCharType="separate"/>
            </w:r>
            <w:r w:rsidR="00AB18B5">
              <w:rPr>
                <w:webHidden/>
              </w:rPr>
              <w:t>24</w:t>
            </w:r>
            <w:r w:rsidR="0014159E">
              <w:rPr>
                <w:webHidden/>
              </w:rPr>
              <w:fldChar w:fldCharType="end"/>
            </w:r>
          </w:hyperlink>
        </w:p>
        <w:p w14:paraId="6EFF6A2E" w14:textId="7A87FEDD" w:rsidR="0014159E" w:rsidRDefault="00A1058E">
          <w:pPr>
            <w:pStyle w:val="TOC1"/>
            <w:rPr>
              <w:rFonts w:asciiTheme="minorHAnsi" w:eastAsiaTheme="minorEastAsia" w:hAnsiTheme="minorHAnsi"/>
              <w:b w:val="0"/>
              <w:caps w:val="0"/>
              <w:lang w:eastAsia="en-NZ"/>
            </w:rPr>
          </w:pPr>
          <w:hyperlink w:anchor="_Toc43376275" w:history="1">
            <w:r w:rsidR="0014159E" w:rsidRPr="00E373C2">
              <w:rPr>
                <w:rStyle w:val="Hyperlink"/>
              </w:rPr>
              <w:t>3.</w:t>
            </w:r>
            <w:r w:rsidR="0014159E">
              <w:rPr>
                <w:rFonts w:asciiTheme="minorHAnsi" w:eastAsiaTheme="minorEastAsia" w:hAnsiTheme="minorHAnsi"/>
                <w:b w:val="0"/>
                <w:caps w:val="0"/>
                <w:lang w:eastAsia="en-NZ"/>
              </w:rPr>
              <w:tab/>
            </w:r>
            <w:r w:rsidR="0014159E" w:rsidRPr="00E373C2">
              <w:rPr>
                <w:rStyle w:val="Hyperlink"/>
              </w:rPr>
              <w:t>effectiveness and safety of dbt as a screening tool</w:t>
            </w:r>
            <w:r w:rsidR="0014159E">
              <w:rPr>
                <w:webHidden/>
              </w:rPr>
              <w:tab/>
            </w:r>
            <w:r w:rsidR="0014159E">
              <w:rPr>
                <w:webHidden/>
              </w:rPr>
              <w:fldChar w:fldCharType="begin"/>
            </w:r>
            <w:r w:rsidR="0014159E">
              <w:rPr>
                <w:webHidden/>
              </w:rPr>
              <w:instrText xml:space="preserve"> PAGEREF _Toc43376275 \h </w:instrText>
            </w:r>
            <w:r w:rsidR="0014159E">
              <w:rPr>
                <w:webHidden/>
              </w:rPr>
            </w:r>
            <w:r w:rsidR="0014159E">
              <w:rPr>
                <w:webHidden/>
              </w:rPr>
              <w:fldChar w:fldCharType="separate"/>
            </w:r>
            <w:r w:rsidR="00AB18B5">
              <w:rPr>
                <w:webHidden/>
              </w:rPr>
              <w:t>30</w:t>
            </w:r>
            <w:r w:rsidR="0014159E">
              <w:rPr>
                <w:webHidden/>
              </w:rPr>
              <w:fldChar w:fldCharType="end"/>
            </w:r>
          </w:hyperlink>
        </w:p>
        <w:p w14:paraId="5799626B" w14:textId="6D200981" w:rsidR="0014159E" w:rsidRDefault="00A1058E">
          <w:pPr>
            <w:pStyle w:val="TOC2"/>
            <w:rPr>
              <w:rFonts w:asciiTheme="minorHAnsi" w:eastAsiaTheme="minorEastAsia" w:hAnsiTheme="minorHAnsi"/>
              <w:lang w:eastAsia="en-NZ"/>
            </w:rPr>
          </w:pPr>
          <w:hyperlink w:anchor="_Toc43376276" w:history="1">
            <w:r w:rsidR="0014159E" w:rsidRPr="00E373C2">
              <w:rPr>
                <w:rStyle w:val="Hyperlink"/>
              </w:rPr>
              <w:t>3.1.</w:t>
            </w:r>
            <w:r w:rsidR="0014159E">
              <w:rPr>
                <w:rFonts w:asciiTheme="minorHAnsi" w:eastAsiaTheme="minorEastAsia" w:hAnsiTheme="minorHAnsi"/>
                <w:lang w:eastAsia="en-NZ"/>
              </w:rPr>
              <w:tab/>
            </w:r>
            <w:r w:rsidR="0014159E" w:rsidRPr="00E373C2">
              <w:rPr>
                <w:rStyle w:val="Hyperlink"/>
              </w:rPr>
              <w:t>Sensitivity</w:t>
            </w:r>
            <w:r w:rsidR="0014159E">
              <w:rPr>
                <w:webHidden/>
              </w:rPr>
              <w:tab/>
            </w:r>
            <w:r w:rsidR="0014159E">
              <w:rPr>
                <w:webHidden/>
              </w:rPr>
              <w:fldChar w:fldCharType="begin"/>
            </w:r>
            <w:r w:rsidR="0014159E">
              <w:rPr>
                <w:webHidden/>
              </w:rPr>
              <w:instrText xml:space="preserve"> PAGEREF _Toc43376276 \h </w:instrText>
            </w:r>
            <w:r w:rsidR="0014159E">
              <w:rPr>
                <w:webHidden/>
              </w:rPr>
            </w:r>
            <w:r w:rsidR="0014159E">
              <w:rPr>
                <w:webHidden/>
              </w:rPr>
              <w:fldChar w:fldCharType="separate"/>
            </w:r>
            <w:r w:rsidR="00AB18B5">
              <w:rPr>
                <w:webHidden/>
              </w:rPr>
              <w:t>30</w:t>
            </w:r>
            <w:r w:rsidR="0014159E">
              <w:rPr>
                <w:webHidden/>
              </w:rPr>
              <w:fldChar w:fldCharType="end"/>
            </w:r>
          </w:hyperlink>
        </w:p>
        <w:p w14:paraId="6308650D" w14:textId="4C6984D2" w:rsidR="0014159E" w:rsidRDefault="00A1058E">
          <w:pPr>
            <w:pStyle w:val="TOC2"/>
            <w:rPr>
              <w:rFonts w:asciiTheme="minorHAnsi" w:eastAsiaTheme="minorEastAsia" w:hAnsiTheme="minorHAnsi"/>
              <w:lang w:eastAsia="en-NZ"/>
            </w:rPr>
          </w:pPr>
          <w:hyperlink w:anchor="_Toc43376300" w:history="1">
            <w:r w:rsidR="0014159E" w:rsidRPr="00E373C2">
              <w:rPr>
                <w:rStyle w:val="Hyperlink"/>
              </w:rPr>
              <w:t>3.2.</w:t>
            </w:r>
            <w:r w:rsidR="0014159E">
              <w:rPr>
                <w:rFonts w:asciiTheme="minorHAnsi" w:eastAsiaTheme="minorEastAsia" w:hAnsiTheme="minorHAnsi"/>
                <w:lang w:eastAsia="en-NZ"/>
              </w:rPr>
              <w:tab/>
            </w:r>
            <w:r w:rsidR="0014159E" w:rsidRPr="00E373C2">
              <w:rPr>
                <w:rStyle w:val="Hyperlink"/>
              </w:rPr>
              <w:t xml:space="preserve">Cancer type and histopathological </w:t>
            </w:r>
            <w:r w:rsidR="0014159E">
              <w:rPr>
                <w:rStyle w:val="Hyperlink"/>
              </w:rPr>
              <w:t>+</w:t>
            </w:r>
            <w:r w:rsidR="0014159E" w:rsidRPr="00E373C2">
              <w:rPr>
                <w:rStyle w:val="Hyperlink"/>
              </w:rPr>
              <w:t xml:space="preserve"> prognostic/predictive tumour characteristics</w:t>
            </w:r>
            <w:r w:rsidR="0014159E">
              <w:rPr>
                <w:webHidden/>
              </w:rPr>
              <w:tab/>
            </w:r>
            <w:r w:rsidR="0014159E">
              <w:rPr>
                <w:webHidden/>
              </w:rPr>
              <w:fldChar w:fldCharType="begin"/>
            </w:r>
            <w:r w:rsidR="0014159E">
              <w:rPr>
                <w:webHidden/>
              </w:rPr>
              <w:instrText xml:space="preserve"> PAGEREF _Toc43376300 \h </w:instrText>
            </w:r>
            <w:r w:rsidR="0014159E">
              <w:rPr>
                <w:webHidden/>
              </w:rPr>
            </w:r>
            <w:r w:rsidR="0014159E">
              <w:rPr>
                <w:webHidden/>
              </w:rPr>
              <w:fldChar w:fldCharType="separate"/>
            </w:r>
            <w:r w:rsidR="00AB18B5">
              <w:rPr>
                <w:webHidden/>
              </w:rPr>
              <w:t>60</w:t>
            </w:r>
            <w:r w:rsidR="0014159E">
              <w:rPr>
                <w:webHidden/>
              </w:rPr>
              <w:fldChar w:fldCharType="end"/>
            </w:r>
          </w:hyperlink>
        </w:p>
        <w:p w14:paraId="754BD42C" w14:textId="6D9BF488" w:rsidR="0014159E" w:rsidRDefault="00A1058E">
          <w:pPr>
            <w:pStyle w:val="TOC2"/>
            <w:rPr>
              <w:rFonts w:asciiTheme="minorHAnsi" w:eastAsiaTheme="minorEastAsia" w:hAnsiTheme="minorHAnsi"/>
              <w:lang w:eastAsia="en-NZ"/>
            </w:rPr>
          </w:pPr>
          <w:hyperlink w:anchor="_Toc43376319" w:history="1">
            <w:r w:rsidR="0014159E" w:rsidRPr="00E373C2">
              <w:rPr>
                <w:rStyle w:val="Hyperlink"/>
              </w:rPr>
              <w:t>3.3.</w:t>
            </w:r>
            <w:r w:rsidR="0014159E">
              <w:rPr>
                <w:rFonts w:asciiTheme="minorHAnsi" w:eastAsiaTheme="minorEastAsia" w:hAnsiTheme="minorHAnsi"/>
                <w:lang w:eastAsia="en-NZ"/>
              </w:rPr>
              <w:tab/>
            </w:r>
            <w:r w:rsidR="0014159E" w:rsidRPr="00E373C2">
              <w:rPr>
                <w:rStyle w:val="Hyperlink"/>
              </w:rPr>
              <w:t>Radiological presentation</w:t>
            </w:r>
            <w:r w:rsidR="0014159E">
              <w:rPr>
                <w:webHidden/>
              </w:rPr>
              <w:tab/>
            </w:r>
            <w:r w:rsidR="0014159E">
              <w:rPr>
                <w:webHidden/>
              </w:rPr>
              <w:fldChar w:fldCharType="begin"/>
            </w:r>
            <w:r w:rsidR="0014159E">
              <w:rPr>
                <w:webHidden/>
              </w:rPr>
              <w:instrText xml:space="preserve"> PAGEREF _Toc43376319 \h </w:instrText>
            </w:r>
            <w:r w:rsidR="0014159E">
              <w:rPr>
                <w:webHidden/>
              </w:rPr>
            </w:r>
            <w:r w:rsidR="0014159E">
              <w:rPr>
                <w:webHidden/>
              </w:rPr>
              <w:fldChar w:fldCharType="separate"/>
            </w:r>
            <w:r w:rsidR="00AB18B5">
              <w:rPr>
                <w:webHidden/>
              </w:rPr>
              <w:t>79</w:t>
            </w:r>
            <w:r w:rsidR="0014159E">
              <w:rPr>
                <w:webHidden/>
              </w:rPr>
              <w:fldChar w:fldCharType="end"/>
            </w:r>
          </w:hyperlink>
        </w:p>
        <w:p w14:paraId="2F05A1A2" w14:textId="24C8F6E4" w:rsidR="0014159E" w:rsidRDefault="00A1058E">
          <w:pPr>
            <w:pStyle w:val="TOC2"/>
            <w:rPr>
              <w:rFonts w:asciiTheme="minorHAnsi" w:eastAsiaTheme="minorEastAsia" w:hAnsiTheme="minorHAnsi"/>
              <w:lang w:eastAsia="en-NZ"/>
            </w:rPr>
          </w:pPr>
          <w:hyperlink w:anchor="_Toc43376327" w:history="1">
            <w:r w:rsidR="0014159E" w:rsidRPr="00E373C2">
              <w:rPr>
                <w:rStyle w:val="Hyperlink"/>
              </w:rPr>
              <w:t>3.4.</w:t>
            </w:r>
            <w:r w:rsidR="0014159E">
              <w:rPr>
                <w:rFonts w:asciiTheme="minorHAnsi" w:eastAsiaTheme="minorEastAsia" w:hAnsiTheme="minorHAnsi"/>
                <w:lang w:eastAsia="en-NZ"/>
              </w:rPr>
              <w:tab/>
            </w:r>
            <w:r w:rsidR="0014159E" w:rsidRPr="00E373C2">
              <w:rPr>
                <w:rStyle w:val="Hyperlink"/>
              </w:rPr>
              <w:t>Specificity</w:t>
            </w:r>
            <w:r w:rsidR="0014159E">
              <w:rPr>
                <w:webHidden/>
              </w:rPr>
              <w:tab/>
            </w:r>
            <w:r w:rsidR="0014159E">
              <w:rPr>
                <w:webHidden/>
              </w:rPr>
              <w:fldChar w:fldCharType="begin"/>
            </w:r>
            <w:r w:rsidR="0014159E">
              <w:rPr>
                <w:webHidden/>
              </w:rPr>
              <w:instrText xml:space="preserve"> PAGEREF _Toc43376327 \h </w:instrText>
            </w:r>
            <w:r w:rsidR="0014159E">
              <w:rPr>
                <w:webHidden/>
              </w:rPr>
            </w:r>
            <w:r w:rsidR="0014159E">
              <w:rPr>
                <w:webHidden/>
              </w:rPr>
              <w:fldChar w:fldCharType="separate"/>
            </w:r>
            <w:r w:rsidR="00AB18B5">
              <w:rPr>
                <w:webHidden/>
              </w:rPr>
              <w:t>82</w:t>
            </w:r>
            <w:r w:rsidR="0014159E">
              <w:rPr>
                <w:webHidden/>
              </w:rPr>
              <w:fldChar w:fldCharType="end"/>
            </w:r>
          </w:hyperlink>
        </w:p>
        <w:p w14:paraId="38A449C7" w14:textId="3EC9F0D6" w:rsidR="0014159E" w:rsidRDefault="00A1058E">
          <w:pPr>
            <w:pStyle w:val="TOC2"/>
            <w:rPr>
              <w:rFonts w:asciiTheme="minorHAnsi" w:eastAsiaTheme="minorEastAsia" w:hAnsiTheme="minorHAnsi"/>
              <w:lang w:eastAsia="en-NZ"/>
            </w:rPr>
          </w:pPr>
          <w:hyperlink w:anchor="_Toc43376346" w:history="1">
            <w:r w:rsidR="0014159E" w:rsidRPr="00E373C2">
              <w:rPr>
                <w:rStyle w:val="Hyperlink"/>
              </w:rPr>
              <w:t>3.5.</w:t>
            </w:r>
            <w:r w:rsidR="0014159E">
              <w:rPr>
                <w:rFonts w:asciiTheme="minorHAnsi" w:eastAsiaTheme="minorEastAsia" w:hAnsiTheme="minorHAnsi"/>
                <w:lang w:eastAsia="en-NZ"/>
              </w:rPr>
              <w:tab/>
            </w:r>
            <w:r w:rsidR="0014159E" w:rsidRPr="00E373C2">
              <w:rPr>
                <w:rStyle w:val="Hyperlink"/>
              </w:rPr>
              <w:t>Radiation dose and safety</w:t>
            </w:r>
            <w:r w:rsidR="0014159E">
              <w:rPr>
                <w:webHidden/>
              </w:rPr>
              <w:tab/>
            </w:r>
            <w:r w:rsidR="0014159E">
              <w:rPr>
                <w:webHidden/>
              </w:rPr>
              <w:fldChar w:fldCharType="begin"/>
            </w:r>
            <w:r w:rsidR="0014159E">
              <w:rPr>
                <w:webHidden/>
              </w:rPr>
              <w:instrText xml:space="preserve"> PAGEREF _Toc43376346 \h </w:instrText>
            </w:r>
            <w:r w:rsidR="0014159E">
              <w:rPr>
                <w:webHidden/>
              </w:rPr>
            </w:r>
            <w:r w:rsidR="0014159E">
              <w:rPr>
                <w:webHidden/>
              </w:rPr>
              <w:fldChar w:fldCharType="separate"/>
            </w:r>
            <w:r w:rsidR="00AB18B5">
              <w:rPr>
                <w:webHidden/>
              </w:rPr>
              <w:t>110</w:t>
            </w:r>
            <w:r w:rsidR="0014159E">
              <w:rPr>
                <w:webHidden/>
              </w:rPr>
              <w:fldChar w:fldCharType="end"/>
            </w:r>
          </w:hyperlink>
        </w:p>
        <w:p w14:paraId="14149562" w14:textId="19198909" w:rsidR="0014159E" w:rsidRDefault="00A1058E">
          <w:pPr>
            <w:pStyle w:val="TOC1"/>
            <w:rPr>
              <w:rFonts w:asciiTheme="minorHAnsi" w:eastAsiaTheme="minorEastAsia" w:hAnsiTheme="minorHAnsi"/>
              <w:b w:val="0"/>
              <w:caps w:val="0"/>
              <w:lang w:eastAsia="en-NZ"/>
            </w:rPr>
          </w:pPr>
          <w:hyperlink w:anchor="_Toc43376351" w:history="1">
            <w:r w:rsidR="0014159E" w:rsidRPr="00E373C2">
              <w:rPr>
                <w:rStyle w:val="Hyperlink"/>
              </w:rPr>
              <w:t>4.</w:t>
            </w:r>
            <w:r w:rsidR="0014159E">
              <w:rPr>
                <w:rFonts w:asciiTheme="minorHAnsi" w:eastAsiaTheme="minorEastAsia" w:hAnsiTheme="minorHAnsi"/>
                <w:b w:val="0"/>
                <w:caps w:val="0"/>
                <w:lang w:eastAsia="en-NZ"/>
              </w:rPr>
              <w:tab/>
            </w:r>
            <w:r w:rsidR="0014159E" w:rsidRPr="00E373C2">
              <w:rPr>
                <w:rStyle w:val="Hyperlink"/>
              </w:rPr>
              <w:t>Implementation of dbt as a screening tool</w:t>
            </w:r>
            <w:r w:rsidR="0014159E">
              <w:rPr>
                <w:webHidden/>
              </w:rPr>
              <w:tab/>
            </w:r>
            <w:r w:rsidR="0014159E">
              <w:rPr>
                <w:webHidden/>
              </w:rPr>
              <w:fldChar w:fldCharType="begin"/>
            </w:r>
            <w:r w:rsidR="0014159E">
              <w:rPr>
                <w:webHidden/>
              </w:rPr>
              <w:instrText xml:space="preserve"> PAGEREF _Toc43376351 \h </w:instrText>
            </w:r>
            <w:r w:rsidR="0014159E">
              <w:rPr>
                <w:webHidden/>
              </w:rPr>
            </w:r>
            <w:r w:rsidR="0014159E">
              <w:rPr>
                <w:webHidden/>
              </w:rPr>
              <w:fldChar w:fldCharType="separate"/>
            </w:r>
            <w:r w:rsidR="00AB18B5">
              <w:rPr>
                <w:webHidden/>
              </w:rPr>
              <w:t>120</w:t>
            </w:r>
            <w:r w:rsidR="0014159E">
              <w:rPr>
                <w:webHidden/>
              </w:rPr>
              <w:fldChar w:fldCharType="end"/>
            </w:r>
          </w:hyperlink>
        </w:p>
        <w:p w14:paraId="74B38858" w14:textId="4C76AFF6" w:rsidR="0014159E" w:rsidRDefault="00A1058E">
          <w:pPr>
            <w:pStyle w:val="TOC2"/>
            <w:rPr>
              <w:rFonts w:asciiTheme="minorHAnsi" w:eastAsiaTheme="minorEastAsia" w:hAnsiTheme="minorHAnsi"/>
              <w:lang w:eastAsia="en-NZ"/>
            </w:rPr>
          </w:pPr>
          <w:hyperlink w:anchor="_Toc43376352" w:history="1">
            <w:r w:rsidR="0014159E" w:rsidRPr="00E373C2">
              <w:rPr>
                <w:rStyle w:val="Hyperlink"/>
              </w:rPr>
              <w:t>4.1.</w:t>
            </w:r>
            <w:r w:rsidR="0014159E">
              <w:rPr>
                <w:rFonts w:asciiTheme="minorHAnsi" w:eastAsiaTheme="minorEastAsia" w:hAnsiTheme="minorHAnsi"/>
                <w:lang w:eastAsia="en-NZ"/>
              </w:rPr>
              <w:tab/>
            </w:r>
            <w:r w:rsidR="0014159E" w:rsidRPr="00E373C2">
              <w:rPr>
                <w:rStyle w:val="Hyperlink"/>
              </w:rPr>
              <w:t>Image acquisition</w:t>
            </w:r>
            <w:r w:rsidR="0014159E">
              <w:rPr>
                <w:webHidden/>
              </w:rPr>
              <w:tab/>
            </w:r>
            <w:r w:rsidR="0014159E">
              <w:rPr>
                <w:webHidden/>
              </w:rPr>
              <w:fldChar w:fldCharType="begin"/>
            </w:r>
            <w:r w:rsidR="0014159E">
              <w:rPr>
                <w:webHidden/>
              </w:rPr>
              <w:instrText xml:space="preserve"> PAGEREF _Toc43376352 \h </w:instrText>
            </w:r>
            <w:r w:rsidR="0014159E">
              <w:rPr>
                <w:webHidden/>
              </w:rPr>
            </w:r>
            <w:r w:rsidR="0014159E">
              <w:rPr>
                <w:webHidden/>
              </w:rPr>
              <w:fldChar w:fldCharType="separate"/>
            </w:r>
            <w:r w:rsidR="00AB18B5">
              <w:rPr>
                <w:webHidden/>
              </w:rPr>
              <w:t>120</w:t>
            </w:r>
            <w:r w:rsidR="0014159E">
              <w:rPr>
                <w:webHidden/>
              </w:rPr>
              <w:fldChar w:fldCharType="end"/>
            </w:r>
          </w:hyperlink>
        </w:p>
        <w:p w14:paraId="655B2B6B" w14:textId="184BB26F" w:rsidR="0014159E" w:rsidRDefault="00A1058E">
          <w:pPr>
            <w:pStyle w:val="TOC2"/>
            <w:rPr>
              <w:rFonts w:asciiTheme="minorHAnsi" w:eastAsiaTheme="minorEastAsia" w:hAnsiTheme="minorHAnsi"/>
              <w:lang w:eastAsia="en-NZ"/>
            </w:rPr>
          </w:pPr>
          <w:hyperlink w:anchor="_Toc43376355" w:history="1">
            <w:r w:rsidR="0014159E" w:rsidRPr="00E373C2">
              <w:rPr>
                <w:rStyle w:val="Hyperlink"/>
              </w:rPr>
              <w:t>4.2.</w:t>
            </w:r>
            <w:r w:rsidR="0014159E">
              <w:rPr>
                <w:rFonts w:asciiTheme="minorHAnsi" w:eastAsiaTheme="minorEastAsia" w:hAnsiTheme="minorHAnsi"/>
                <w:lang w:eastAsia="en-NZ"/>
              </w:rPr>
              <w:tab/>
            </w:r>
            <w:r w:rsidR="0014159E" w:rsidRPr="00E373C2">
              <w:rPr>
                <w:rStyle w:val="Hyperlink"/>
              </w:rPr>
              <w:t>Reader performance</w:t>
            </w:r>
            <w:r w:rsidR="0014159E">
              <w:rPr>
                <w:webHidden/>
              </w:rPr>
              <w:tab/>
            </w:r>
            <w:r w:rsidR="0014159E">
              <w:rPr>
                <w:webHidden/>
              </w:rPr>
              <w:fldChar w:fldCharType="begin"/>
            </w:r>
            <w:r w:rsidR="0014159E">
              <w:rPr>
                <w:webHidden/>
              </w:rPr>
              <w:instrText xml:space="preserve"> PAGEREF _Toc43376355 \h </w:instrText>
            </w:r>
            <w:r w:rsidR="0014159E">
              <w:rPr>
                <w:webHidden/>
              </w:rPr>
            </w:r>
            <w:r w:rsidR="0014159E">
              <w:rPr>
                <w:webHidden/>
              </w:rPr>
              <w:fldChar w:fldCharType="separate"/>
            </w:r>
            <w:r w:rsidR="00AB18B5">
              <w:rPr>
                <w:webHidden/>
              </w:rPr>
              <w:t>122</w:t>
            </w:r>
            <w:r w:rsidR="0014159E">
              <w:rPr>
                <w:webHidden/>
              </w:rPr>
              <w:fldChar w:fldCharType="end"/>
            </w:r>
          </w:hyperlink>
        </w:p>
        <w:p w14:paraId="72E82226" w14:textId="16E4F200" w:rsidR="0014159E" w:rsidRDefault="00A1058E">
          <w:pPr>
            <w:pStyle w:val="TOC2"/>
            <w:rPr>
              <w:rFonts w:asciiTheme="minorHAnsi" w:eastAsiaTheme="minorEastAsia" w:hAnsiTheme="minorHAnsi"/>
              <w:lang w:eastAsia="en-NZ"/>
            </w:rPr>
          </w:pPr>
          <w:hyperlink w:anchor="_Toc43376360" w:history="1">
            <w:r w:rsidR="0014159E" w:rsidRPr="00E373C2">
              <w:rPr>
                <w:rStyle w:val="Hyperlink"/>
              </w:rPr>
              <w:t>4.3.</w:t>
            </w:r>
            <w:r w:rsidR="0014159E">
              <w:rPr>
                <w:rFonts w:asciiTheme="minorHAnsi" w:eastAsiaTheme="minorEastAsia" w:hAnsiTheme="minorHAnsi"/>
                <w:lang w:eastAsia="en-NZ"/>
              </w:rPr>
              <w:tab/>
            </w:r>
            <w:r w:rsidR="0014159E" w:rsidRPr="00E373C2">
              <w:rPr>
                <w:rStyle w:val="Hyperlink"/>
              </w:rPr>
              <w:t>Interpretation time</w:t>
            </w:r>
            <w:r w:rsidR="0014159E">
              <w:rPr>
                <w:webHidden/>
              </w:rPr>
              <w:tab/>
            </w:r>
            <w:r w:rsidR="0014159E">
              <w:rPr>
                <w:webHidden/>
              </w:rPr>
              <w:fldChar w:fldCharType="begin"/>
            </w:r>
            <w:r w:rsidR="0014159E">
              <w:rPr>
                <w:webHidden/>
              </w:rPr>
              <w:instrText xml:space="preserve"> PAGEREF _Toc43376360 \h </w:instrText>
            </w:r>
            <w:r w:rsidR="0014159E">
              <w:rPr>
                <w:webHidden/>
              </w:rPr>
            </w:r>
            <w:r w:rsidR="0014159E">
              <w:rPr>
                <w:webHidden/>
              </w:rPr>
              <w:fldChar w:fldCharType="separate"/>
            </w:r>
            <w:r w:rsidR="00AB18B5">
              <w:rPr>
                <w:webHidden/>
              </w:rPr>
              <w:t>129</w:t>
            </w:r>
            <w:r w:rsidR="0014159E">
              <w:rPr>
                <w:webHidden/>
              </w:rPr>
              <w:fldChar w:fldCharType="end"/>
            </w:r>
          </w:hyperlink>
        </w:p>
        <w:p w14:paraId="779595D4" w14:textId="63187C31" w:rsidR="0014159E" w:rsidRDefault="00A1058E">
          <w:pPr>
            <w:pStyle w:val="TOC2"/>
            <w:rPr>
              <w:rFonts w:asciiTheme="minorHAnsi" w:eastAsiaTheme="minorEastAsia" w:hAnsiTheme="minorHAnsi"/>
              <w:lang w:eastAsia="en-NZ"/>
            </w:rPr>
          </w:pPr>
          <w:hyperlink w:anchor="_Toc43376367" w:history="1">
            <w:r w:rsidR="0014159E" w:rsidRPr="00E373C2">
              <w:rPr>
                <w:rStyle w:val="Hyperlink"/>
              </w:rPr>
              <w:t>4.4.</w:t>
            </w:r>
            <w:r w:rsidR="0014159E">
              <w:rPr>
                <w:rFonts w:asciiTheme="minorHAnsi" w:eastAsiaTheme="minorEastAsia" w:hAnsiTheme="minorHAnsi"/>
                <w:lang w:eastAsia="en-NZ"/>
              </w:rPr>
              <w:tab/>
            </w:r>
            <w:r w:rsidR="0014159E" w:rsidRPr="00E373C2">
              <w:rPr>
                <w:rStyle w:val="Hyperlink"/>
              </w:rPr>
              <w:t>Cost</w:t>
            </w:r>
            <w:r w:rsidR="0014159E">
              <w:rPr>
                <w:webHidden/>
              </w:rPr>
              <w:tab/>
            </w:r>
            <w:r w:rsidR="0014159E">
              <w:rPr>
                <w:webHidden/>
              </w:rPr>
              <w:fldChar w:fldCharType="begin"/>
            </w:r>
            <w:r w:rsidR="0014159E">
              <w:rPr>
                <w:webHidden/>
              </w:rPr>
              <w:instrText xml:space="preserve"> PAGEREF _Toc43376367 \h </w:instrText>
            </w:r>
            <w:r w:rsidR="0014159E">
              <w:rPr>
                <w:webHidden/>
              </w:rPr>
            </w:r>
            <w:r w:rsidR="0014159E">
              <w:rPr>
                <w:webHidden/>
              </w:rPr>
              <w:fldChar w:fldCharType="separate"/>
            </w:r>
            <w:r w:rsidR="00AB18B5">
              <w:rPr>
                <w:webHidden/>
              </w:rPr>
              <w:t>134</w:t>
            </w:r>
            <w:r w:rsidR="0014159E">
              <w:rPr>
                <w:webHidden/>
              </w:rPr>
              <w:fldChar w:fldCharType="end"/>
            </w:r>
          </w:hyperlink>
        </w:p>
        <w:p w14:paraId="49DFFD21" w14:textId="5AE79BD0" w:rsidR="0014159E" w:rsidRDefault="00A1058E">
          <w:pPr>
            <w:pStyle w:val="TOC1"/>
            <w:rPr>
              <w:rFonts w:asciiTheme="minorHAnsi" w:eastAsiaTheme="minorEastAsia" w:hAnsiTheme="minorHAnsi"/>
              <w:b w:val="0"/>
              <w:caps w:val="0"/>
              <w:lang w:eastAsia="en-NZ"/>
            </w:rPr>
          </w:pPr>
          <w:hyperlink w:anchor="_Toc43376373" w:history="1">
            <w:r w:rsidR="0014159E" w:rsidRPr="00E373C2">
              <w:rPr>
                <w:rStyle w:val="Hyperlink"/>
              </w:rPr>
              <w:t>references</w:t>
            </w:r>
            <w:r w:rsidR="0014159E">
              <w:rPr>
                <w:webHidden/>
              </w:rPr>
              <w:tab/>
            </w:r>
            <w:r w:rsidR="0014159E">
              <w:rPr>
                <w:webHidden/>
              </w:rPr>
              <w:fldChar w:fldCharType="begin"/>
            </w:r>
            <w:r w:rsidR="0014159E">
              <w:rPr>
                <w:webHidden/>
              </w:rPr>
              <w:instrText xml:space="preserve"> PAGEREF _Toc43376373 \h </w:instrText>
            </w:r>
            <w:r w:rsidR="0014159E">
              <w:rPr>
                <w:webHidden/>
              </w:rPr>
            </w:r>
            <w:r w:rsidR="0014159E">
              <w:rPr>
                <w:webHidden/>
              </w:rPr>
              <w:fldChar w:fldCharType="separate"/>
            </w:r>
            <w:r w:rsidR="00AB18B5">
              <w:rPr>
                <w:webHidden/>
              </w:rPr>
              <w:t>139</w:t>
            </w:r>
            <w:r w:rsidR="0014159E">
              <w:rPr>
                <w:webHidden/>
              </w:rPr>
              <w:fldChar w:fldCharType="end"/>
            </w:r>
          </w:hyperlink>
        </w:p>
        <w:p w14:paraId="30FEB14F" w14:textId="05A9BEE3" w:rsidR="0014159E" w:rsidRDefault="00A1058E">
          <w:pPr>
            <w:pStyle w:val="TOC1"/>
            <w:rPr>
              <w:rFonts w:asciiTheme="minorHAnsi" w:eastAsiaTheme="minorEastAsia" w:hAnsiTheme="minorHAnsi"/>
              <w:b w:val="0"/>
              <w:caps w:val="0"/>
              <w:lang w:eastAsia="en-NZ"/>
            </w:rPr>
          </w:pPr>
          <w:hyperlink w:anchor="_Toc43376374" w:history="1">
            <w:r w:rsidR="0014159E" w:rsidRPr="00E373C2">
              <w:rPr>
                <w:rStyle w:val="Hyperlink"/>
              </w:rPr>
              <w:t>annex a: 2018 dashboard</w:t>
            </w:r>
            <w:r w:rsidR="0014159E">
              <w:rPr>
                <w:webHidden/>
              </w:rPr>
              <w:tab/>
            </w:r>
            <w:r w:rsidR="0014159E">
              <w:rPr>
                <w:webHidden/>
              </w:rPr>
              <w:fldChar w:fldCharType="begin"/>
            </w:r>
            <w:r w:rsidR="0014159E">
              <w:rPr>
                <w:webHidden/>
              </w:rPr>
              <w:instrText xml:space="preserve"> PAGEREF _Toc43376374 \h </w:instrText>
            </w:r>
            <w:r w:rsidR="0014159E">
              <w:rPr>
                <w:webHidden/>
              </w:rPr>
            </w:r>
            <w:r w:rsidR="0014159E">
              <w:rPr>
                <w:webHidden/>
              </w:rPr>
              <w:fldChar w:fldCharType="separate"/>
            </w:r>
            <w:r w:rsidR="00AB18B5">
              <w:rPr>
                <w:webHidden/>
              </w:rPr>
              <w:t>144</w:t>
            </w:r>
            <w:r w:rsidR="0014159E">
              <w:rPr>
                <w:webHidden/>
              </w:rPr>
              <w:fldChar w:fldCharType="end"/>
            </w:r>
          </w:hyperlink>
        </w:p>
        <w:p w14:paraId="35E4E0C4" w14:textId="6EE87A56" w:rsidR="0014159E" w:rsidRDefault="00A1058E">
          <w:pPr>
            <w:pStyle w:val="TOC1"/>
            <w:rPr>
              <w:rFonts w:asciiTheme="minorHAnsi" w:eastAsiaTheme="minorEastAsia" w:hAnsiTheme="minorHAnsi"/>
              <w:b w:val="0"/>
              <w:caps w:val="0"/>
              <w:lang w:eastAsia="en-NZ"/>
            </w:rPr>
          </w:pPr>
          <w:hyperlink w:anchor="_Toc43376375" w:history="1">
            <w:r w:rsidR="0014159E" w:rsidRPr="00E373C2">
              <w:rPr>
                <w:rStyle w:val="Hyperlink"/>
              </w:rPr>
              <w:t>Annex B: Study populations</w:t>
            </w:r>
            <w:r w:rsidR="0014159E">
              <w:rPr>
                <w:webHidden/>
              </w:rPr>
              <w:tab/>
            </w:r>
            <w:r w:rsidR="0014159E">
              <w:rPr>
                <w:webHidden/>
              </w:rPr>
              <w:fldChar w:fldCharType="begin"/>
            </w:r>
            <w:r w:rsidR="0014159E">
              <w:rPr>
                <w:webHidden/>
              </w:rPr>
              <w:instrText xml:space="preserve"> PAGEREF _Toc43376375 \h </w:instrText>
            </w:r>
            <w:r w:rsidR="0014159E">
              <w:rPr>
                <w:webHidden/>
              </w:rPr>
            </w:r>
            <w:r w:rsidR="0014159E">
              <w:rPr>
                <w:webHidden/>
              </w:rPr>
              <w:fldChar w:fldCharType="separate"/>
            </w:r>
            <w:r w:rsidR="00AB18B5">
              <w:rPr>
                <w:webHidden/>
              </w:rPr>
              <w:t>145</w:t>
            </w:r>
            <w:r w:rsidR="0014159E">
              <w:rPr>
                <w:webHidden/>
              </w:rPr>
              <w:fldChar w:fldCharType="end"/>
            </w:r>
          </w:hyperlink>
        </w:p>
        <w:p w14:paraId="288F9A78" w14:textId="05786345" w:rsidR="0014159E" w:rsidRDefault="00A1058E">
          <w:pPr>
            <w:pStyle w:val="TOC1"/>
            <w:rPr>
              <w:rFonts w:asciiTheme="minorHAnsi" w:eastAsiaTheme="minorEastAsia" w:hAnsiTheme="minorHAnsi"/>
              <w:b w:val="0"/>
              <w:caps w:val="0"/>
              <w:lang w:eastAsia="en-NZ"/>
            </w:rPr>
          </w:pPr>
          <w:hyperlink w:anchor="_Toc43376376" w:history="1">
            <w:r w:rsidR="0014159E" w:rsidRPr="00E373C2">
              <w:rPr>
                <w:rStyle w:val="Hyperlink"/>
              </w:rPr>
              <w:t>ANNEX C: quality assessment for each included SYStematic review</w:t>
            </w:r>
            <w:r w:rsidR="0014159E">
              <w:rPr>
                <w:webHidden/>
              </w:rPr>
              <w:tab/>
            </w:r>
            <w:r w:rsidR="0014159E">
              <w:rPr>
                <w:webHidden/>
              </w:rPr>
              <w:fldChar w:fldCharType="begin"/>
            </w:r>
            <w:r w:rsidR="0014159E">
              <w:rPr>
                <w:webHidden/>
              </w:rPr>
              <w:instrText xml:space="preserve"> PAGEREF _Toc43376376 \h </w:instrText>
            </w:r>
            <w:r w:rsidR="0014159E">
              <w:rPr>
                <w:webHidden/>
              </w:rPr>
            </w:r>
            <w:r w:rsidR="0014159E">
              <w:rPr>
                <w:webHidden/>
              </w:rPr>
              <w:fldChar w:fldCharType="separate"/>
            </w:r>
            <w:r w:rsidR="00AB18B5">
              <w:rPr>
                <w:webHidden/>
              </w:rPr>
              <w:t>146</w:t>
            </w:r>
            <w:r w:rsidR="0014159E">
              <w:rPr>
                <w:webHidden/>
              </w:rPr>
              <w:fldChar w:fldCharType="end"/>
            </w:r>
          </w:hyperlink>
        </w:p>
        <w:p w14:paraId="2825AA36" w14:textId="0B05F655" w:rsidR="0014159E" w:rsidRDefault="0014159E">
          <w:pPr>
            <w:pStyle w:val="TOC3"/>
            <w:rPr>
              <w:rFonts w:asciiTheme="minorHAnsi" w:eastAsiaTheme="minorEastAsia" w:hAnsiTheme="minorHAnsi"/>
              <w:sz w:val="22"/>
              <w:lang w:eastAsia="en-NZ"/>
            </w:rPr>
          </w:pPr>
        </w:p>
        <w:p w14:paraId="2FE1B998" w14:textId="3746C4AB" w:rsidR="002C0215" w:rsidRPr="00FB2A78" w:rsidRDefault="002C0215" w:rsidP="00FB2A78">
          <w:pPr>
            <w:pStyle w:val="TOC1"/>
            <w:rPr>
              <w:rFonts w:asciiTheme="minorHAnsi" w:eastAsiaTheme="minorEastAsia" w:hAnsiTheme="minorHAnsi"/>
              <w:b w:val="0"/>
              <w:caps w:val="0"/>
              <w:lang w:eastAsia="en-NZ"/>
            </w:rPr>
          </w:pPr>
          <w:r>
            <w:rPr>
              <w:b w:val="0"/>
              <w:sz w:val="24"/>
            </w:rPr>
            <w:fldChar w:fldCharType="end"/>
          </w:r>
        </w:p>
      </w:sdtContent>
    </w:sdt>
    <w:p w14:paraId="303B6638" w14:textId="77777777" w:rsidR="002C0215" w:rsidRDefault="002C0215">
      <w:pPr>
        <w:rPr>
          <w:rFonts w:asciiTheme="majorHAnsi" w:hAnsiTheme="majorHAnsi"/>
          <w:b/>
          <w:caps/>
          <w:color w:val="36424A" w:themeColor="text2"/>
          <w:sz w:val="28"/>
        </w:rPr>
      </w:pPr>
      <w:r>
        <w:br w:type="page"/>
      </w:r>
    </w:p>
    <w:p w14:paraId="5E8A65F5" w14:textId="1DDC248B" w:rsidR="003261EE" w:rsidRPr="00E44152" w:rsidRDefault="00815FC2" w:rsidP="003261EE">
      <w:pPr>
        <w:pStyle w:val="Heading1"/>
      </w:pPr>
      <w:bookmarkStart w:id="14" w:name="_Toc43376246"/>
      <w:bookmarkEnd w:id="13"/>
      <w:r>
        <w:lastRenderedPageBreak/>
        <w:t>ACRONYMS</w:t>
      </w:r>
      <w:bookmarkEnd w:id="14"/>
    </w:p>
    <w:p w14:paraId="7E7640CA" w14:textId="77777777" w:rsidR="003261EE" w:rsidRDefault="003261EE" w:rsidP="003261EE">
      <w:pPr>
        <w:pStyle w:val="BodyText"/>
      </w:pPr>
      <w:r>
        <w:t>95%CI</w:t>
      </w:r>
      <w:r>
        <w:tab/>
      </w:r>
      <w:r>
        <w:tab/>
        <w:t>95% confidence interval</w:t>
      </w:r>
    </w:p>
    <w:p w14:paraId="717B96F3" w14:textId="5E26CB97" w:rsidR="0024768A" w:rsidRDefault="0024768A" w:rsidP="003261EE">
      <w:pPr>
        <w:pStyle w:val="BodyText"/>
        <w:ind w:left="1440" w:hanging="1440"/>
      </w:pPr>
      <w:r>
        <w:t>AD</w:t>
      </w:r>
      <w:r>
        <w:tab/>
        <w:t>Architectural distortion</w:t>
      </w:r>
    </w:p>
    <w:p w14:paraId="3F98ED00" w14:textId="77777777" w:rsidR="003261EE" w:rsidRPr="00FC3C8D" w:rsidRDefault="003261EE" w:rsidP="003261EE">
      <w:pPr>
        <w:pStyle w:val="BodyText"/>
      </w:pPr>
      <w:r w:rsidRPr="00FC3C8D">
        <w:t>BIRADS</w:t>
      </w:r>
      <w:r w:rsidRPr="00FC3C8D">
        <w:tab/>
        <w:t>Breast Imaging Reporting and Data System</w:t>
      </w:r>
    </w:p>
    <w:p w14:paraId="7D9230DF" w14:textId="77777777" w:rsidR="003261EE" w:rsidRPr="00E44152" w:rsidRDefault="003261EE" w:rsidP="003261EE">
      <w:pPr>
        <w:pStyle w:val="BodyText"/>
      </w:pPr>
      <w:r w:rsidRPr="00E44152">
        <w:t>CC</w:t>
      </w:r>
      <w:r w:rsidRPr="00E44152">
        <w:tab/>
      </w:r>
      <w:r>
        <w:tab/>
      </w:r>
      <w:r w:rsidRPr="00E44152">
        <w:t>Craniocaudal (view)</w:t>
      </w:r>
    </w:p>
    <w:p w14:paraId="6C69E148" w14:textId="77777777" w:rsidR="003261EE" w:rsidRPr="00E44152" w:rsidRDefault="003261EE" w:rsidP="003261EE">
      <w:pPr>
        <w:pStyle w:val="BodyText"/>
      </w:pPr>
      <w:r w:rsidRPr="00E44152">
        <w:t>CDR</w:t>
      </w:r>
      <w:r>
        <w:tab/>
      </w:r>
      <w:r w:rsidRPr="00E44152">
        <w:tab/>
        <w:t>Cancer detection rate</w:t>
      </w:r>
    </w:p>
    <w:p w14:paraId="34F4742E" w14:textId="77777777" w:rsidR="003261EE" w:rsidRDefault="003261EE" w:rsidP="003261EE">
      <w:pPr>
        <w:pStyle w:val="BodyText"/>
      </w:pPr>
      <w:r w:rsidRPr="00E44152">
        <w:t>DBT</w:t>
      </w:r>
      <w:r w:rsidRPr="00E44152">
        <w:tab/>
      </w:r>
      <w:r>
        <w:tab/>
        <w:t>Two-view d</w:t>
      </w:r>
      <w:r w:rsidRPr="00E44152">
        <w:t>igital breast tomosynthesis</w:t>
      </w:r>
      <w:r>
        <w:t xml:space="preserve"> (unless otherwise noted)</w:t>
      </w:r>
    </w:p>
    <w:p w14:paraId="2119C747" w14:textId="58BE0E90" w:rsidR="003261EE" w:rsidRPr="006450C8" w:rsidRDefault="003261EE" w:rsidP="003261EE">
      <w:pPr>
        <w:pStyle w:val="BodyText"/>
      </w:pPr>
      <w:r w:rsidRPr="00AC23E4">
        <w:t>DBT</w:t>
      </w:r>
      <w:r w:rsidRPr="00AC23E4">
        <w:rPr>
          <w:vertAlign w:val="subscript"/>
        </w:rPr>
        <w:t>CC</w:t>
      </w:r>
      <w:r w:rsidRPr="006450C8">
        <w:t xml:space="preserve"> </w:t>
      </w:r>
      <w:r>
        <w:tab/>
      </w:r>
      <w:r>
        <w:tab/>
        <w:t>One</w:t>
      </w:r>
      <w:r w:rsidR="00E95926">
        <w:t>-</w:t>
      </w:r>
      <w:r>
        <w:t>view digital breast tomosynthesis (craniocaudal view)</w:t>
      </w:r>
    </w:p>
    <w:p w14:paraId="74FEBBF7" w14:textId="03E1CD8C" w:rsidR="003261EE" w:rsidRPr="00E44152" w:rsidRDefault="003261EE" w:rsidP="003261EE">
      <w:pPr>
        <w:pStyle w:val="BodyText"/>
      </w:pPr>
      <w:r>
        <w:t>DBT</w:t>
      </w:r>
      <w:r>
        <w:rPr>
          <w:vertAlign w:val="subscript"/>
        </w:rPr>
        <w:t>MLO</w:t>
      </w:r>
      <w:r>
        <w:t xml:space="preserve"> </w:t>
      </w:r>
      <w:r>
        <w:tab/>
      </w:r>
      <w:bookmarkStart w:id="15" w:name="_Hlk27966805"/>
      <w:r>
        <w:t>One</w:t>
      </w:r>
      <w:r w:rsidR="00E95926">
        <w:t>-</w:t>
      </w:r>
      <w:r>
        <w:t>view digital breast tomosynthesis (medio-lateral oblique view)</w:t>
      </w:r>
    </w:p>
    <w:bookmarkEnd w:id="15"/>
    <w:p w14:paraId="2A10CD82" w14:textId="095372DF" w:rsidR="00DA52CA" w:rsidRDefault="00DA52CA" w:rsidP="003261EE">
      <w:pPr>
        <w:pStyle w:val="BodyText"/>
      </w:pPr>
      <w:r>
        <w:t>DCIS</w:t>
      </w:r>
      <w:r>
        <w:tab/>
      </w:r>
      <w:r>
        <w:tab/>
        <w:t>Ductal carcinoma in situ</w:t>
      </w:r>
    </w:p>
    <w:p w14:paraId="5DFF5A89" w14:textId="57BF1D57" w:rsidR="00FB278F" w:rsidRDefault="00FB278F" w:rsidP="003261EE">
      <w:pPr>
        <w:pStyle w:val="BodyText"/>
      </w:pPr>
      <w:r>
        <w:t>DICOM</w:t>
      </w:r>
      <w:r>
        <w:tab/>
      </w:r>
      <w:r>
        <w:tab/>
      </w:r>
      <w:r w:rsidRPr="00E22AD9">
        <w:t>Digital Imaging and C</w:t>
      </w:r>
      <w:r>
        <w:t>om</w:t>
      </w:r>
      <w:r w:rsidRPr="00E22AD9">
        <w:t>munications</w:t>
      </w:r>
    </w:p>
    <w:p w14:paraId="6B7DF661" w14:textId="38EC582C" w:rsidR="003261EE" w:rsidRDefault="003261EE" w:rsidP="003261EE">
      <w:pPr>
        <w:pStyle w:val="BodyText"/>
      </w:pPr>
      <w:r w:rsidRPr="00E44152">
        <w:t xml:space="preserve">DM </w:t>
      </w:r>
      <w:r w:rsidRPr="00E44152">
        <w:tab/>
      </w:r>
      <w:r>
        <w:tab/>
      </w:r>
      <w:r w:rsidRPr="00E44152">
        <w:t>Digital mammography</w:t>
      </w:r>
      <w:r>
        <w:t xml:space="preserve"> </w:t>
      </w:r>
    </w:p>
    <w:p w14:paraId="5A61C69F" w14:textId="77777777" w:rsidR="003261EE" w:rsidRPr="00E44152" w:rsidRDefault="003261EE" w:rsidP="003261EE">
      <w:pPr>
        <w:pStyle w:val="BodyText"/>
      </w:pPr>
      <w:r>
        <w:t>DM</w:t>
      </w:r>
      <w:r>
        <w:rPr>
          <w:vertAlign w:val="subscript"/>
        </w:rPr>
        <w:t>CC</w:t>
      </w:r>
      <w:r>
        <w:rPr>
          <w:vertAlign w:val="subscript"/>
        </w:rPr>
        <w:tab/>
      </w:r>
      <w:r>
        <w:rPr>
          <w:vertAlign w:val="subscript"/>
        </w:rPr>
        <w:tab/>
      </w:r>
      <w:r w:rsidRPr="00AC23E4">
        <w:t xml:space="preserve">One </w:t>
      </w:r>
      <w:r w:rsidRPr="00C439E3">
        <w:t>vie</w:t>
      </w:r>
      <w:r w:rsidRPr="007708E2">
        <w:t>w digital</w:t>
      </w:r>
      <w:r>
        <w:t xml:space="preserve"> mammography (craniocaudal view)</w:t>
      </w:r>
    </w:p>
    <w:p w14:paraId="740DA470" w14:textId="014406AD" w:rsidR="003261EE" w:rsidRDefault="003261EE" w:rsidP="003261EE">
      <w:pPr>
        <w:pStyle w:val="BodyText"/>
      </w:pPr>
      <w:r w:rsidRPr="00E44152">
        <w:t>FFDM</w:t>
      </w:r>
      <w:r w:rsidRPr="00E44152">
        <w:tab/>
      </w:r>
      <w:r>
        <w:tab/>
      </w:r>
      <w:r w:rsidRPr="00E44152">
        <w:t>Full-field digital mammography</w:t>
      </w:r>
      <w:r>
        <w:t xml:space="preserve"> (also known as two-view digital mammography)</w:t>
      </w:r>
    </w:p>
    <w:p w14:paraId="29C0D658" w14:textId="0B4BC9A6" w:rsidR="006B3F51" w:rsidRPr="00DA52CA" w:rsidRDefault="006B3F51" w:rsidP="00DA52CA">
      <w:pPr>
        <w:pStyle w:val="BodyText"/>
      </w:pPr>
      <w:r w:rsidRPr="00DA52CA">
        <w:t>HER-2</w:t>
      </w:r>
      <w:r w:rsidRPr="00DA52CA">
        <w:tab/>
      </w:r>
      <w:r w:rsidR="00DA52CA" w:rsidRPr="00DA52CA">
        <w:tab/>
      </w:r>
      <w:r w:rsidR="00DA52CA">
        <w:t>H</w:t>
      </w:r>
      <w:r w:rsidR="00DA52CA" w:rsidRPr="00DA52CA">
        <w:t>uman epidermal growth factor receptor </w:t>
      </w:r>
      <w:r w:rsidR="00DA52CA" w:rsidRPr="00DA52CA">
        <w:rPr>
          <w:rStyle w:val="Emphasis"/>
          <w:i w:val="0"/>
          <w:iCs w:val="0"/>
        </w:rPr>
        <w:t>2</w:t>
      </w:r>
      <w:r w:rsidR="00DA52CA" w:rsidRPr="00DA52CA">
        <w:t> </w:t>
      </w:r>
    </w:p>
    <w:p w14:paraId="27E4B9FB" w14:textId="56B065F4" w:rsidR="00DA52CA" w:rsidRDefault="00DA52CA" w:rsidP="003261EE">
      <w:pPr>
        <w:pStyle w:val="BodyText"/>
      </w:pPr>
      <w:r>
        <w:t>IDC</w:t>
      </w:r>
      <w:r>
        <w:tab/>
      </w:r>
      <w:r>
        <w:tab/>
        <w:t>Invasive ductal carcinoma</w:t>
      </w:r>
    </w:p>
    <w:p w14:paraId="6FDE8604" w14:textId="6231B474" w:rsidR="00DA52CA" w:rsidRDefault="00DA52CA" w:rsidP="003261EE">
      <w:pPr>
        <w:pStyle w:val="BodyText"/>
      </w:pPr>
      <w:r>
        <w:t>ILC</w:t>
      </w:r>
      <w:r>
        <w:tab/>
      </w:r>
      <w:r>
        <w:tab/>
        <w:t>Invasive lobular carcinoma</w:t>
      </w:r>
    </w:p>
    <w:p w14:paraId="4A6A655B" w14:textId="7C537715" w:rsidR="003261EE" w:rsidRPr="00C3729A" w:rsidRDefault="003261EE" w:rsidP="003261EE">
      <w:pPr>
        <w:pStyle w:val="BodyText"/>
      </w:pPr>
      <w:r w:rsidRPr="00C3729A">
        <w:t>JAFROC</w:t>
      </w:r>
      <w:r w:rsidRPr="00C3729A">
        <w:tab/>
      </w:r>
      <w:r>
        <w:t>J</w:t>
      </w:r>
      <w:r w:rsidRPr="00C3729A">
        <w:t>ackknife free-response receiver operating characteristic </w:t>
      </w:r>
    </w:p>
    <w:p w14:paraId="6EBF39E2" w14:textId="77777777" w:rsidR="003261EE" w:rsidRPr="00E44152" w:rsidRDefault="003261EE" w:rsidP="003261EE">
      <w:pPr>
        <w:pStyle w:val="BodyText"/>
      </w:pPr>
      <w:r w:rsidRPr="00E44152">
        <w:t>MGD</w:t>
      </w:r>
      <w:r w:rsidRPr="00E44152">
        <w:tab/>
      </w:r>
      <w:r>
        <w:tab/>
      </w:r>
      <w:r w:rsidRPr="00E44152">
        <w:t>Mean glandular dose</w:t>
      </w:r>
    </w:p>
    <w:p w14:paraId="391C8D89" w14:textId="77777777" w:rsidR="003261EE" w:rsidRPr="00E44152" w:rsidRDefault="003261EE" w:rsidP="003261EE">
      <w:pPr>
        <w:pStyle w:val="BodyText"/>
      </w:pPr>
      <w:r w:rsidRPr="00E44152">
        <w:t>mGy</w:t>
      </w:r>
      <w:r w:rsidRPr="00E44152">
        <w:tab/>
      </w:r>
      <w:r>
        <w:tab/>
      </w:r>
      <w:r w:rsidRPr="00E44152">
        <w:t>Milligray</w:t>
      </w:r>
    </w:p>
    <w:p w14:paraId="176E931E" w14:textId="77777777" w:rsidR="003261EE" w:rsidRPr="00E44152" w:rsidRDefault="003261EE" w:rsidP="003261EE">
      <w:pPr>
        <w:pStyle w:val="BodyText"/>
      </w:pPr>
      <w:r w:rsidRPr="00E44152">
        <w:t>MLO</w:t>
      </w:r>
      <w:r w:rsidRPr="00E44152">
        <w:tab/>
      </w:r>
      <w:r>
        <w:tab/>
      </w:r>
      <w:r w:rsidRPr="00E44152">
        <w:t>Mediolateral oblique (view)</w:t>
      </w:r>
    </w:p>
    <w:p w14:paraId="080EB148" w14:textId="55421B27" w:rsidR="003261EE" w:rsidRDefault="003261EE" w:rsidP="003261EE">
      <w:pPr>
        <w:pStyle w:val="BodyText"/>
      </w:pPr>
      <w:r>
        <w:t>OR</w:t>
      </w:r>
      <w:r>
        <w:tab/>
      </w:r>
      <w:r>
        <w:tab/>
        <w:t>Odds ratio</w:t>
      </w:r>
    </w:p>
    <w:p w14:paraId="64188640" w14:textId="2D733CF4" w:rsidR="006B3F51" w:rsidRDefault="006B3F51" w:rsidP="003261EE">
      <w:pPr>
        <w:pStyle w:val="BodyText"/>
      </w:pPr>
      <w:r>
        <w:t>OR+</w:t>
      </w:r>
      <w:r>
        <w:tab/>
      </w:r>
      <w:r>
        <w:tab/>
        <w:t>Oestrogen positive receptor</w:t>
      </w:r>
    </w:p>
    <w:p w14:paraId="36B3C04B" w14:textId="77777777" w:rsidR="003261EE" w:rsidRDefault="003261EE" w:rsidP="003261EE">
      <w:pPr>
        <w:pStyle w:val="BodyText"/>
      </w:pPr>
      <w:r>
        <w:t>OTS</w:t>
      </w:r>
      <w:r>
        <w:tab/>
      </w:r>
      <w:r>
        <w:tab/>
        <w:t>Oslo Tomosynthesis in Screening trial</w:t>
      </w:r>
    </w:p>
    <w:p w14:paraId="28E4CC5F" w14:textId="38F62000" w:rsidR="003261EE" w:rsidRDefault="003261EE" w:rsidP="003261EE">
      <w:pPr>
        <w:pStyle w:val="BodyText"/>
      </w:pPr>
      <w:r w:rsidRPr="00E44152">
        <w:t>PPV</w:t>
      </w:r>
      <w:r w:rsidRPr="00E44152">
        <w:tab/>
      </w:r>
      <w:r>
        <w:tab/>
      </w:r>
      <w:r w:rsidRPr="00E44152">
        <w:t>Positive predictive value</w:t>
      </w:r>
    </w:p>
    <w:p w14:paraId="55368527" w14:textId="161A127D" w:rsidR="006B3F51" w:rsidRPr="00E44152" w:rsidRDefault="006B3F51" w:rsidP="003261EE">
      <w:pPr>
        <w:pStyle w:val="BodyText"/>
      </w:pPr>
      <w:r>
        <w:t>PR+</w:t>
      </w:r>
      <w:r>
        <w:tab/>
      </w:r>
      <w:r>
        <w:tab/>
        <w:t>Progesterone positive receptor</w:t>
      </w:r>
    </w:p>
    <w:p w14:paraId="6C812B28" w14:textId="77777777" w:rsidR="003261EE" w:rsidRPr="009B79EE" w:rsidRDefault="003261EE" w:rsidP="003261EE">
      <w:pPr>
        <w:pStyle w:val="BodyText"/>
      </w:pPr>
      <w:r w:rsidRPr="009B79EE">
        <w:t>PROSPR</w:t>
      </w:r>
      <w:r w:rsidRPr="009B79EE">
        <w:tab/>
        <w:t xml:space="preserve">Population-based Research to Optimize the Screening Process </w:t>
      </w:r>
      <w:r>
        <w:t>consortium</w:t>
      </w:r>
    </w:p>
    <w:p w14:paraId="12886E98" w14:textId="05C534A6" w:rsidR="00E45420" w:rsidRDefault="00E45420" w:rsidP="003261EE">
      <w:pPr>
        <w:pStyle w:val="BodyText"/>
      </w:pPr>
      <w:r>
        <w:t>QALY</w:t>
      </w:r>
      <w:r>
        <w:tab/>
      </w:r>
      <w:r>
        <w:tab/>
        <w:t>Quality-adjusted life year</w:t>
      </w:r>
    </w:p>
    <w:p w14:paraId="326184C9" w14:textId="48D46197" w:rsidR="003261EE" w:rsidRPr="00E44152" w:rsidRDefault="00176980" w:rsidP="003261EE">
      <w:pPr>
        <w:pStyle w:val="BodyText"/>
      </w:pPr>
      <w:r>
        <w:t>s2DM</w:t>
      </w:r>
      <w:r w:rsidR="003261EE" w:rsidRPr="00E44152">
        <w:tab/>
      </w:r>
      <w:r w:rsidR="003261EE">
        <w:tab/>
      </w:r>
      <w:r w:rsidR="003261EE" w:rsidRPr="00E44152">
        <w:t>Synthesised two-view digital mammography</w:t>
      </w:r>
    </w:p>
    <w:p w14:paraId="622FD22F" w14:textId="3CC27098" w:rsidR="003261EE" w:rsidRDefault="003261EE" w:rsidP="003261EE">
      <w:pPr>
        <w:pStyle w:val="BodyText"/>
      </w:pPr>
      <w:r>
        <w:t>STORM</w:t>
      </w:r>
      <w:r>
        <w:tab/>
      </w:r>
      <w:r>
        <w:tab/>
        <w:t>Screening with Tomosynthesis or Regular Mammography trial</w:t>
      </w:r>
    </w:p>
    <w:p w14:paraId="0A665615" w14:textId="23EE8A2F" w:rsidR="00624563" w:rsidRDefault="00624563" w:rsidP="003261EE">
      <w:pPr>
        <w:pStyle w:val="BodyText"/>
      </w:pPr>
      <w:r>
        <w:t>RR</w:t>
      </w:r>
      <w:r>
        <w:tab/>
      </w:r>
      <w:r>
        <w:tab/>
        <w:t>Relative risk</w:t>
      </w:r>
    </w:p>
    <w:p w14:paraId="1137ECC4" w14:textId="4F8D387B" w:rsidR="008E6804" w:rsidRDefault="008E6804" w:rsidP="003261EE">
      <w:pPr>
        <w:pStyle w:val="BodyText"/>
      </w:pPr>
      <w:r>
        <w:t>VDG</w:t>
      </w:r>
      <w:r>
        <w:tab/>
      </w:r>
      <w:r>
        <w:tab/>
        <w:t>Volpara density grade</w:t>
      </w:r>
    </w:p>
    <w:p w14:paraId="255D33B7" w14:textId="77777777" w:rsidR="003261EE" w:rsidRPr="00E44152" w:rsidRDefault="003261EE" w:rsidP="003261EE">
      <w:pPr>
        <w:pStyle w:val="Heading1"/>
      </w:pPr>
      <w:bookmarkStart w:id="16" w:name="_Toc513112115"/>
      <w:bookmarkStart w:id="17" w:name="_Toc43376247"/>
      <w:r w:rsidRPr="00E44152">
        <w:lastRenderedPageBreak/>
        <w:t xml:space="preserve">Guidance on how to </w:t>
      </w:r>
      <w:r w:rsidRPr="00785347">
        <w:t>read</w:t>
      </w:r>
      <w:r w:rsidRPr="00E44152">
        <w:t xml:space="preserve"> this report</w:t>
      </w:r>
      <w:bookmarkEnd w:id="16"/>
      <w:bookmarkEnd w:id="17"/>
    </w:p>
    <w:p w14:paraId="0395B2F3" w14:textId="573B6D1A" w:rsidR="003261EE" w:rsidRDefault="003261EE" w:rsidP="003261EE">
      <w:pPr>
        <w:pStyle w:val="BodyText"/>
      </w:pPr>
      <w:r w:rsidRPr="00E44152">
        <w:t xml:space="preserve">This report </w:t>
      </w:r>
      <w:r>
        <w:t>is a narrative literature review.</w:t>
      </w:r>
      <w:r w:rsidR="0063783C">
        <w:t xml:space="preserve"> It builds on two previous reports completed by </w:t>
      </w:r>
      <w:r w:rsidR="0063783C">
        <w:rPr>
          <w:i/>
          <w:iCs/>
        </w:rPr>
        <w:t>Allen + Clarke</w:t>
      </w:r>
      <w:r w:rsidR="0063783C">
        <w:t xml:space="preserve">: one narrative literature review on the role of tomosynthesis in screening (which covered literature published on tomosynthesis between 1 January 2010 and 31 December 2017), and another </w:t>
      </w:r>
      <w:r w:rsidR="00815FC2">
        <w:t xml:space="preserve">on </w:t>
      </w:r>
      <w:r w:rsidR="0063783C">
        <w:t xml:space="preserve">the role of tomosynthesis in the assessment clinic (which covered literature published between 1 January 2010 and 30 </w:t>
      </w:r>
      <w:r w:rsidR="008C1B27">
        <w:t>May</w:t>
      </w:r>
      <w:r w:rsidR="0063783C">
        <w:t xml:space="preserve"> 2018). Both reports are available at </w:t>
      </w:r>
      <w:hyperlink r:id="rId11" w:history="1">
        <w:r w:rsidR="00DB0743" w:rsidRPr="00005642">
          <w:rPr>
            <w:rStyle w:val="Hyperlink"/>
          </w:rPr>
          <w:t>www.cancerscreening.gov.au/internet/screening/publishing.nsf/Content/dbt.</w:t>
        </w:r>
      </w:hyperlink>
    </w:p>
    <w:p w14:paraId="20FEC1FC" w14:textId="47752261" w:rsidR="003261EE" w:rsidRPr="00E44152" w:rsidRDefault="0063783C" w:rsidP="003261EE">
      <w:pPr>
        <w:pStyle w:val="BodyText"/>
      </w:pPr>
      <w:r>
        <w:t xml:space="preserve">This narrative literature review </w:t>
      </w:r>
      <w:r w:rsidR="005816C5">
        <w:t xml:space="preserve">focuses on DBT in the screening environment. It </w:t>
      </w:r>
      <w:r w:rsidR="003261EE" w:rsidRPr="00E44152">
        <w:t xml:space="preserve">contains </w:t>
      </w:r>
      <w:r w:rsidR="003261EE">
        <w:t>two</w:t>
      </w:r>
      <w:r w:rsidR="003261EE" w:rsidRPr="00E44152">
        <w:t xml:space="preserve"> </w:t>
      </w:r>
      <w:r w:rsidR="003261EE">
        <w:t xml:space="preserve">main </w:t>
      </w:r>
      <w:r w:rsidR="003261EE" w:rsidRPr="00E44152">
        <w:t>parts:</w:t>
      </w:r>
    </w:p>
    <w:p w14:paraId="6864B2BE" w14:textId="4304C23A" w:rsidR="003261EE" w:rsidRPr="00B13726" w:rsidRDefault="003261EE" w:rsidP="003261EE">
      <w:pPr>
        <w:pStyle w:val="List-AlphanumericLvl1"/>
        <w:jc w:val="both"/>
      </w:pPr>
      <w:r w:rsidRPr="00E44152">
        <w:t xml:space="preserve">The </w:t>
      </w:r>
      <w:r w:rsidRPr="00E44152">
        <w:rPr>
          <w:i/>
        </w:rPr>
        <w:t>Key Findings</w:t>
      </w:r>
      <w:r w:rsidRPr="00E44152">
        <w:t xml:space="preserve"> section provides a summary </w:t>
      </w:r>
      <w:r w:rsidR="00815FC2">
        <w:t xml:space="preserve">of </w:t>
      </w:r>
      <w:r w:rsidRPr="00E44152">
        <w:t xml:space="preserve">the findings of this review. A summary of the evidence by </w:t>
      </w:r>
      <w:r>
        <w:t xml:space="preserve">clinical outcome and performance metric, </w:t>
      </w:r>
      <w:r w:rsidRPr="00B13726">
        <w:t xml:space="preserve">and the GRADE assessment for </w:t>
      </w:r>
      <w:r>
        <w:t xml:space="preserve">key </w:t>
      </w:r>
      <w:r w:rsidRPr="00B13726">
        <w:t xml:space="preserve">screening </w:t>
      </w:r>
      <w:r>
        <w:t xml:space="preserve">outcomes or </w:t>
      </w:r>
      <w:r w:rsidRPr="00B13726">
        <w:t>metric</w:t>
      </w:r>
      <w:r>
        <w:t>s</w:t>
      </w:r>
      <w:r w:rsidRPr="00B13726">
        <w:t xml:space="preserve"> is also provided. </w:t>
      </w:r>
      <w:r w:rsidRPr="00B22A46">
        <w:t xml:space="preserve">We </w:t>
      </w:r>
      <w:r w:rsidR="00815FC2">
        <w:t xml:space="preserve">also </w:t>
      </w:r>
      <w:r w:rsidRPr="00B22A46">
        <w:t>answer the research questions in a summary analysis in th</w:t>
      </w:r>
      <w:r w:rsidR="00815FC2">
        <w:t>is</w:t>
      </w:r>
      <w:r w:rsidRPr="00B22A46">
        <w:t xml:space="preserve"> section.</w:t>
      </w:r>
      <w:r>
        <w:t xml:space="preserve"> </w:t>
      </w:r>
    </w:p>
    <w:p w14:paraId="7A2A06D3" w14:textId="2C57E930" w:rsidR="003261EE" w:rsidRDefault="003261EE" w:rsidP="0057013E">
      <w:pPr>
        <w:pStyle w:val="List-AlphanumericLvl1"/>
        <w:jc w:val="both"/>
      </w:pPr>
      <w:r w:rsidRPr="00B22A46">
        <w:t xml:space="preserve">The main report provides detailed findings to inform the research questions. </w:t>
      </w:r>
      <w:r w:rsidR="0019605F" w:rsidRPr="00B22A46">
        <w:t xml:space="preserve">Because many of the </w:t>
      </w:r>
      <w:r w:rsidR="0019605F" w:rsidRPr="003A24B1">
        <w:t>studies</w:t>
      </w:r>
      <w:r w:rsidR="0019605F" w:rsidRPr="00B22A46">
        <w:t xml:space="preserve"> and articles included in this paper covered multiple screening </w:t>
      </w:r>
      <w:r w:rsidR="0019605F">
        <w:t xml:space="preserve">outcomes and performance </w:t>
      </w:r>
      <w:r w:rsidR="0019605F" w:rsidRPr="00B22A46">
        <w:t xml:space="preserve">metrics (such as cancer detection rate, </w:t>
      </w:r>
      <w:r w:rsidR="0019605F">
        <w:t>positive predictive value</w:t>
      </w:r>
      <w:r w:rsidR="0019605F" w:rsidRPr="00B22A46">
        <w:t xml:space="preserve">, recall rate, etc.), we have presented the information by </w:t>
      </w:r>
      <w:r w:rsidR="0019605F">
        <w:t xml:space="preserve">clinical outcome or performance </w:t>
      </w:r>
      <w:r w:rsidR="0019605F" w:rsidRPr="00B22A46">
        <w:t>metric rather than by study.</w:t>
      </w:r>
      <w:r w:rsidR="0019605F">
        <w:t xml:space="preserve"> Information is presented in a hierarchy of evidence and evidence tables are included in each section.</w:t>
      </w:r>
      <w:r w:rsidR="0019605F" w:rsidRPr="00B22A46">
        <w:t xml:space="preserve"> </w:t>
      </w:r>
      <w:r w:rsidR="0019605F">
        <w:t xml:space="preserve">For ease of reference, we start each outcome/performance measure section with a short summary describing findings from </w:t>
      </w:r>
      <w:r w:rsidR="00815FC2">
        <w:t xml:space="preserve">the </w:t>
      </w:r>
      <w:r w:rsidR="0019605F">
        <w:t xml:space="preserve">earlier two literature reviews. </w:t>
      </w:r>
    </w:p>
    <w:p w14:paraId="3954CAC2" w14:textId="1C006B63" w:rsidR="003261EE" w:rsidRPr="00A73DC9" w:rsidRDefault="003261EE" w:rsidP="003261EE">
      <w:pPr>
        <w:pStyle w:val="BodyText"/>
      </w:pPr>
      <w:r w:rsidRPr="00A73DC9">
        <w:t xml:space="preserve">Appendix </w:t>
      </w:r>
      <w:r w:rsidR="00100A83">
        <w:t>A</w:t>
      </w:r>
      <w:r w:rsidRPr="00A73DC9">
        <w:t xml:space="preserve"> includes the quality assessment tables (based on AMSTAR2 and the Scottish Intercollegiate Guidelines Network tools) for included </w:t>
      </w:r>
      <w:r w:rsidR="00100A83">
        <w:t>systematic reviews and randomized controlled trials (RCT)</w:t>
      </w:r>
      <w:r w:rsidRPr="00A73DC9">
        <w:t>.</w:t>
      </w:r>
    </w:p>
    <w:p w14:paraId="04F342EE" w14:textId="77777777" w:rsidR="003261EE" w:rsidRDefault="003261EE" w:rsidP="003261EE">
      <w:pPr>
        <w:pStyle w:val="BodyText"/>
      </w:pPr>
    </w:p>
    <w:p w14:paraId="035B5EC2" w14:textId="77777777" w:rsidR="003261EE" w:rsidRPr="00E44152" w:rsidRDefault="003261EE" w:rsidP="003261EE">
      <w:pPr>
        <w:rPr>
          <w:rFonts w:asciiTheme="majorHAnsi" w:hAnsiTheme="majorHAnsi"/>
          <w:b/>
          <w:caps/>
          <w:color w:val="36424A" w:themeColor="text2"/>
          <w:sz w:val="28"/>
        </w:rPr>
      </w:pPr>
    </w:p>
    <w:p w14:paraId="634EF817" w14:textId="77777777" w:rsidR="003261EE" w:rsidRDefault="003261EE" w:rsidP="003261EE">
      <w:pPr>
        <w:rPr>
          <w:rFonts w:asciiTheme="majorHAnsi" w:hAnsiTheme="majorHAnsi"/>
          <w:b/>
          <w:caps/>
          <w:color w:val="36424A" w:themeColor="text2"/>
          <w:sz w:val="28"/>
        </w:rPr>
      </w:pPr>
      <w:bookmarkStart w:id="18" w:name="_Toc513112116"/>
      <w:bookmarkStart w:id="19" w:name="_Hlk506701710"/>
      <w:r>
        <w:br w:type="page"/>
      </w:r>
    </w:p>
    <w:p w14:paraId="67906C5C" w14:textId="77777777" w:rsidR="003261EE" w:rsidRPr="00BE2E91" w:rsidRDefault="003261EE" w:rsidP="003261EE">
      <w:pPr>
        <w:pStyle w:val="Heading1"/>
      </w:pPr>
      <w:bookmarkStart w:id="20" w:name="_Toc43376248"/>
      <w:r w:rsidRPr="00BE2E91">
        <w:lastRenderedPageBreak/>
        <w:t>Key findings</w:t>
      </w:r>
      <w:bookmarkEnd w:id="18"/>
      <w:bookmarkEnd w:id="20"/>
      <w:r w:rsidRPr="00BE2E91">
        <w:t xml:space="preserve"> </w:t>
      </w:r>
    </w:p>
    <w:bookmarkEnd w:id="19"/>
    <w:p w14:paraId="65795777" w14:textId="2AADF4FA" w:rsidR="003261EE" w:rsidRDefault="003261EE" w:rsidP="003261EE">
      <w:pPr>
        <w:pStyle w:val="BodyText"/>
      </w:pPr>
      <w:r>
        <w:t xml:space="preserve">The BreastScreen Australia (BSA) program currently uses bilateral full-field digital mammography (FFDM) as the “gold standard” screening test </w:t>
      </w:r>
      <w:r w:rsidRPr="00F97464">
        <w:t>for the for the</w:t>
      </w:r>
      <w:r w:rsidRPr="00BE2E91">
        <w:t xml:space="preserve"> early detection of breast cancer in asymptomatic women aged 40</w:t>
      </w:r>
      <w:r w:rsidR="00285D7E">
        <w:t>-</w:t>
      </w:r>
      <w:r w:rsidR="00E45420">
        <w:t xml:space="preserve">74 </w:t>
      </w:r>
      <w:r w:rsidRPr="00BE2E91">
        <w:t>years</w:t>
      </w:r>
      <w:r>
        <w:t xml:space="preserve">. </w:t>
      </w:r>
    </w:p>
    <w:p w14:paraId="076A9DB5" w14:textId="3FE24E28" w:rsidR="00F95CB2" w:rsidRDefault="003261EE" w:rsidP="00E45420">
      <w:pPr>
        <w:pStyle w:val="BodyText"/>
      </w:pPr>
      <w:r>
        <w:t>The</w:t>
      </w:r>
      <w:r w:rsidRPr="00BE2E91">
        <w:t xml:space="preserve"> Department of Health (Australia)</w:t>
      </w:r>
      <w:r>
        <w:t xml:space="preserve"> has</w:t>
      </w:r>
      <w:r w:rsidRPr="00BE2E91">
        <w:t xml:space="preserve"> </w:t>
      </w:r>
      <w:r w:rsidR="00BE679B">
        <w:t xml:space="preserve">previously </w:t>
      </w:r>
      <w:r>
        <w:t>commissioned</w:t>
      </w:r>
      <w:r w:rsidRPr="00BE2E91">
        <w:t xml:space="preserve"> </w:t>
      </w:r>
      <w:r w:rsidRPr="00BE2E91">
        <w:rPr>
          <w:i/>
        </w:rPr>
        <w:t xml:space="preserve">Allen + Clarke </w:t>
      </w:r>
      <w:r w:rsidRPr="00BE2E91">
        <w:t xml:space="preserve">to undertake </w:t>
      </w:r>
      <w:r>
        <w:t xml:space="preserve">two </w:t>
      </w:r>
      <w:r w:rsidRPr="00BE2E91">
        <w:t>literature review</w:t>
      </w:r>
      <w:r>
        <w:t>s</w:t>
      </w:r>
      <w:r w:rsidRPr="00BE2E91">
        <w:t xml:space="preserve"> </w:t>
      </w:r>
      <w:r>
        <w:t xml:space="preserve">(not systematic reviews) </w:t>
      </w:r>
      <w:r w:rsidRPr="00BE2E91">
        <w:t xml:space="preserve">on the use of digital breast tomosynthesis (DBT) as a primary </w:t>
      </w:r>
      <w:r>
        <w:t xml:space="preserve">or adjunct </w:t>
      </w:r>
      <w:r w:rsidRPr="00BE2E91">
        <w:t>screening test</w:t>
      </w:r>
      <w:r>
        <w:t xml:space="preserve"> for the early detection of breast cancer in healthy, asymptomatic women</w:t>
      </w:r>
      <w:r w:rsidRPr="00BE2E91">
        <w:t xml:space="preserve">. </w:t>
      </w:r>
      <w:r w:rsidR="00E45420">
        <w:t>One review focused on the role of DBT as a primary screening test (looking at literature published to December 2017); the second reviewed the role of DBT in the assessment of screen-detected abnormalities (literature published to June 2018). The role of DBT in the screening environment is an area of active research, with several large trials underway and pilot evaluations reporting baseline, interim or initial results (including results from the Maroondah pilot). It is therefore timely to complete an updated analysis of the literature investigating the role of DBT in the screening environment.</w:t>
      </w:r>
    </w:p>
    <w:p w14:paraId="474C552F" w14:textId="77777777" w:rsidR="00F95CB2" w:rsidRPr="00BE2E91" w:rsidRDefault="00F95CB2" w:rsidP="00F95CB2">
      <w:pPr>
        <w:pStyle w:val="Heading2"/>
      </w:pPr>
      <w:bookmarkStart w:id="21" w:name="_Toc507826947"/>
      <w:bookmarkStart w:id="22" w:name="_Toc507826989"/>
      <w:bookmarkStart w:id="23" w:name="_Toc507871653"/>
      <w:bookmarkStart w:id="24" w:name="_Toc508010587"/>
      <w:bookmarkStart w:id="25" w:name="_Toc513112117"/>
      <w:bookmarkStart w:id="26" w:name="_Toc43376249"/>
      <w:r w:rsidRPr="00BE2E91">
        <w:t>Methodology</w:t>
      </w:r>
      <w:bookmarkEnd w:id="21"/>
      <w:bookmarkEnd w:id="22"/>
      <w:bookmarkEnd w:id="23"/>
      <w:bookmarkEnd w:id="24"/>
      <w:bookmarkEnd w:id="25"/>
      <w:bookmarkEnd w:id="26"/>
    </w:p>
    <w:p w14:paraId="566CCBD5" w14:textId="30A04C13" w:rsidR="00F95CB2" w:rsidRDefault="00F95CB2" w:rsidP="00F95CB2">
      <w:pPr>
        <w:pStyle w:val="BodyText"/>
      </w:pPr>
      <w:r w:rsidRPr="00BE2E91">
        <w:rPr>
          <w:i/>
        </w:rPr>
        <w:t>Allen + Clarke</w:t>
      </w:r>
      <w:r w:rsidRPr="00BE2E91">
        <w:t xml:space="preserve"> completed a systematic search of the Ovid Medline databases as well as searches of health technology assessment</w:t>
      </w:r>
      <w:r>
        <w:t>, Cochrane</w:t>
      </w:r>
      <w:r w:rsidRPr="00BE2E91">
        <w:t xml:space="preserve"> and clinical trial databases. We used combinations of subject/index terms as appropriate to the search functionality of each database. Articles were included if they met the PICO(T</w:t>
      </w:r>
      <w:r w:rsidR="005D3634">
        <w:t>/S</w:t>
      </w:r>
      <w:r w:rsidRPr="00BE2E91">
        <w:t>) criteria</w:t>
      </w:r>
      <w:r>
        <w:t xml:space="preserve">. The same research questions included in </w:t>
      </w:r>
      <w:r w:rsidR="00BE679B">
        <w:t xml:space="preserve">the 2018 literature review on the role of DBT in screening </w:t>
      </w:r>
      <w:r>
        <w:t>were used</w:t>
      </w:r>
      <w:r w:rsidR="00BE679B">
        <w:t>.</w:t>
      </w:r>
    </w:p>
    <w:p w14:paraId="29CD15F7" w14:textId="5EA768D5" w:rsidR="006859AE" w:rsidRPr="006859AE" w:rsidRDefault="00F95CB2" w:rsidP="006859AE">
      <w:pPr>
        <w:pStyle w:val="BodyText"/>
        <w:rPr>
          <w:lang w:val="en-US"/>
        </w:rPr>
      </w:pPr>
      <w:r>
        <w:t xml:space="preserve">In this update, </w:t>
      </w:r>
      <w:r w:rsidR="006859AE">
        <w:rPr>
          <w:lang w:val="en-US"/>
        </w:rPr>
        <w:t xml:space="preserve">a </w:t>
      </w:r>
      <w:r w:rsidR="006859AE" w:rsidRPr="006859AE">
        <w:rPr>
          <w:lang w:val="en-US"/>
        </w:rPr>
        <w:t>total of 4</w:t>
      </w:r>
      <w:r w:rsidR="00F23A05">
        <w:rPr>
          <w:lang w:val="en-US"/>
        </w:rPr>
        <w:t>1</w:t>
      </w:r>
      <w:r w:rsidR="006859AE" w:rsidRPr="006859AE">
        <w:rPr>
          <w:lang w:val="en-US"/>
        </w:rPr>
        <w:t xml:space="preserve"> articles met the inclusion criteria</w:t>
      </w:r>
      <w:r w:rsidR="006859AE">
        <w:rPr>
          <w:lang w:val="en-US"/>
        </w:rPr>
        <w:t>:</w:t>
      </w:r>
    </w:p>
    <w:p w14:paraId="3BD071C2" w14:textId="77777777" w:rsidR="006859AE" w:rsidRDefault="006859AE" w:rsidP="006859AE">
      <w:pPr>
        <w:pStyle w:val="List-BulletLvl1"/>
      </w:pPr>
      <w:r>
        <w:t xml:space="preserve">Two systematic reviews covering immediate screening outcomes </w:t>
      </w:r>
    </w:p>
    <w:p w14:paraId="46A8EED3" w14:textId="38928B29" w:rsidR="006859AE" w:rsidRDefault="00F23A05" w:rsidP="006859AE">
      <w:pPr>
        <w:pStyle w:val="List-BulletLvl1"/>
      </w:pPr>
      <w:r>
        <w:t xml:space="preserve">Five </w:t>
      </w:r>
      <w:r w:rsidR="006859AE">
        <w:t>narrative literature reviews or editorial commentary by experienced researchers</w:t>
      </w:r>
    </w:p>
    <w:p w14:paraId="59DEFC34" w14:textId="77777777" w:rsidR="006859AE" w:rsidRDefault="006859AE" w:rsidP="006859AE">
      <w:pPr>
        <w:pStyle w:val="List-BulletLvl1"/>
      </w:pPr>
      <w:r>
        <w:t>Four primary research papers from two RCTs</w:t>
      </w:r>
    </w:p>
    <w:p w14:paraId="78A0C86B" w14:textId="65559D8B" w:rsidR="006859AE" w:rsidRDefault="006859AE" w:rsidP="006859AE">
      <w:pPr>
        <w:pStyle w:val="List-BulletLvl1"/>
      </w:pPr>
      <w:r>
        <w:t>Nine prospective studies embedded in a European population-based screening program and three</w:t>
      </w:r>
      <w:r w:rsidRPr="006859AE">
        <w:t xml:space="preserve"> </w:t>
      </w:r>
      <w:r>
        <w:t>sub-studies from the STORM-2 trial</w:t>
      </w:r>
    </w:p>
    <w:p w14:paraId="364885CC" w14:textId="77777777" w:rsidR="006859AE" w:rsidRDefault="006859AE" w:rsidP="006859AE">
      <w:pPr>
        <w:pStyle w:val="List-BulletLvl1"/>
      </w:pPr>
      <w:r>
        <w:t>Two prospective cohort studies embedded in a European population-based screening program that used a historical cohort</w:t>
      </w:r>
    </w:p>
    <w:p w14:paraId="4D03AA17" w14:textId="77777777" w:rsidR="006859AE" w:rsidRDefault="006859AE" w:rsidP="006859AE">
      <w:pPr>
        <w:pStyle w:val="List-BulletLvl1"/>
      </w:pPr>
      <w:r>
        <w:t>One prospective study embedded in an American screening program</w:t>
      </w:r>
    </w:p>
    <w:p w14:paraId="20A11B89" w14:textId="77777777" w:rsidR="006859AE" w:rsidRDefault="006859AE" w:rsidP="006859AE">
      <w:pPr>
        <w:pStyle w:val="List-BulletLvl1"/>
      </w:pPr>
      <w:r>
        <w:t>Three observer performance studies</w:t>
      </w:r>
    </w:p>
    <w:p w14:paraId="5FAA0ED0" w14:textId="5BD0DAF4" w:rsidR="006859AE" w:rsidRDefault="006859AE" w:rsidP="006859AE">
      <w:pPr>
        <w:pStyle w:val="List-BulletLvl1"/>
      </w:pPr>
      <w:r>
        <w:t>11 retrospective analyses, and</w:t>
      </w:r>
    </w:p>
    <w:p w14:paraId="45D8D0BF" w14:textId="1A073CAC" w:rsidR="006859AE" w:rsidRDefault="006859AE" w:rsidP="006859AE">
      <w:pPr>
        <w:pStyle w:val="List-BulletLvl1"/>
      </w:pPr>
      <w:r w:rsidRPr="00062EF9">
        <w:t>One cost-effectiveness study</w:t>
      </w:r>
      <w:r>
        <w:t>.</w:t>
      </w:r>
    </w:p>
    <w:p w14:paraId="366DF2A0" w14:textId="4158867E" w:rsidR="00F95CB2" w:rsidRDefault="00F95CB2" w:rsidP="00F95CB2">
      <w:pPr>
        <w:pStyle w:val="Heading2"/>
      </w:pPr>
      <w:bookmarkStart w:id="27" w:name="_Toc513112118"/>
      <w:bookmarkStart w:id="28" w:name="_Toc43376250"/>
      <w:r w:rsidRPr="00BE2E91">
        <w:t>Results</w:t>
      </w:r>
      <w:bookmarkEnd w:id="27"/>
      <w:bookmarkEnd w:id="28"/>
    </w:p>
    <w:p w14:paraId="4D7DCD7C" w14:textId="71FAFB65" w:rsidR="00333478" w:rsidRDefault="00333478" w:rsidP="00333478">
      <w:pPr>
        <w:pStyle w:val="BodyText"/>
      </w:pPr>
      <w:r>
        <w:t xml:space="preserve">Most research focused on shorter-term performance measures like cancer detection rate (CDR), recall rate and cancer type rather than longer-term screening outcomes such as mortality reduction or a reduction in interval cancers. Uncertainty about the effectiveness of DBT as the primary test in a population-based screening program remains (and is likely to remain until larger </w:t>
      </w:r>
      <w:r>
        <w:lastRenderedPageBreak/>
        <w:t>long-term studies report results). That said,</w:t>
      </w:r>
      <w:r w:rsidR="0024768A">
        <w:t xml:space="preserve"> </w:t>
      </w:r>
      <w:r w:rsidR="005F049E" w:rsidRPr="00BE2E91">
        <w:t xml:space="preserve">digital breast tomosynthesis </w:t>
      </w:r>
      <w:r w:rsidR="005F049E">
        <w:t>plus synthesised 2D mammography (DBT</w:t>
      </w:r>
      <w:r>
        <w:t>+</w:t>
      </w:r>
      <w:r w:rsidR="00176980">
        <w:t>s2DM</w:t>
      </w:r>
      <w:r w:rsidR="0024768A">
        <w:t>)</w:t>
      </w:r>
      <w:r>
        <w:t xml:space="preserve"> has been implemented as the primary screening test in several European and American screening programs, with initial results reporting improvement in short-term outcomes for program sensitivity.</w:t>
      </w:r>
    </w:p>
    <w:p w14:paraId="3301A550" w14:textId="5E2953A4" w:rsidR="00F95CB2" w:rsidRDefault="00F95CB2" w:rsidP="00F95CB2">
      <w:pPr>
        <w:pStyle w:val="Heading3"/>
      </w:pPr>
      <w:bookmarkStart w:id="29" w:name="_Toc27477529"/>
      <w:bookmarkStart w:id="30" w:name="_Toc27665666"/>
      <w:bookmarkStart w:id="31" w:name="_Toc27844453"/>
      <w:bookmarkStart w:id="32" w:name="_Toc27859584"/>
      <w:bookmarkStart w:id="33" w:name="_Toc27904699"/>
      <w:bookmarkStart w:id="34" w:name="_Toc43376251"/>
      <w:r w:rsidRPr="00BE2E91">
        <w:t>Sensitivity</w:t>
      </w:r>
      <w:bookmarkEnd w:id="29"/>
      <w:bookmarkEnd w:id="30"/>
      <w:bookmarkEnd w:id="31"/>
      <w:bookmarkEnd w:id="32"/>
      <w:bookmarkEnd w:id="33"/>
      <w:bookmarkEnd w:id="34"/>
    </w:p>
    <w:p w14:paraId="6218B463" w14:textId="77777777" w:rsidR="00E33A64" w:rsidRDefault="00E33A64" w:rsidP="00E33A64">
      <w:pPr>
        <w:pStyle w:val="BodyText-GREEN"/>
        <w:rPr>
          <w:b/>
          <w:bCs/>
        </w:rPr>
      </w:pPr>
      <w:r>
        <w:rPr>
          <w:b/>
          <w:bCs/>
        </w:rPr>
        <w:t>Overall CDR</w:t>
      </w:r>
    </w:p>
    <w:p w14:paraId="488834BA" w14:textId="5D3DC277" w:rsidR="00BA73C8" w:rsidRDefault="00BA73C8" w:rsidP="00BA73C8">
      <w:pPr>
        <w:pStyle w:val="BodyText"/>
      </w:pPr>
      <w:r>
        <w:t xml:space="preserve">The findings add further depth </w:t>
      </w:r>
      <w:r w:rsidR="0024768A">
        <w:t xml:space="preserve">to </w:t>
      </w:r>
      <w:r>
        <w:rPr>
          <w:i/>
          <w:iCs/>
        </w:rPr>
        <w:t>Allen + Clarke</w:t>
      </w:r>
      <w:r>
        <w:t>’s 2018 literature reviews but some mixed results were reported in the To-Be-1 RCT (the first large RCT of DBT). Pooled evidence from papers published before December 2017 (involving more than one million women) reported a statistically significant increase in CDR, with an incremental increase in detection of 1.6 cancers per 1000 screening examinations. Higher increases were reported in European population-based programs with similar policy settings to the BreastScreen Australia program (i.e., pooled analysis indicated 2.4 more cancers were detected when DBT was used).</w:t>
      </w:r>
    </w:p>
    <w:p w14:paraId="2C5B9D09" w14:textId="6C7E0172" w:rsidR="00BA73C8" w:rsidRDefault="00BA73C8" w:rsidP="00BA73C8">
      <w:pPr>
        <w:pStyle w:val="BodyText"/>
      </w:pPr>
      <w:r>
        <w:t>Studies published since 1 January 2018 are generally consistent with the pooled analysis (that use of DBT significantly increases CDR and that DBT+</w:t>
      </w:r>
      <w:r w:rsidR="00176980">
        <w:t>s2DM</w:t>
      </w:r>
      <w:r>
        <w:t xml:space="preserve"> is not inferior to FFDM+DBT or FFDM alone), with one important exception. The To-Be-1 RCT found no statistically significant increase in CDR with the use of DBT+</w:t>
      </w:r>
      <w:r w:rsidR="00176980">
        <w:t>s2DM</w:t>
      </w:r>
      <w:r>
        <w:t xml:space="preserve">. Possible explanations for this difference were that all previous images were available to readers, which may have favoured FFDM imaging (and which probably better reflects a </w:t>
      </w:r>
      <w:r w:rsidR="00285D7E">
        <w:t>‘</w:t>
      </w:r>
      <w:r>
        <w:t>real</w:t>
      </w:r>
      <w:r w:rsidR="00285D7E">
        <w:t xml:space="preserve"> world’</w:t>
      </w:r>
      <w:r>
        <w:t xml:space="preserve"> screening environment). There may be other study differences to which require further unpicking. That said, evidence is still strong that use of DBT increases cancer detection. </w:t>
      </w:r>
    </w:p>
    <w:p w14:paraId="51A43776" w14:textId="741D96C1" w:rsidR="00BA73C8" w:rsidRDefault="00BA73C8" w:rsidP="00BA73C8">
      <w:pPr>
        <w:pStyle w:val="BodyText"/>
      </w:pPr>
      <w:r w:rsidRPr="00CE21BC">
        <w:t xml:space="preserve">Increases </w:t>
      </w:r>
      <w:r>
        <w:t xml:space="preserve">in CDR were </w:t>
      </w:r>
      <w:r w:rsidRPr="00CE21BC">
        <w:t xml:space="preserve">reported in </w:t>
      </w:r>
      <w:r>
        <w:t xml:space="preserve">all other studies </w:t>
      </w:r>
      <w:r w:rsidRPr="00CE21BC">
        <w:t xml:space="preserve">(including large, </w:t>
      </w:r>
      <w:r>
        <w:t xml:space="preserve">ongoing </w:t>
      </w:r>
      <w:r w:rsidRPr="00CE21BC">
        <w:t>robust prospective trials</w:t>
      </w:r>
      <w:r>
        <w:t xml:space="preserve"> and robust retrospective analyses</w:t>
      </w:r>
      <w:r w:rsidRPr="00CE21BC">
        <w:t xml:space="preserve">) for different combinations of screening strategy including </w:t>
      </w:r>
      <w:r>
        <w:t>FFDM+DBT</w:t>
      </w:r>
      <w:r w:rsidRPr="00CE21BC">
        <w:t xml:space="preserve">, </w:t>
      </w:r>
      <w:r>
        <w:t>DBT+</w:t>
      </w:r>
      <w:r w:rsidR="00176980">
        <w:t>s2DM</w:t>
      </w:r>
      <w:r w:rsidRPr="00CE21BC">
        <w:t xml:space="preserve">, and </w:t>
      </w:r>
      <w:r>
        <w:t>DBT</w:t>
      </w:r>
      <w:r w:rsidRPr="003509DB">
        <w:rPr>
          <w:vertAlign w:val="subscript"/>
        </w:rPr>
        <w:t>MLO</w:t>
      </w:r>
      <w:r w:rsidDel="00F30CDA">
        <w:t xml:space="preserve"> </w:t>
      </w:r>
      <w:r w:rsidRPr="00CE21BC">
        <w:t>compared to FFDM (the Malmö trial)</w:t>
      </w:r>
      <w:r>
        <w:t>. Evidence also suggests that DBT+</w:t>
      </w:r>
      <w:r w:rsidR="00176980">
        <w:t>s2DM</w:t>
      </w:r>
      <w:r>
        <w:t xml:space="preserve"> is superior to FFDM alone for CDR and is not inferior to FFDM+DBT. For this reason, where screening programs have chosen to implement DBT, they have chosen DBT+</w:t>
      </w:r>
      <w:r w:rsidR="00176980">
        <w:t>s2DM</w:t>
      </w:r>
      <w:r>
        <w:t xml:space="preserve"> rather than dual acquisition. Other imaging protocols were also explored (including DBT</w:t>
      </w:r>
      <w:r>
        <w:rPr>
          <w:vertAlign w:val="subscript"/>
        </w:rPr>
        <w:t>MLO</w:t>
      </w:r>
      <w:r>
        <w:t xml:space="preserve"> or single reading of DBT), again favouring the use of DBT in terms of increasing cancer detection.</w:t>
      </w:r>
    </w:p>
    <w:p w14:paraId="4BF0DB93" w14:textId="77777777" w:rsidR="00BA73C8" w:rsidRDefault="00BA73C8" w:rsidP="00BA73C8">
      <w:pPr>
        <w:pStyle w:val="BodyText"/>
      </w:pPr>
      <w:r>
        <w:t xml:space="preserve">Evidence is also emerging that DBT increases CDR in women with more dense breasts and older women. Generally, evidence suggested that use of DBT results in increased CDR for all breast densities (i.e., all women) but some evidence is emerging that the increase may be greater for women whose breasts are more dense. While breast density is not reported in the BSA program, considering results of stratification analysis by density is useful in considering whether there are some population groups for whom DBT may be more beneficial. </w:t>
      </w:r>
    </w:p>
    <w:p w14:paraId="3B0E9937" w14:textId="5FFEC5A3" w:rsidR="00E33A64" w:rsidRPr="00E33A64" w:rsidRDefault="00E33A64" w:rsidP="00BA73C8">
      <w:pPr>
        <w:pStyle w:val="BodyText-GREEN"/>
        <w:rPr>
          <w:b/>
          <w:bCs/>
        </w:rPr>
      </w:pPr>
      <w:r w:rsidRPr="00E33A64">
        <w:rPr>
          <w:b/>
          <w:bCs/>
        </w:rPr>
        <w:t>Interval cancer rate</w:t>
      </w:r>
    </w:p>
    <w:p w14:paraId="35912DA0" w14:textId="1616C00B" w:rsidR="00BF0141" w:rsidRDefault="00E33A64" w:rsidP="00E33A64">
      <w:pPr>
        <w:pStyle w:val="BodyText"/>
      </w:pPr>
      <w:r>
        <w:t xml:space="preserve">Interval cancer rate is an important long-term screening outcome, especially as interval cancers are often more advanced and can be associated with higher morbidity and mortality compared to screen-detected cancers. Several pilot evaluation or paired studies have reported on interval cancer rates; however, reported results have generally come from studies that have not been powered to calculate interval cancer rates or which have varying screen intervals (as per the </w:t>
      </w:r>
      <w:r>
        <w:lastRenderedPageBreak/>
        <w:t xml:space="preserve">program’s policy settings). Other studies like the Reggio Emilia RCT are powered to detect interval cancers but results have not yet been reported. </w:t>
      </w:r>
    </w:p>
    <w:p w14:paraId="5F8E0741" w14:textId="2EBBDDB5" w:rsidR="00E33A64" w:rsidRDefault="00BF0141" w:rsidP="00E33A64">
      <w:pPr>
        <w:pStyle w:val="BodyText"/>
      </w:pPr>
      <w:r>
        <w:t xml:space="preserve">Current data is indicative only. Adequate data evaluating interval cancer rate by imaging modality is not yet available. Reported results vary and no study has reported a statistically significant reduction in interval cancers with DBT. </w:t>
      </w:r>
      <w:r w:rsidR="00E33A64">
        <w:t xml:space="preserve">Few studies compared interval cancer characteristics by type, grade, node status and size, which would be helpful to assess whether DBT detects more aggressive cancers earlier. Only the OTS trial has reported this and found no significant differences </w:t>
      </w:r>
      <w:r w:rsidR="00F97464">
        <w:t xml:space="preserve">in </w:t>
      </w:r>
      <w:r w:rsidR="00E33A64">
        <w:t>the types of cancers detected between pre- and post- screening with DBT. This suggests that DBT may not influence the detection of more aggressive cancers earlier; however, at this stage, we do not know the impact of DBT on decreasing interval cancer rates or whether interval cancers differ in terms of pathology/histology from cancers detected within a screening round or with interval cancers from previous screening rounds. Determining DBT’s influence on interval cancers remains one of the key areas to explore in future research. The screening interval (i.e., annual or biennial) and the way that interval cancer rate is defined and reported in studies is important as this could also account for variability within study results. Pooled analysis work, which will include data from the main prospective paired studies set in population-based screening programs, is underway and due to report in 2020.</w:t>
      </w:r>
    </w:p>
    <w:p w14:paraId="443C08BE" w14:textId="2B421A47" w:rsidR="00475D6E" w:rsidRPr="00475D6E" w:rsidRDefault="005866B2" w:rsidP="00475D6E">
      <w:pPr>
        <w:pStyle w:val="BodyText-GREEN"/>
        <w:rPr>
          <w:b/>
          <w:bCs/>
        </w:rPr>
      </w:pPr>
      <w:r>
        <w:rPr>
          <w:b/>
          <w:bCs/>
        </w:rPr>
        <w:t>Relative s</w:t>
      </w:r>
      <w:r w:rsidR="00475D6E" w:rsidRPr="00475D6E">
        <w:rPr>
          <w:b/>
          <w:bCs/>
        </w:rPr>
        <w:t>ensitivity</w:t>
      </w:r>
    </w:p>
    <w:p w14:paraId="6396083A" w14:textId="6686640E" w:rsidR="00FA4631" w:rsidRDefault="00FA4631" w:rsidP="00FA4631">
      <w:pPr>
        <w:pStyle w:val="BodyText"/>
        <w:rPr>
          <w:shd w:val="clear" w:color="auto" w:fill="FFFFFF" w:themeFill="background1"/>
        </w:rPr>
      </w:pPr>
      <w:bookmarkStart w:id="35" w:name="_Toc27477530"/>
      <w:bookmarkStart w:id="36" w:name="_Toc27665667"/>
      <w:r w:rsidRPr="00FA4631">
        <w:rPr>
          <w:shd w:val="clear" w:color="auto" w:fill="FFFFFF" w:themeFill="background1"/>
        </w:rPr>
        <w:t>All studies reported increases in sensitivity when DBT was used but non-significant results or wide confidence intervals were also noted. Increases were observed with all reading protocols (i.e., FFDM+DBT, DBT+</w:t>
      </w:r>
      <w:r w:rsidR="00176980">
        <w:rPr>
          <w:shd w:val="clear" w:color="auto" w:fill="FFFFFF" w:themeFill="background1"/>
        </w:rPr>
        <w:t>s2DM</w:t>
      </w:r>
      <w:r w:rsidRPr="00FA4631">
        <w:rPr>
          <w:shd w:val="clear" w:color="auto" w:fill="FFFFFF" w:themeFill="background1"/>
        </w:rPr>
        <w:t xml:space="preserve">). When increases in sensitivity were observed, the increase ranged from less than one percent more to over 16 percent more. Larger increases in sensitivity were observed in the screening programs most similar to the BSA program (double read, biennial screening). </w:t>
      </w:r>
    </w:p>
    <w:p w14:paraId="2C13A38A" w14:textId="5BDA5FB2" w:rsidR="00E55A16" w:rsidRDefault="00E55A16" w:rsidP="00F95CB2">
      <w:pPr>
        <w:pStyle w:val="Heading3"/>
      </w:pPr>
      <w:bookmarkStart w:id="37" w:name="_Toc27844454"/>
      <w:bookmarkStart w:id="38" w:name="_Toc27859585"/>
      <w:bookmarkStart w:id="39" w:name="_Toc27904700"/>
      <w:bookmarkStart w:id="40" w:name="_Toc43376252"/>
      <w:r>
        <w:t>Tumour characteristics</w:t>
      </w:r>
      <w:bookmarkEnd w:id="35"/>
      <w:bookmarkEnd w:id="36"/>
      <w:bookmarkEnd w:id="37"/>
      <w:bookmarkEnd w:id="38"/>
      <w:bookmarkEnd w:id="39"/>
      <w:bookmarkEnd w:id="40"/>
    </w:p>
    <w:p w14:paraId="0DAE281C" w14:textId="70609C53" w:rsidR="00475D6E" w:rsidRDefault="00475D6E" w:rsidP="00475D6E">
      <w:pPr>
        <w:pStyle w:val="BodyText"/>
      </w:pPr>
      <w:r>
        <w:t xml:space="preserve">Overall, use of DBT appears to detect more invasive disease than FFDM (including when DBT is used in combination with FFDM or </w:t>
      </w:r>
      <w:r w:rsidR="00176980">
        <w:t>s2DM</w:t>
      </w:r>
      <w:r>
        <w:t xml:space="preserve"> or if DBT</w:t>
      </w:r>
      <w:r>
        <w:rPr>
          <w:vertAlign w:val="subscript"/>
        </w:rPr>
        <w:t>MLO</w:t>
      </w:r>
      <w:r>
        <w:t xml:space="preserve"> is used alone). Evidence describing whether DBT detects more DCIS is inconsistent: most study results achieving statistical significance suggested that more DCIS is detected with DBT, but more studies suggest there is no increase or less detection with DCIS. More research is needed to fully unpick these results. It is also clear that DBT+</w:t>
      </w:r>
      <w:r w:rsidR="00176980">
        <w:t>s2DM</w:t>
      </w:r>
      <w:r>
        <w:t xml:space="preserve"> does not result in less detection of either invasive cancers or DCIS (i.e., </w:t>
      </w:r>
      <w:r w:rsidR="00176980">
        <w:t>s2DM</w:t>
      </w:r>
      <w:r>
        <w:t xml:space="preserve"> can probably be used instead of FFDM, reducing radiation dose).</w:t>
      </w:r>
    </w:p>
    <w:p w14:paraId="6D456F25" w14:textId="2C0A4BE0" w:rsidR="00475D6E" w:rsidRDefault="00475D6E" w:rsidP="00475D6E">
      <w:pPr>
        <w:pStyle w:val="BodyText"/>
      </w:pPr>
      <w:r>
        <w:t xml:space="preserve">Information relating to molecular subtype, grade, size and lymph node status is also important in assessing whether cancers detected are clinically significant. </w:t>
      </w:r>
      <w:r w:rsidR="00371380">
        <w:t xml:space="preserve">While data was grouped in different bands making it difficult to fully assess this relationship, there is sufficient evidence to suggest that cancers detected with DBT are likely to be slightly smaller, lower grade and node-negative (i.e., potentially earlier stage cancer) than those detected with FFDM. </w:t>
      </w:r>
      <w:r>
        <w:t>Most studies reported no or only small differences in the proportion of node negative and node positive disease, regardless of the imaging used (i.e., DBT+</w:t>
      </w:r>
      <w:r w:rsidR="00176980">
        <w:t>s2DM</w:t>
      </w:r>
      <w:r>
        <w:t>, FFDM+DBT or DBT</w:t>
      </w:r>
      <w:r>
        <w:rPr>
          <w:vertAlign w:val="subscript"/>
        </w:rPr>
        <w:t>MLO</w:t>
      </w:r>
      <w:r>
        <w:t xml:space="preserve">). If there was a difference, it usually favoured the DBT imaging arm (i.e., DBT detected more node-negative disease). Mixed results were also presented for grade, with some studies suggesting that DBT detected more low-grade cancers compared to those detected with FFDM. </w:t>
      </w:r>
    </w:p>
    <w:p w14:paraId="1BC5DF65" w14:textId="0AECCB11" w:rsidR="00475D6E" w:rsidRDefault="005E1E34" w:rsidP="00475D6E">
      <w:pPr>
        <w:pStyle w:val="BodyText"/>
      </w:pPr>
      <w:r>
        <w:rPr>
          <w:lang w:eastAsia="en-NZ"/>
        </w:rPr>
        <w:lastRenderedPageBreak/>
        <w:t>Generally, it appears that the cancers detected by DBT are similar in terms of histological type to those detected with FFDM</w:t>
      </w:r>
      <w:r w:rsidR="00E17329">
        <w:rPr>
          <w:lang w:eastAsia="en-NZ"/>
        </w:rPr>
        <w:t xml:space="preserve"> (although more cancers presenting as spiculated masses and architectural distortion are detected with DBT</w:t>
      </w:r>
      <w:r w:rsidR="00285D7E">
        <w:rPr>
          <w:lang w:eastAsia="en-NZ"/>
        </w:rPr>
        <w:t>).</w:t>
      </w:r>
      <w:r>
        <w:rPr>
          <w:lang w:eastAsia="en-NZ"/>
        </w:rPr>
        <w:t xml:space="preserve"> </w:t>
      </w:r>
      <w:r w:rsidR="00475D6E">
        <w:t xml:space="preserve">Across all studies (regardless of the way DBT was used), increases in </w:t>
      </w:r>
      <w:r w:rsidR="00AD5B79">
        <w:t>invasive ductal carcinoma (</w:t>
      </w:r>
      <w:r w:rsidR="00475D6E">
        <w:t>IDC</w:t>
      </w:r>
      <w:r w:rsidR="0024768A">
        <w:t>)</w:t>
      </w:r>
      <w:r w:rsidR="00475D6E">
        <w:t xml:space="preserve"> were usually observed with the use of DBT. Mixed results were presented for </w:t>
      </w:r>
      <w:r w:rsidR="00AD5B79">
        <w:t>invasive lobular carcinoma (</w:t>
      </w:r>
      <w:r w:rsidR="00475D6E">
        <w:t>ILC</w:t>
      </w:r>
      <w:r w:rsidR="0024768A">
        <w:t>)</w:t>
      </w:r>
      <w:r w:rsidR="00475D6E">
        <w:t xml:space="preserve">, with some studies demonstrating a statistically significant increase in ILC detection with FFDM, but others noting an increase in ILC detection when DBT </w:t>
      </w:r>
      <w:r w:rsidR="0024768A">
        <w:t xml:space="preserve">was </w:t>
      </w:r>
      <w:r w:rsidR="00475D6E">
        <w:t xml:space="preserve">used (including results from the Malmö trial). Mixed results were also presented about </w:t>
      </w:r>
      <w:r w:rsidR="00475D6E">
        <w:rPr>
          <w:lang w:eastAsia="en-NZ"/>
        </w:rPr>
        <w:t xml:space="preserve">molecular subtype. Some studies (including data from the Norway BreastScreen Program and baseline data from </w:t>
      </w:r>
      <w:r w:rsidR="0024768A">
        <w:rPr>
          <w:lang w:eastAsia="en-NZ"/>
        </w:rPr>
        <w:t xml:space="preserve">an Italian </w:t>
      </w:r>
      <w:r w:rsidR="00475D6E">
        <w:rPr>
          <w:lang w:eastAsia="en-NZ"/>
        </w:rPr>
        <w:t>RCT</w:t>
      </w:r>
      <w:r w:rsidR="0024768A">
        <w:rPr>
          <w:lang w:eastAsia="en-NZ"/>
        </w:rPr>
        <w:t>)</w:t>
      </w:r>
      <w:r w:rsidR="00475D6E">
        <w:rPr>
          <w:lang w:eastAsia="en-NZ"/>
        </w:rPr>
        <w:t xml:space="preserve"> showed an increase in cancers with a molecular profile more favourable to good prognosis (i.e., more Luminal A cancers, more Luminal B Her-2 negative cancers and more cancers with Ki67%</w:t>
      </w:r>
      <w:r w:rsidR="00475D6E">
        <w:rPr>
          <w:u w:val="single"/>
          <w:lang w:eastAsia="en-NZ"/>
        </w:rPr>
        <w:t>&lt;</w:t>
      </w:r>
      <w:r w:rsidR="00475D6E" w:rsidRPr="00DA1B34">
        <w:rPr>
          <w:lang w:eastAsia="en-NZ"/>
        </w:rPr>
        <w:t>20</w:t>
      </w:r>
      <w:r w:rsidR="00475D6E">
        <w:rPr>
          <w:lang w:eastAsia="en-NZ"/>
        </w:rPr>
        <w:t xml:space="preserve">). Others, including data from the </w:t>
      </w:r>
      <w:r w:rsidR="00815FC2">
        <w:rPr>
          <w:lang w:eastAsia="en-NZ"/>
        </w:rPr>
        <w:t>To-Be-1</w:t>
      </w:r>
      <w:r w:rsidR="00475D6E">
        <w:rPr>
          <w:lang w:eastAsia="en-NZ"/>
        </w:rPr>
        <w:t xml:space="preserve"> RCT and the Malmö trial showed no significant differences in molecular subtype or receptor status. </w:t>
      </w:r>
    </w:p>
    <w:p w14:paraId="1117F066" w14:textId="77777777" w:rsidR="00475D6E" w:rsidRPr="00236D7C" w:rsidRDefault="00475D6E" w:rsidP="00475D6E">
      <w:pPr>
        <w:pStyle w:val="BodyText"/>
      </w:pPr>
      <w:r>
        <w:rPr>
          <w:lang w:eastAsia="en-NZ"/>
        </w:rPr>
        <w:t>Some of these differences may be due to insufficient powering, descriptive rather than comparative analysis, or the way that cancers are grouped according to the imaging in which they were detected. There is not yet sufficient evidence to determine if additional cancers detected with DBT alone are more aggressive ‘killing’ cancers, if they are comparable to the types of cancers detected with FFDM (but more are detected) or if additional cancers detected may add to the overdiagnosis burden; however, there is accumulating evidence that use of DBT does not contribute to an increase in detection of DCIS (although it could still contribute to overdiagnosis through the detection of less aggressive cancers like Luminal A cancer).</w:t>
      </w:r>
    </w:p>
    <w:p w14:paraId="06C3C1D7" w14:textId="77777777" w:rsidR="00EE5CDF" w:rsidRDefault="00EE5CDF" w:rsidP="00F95CB2">
      <w:pPr>
        <w:pStyle w:val="Heading3"/>
      </w:pPr>
      <w:bookmarkStart w:id="41" w:name="_Toc27477531"/>
      <w:bookmarkStart w:id="42" w:name="_Toc27665668"/>
      <w:bookmarkStart w:id="43" w:name="_Toc27844455"/>
      <w:bookmarkStart w:id="44" w:name="_Toc27859586"/>
      <w:bookmarkStart w:id="45" w:name="_Toc27904701"/>
      <w:bookmarkStart w:id="46" w:name="_Toc43376253"/>
      <w:r>
        <w:t>Radiological presentation</w:t>
      </w:r>
      <w:bookmarkEnd w:id="41"/>
      <w:bookmarkEnd w:id="42"/>
      <w:bookmarkEnd w:id="43"/>
      <w:bookmarkEnd w:id="44"/>
      <w:bookmarkEnd w:id="45"/>
      <w:bookmarkEnd w:id="46"/>
    </w:p>
    <w:p w14:paraId="16FE8DFE" w14:textId="62E32EDB" w:rsidR="00EE5CDF" w:rsidRDefault="00EE5CDF" w:rsidP="00EE5CDF">
      <w:pPr>
        <w:pStyle w:val="BodyText"/>
      </w:pPr>
      <w:r>
        <w:t xml:space="preserve">Only a small number of studies reported information on radiological presentation by different imaging protocol. Most confirmed previously known information: use of DBT detects more cancers presenting as </w:t>
      </w:r>
      <w:r w:rsidR="0024768A">
        <w:t>architectural distortion</w:t>
      </w:r>
      <w:r>
        <w:t xml:space="preserve"> than FFDM, masses are better defined in a DBT image and therefore DBT detects more cancers presenting as spiculated and circumscribed masses, and that FFDM depicts microcalcifications very well but </w:t>
      </w:r>
      <w:r w:rsidR="00176980">
        <w:t>s2DM</w:t>
      </w:r>
      <w:r>
        <w:t xml:space="preserve"> is not inferior.</w:t>
      </w:r>
    </w:p>
    <w:p w14:paraId="55D9FDF3" w14:textId="32A9EAE8" w:rsidR="00F95CB2" w:rsidRPr="005866B2" w:rsidRDefault="00F95CB2" w:rsidP="005866B2">
      <w:pPr>
        <w:pStyle w:val="Heading3"/>
      </w:pPr>
      <w:bookmarkStart w:id="47" w:name="_Toc27477532"/>
      <w:bookmarkStart w:id="48" w:name="_Toc27665669"/>
      <w:bookmarkStart w:id="49" w:name="_Toc27844456"/>
      <w:bookmarkStart w:id="50" w:name="_Toc27859587"/>
      <w:bookmarkStart w:id="51" w:name="_Toc27904702"/>
      <w:bookmarkStart w:id="52" w:name="_Toc43376254"/>
      <w:r w:rsidRPr="005866B2">
        <w:t>Specificity</w:t>
      </w:r>
      <w:bookmarkEnd w:id="47"/>
      <w:bookmarkEnd w:id="48"/>
      <w:bookmarkEnd w:id="49"/>
      <w:bookmarkEnd w:id="50"/>
      <w:bookmarkEnd w:id="51"/>
      <w:bookmarkEnd w:id="52"/>
    </w:p>
    <w:p w14:paraId="63AC2095" w14:textId="16FDD9B1" w:rsidR="005866B2" w:rsidRPr="008E6804" w:rsidRDefault="005866B2" w:rsidP="005866B2">
      <w:pPr>
        <w:pStyle w:val="BodyText-GREEN"/>
        <w:rPr>
          <w:b/>
          <w:bCs/>
        </w:rPr>
      </w:pPr>
      <w:r w:rsidRPr="008E6804">
        <w:rPr>
          <w:b/>
          <w:bCs/>
        </w:rPr>
        <w:t>Recall rate</w:t>
      </w:r>
    </w:p>
    <w:p w14:paraId="466DFDBE" w14:textId="77777777" w:rsidR="008E6804" w:rsidRDefault="008E6804" w:rsidP="008E6804">
      <w:pPr>
        <w:pStyle w:val="BodyText"/>
      </w:pPr>
      <w:r w:rsidRPr="008E6804">
        <w:t>The effect of DBT on recall rate varies as does its importance: a decrease in recall rate with DBT may be appropriate in a program which has high recall rates overall but may be less important where rates are already appropriately low.</w:t>
      </w:r>
      <w:r>
        <w:t xml:space="preserve"> </w:t>
      </w:r>
    </w:p>
    <w:p w14:paraId="04AC39B2" w14:textId="78352D4F" w:rsidR="008E6804" w:rsidRDefault="008E6804" w:rsidP="008E6804">
      <w:pPr>
        <w:pStyle w:val="BodyText"/>
      </w:pPr>
      <w:r>
        <w:t>T</w:t>
      </w:r>
      <w:r w:rsidRPr="00A9108F">
        <w:t>wo recent systematic reviews indicat</w:t>
      </w:r>
      <w:r>
        <w:t>ed</w:t>
      </w:r>
      <w:r w:rsidRPr="00A9108F">
        <w:t xml:space="preserve"> mixed results between paired and unpaired studies</w:t>
      </w:r>
      <w:r>
        <w:t>. In studies where recall rate is quite low already (often those using double reading plus some form of arbitration/consensus), recall rates with DBT were usually a little higher with DBT modalities</w:t>
      </w:r>
      <w:r w:rsidRPr="00A9108F">
        <w:t xml:space="preserve">. </w:t>
      </w:r>
      <w:r>
        <w:t>The pooled analysis suggested that overall there was a 1.8 percent decrease in recall with FFDM+DBT compared to FFDM alone. In studies where single reading was the norm, recall rates may decline more with the use of DBT. Many studies also observed a learning curve effect, with recall rates for DBT declining in time as readers learnt some of the subtle differences in presentation of cancers on DBT (for example, presentation as architectural distortion). That said, observed recall rates may still have been higher with DBT even after improvements.</w:t>
      </w:r>
      <w:r w:rsidRPr="00A9108F">
        <w:t xml:space="preserve"> </w:t>
      </w:r>
    </w:p>
    <w:p w14:paraId="4FD0F909" w14:textId="0038C9C0" w:rsidR="008E6804" w:rsidRDefault="008E6804" w:rsidP="008E6804">
      <w:pPr>
        <w:pStyle w:val="BodyText"/>
      </w:pPr>
      <w:r w:rsidRPr="00A9108F">
        <w:lastRenderedPageBreak/>
        <w:t xml:space="preserve">Of particular relevance to the BSA </w:t>
      </w:r>
      <w:r>
        <w:t xml:space="preserve">were </w:t>
      </w:r>
      <w:r w:rsidRPr="00A9108F">
        <w:t xml:space="preserve">the  findings of the Maroondah pilot trial, which </w:t>
      </w:r>
      <w:r>
        <w:t xml:space="preserve">reported </w:t>
      </w:r>
      <w:r w:rsidRPr="00A9108F">
        <w:t>an increase in recall for DBT+s2DM compared to FFDM alone</w:t>
      </w:r>
      <w:r>
        <w:t>; however, the overall increase in recall was not extremely large (4.2 recalls per 1000 women screened with DBT+s2DM compared to 3.0 recalls per 1000 women screened with FFDM)</w:t>
      </w:r>
      <w:r w:rsidR="0024768A">
        <w:t>.</w:t>
      </w:r>
      <w:r w:rsidRPr="00A9108F">
        <w:t xml:space="preserve"> The authors propose</w:t>
      </w:r>
      <w:r>
        <w:t>d</w:t>
      </w:r>
      <w:r w:rsidRPr="00A9108F">
        <w:t xml:space="preserve"> that DBT recall rates may decline in Australia as screen readers become more experienced with the technique and previous rounds of DBT images are made available (which is the current status of FFDM)</w:t>
      </w:r>
      <w:r>
        <w:t>.</w:t>
      </w:r>
    </w:p>
    <w:p w14:paraId="12DC8730" w14:textId="262AB791" w:rsidR="005866B2" w:rsidRPr="00411CFB" w:rsidRDefault="005866B2" w:rsidP="008E6804">
      <w:pPr>
        <w:pStyle w:val="BodyText-GREEN"/>
        <w:rPr>
          <w:b/>
          <w:bCs/>
        </w:rPr>
      </w:pPr>
      <w:r w:rsidRPr="00411CFB">
        <w:rPr>
          <w:b/>
          <w:bCs/>
        </w:rPr>
        <w:t>False positive recall rate</w:t>
      </w:r>
    </w:p>
    <w:p w14:paraId="4BCFD89A" w14:textId="1DA0711E" w:rsidR="00411CFB" w:rsidRDefault="00411CFB" w:rsidP="00411CFB">
      <w:pPr>
        <w:pStyle w:val="BodyText"/>
      </w:pPr>
      <w:r w:rsidRPr="0096179A">
        <w:t xml:space="preserve">Inconsistent results regarding the influence of DBT on false positive recall rates were reported. Of the six studies that </w:t>
      </w:r>
      <w:r w:rsidRPr="00411CFB">
        <w:t>reported</w:t>
      </w:r>
      <w:r w:rsidRPr="0096179A">
        <w:t xml:space="preserve"> </w:t>
      </w:r>
      <w:r>
        <w:t>results</w:t>
      </w:r>
      <w:r w:rsidRPr="0096179A">
        <w:t xml:space="preserve">, two prospective studies reported higher false positive recall rates for DBT+s2DM compared to FFDM and four studies reported lower rates of false positive recall. </w:t>
      </w:r>
      <w:r>
        <w:t>S</w:t>
      </w:r>
      <w:r w:rsidRPr="0096179A">
        <w:t xml:space="preserve">tudies that recorded increases in false positive recall rates for DBT were the STORM-2 trial and Malmö trial. The STORM-2 trial did not employ a means of arbitration for discordant screen readings which may have influenced the result (i.e., a lower false positive recall rate could have been achieved if third party consensus was used). Additionally, other factors that could have impacted higher </w:t>
      </w:r>
      <w:r>
        <w:t xml:space="preserve">false positive </w:t>
      </w:r>
      <w:r w:rsidRPr="0096179A">
        <w:t>recall rates in this study suggested by the authors were learning effect in relation to adjusting to new imaging protocols that produce different images and the process of sequential screen-reading at the DBT phase which allowed within participant comparison. Other studies also noted a learning effect in relation to reader lack of familiarity with DBT</w:t>
      </w:r>
      <w:r w:rsidRPr="0096179A">
        <w:rPr>
          <w:vertAlign w:val="subscript"/>
        </w:rPr>
        <w:t>MLO.</w:t>
      </w:r>
      <w:r w:rsidRPr="0096179A">
        <w:t xml:space="preserve"> Another factors to consider is the lack of availability of prior DBT screens that could be compared unlike FFDM.  The inclusion of DBT or DBT+2SDM in population breast screening poses a difficult question in relation to the potential trade-off between increasing CDR but also increasing false positives. </w:t>
      </w:r>
    </w:p>
    <w:p w14:paraId="02AB1FAD" w14:textId="00C2CA19" w:rsidR="005866B2" w:rsidRPr="005866B2" w:rsidRDefault="005866B2" w:rsidP="005866B2">
      <w:pPr>
        <w:pStyle w:val="BodyText-GREEN"/>
        <w:rPr>
          <w:b/>
          <w:bCs/>
          <w:shd w:val="clear" w:color="auto" w:fill="FFFFFF" w:themeFill="background1"/>
        </w:rPr>
      </w:pPr>
      <w:r w:rsidRPr="005866B2">
        <w:rPr>
          <w:b/>
          <w:bCs/>
          <w:shd w:val="clear" w:color="auto" w:fill="FFFFFF" w:themeFill="background1"/>
        </w:rPr>
        <w:t>Relative specificity</w:t>
      </w:r>
    </w:p>
    <w:p w14:paraId="785D6FA6" w14:textId="1C152007" w:rsidR="008D69DE" w:rsidRDefault="0024768A" w:rsidP="008D69DE">
      <w:pPr>
        <w:pStyle w:val="BodyText"/>
        <w:rPr>
          <w:shd w:val="clear" w:color="auto" w:fill="FFFFFF" w:themeFill="background1"/>
        </w:rPr>
      </w:pPr>
      <w:r>
        <w:rPr>
          <w:shd w:val="clear" w:color="auto" w:fill="FFFFFF" w:themeFill="background1"/>
        </w:rPr>
        <w:t>S</w:t>
      </w:r>
      <w:r w:rsidR="008D69DE" w:rsidRPr="008D69DE">
        <w:rPr>
          <w:shd w:val="clear" w:color="auto" w:fill="FFFFFF" w:themeFill="background1"/>
        </w:rPr>
        <w:t xml:space="preserve">tudies reported </w:t>
      </w:r>
      <w:r>
        <w:rPr>
          <w:shd w:val="clear" w:color="auto" w:fill="FFFFFF" w:themeFill="background1"/>
        </w:rPr>
        <w:t xml:space="preserve">an </w:t>
      </w:r>
      <w:r w:rsidR="008D69DE" w:rsidRPr="008D69DE">
        <w:rPr>
          <w:shd w:val="clear" w:color="auto" w:fill="FFFFFF" w:themeFill="background1"/>
        </w:rPr>
        <w:t>increase in relative specificity when DBT was used. Most studies reported relative specificity as greater than 91 percent for DBT imaging, and greater than  88 percent for FFDM imaging. Increases were generally very small, ranging from a 0.5 percent increase to 2.4 percent (which indicates FFDM’s good performance for this metric, as well as DBT’s superior performance). Only one of these studies (data from the OTS trial) was set in a screening program with similar parameters to the BSA program. The study which did not see improved specificity adopted DBT</w:t>
      </w:r>
      <w:r w:rsidR="008D69DE" w:rsidRPr="008D69DE">
        <w:rPr>
          <w:shd w:val="clear" w:color="auto" w:fill="FFFFFF" w:themeFill="background1"/>
          <w:vertAlign w:val="subscript"/>
        </w:rPr>
        <w:t>MLO</w:t>
      </w:r>
      <w:r w:rsidR="008D69DE" w:rsidRPr="008D69DE">
        <w:rPr>
          <w:shd w:val="clear" w:color="auto" w:fill="FFFFFF" w:themeFill="background1"/>
        </w:rPr>
        <w:t xml:space="preserve"> and suggested that an improved specificity would likely be seen with the increase of a second DBT view.</w:t>
      </w:r>
    </w:p>
    <w:p w14:paraId="1CF13C5F" w14:textId="39D8CDB5" w:rsidR="005866B2" w:rsidRPr="006E02AA" w:rsidRDefault="0024768A" w:rsidP="005866B2">
      <w:pPr>
        <w:pStyle w:val="BodyText-GREEN"/>
        <w:rPr>
          <w:b/>
          <w:bCs/>
        </w:rPr>
      </w:pPr>
      <w:r>
        <w:rPr>
          <w:b/>
          <w:bCs/>
        </w:rPr>
        <w:t>Positive predictive value</w:t>
      </w:r>
    </w:p>
    <w:p w14:paraId="4B0DE370" w14:textId="4D586136" w:rsidR="006E02AA" w:rsidRDefault="006E02AA" w:rsidP="0024768A">
      <w:pPr>
        <w:pStyle w:val="List-BulletLvl1"/>
        <w:numPr>
          <w:ilvl w:val="0"/>
          <w:numId w:val="0"/>
        </w:numPr>
      </w:pPr>
      <w:bookmarkStart w:id="53" w:name="_Toc27477533"/>
      <w:bookmarkStart w:id="54" w:name="_Toc27665670"/>
      <w:r w:rsidRPr="00D540EC">
        <w:t xml:space="preserve">There </w:t>
      </w:r>
      <w:r>
        <w:t>is strong, consistent evidence that use of DBT increases PPV</w:t>
      </w:r>
      <w:r>
        <w:rPr>
          <w:vertAlign w:val="subscript"/>
        </w:rPr>
        <w:t>1</w:t>
      </w:r>
      <w:r>
        <w:t xml:space="preserve"> </w:t>
      </w:r>
      <w:r w:rsidR="00CB4091">
        <w:t>(</w:t>
      </w:r>
      <w:r w:rsidR="00CB4091" w:rsidRPr="00E62C85">
        <w:t>the percentage of breast cancer cases detected among recalled women</w:t>
      </w:r>
      <w:r w:rsidR="00CB4091">
        <w:t xml:space="preserve">)  </w:t>
      </w:r>
      <w:r>
        <w:t>(i.e., DBT is a more accurate test compared to FFM alone. Usually, studies reported that PPV</w:t>
      </w:r>
      <w:r>
        <w:rPr>
          <w:vertAlign w:val="subscript"/>
        </w:rPr>
        <w:t>1</w:t>
      </w:r>
      <w:r>
        <w:t xml:space="preserve"> approximately doubled but RCT evidence suggested a slightly lower increase (about 30 percent). PPV</w:t>
      </w:r>
      <w:r>
        <w:rPr>
          <w:vertAlign w:val="subscript"/>
        </w:rPr>
        <w:t>3</w:t>
      </w:r>
      <w:r>
        <w:t xml:space="preserve"> </w:t>
      </w:r>
      <w:r w:rsidR="00CB4091">
        <w:t xml:space="preserve">(the percentage </w:t>
      </w:r>
      <w:r w:rsidR="00CB4091" w:rsidRPr="00E35CA9">
        <w:t xml:space="preserve">of breast </w:t>
      </w:r>
      <w:r w:rsidR="00CB4091" w:rsidRPr="00EF75FD">
        <w:t xml:space="preserve">cancer detected from </w:t>
      </w:r>
      <w:r w:rsidR="00CB4091">
        <w:t xml:space="preserve">needle </w:t>
      </w:r>
      <w:r w:rsidR="00CB4091" w:rsidRPr="00EF75FD">
        <w:t>biopsy after recall</w:t>
      </w:r>
      <w:r w:rsidR="00CB4091">
        <w:t xml:space="preserve">) </w:t>
      </w:r>
      <w:r>
        <w:t>also increased significantly with the use of DBT.</w:t>
      </w:r>
    </w:p>
    <w:p w14:paraId="78FC7BF2" w14:textId="393F4384" w:rsidR="00E43DFA" w:rsidRDefault="00E43DFA" w:rsidP="00E43DFA">
      <w:pPr>
        <w:pStyle w:val="Heading3"/>
      </w:pPr>
      <w:bookmarkStart w:id="55" w:name="_Toc27844457"/>
      <w:bookmarkStart w:id="56" w:name="_Toc27859588"/>
      <w:bookmarkStart w:id="57" w:name="_Toc27904703"/>
      <w:bookmarkStart w:id="58" w:name="_Toc43376255"/>
      <w:r>
        <w:t>Safety</w:t>
      </w:r>
      <w:bookmarkEnd w:id="53"/>
      <w:bookmarkEnd w:id="54"/>
      <w:bookmarkEnd w:id="55"/>
      <w:bookmarkEnd w:id="56"/>
      <w:bookmarkEnd w:id="57"/>
      <w:bookmarkEnd w:id="58"/>
    </w:p>
    <w:p w14:paraId="34BB9542" w14:textId="77777777" w:rsidR="0024768A" w:rsidRDefault="005866B2" w:rsidP="005866B2">
      <w:pPr>
        <w:pStyle w:val="BodyText"/>
      </w:pPr>
      <w:bookmarkStart w:id="59" w:name="_Toc27477536"/>
      <w:bookmarkStart w:id="60" w:name="_Toc27665671"/>
      <w:r w:rsidRPr="001F4766">
        <w:t xml:space="preserve">Radiation dose varies with the image </w:t>
      </w:r>
      <w:r>
        <w:t>technique</w:t>
      </w:r>
      <w:r w:rsidRPr="001F4766">
        <w:t xml:space="preserve"> process used (DBT+</w:t>
      </w:r>
      <w:r w:rsidR="00176980">
        <w:t>s2DM</w:t>
      </w:r>
      <w:r w:rsidRPr="001F4766">
        <w:t xml:space="preserve">, FFDM alone or FFDM+DBT), the number of and type of views, the use of automatic exposure control, positioning, breast size and composition, and by DBT system used. </w:t>
      </w:r>
      <w:r>
        <w:t xml:space="preserve">Most of the literature regarding </w:t>
      </w:r>
      <w:r w:rsidR="00CB4091">
        <w:t>m</w:t>
      </w:r>
      <w:r w:rsidR="00CB4091" w:rsidRPr="00E44152">
        <w:t>ean glandular dose</w:t>
      </w:r>
      <w:r w:rsidR="00CB4091">
        <w:t xml:space="preserve"> (</w:t>
      </w:r>
      <w:r>
        <w:t>MGD</w:t>
      </w:r>
      <w:r w:rsidR="0024768A">
        <w:t>)</w:t>
      </w:r>
      <w:r>
        <w:t xml:space="preserve"> published since December 2017 reported on MGD for DBT+</w:t>
      </w:r>
      <w:r w:rsidR="00176980">
        <w:t>s2DM</w:t>
      </w:r>
      <w:r>
        <w:t xml:space="preserve"> </w:t>
      </w:r>
      <w:r>
        <w:lastRenderedPageBreak/>
        <w:t>compared to FFDM alone, although some new data on dual acquisition (FFDM+DBT) was also reported.</w:t>
      </w:r>
      <w:r w:rsidR="0024768A">
        <w:t xml:space="preserve"> </w:t>
      </w:r>
    </w:p>
    <w:p w14:paraId="77A98FD1" w14:textId="1B59C5B8" w:rsidR="005866B2" w:rsidRDefault="005866B2" w:rsidP="005866B2">
      <w:pPr>
        <w:pStyle w:val="BodyText"/>
      </w:pPr>
      <w:r w:rsidRPr="001F4766">
        <w:t>Mixed results were presented on MGD</w:t>
      </w:r>
      <w:r>
        <w:t>, including within imaging protocols</w:t>
      </w:r>
      <w:r w:rsidRPr="001F4766">
        <w:t>. For DBT+</w:t>
      </w:r>
      <w:r w:rsidR="00176980">
        <w:t>s2DM</w:t>
      </w:r>
      <w:r w:rsidRPr="001F4766">
        <w:t xml:space="preserve"> compared to FFDM alone, most studies reported that MGD was higher when DBT+</w:t>
      </w:r>
      <w:r w:rsidR="00176980">
        <w:t>s2DM</w:t>
      </w:r>
      <w:r w:rsidRPr="001F4766">
        <w:t xml:space="preserve"> was used</w:t>
      </w:r>
      <w:r>
        <w:t xml:space="preserve"> although </w:t>
      </w:r>
      <w:r w:rsidRPr="001F4766">
        <w:t xml:space="preserve">the </w:t>
      </w:r>
      <w:r>
        <w:t>To-Be-1</w:t>
      </w:r>
      <w:r w:rsidRPr="001F4766">
        <w:t xml:space="preserve"> RCT, the only study to utilise GE SenoClaire units,  reported no significant difference in MGD between </w:t>
      </w:r>
      <w:r>
        <w:t>DBT+</w:t>
      </w:r>
      <w:r w:rsidR="00176980">
        <w:t>s2DM</w:t>
      </w:r>
      <w:r>
        <w:t xml:space="preserve"> and FFDM alone</w:t>
      </w:r>
      <w:r w:rsidRPr="001F4766">
        <w:t>.</w:t>
      </w:r>
      <w:r>
        <w:t xml:space="preserve"> All the other studies reported increases with this DBT modality. Some increases were small (from about 30 percent more) but</w:t>
      </w:r>
      <w:r w:rsidRPr="001F4766">
        <w:t xml:space="preserve"> an increase in MGD of almost double </w:t>
      </w:r>
      <w:r>
        <w:t xml:space="preserve">was </w:t>
      </w:r>
      <w:r w:rsidRPr="001F4766">
        <w:t>reported in the Maroondah pilot</w:t>
      </w:r>
      <w:r>
        <w:t>. The reasons for these differences are not entirely clear</w:t>
      </w:r>
      <w:r w:rsidRPr="001F4766">
        <w:t xml:space="preserve"> although some differences may be due to imaging systems</w:t>
      </w:r>
      <w:r>
        <w:t xml:space="preserve"> or the use of automated dose (as opposed to radiologist setting)</w:t>
      </w:r>
      <w:r w:rsidRPr="001F4766">
        <w:t>.</w:t>
      </w:r>
      <w:r>
        <w:t xml:space="preserve"> </w:t>
      </w:r>
      <w:r w:rsidR="00285D7E">
        <w:t>‘</w:t>
      </w:r>
      <w:r>
        <w:t>R</w:t>
      </w:r>
      <w:r w:rsidRPr="001F4766">
        <w:t>eal</w:t>
      </w:r>
      <w:r w:rsidR="00285D7E">
        <w:t xml:space="preserve"> </w:t>
      </w:r>
      <w:r w:rsidRPr="001F4766">
        <w:t>world</w:t>
      </w:r>
      <w:r w:rsidR="00285D7E">
        <w:t>’</w:t>
      </w:r>
      <w:r w:rsidRPr="001F4766">
        <w:t xml:space="preserve"> studies all reported a higher per-view MGD when DBT was used compared to FFDM alone (which is consistent with some of the previous technical evaluation findings</w:t>
      </w:r>
      <w:r>
        <w:t xml:space="preserve">). </w:t>
      </w:r>
      <w:r w:rsidRPr="001F4766">
        <w:t xml:space="preserve">Further investigation into the use of different imaging units (Hologic Selenia Dimensions, Siemens Mammomat Inspirations and GE SenoClaire units), software (Volpara Solutions and Quantra™) and protocols in relation to the impact on radiation dose is needed as some studies have started to suggest potential inaccuracies within breast density and radiation dose estimation that could be impacting research results and potentially women being screened. </w:t>
      </w:r>
    </w:p>
    <w:p w14:paraId="2F93DFE8" w14:textId="346A9381" w:rsidR="005866B2" w:rsidRPr="005866B2" w:rsidRDefault="005866B2" w:rsidP="005866B2">
      <w:pPr>
        <w:pStyle w:val="Heading3"/>
      </w:pPr>
      <w:bookmarkStart w:id="61" w:name="_Toc27844458"/>
      <w:bookmarkStart w:id="62" w:name="_Toc27859589"/>
      <w:bookmarkStart w:id="63" w:name="_Toc27904704"/>
      <w:bookmarkStart w:id="64" w:name="_Toc43376256"/>
      <w:r w:rsidRPr="005866B2">
        <w:t>Implementation</w:t>
      </w:r>
      <w:bookmarkEnd w:id="61"/>
      <w:bookmarkEnd w:id="62"/>
      <w:bookmarkEnd w:id="63"/>
      <w:bookmarkEnd w:id="64"/>
    </w:p>
    <w:p w14:paraId="5DF4486F" w14:textId="37741DD5" w:rsidR="005866B2" w:rsidRDefault="005866B2" w:rsidP="005866B2">
      <w:pPr>
        <w:pStyle w:val="BodyText"/>
      </w:pPr>
      <w:r>
        <w:t xml:space="preserve">Much of the published literature focused on DBT’s sensitivity, specificity and safety with the studies reporting on the nature of the association between DBT (either alone, as an adjunct to FFDM, or with </w:t>
      </w:r>
      <w:r w:rsidR="00176980">
        <w:t>s2DM</w:t>
      </w:r>
      <w:r>
        <w:t>) and specific clinical outcomes and short-term performance metrics. There is growing confidence that as a screening strategy DBT could enhance a screening program with several programs moving to pilot DBT as the screening test (eg, the Trento and Verona screening programs).</w:t>
      </w:r>
    </w:p>
    <w:p w14:paraId="34A63D7A" w14:textId="0AEDC03B" w:rsidR="00C60847" w:rsidRPr="005866B2" w:rsidRDefault="00C60847" w:rsidP="005866B2">
      <w:pPr>
        <w:pStyle w:val="BodyText-GREEN"/>
        <w:rPr>
          <w:b/>
          <w:bCs/>
        </w:rPr>
      </w:pPr>
      <w:r w:rsidRPr="005866B2">
        <w:rPr>
          <w:b/>
          <w:bCs/>
        </w:rPr>
        <w:t>Image acquisition</w:t>
      </w:r>
    </w:p>
    <w:p w14:paraId="121A4A83" w14:textId="5E02D4EC" w:rsidR="005866B2" w:rsidRDefault="005866B2" w:rsidP="005866B2">
      <w:pPr>
        <w:pStyle w:val="BodyText"/>
      </w:pPr>
      <w:r w:rsidRPr="00BE6D01">
        <w:t>An increase in image acquisition time could increase the discomfort felt by women when participating in breast screening</w:t>
      </w:r>
      <w:r>
        <w:t>. A</w:t>
      </w:r>
      <w:r w:rsidRPr="00BE6D01">
        <w:t xml:space="preserve">dditionally, an increase in time could impact </w:t>
      </w:r>
      <w:r>
        <w:t xml:space="preserve">high-throughput clinic </w:t>
      </w:r>
      <w:r w:rsidRPr="00BE6D01">
        <w:t xml:space="preserve">workflow. </w:t>
      </w:r>
      <w:r>
        <w:t xml:space="preserve">Currently available literature is surprisingly sparse, and certainly insufficient to determine the impact of DBT on image acquisition time. Only </w:t>
      </w:r>
      <w:r w:rsidRPr="003078CB">
        <w:t>one primary study</w:t>
      </w:r>
      <w:r>
        <w:t xml:space="preserve"> (the To-Be-1 RCT) </w:t>
      </w:r>
      <w:r w:rsidRPr="003078CB">
        <w:t xml:space="preserve">reported </w:t>
      </w:r>
      <w:r>
        <w:t xml:space="preserve">findings </w:t>
      </w:r>
      <w:r w:rsidRPr="003078CB">
        <w:t>on image acquisition time</w:t>
      </w:r>
      <w:r>
        <w:t>. Results from this RCT were based on the time the woman entered the exam room until the time she left. Results reported from the To-Be-1 RCT stated that DBT+</w:t>
      </w:r>
      <w:r w:rsidR="00176980">
        <w:t>s2DM</w:t>
      </w:r>
      <w:r>
        <w:t xml:space="preserve"> took 54 sec longer than FFDM (DBT+</w:t>
      </w:r>
      <w:r w:rsidR="00176980">
        <w:t>s2DM</w:t>
      </w:r>
      <w:r>
        <w:t xml:space="preserve"> imaging took </w:t>
      </w:r>
      <w:r w:rsidRPr="003078CB">
        <w:t xml:space="preserve">5 </w:t>
      </w:r>
      <w:r>
        <w:t xml:space="preserve">min </w:t>
      </w:r>
      <w:r w:rsidRPr="003078CB">
        <w:t xml:space="preserve">24 </w:t>
      </w:r>
      <w:r>
        <w:t xml:space="preserve">sec compared to four min 19 sec with FFDM). While the definition of image acquisition differed to other previous studies (being the time in the exam room, rather than the machine settings), the trend appears </w:t>
      </w:r>
      <w:r w:rsidR="00783FEF">
        <w:t xml:space="preserve">to </w:t>
      </w:r>
      <w:r>
        <w:t xml:space="preserve">remain the same: DBT image acquisition takes longer than FFDM. One explanation presented by the To-Be-1 RCT is that additional time for DBT may have been impacted by explaining to the woman the new technology. We do not know if the actual image acquisition time was much longer (one second is not much more, as reported in other studies). There is also a suggestion that newer machines have the potential to reduce the difference in DBT capture time (observed in early commentary from Moger et al. (2019) in relation to the extension the To-Be-1 RCT (To-Be-2). The Maroondah pilot in Australia may also provide more insight into these issues in the future but it has not yet reported any data on image acquisition. </w:t>
      </w:r>
    </w:p>
    <w:p w14:paraId="1B95385C" w14:textId="77777777" w:rsidR="00783FEF" w:rsidRDefault="00783FEF" w:rsidP="005866B2">
      <w:pPr>
        <w:pStyle w:val="BodyText"/>
      </w:pPr>
    </w:p>
    <w:p w14:paraId="1248B9BA" w14:textId="2055AEA9" w:rsidR="00E43DFA" w:rsidRPr="005866B2" w:rsidRDefault="00E43DFA" w:rsidP="005866B2">
      <w:pPr>
        <w:pStyle w:val="BodyText-GREEN"/>
        <w:rPr>
          <w:b/>
          <w:bCs/>
        </w:rPr>
      </w:pPr>
      <w:r w:rsidRPr="005866B2">
        <w:rPr>
          <w:b/>
          <w:bCs/>
        </w:rPr>
        <w:lastRenderedPageBreak/>
        <w:t>Reader performance</w:t>
      </w:r>
      <w:bookmarkEnd w:id="59"/>
      <w:bookmarkEnd w:id="60"/>
    </w:p>
    <w:p w14:paraId="3FE0DE9B" w14:textId="2B18379F" w:rsidR="007E3481" w:rsidRPr="00685169" w:rsidRDefault="007E3481" w:rsidP="007E3481">
      <w:pPr>
        <w:pStyle w:val="BodyText"/>
      </w:pPr>
      <w:bookmarkStart w:id="65" w:name="_Toc27477537"/>
      <w:bookmarkStart w:id="66" w:name="_Toc27665672"/>
      <w:r w:rsidRPr="007E3481">
        <w:t>Few studies describe</w:t>
      </w:r>
      <w:r>
        <w:t>d</w:t>
      </w:r>
      <w:r w:rsidRPr="007E3481">
        <w:t xml:space="preserve"> performance metrics related to reader performance and / or  undert</w:t>
      </w:r>
      <w:r>
        <w:t>ook</w:t>
      </w:r>
      <w:r w:rsidRPr="007E3481">
        <w:t xml:space="preserve"> stratified analysis of performance across individual radiologists or between groups of radiologists with differing levels of experience</w:t>
      </w:r>
      <w:r>
        <w:t xml:space="preserve"> (although m</w:t>
      </w:r>
      <w:r w:rsidRPr="007E3481">
        <w:t>ost studies involve</w:t>
      </w:r>
      <w:r>
        <w:t>d</w:t>
      </w:r>
      <w:r w:rsidRPr="007E3481">
        <w:t xml:space="preserve"> readers with a range of experience in breast imaging and some noted the level of experience in interpreting DBT  and </w:t>
      </w:r>
      <w:r w:rsidR="00176980">
        <w:t>s2DM</w:t>
      </w:r>
      <w:r w:rsidRPr="007E3481">
        <w:t xml:space="preserve"> images</w:t>
      </w:r>
      <w:r>
        <w:t>)</w:t>
      </w:r>
      <w:r w:rsidRPr="007E3481">
        <w:t xml:space="preserve">. Some studies </w:t>
      </w:r>
      <w:r w:rsidRPr="00685169">
        <w:t xml:space="preserve">noted pre-trial training in DBT and </w:t>
      </w:r>
      <w:r w:rsidR="00176980" w:rsidRPr="00685169">
        <w:t>s2DM</w:t>
      </w:r>
      <w:r w:rsidRPr="00685169">
        <w:t xml:space="preserve"> screen reading;  however, most studies also recognised that this was either insufficient or as in the case of the Malmö trial, not sufficient in a ‘real world</w:t>
      </w:r>
      <w:r w:rsidR="00285D7E" w:rsidRPr="00685169">
        <w:t>’</w:t>
      </w:r>
      <w:r w:rsidRPr="00685169">
        <w:t xml:space="preserve"> setting. It is difficult to determine the extent to which training and prior experience made a difference across the studies that mentioned it. Many studies noted that there is a likely presence of a learning curve, meaning that recall rates tend to drop over time as readers become more familiar with the different type of image that DBT and DBT+</w:t>
      </w:r>
      <w:r w:rsidR="00176980" w:rsidRPr="00685169">
        <w:t>s2DM</w:t>
      </w:r>
      <w:r w:rsidRPr="00685169">
        <w:t xml:space="preserve"> provides. Some studies reported that the learning curve was very short on average with sustained improved screening performance soon after DBT adoption; however, changes in performance with experience may vary across radiologists.</w:t>
      </w:r>
    </w:p>
    <w:p w14:paraId="30C8C35D" w14:textId="75AC77BE" w:rsidR="007E3481" w:rsidRPr="007E3481" w:rsidRDefault="007E3481" w:rsidP="007E3481">
      <w:pPr>
        <w:pStyle w:val="BodyText"/>
      </w:pPr>
      <w:r w:rsidRPr="00685169">
        <w:t>The STORM-2 trial was one</w:t>
      </w:r>
      <w:r w:rsidR="00935D4C">
        <w:t xml:space="preserve"> of</w:t>
      </w:r>
      <w:r w:rsidRPr="00685169">
        <w:t xml:space="preserve"> a few studies that provided individual performance data, which indicated that while cancer detection rates across the team of radiologists improved with the addition of DBT, so did the false positive</w:t>
      </w:r>
      <w:r w:rsidRPr="007E3481">
        <w:t xml:space="preserve"> recall rate. Availability of prior DBT images was also </w:t>
      </w:r>
      <w:r>
        <w:t xml:space="preserve">considered to </w:t>
      </w:r>
      <w:r w:rsidRPr="007E3481">
        <w:t xml:space="preserve">be influential to reader performance. </w:t>
      </w:r>
    </w:p>
    <w:p w14:paraId="66831748" w14:textId="3667E9C2" w:rsidR="007E3481" w:rsidRDefault="007E3481" w:rsidP="007E3481">
      <w:pPr>
        <w:pStyle w:val="BodyText"/>
      </w:pPr>
      <w:r w:rsidRPr="007E3481">
        <w:t xml:space="preserve">Further investigation is warranted to determine </w:t>
      </w:r>
      <w:r w:rsidR="004E5A44">
        <w:t xml:space="preserve">if </w:t>
      </w:r>
      <w:r w:rsidRPr="007E3481">
        <w:t>the experience and training in DBT/</w:t>
      </w:r>
      <w:r w:rsidR="00176980">
        <w:t>s2DM</w:t>
      </w:r>
      <w:r w:rsidRPr="007E3481">
        <w:t xml:space="preserve"> </w:t>
      </w:r>
      <w:r w:rsidR="00783FEF">
        <w:t xml:space="preserve">screen reading </w:t>
      </w:r>
      <w:r w:rsidRPr="007E3481">
        <w:t xml:space="preserve">and the availability of prior images is significantly impacting interpretation times, recall rates, false positive recall rates and cancer detection rates. </w:t>
      </w:r>
    </w:p>
    <w:p w14:paraId="5B7B8A6A" w14:textId="710BA342" w:rsidR="00636690" w:rsidRDefault="00636690" w:rsidP="007E3481">
      <w:pPr>
        <w:pStyle w:val="BodyText-GREEN"/>
        <w:rPr>
          <w:b/>
          <w:bCs/>
        </w:rPr>
      </w:pPr>
      <w:r>
        <w:rPr>
          <w:b/>
          <w:bCs/>
        </w:rPr>
        <w:t>Interpretation time</w:t>
      </w:r>
    </w:p>
    <w:p w14:paraId="1B18EA7E" w14:textId="1B1126EA" w:rsidR="00630B87" w:rsidRPr="00630B87" w:rsidRDefault="00630B87" w:rsidP="00630B87">
      <w:pPr>
        <w:pStyle w:val="BodyText"/>
      </w:pPr>
      <w:r w:rsidRPr="00630B87">
        <w:t xml:space="preserve">Studies observed significant increases in interpretation time </w:t>
      </w:r>
      <w:r>
        <w:t>for all DBT imaging modalities, with a doubling of reading time being the most common (which is similar to earlier reported increases).</w:t>
      </w:r>
      <w:r w:rsidR="0024768A">
        <w:t xml:space="preserve"> </w:t>
      </w:r>
      <w:r w:rsidRPr="0062072D">
        <w:t>For DBT+</w:t>
      </w:r>
      <w:r w:rsidR="00176980" w:rsidRPr="0062072D">
        <w:t>s2DM</w:t>
      </w:r>
      <w:r w:rsidRPr="0062072D">
        <w:t xml:space="preserve"> compared to FFDM, </w:t>
      </w:r>
      <w:r w:rsidR="0062072D" w:rsidRPr="0062072D">
        <w:t xml:space="preserve">the To-Be-1 </w:t>
      </w:r>
      <w:r w:rsidRPr="0062072D">
        <w:t>RCT reported an initial reading time of 1 min 6 sec with DBT+</w:t>
      </w:r>
      <w:r w:rsidR="00176980" w:rsidRPr="00A57228">
        <w:t>s2DM</w:t>
      </w:r>
      <w:r w:rsidRPr="00812098">
        <w:t xml:space="preserve"> compared to 39 sec wit</w:t>
      </w:r>
      <w:r w:rsidRPr="0066075B">
        <w:t>h FFDM. The</w:t>
      </w:r>
      <w:r w:rsidRPr="00630B87">
        <w:t xml:space="preserve"> same was found in the Reggio Emilia RCT</w:t>
      </w:r>
      <w:r>
        <w:t xml:space="preserve">: interpretation time for </w:t>
      </w:r>
      <w:r w:rsidRPr="00630B87">
        <w:t>FF</w:t>
      </w:r>
      <w:r>
        <w:t>D</w:t>
      </w:r>
      <w:r w:rsidRPr="00630B87">
        <w:t xml:space="preserve">M+DBT was 56 sec compared with 34 sec for FFDM alone. </w:t>
      </w:r>
      <w:r>
        <w:t>Only o</w:t>
      </w:r>
      <w:r w:rsidRPr="00630B87">
        <w:t xml:space="preserve">ne study reported almost no difference in interpretation time between DBT alone and DBT+FFDM if the result was positive; however, no specific data was provided so it is not possible to verify this. </w:t>
      </w:r>
      <w:r>
        <w:t>I</w:t>
      </w:r>
      <w:r w:rsidRPr="00630B87">
        <w:t>ncreased reading time will have workflow and reader/radiologist resourcing implications. Some authors suggested that this additional time may be acceptable if DBT delivers less need for consensus (the number of screens requiring arbitration), lower false positive recall rates and higher CDR rates. There continues to be a need for more research into these variables and also with regard to the impact of DBT training and experience on interpretation time.</w:t>
      </w:r>
    </w:p>
    <w:p w14:paraId="00701709" w14:textId="57973B89" w:rsidR="00630B87" w:rsidRDefault="00630B87" w:rsidP="00630B87">
      <w:pPr>
        <w:pStyle w:val="BodyText"/>
      </w:pPr>
      <w:r w:rsidRPr="00630B87">
        <w:t xml:space="preserve">There was emerging evidence that the addition of computer-aided detection </w:t>
      </w:r>
      <w:r>
        <w:t xml:space="preserve">(CAD) </w:t>
      </w:r>
      <w:r w:rsidRPr="00630B87">
        <w:t>to DBT may reduce interpretation time compared with DBT alone; however, this was only explored in one study and there was no comparison to FFDM. One small cancer enriched study provided positive results for the addition of CAD to DBT finding a significant reduction in reading time without a loss of diagnostic performance compared to DBT alone. The effect of reduced reading time was consistently shown by novice and experienced readers</w:t>
      </w:r>
      <w:r w:rsidR="00935D4C">
        <w:t xml:space="preserve"> (Chae et al., 2019)</w:t>
      </w:r>
      <w:r w:rsidRPr="00630B87">
        <w:t>. The benefit of adding CAD to DBT+</w:t>
      </w:r>
      <w:r w:rsidR="00176980">
        <w:t>s2DM</w:t>
      </w:r>
      <w:r w:rsidRPr="00630B87">
        <w:t xml:space="preserve"> may have the potential to reduce reading time; however, limited research has been conducted in this area and needs further exploration. For an area of research as complex as computer aided cancer detection, many more studies will be needed before recommendations can be made regarding its future utility in population</w:t>
      </w:r>
      <w:r>
        <w:t>-</w:t>
      </w:r>
      <w:r w:rsidRPr="00630B87">
        <w:t>based breast screening programs.</w:t>
      </w:r>
    </w:p>
    <w:p w14:paraId="0EBD174C" w14:textId="7AE36394" w:rsidR="00E43DFA" w:rsidRPr="005866B2" w:rsidRDefault="00E43DFA" w:rsidP="00630B87">
      <w:pPr>
        <w:pStyle w:val="BodyText-GREEN"/>
        <w:rPr>
          <w:b/>
          <w:bCs/>
        </w:rPr>
      </w:pPr>
      <w:r w:rsidRPr="005866B2">
        <w:rPr>
          <w:b/>
          <w:bCs/>
        </w:rPr>
        <w:lastRenderedPageBreak/>
        <w:t>Cost-effectiveness</w:t>
      </w:r>
      <w:bookmarkEnd w:id="65"/>
      <w:bookmarkEnd w:id="66"/>
    </w:p>
    <w:p w14:paraId="14F9E725" w14:textId="59AE4755" w:rsidR="00131D91" w:rsidRDefault="00131D91" w:rsidP="00131D91">
      <w:pPr>
        <w:pStyle w:val="BodyText"/>
        <w:rPr>
          <w:lang w:val="en-US"/>
        </w:rPr>
      </w:pPr>
      <w:bookmarkStart w:id="67" w:name="_Toc27477540"/>
      <w:bookmarkStart w:id="68" w:name="_Toc27665673"/>
      <w:r>
        <w:rPr>
          <w:lang w:val="en-US"/>
        </w:rPr>
        <w:t xml:space="preserve">Two studies provided costing analysis (a Norwegian RCT and a US retrospective modelling analysis). Both indicated that DBT (either instead of or in addition to FFDM) required significant additional costs on a micro and macro level and in both the </w:t>
      </w:r>
      <w:r w:rsidRPr="00901883">
        <w:t>short</w:t>
      </w:r>
      <w:r>
        <w:t>-</w:t>
      </w:r>
      <w:r>
        <w:rPr>
          <w:lang w:val="en-US"/>
        </w:rPr>
        <w:t xml:space="preserve"> and long-term. They estimated that increased cost would continue to be the case irrespective of more </w:t>
      </w:r>
      <w:r w:rsidR="00285D7E">
        <w:rPr>
          <w:lang w:val="en-US"/>
        </w:rPr>
        <w:t>favorable</w:t>
      </w:r>
      <w:r>
        <w:rPr>
          <w:lang w:val="en-US"/>
        </w:rPr>
        <w:t xml:space="preserve"> scenarios such as reduction in connectivity and data storage costs, reduction in the price of DBT capable equipment, reduction in DBT </w:t>
      </w:r>
      <w:r w:rsidRPr="00901883">
        <w:t>reading</w:t>
      </w:r>
      <w:r>
        <w:rPr>
          <w:lang w:val="en-US"/>
        </w:rPr>
        <w:t xml:space="preserve"> time, increased DBT sensitivity, and reduced charges for of DBT screening procedures. No Australian cost data was reported in the first (and only) paper from the Maroondah pilot.</w:t>
      </w:r>
    </w:p>
    <w:p w14:paraId="71E66065" w14:textId="69E8258D" w:rsidR="00131D91" w:rsidRDefault="00131D91" w:rsidP="00131D91">
      <w:pPr>
        <w:pStyle w:val="BodyText"/>
        <w:rPr>
          <w:lang w:val="en-US"/>
        </w:rPr>
      </w:pPr>
      <w:r>
        <w:rPr>
          <w:lang w:val="en-US"/>
        </w:rPr>
        <w:t xml:space="preserve">While there is interest in exploring the incremental costs of DBT (+/- </w:t>
      </w:r>
      <w:r w:rsidR="00176980">
        <w:rPr>
          <w:lang w:val="en-US"/>
        </w:rPr>
        <w:t>s2DM</w:t>
      </w:r>
      <w:r>
        <w:rPr>
          <w:lang w:val="en-US"/>
        </w:rPr>
        <w:t xml:space="preserve">) compared to FFDM, there continues to be a paucity of studies investigating this issue as it pertains to population-based breast screening programs. Further studies are needed to determine if higher costs associated with the investment in machines, connectivity, data storage, and longer times for screen readings of DBT might be balanced against lower recall rates, less extensive diagnostic workup and treatment due to better or earlier detection. </w:t>
      </w:r>
    </w:p>
    <w:p w14:paraId="2FB6825B" w14:textId="77777777" w:rsidR="000C503A" w:rsidRDefault="000C503A">
      <w:pPr>
        <w:rPr>
          <w:rFonts w:asciiTheme="majorHAnsi" w:hAnsiTheme="majorHAnsi"/>
          <w:b/>
          <w:color w:val="36424A" w:themeColor="text2"/>
          <w:sz w:val="28"/>
        </w:rPr>
      </w:pPr>
      <w:bookmarkStart w:id="69" w:name="_Toc507826951"/>
      <w:bookmarkStart w:id="70" w:name="_Toc507826993"/>
      <w:bookmarkStart w:id="71" w:name="_Toc507871657"/>
      <w:bookmarkStart w:id="72" w:name="_Toc508010591"/>
      <w:bookmarkStart w:id="73" w:name="_Toc513112120"/>
      <w:bookmarkStart w:id="74" w:name="_Hlk507661103"/>
      <w:bookmarkEnd w:id="67"/>
      <w:bookmarkEnd w:id="68"/>
      <w:r>
        <w:br w:type="page"/>
      </w:r>
    </w:p>
    <w:p w14:paraId="72487CA1" w14:textId="18347699" w:rsidR="00F53056" w:rsidRDefault="00F53056" w:rsidP="00F53056">
      <w:pPr>
        <w:pStyle w:val="Heading2"/>
      </w:pPr>
      <w:bookmarkStart w:id="75" w:name="_Toc43376257"/>
      <w:r>
        <w:lastRenderedPageBreak/>
        <w:t>Assessment of evidence table summary</w:t>
      </w:r>
      <w:bookmarkEnd w:id="69"/>
      <w:bookmarkEnd w:id="70"/>
      <w:bookmarkEnd w:id="71"/>
      <w:bookmarkEnd w:id="72"/>
      <w:bookmarkEnd w:id="73"/>
      <w:bookmarkEnd w:id="75"/>
    </w:p>
    <w:p w14:paraId="61E22486" w14:textId="520A3C7B" w:rsidR="00F53056" w:rsidRDefault="00F53056" w:rsidP="00F53056">
      <w:pPr>
        <w:pStyle w:val="Caption"/>
      </w:pPr>
      <w:r>
        <w:t xml:space="preserve">Table </w:t>
      </w:r>
      <w:r>
        <w:fldChar w:fldCharType="begin"/>
      </w:r>
      <w:r>
        <w:instrText xml:space="preserve"> SEQ Table \* ARABIC </w:instrText>
      </w:r>
      <w:r>
        <w:fldChar w:fldCharType="separate"/>
      </w:r>
      <w:r w:rsidR="00AB18B5">
        <w:rPr>
          <w:noProof/>
        </w:rPr>
        <w:t>1</w:t>
      </w:r>
      <w:r>
        <w:fldChar w:fldCharType="end"/>
      </w:r>
      <w:r>
        <w:t xml:space="preserve">: Assessment of evidence for </w:t>
      </w:r>
      <w:r w:rsidR="00A41257">
        <w:t>FFDM+DBT</w:t>
      </w:r>
      <w:r>
        <w:t xml:space="preserve"> from all studies</w:t>
      </w:r>
    </w:p>
    <w:tbl>
      <w:tblPr>
        <w:tblStyle w:val="ACGreen-BasicTable"/>
        <w:tblW w:w="0" w:type="auto"/>
        <w:tblLook w:val="04A0" w:firstRow="1" w:lastRow="0" w:firstColumn="1" w:lastColumn="0" w:noHBand="0" w:noVBand="1"/>
        <w:tblDescription w:val="Table 1 shows assessment of evidence for FFDM+DBT from all studies&#10;Outcomes: Reduction in mortality&#10;Participants Studies: 0&#10;Quality of evidence: Nil&#10;Overall results: No studies reported on a reduction in mortality&#10;&#10;Outcomes: Cancer detection rate&#10;Participants Studies: 1,293,328 participants. Eight studies including two systematic reviews, one RCT and one fully paired study&#10;Quality of evidence: ⊕⊕⊕⊕ Strong&#10;Overall results: Pooled analysis of data from 17 studies plus new results from one RCT and final results from the OTS reported that FFDM+DBT increases cancer detection. The pooled incremental increase was 1.6 cancers per 1000 screening examinations. A higher CDR was reported for studies using double reading and biennial screening (2.4 cancers per 1000 screening examinations). Data from retrospective analysis confirm the direction of effect but some non-significant results were also presented in retrospective analyses, but this could be due to study effects.&#10;&#10;Outcomes: Invasive cancer detection rate&#10;Participants Studies: 151,776 participants. Five studies including one RCT, one fully paired study&#10;Quality of evidence:  ⊕⊕⊕⊕ Strong&#10;Overall results: Based on previous systematic reviews with pooled analysis and noting initial results from the RCT and final results from the OTS trial, use of FFDM+DBT resulted in statistically significant increases in detection of invasive cancers for women aged over 50 years. Inconsistent results were presented for DCIS detection. &#10;&#10;Outcomes: Interval cancer detection&#10;Participants Studies: 67,329 participants. Three studies including two fully paired studies&#10;Quality of evidence: ⊕ Very low&#10;Overall results: No systematic review or pooled analysis was available. Primary studies reported non-significant results reported. No pooled analysis has been completed but meta-analysis is underway.&#10;&#10;Outcomes: PPV1-3&#10;Participants Studies: 267,443 participants. Seven studies including one RCT and two fully paired studies&#10;Quality of evidence: ⊕⊕⊕ Moderate&#10;Overall evidence: No systematic review or pooled analysis was available. Both primary studies observed statistically significant increases when DBT was used. Data from retrospective analysis confirm the direction of effect. No results were presented for PPV2.&#10;&#10;Outcomes: Recall rate&#10;Participants Studies: 1,276,867 participants. Eight studies&#10;Quality of evidence: ⊕⊕ Low&#10;Overall results: Pooled analysis suggests that recall rates decreases with the use of DBT, but the primary studies report inconsistent evidence.&#10;&#10;Outcomes: False positive rate&#10;Participants Studies: 45,408 participants. Two studies&#10;Quality of Evidence: ⊕ Very low&#10;Overall results: No systematic review or pooled analysis was available and primary study results are inconsistent.&#10;&#10;Outcomes: Radiation dose&#10;Participants Studies: 14,379 participants. Three studies including one RCT and two fully paired studies&#10;Quality of evidence: ⊕⊕ Low&#10;Overall results: No systematic review or pooled analysis was available. Both primary studies observed an increase in MGD which was almost double that recorded for FFDM.&#10;&#10;Outcomes: Interpretation time&#10;Participants Studies: 19,560 participants. One RCT&#10;Quality of evidence: ⊕ Very low&#10;Overall results: No systematic review or pooled analysis was available&#10;&#10;&#10;"/>
      </w:tblPr>
      <w:tblGrid>
        <w:gridCol w:w="2138"/>
        <w:gridCol w:w="1968"/>
        <w:gridCol w:w="872"/>
        <w:gridCol w:w="4038"/>
      </w:tblGrid>
      <w:tr w:rsidR="0011516D" w:rsidRPr="00987881" w14:paraId="5F45569D" w14:textId="77777777" w:rsidTr="00636690">
        <w:trPr>
          <w:cnfStyle w:val="100000000000" w:firstRow="1" w:lastRow="0" w:firstColumn="0" w:lastColumn="0" w:oddVBand="0" w:evenVBand="0" w:oddHBand="0" w:evenHBand="0" w:firstRowFirstColumn="0" w:firstRowLastColumn="0" w:lastRowFirstColumn="0" w:lastRowLastColumn="0"/>
        </w:trPr>
        <w:tc>
          <w:tcPr>
            <w:tcW w:w="2138" w:type="dxa"/>
          </w:tcPr>
          <w:p w14:paraId="3BA00238" w14:textId="77777777" w:rsidR="00F53056" w:rsidRPr="00BB08AB" w:rsidRDefault="00F53056" w:rsidP="00236D7C">
            <w:pPr>
              <w:rPr>
                <w:rFonts w:cstheme="majorHAnsi"/>
                <w:sz w:val="18"/>
                <w:szCs w:val="18"/>
              </w:rPr>
            </w:pPr>
            <w:r w:rsidRPr="00BB08AB">
              <w:rPr>
                <w:rFonts w:cstheme="majorHAnsi"/>
                <w:sz w:val="18"/>
                <w:szCs w:val="18"/>
              </w:rPr>
              <w:t xml:space="preserve">Outcomes </w:t>
            </w:r>
          </w:p>
        </w:tc>
        <w:tc>
          <w:tcPr>
            <w:tcW w:w="1968" w:type="dxa"/>
          </w:tcPr>
          <w:p w14:paraId="0481FA82" w14:textId="77777777" w:rsidR="00F53056" w:rsidRPr="00BB08AB" w:rsidRDefault="00F53056" w:rsidP="00236D7C">
            <w:pPr>
              <w:rPr>
                <w:rFonts w:cstheme="majorHAnsi"/>
                <w:b w:val="0"/>
                <w:sz w:val="18"/>
                <w:szCs w:val="18"/>
              </w:rPr>
            </w:pPr>
            <w:r w:rsidRPr="00BB08AB">
              <w:rPr>
                <w:rFonts w:cstheme="majorHAnsi"/>
                <w:sz w:val="18"/>
                <w:szCs w:val="18"/>
              </w:rPr>
              <w:t xml:space="preserve">Participants </w:t>
            </w:r>
          </w:p>
          <w:p w14:paraId="44B2EF63" w14:textId="3486CA58" w:rsidR="00F53056" w:rsidRPr="00BB08AB" w:rsidRDefault="00F53056" w:rsidP="00236D7C">
            <w:pPr>
              <w:rPr>
                <w:rFonts w:cstheme="majorHAnsi"/>
                <w:sz w:val="18"/>
                <w:szCs w:val="18"/>
              </w:rPr>
            </w:pPr>
            <w:r w:rsidRPr="00BB08AB">
              <w:rPr>
                <w:rFonts w:cstheme="majorHAnsi"/>
                <w:sz w:val="18"/>
                <w:szCs w:val="18"/>
              </w:rPr>
              <w:t>Studies</w:t>
            </w:r>
          </w:p>
        </w:tc>
        <w:tc>
          <w:tcPr>
            <w:tcW w:w="872" w:type="dxa"/>
          </w:tcPr>
          <w:p w14:paraId="1F9682CE" w14:textId="77777777" w:rsidR="00F53056" w:rsidRPr="00BB08AB" w:rsidRDefault="00F53056" w:rsidP="00236D7C">
            <w:pPr>
              <w:rPr>
                <w:rFonts w:cstheme="majorHAnsi"/>
                <w:sz w:val="18"/>
                <w:szCs w:val="18"/>
              </w:rPr>
            </w:pPr>
            <w:r w:rsidRPr="00BB08AB">
              <w:rPr>
                <w:rFonts w:cstheme="majorHAnsi"/>
                <w:sz w:val="18"/>
                <w:szCs w:val="18"/>
              </w:rPr>
              <w:t xml:space="preserve">Quality of evidence </w:t>
            </w:r>
          </w:p>
        </w:tc>
        <w:tc>
          <w:tcPr>
            <w:tcW w:w="4038" w:type="dxa"/>
          </w:tcPr>
          <w:p w14:paraId="6C24EA81" w14:textId="77777777" w:rsidR="00F53056" w:rsidRPr="00BB08AB" w:rsidRDefault="00F53056" w:rsidP="00236D7C">
            <w:pPr>
              <w:rPr>
                <w:rFonts w:cstheme="majorHAnsi"/>
                <w:sz w:val="18"/>
                <w:szCs w:val="18"/>
              </w:rPr>
            </w:pPr>
            <w:r w:rsidRPr="00BB08AB">
              <w:rPr>
                <w:rFonts w:cstheme="majorHAnsi"/>
                <w:sz w:val="18"/>
                <w:szCs w:val="18"/>
              </w:rPr>
              <w:t xml:space="preserve">Overall results </w:t>
            </w:r>
          </w:p>
        </w:tc>
      </w:tr>
      <w:tr w:rsidR="0011516D" w:rsidRPr="00987881" w14:paraId="52B96DF5" w14:textId="77777777" w:rsidTr="00636690">
        <w:tc>
          <w:tcPr>
            <w:tcW w:w="2138" w:type="dxa"/>
          </w:tcPr>
          <w:p w14:paraId="0218B9B4" w14:textId="77777777" w:rsidR="0011516D" w:rsidRPr="00BB08AB" w:rsidRDefault="0011516D" w:rsidP="0011516D">
            <w:pPr>
              <w:rPr>
                <w:rFonts w:cstheme="majorHAnsi"/>
                <w:sz w:val="18"/>
                <w:szCs w:val="18"/>
              </w:rPr>
            </w:pPr>
            <w:r>
              <w:rPr>
                <w:rFonts w:cstheme="majorHAnsi"/>
                <w:sz w:val="18"/>
                <w:szCs w:val="18"/>
              </w:rPr>
              <w:t>Reduction in mortality</w:t>
            </w:r>
          </w:p>
        </w:tc>
        <w:tc>
          <w:tcPr>
            <w:tcW w:w="1968" w:type="dxa"/>
          </w:tcPr>
          <w:p w14:paraId="0998DAC0" w14:textId="481BCD41" w:rsidR="0011516D" w:rsidRPr="00BB08AB" w:rsidRDefault="0011516D" w:rsidP="0011516D">
            <w:pPr>
              <w:rPr>
                <w:rFonts w:cstheme="majorHAnsi"/>
                <w:sz w:val="18"/>
                <w:szCs w:val="18"/>
              </w:rPr>
            </w:pPr>
            <w:r>
              <w:rPr>
                <w:rFonts w:cstheme="majorHAnsi"/>
                <w:sz w:val="18"/>
                <w:szCs w:val="18"/>
              </w:rPr>
              <w:t>0</w:t>
            </w:r>
          </w:p>
        </w:tc>
        <w:tc>
          <w:tcPr>
            <w:tcW w:w="872" w:type="dxa"/>
          </w:tcPr>
          <w:p w14:paraId="480CBF9C" w14:textId="6D9E1279" w:rsidR="0011516D" w:rsidRPr="00BB08AB" w:rsidRDefault="0011516D" w:rsidP="0011516D">
            <w:pPr>
              <w:rPr>
                <w:rFonts w:cstheme="majorHAnsi"/>
                <w:sz w:val="18"/>
                <w:szCs w:val="18"/>
              </w:rPr>
            </w:pPr>
            <w:r>
              <w:rPr>
                <w:rFonts w:cstheme="majorHAnsi"/>
                <w:sz w:val="18"/>
                <w:szCs w:val="18"/>
              </w:rPr>
              <w:t>Nil</w:t>
            </w:r>
          </w:p>
        </w:tc>
        <w:tc>
          <w:tcPr>
            <w:tcW w:w="4038" w:type="dxa"/>
          </w:tcPr>
          <w:p w14:paraId="2C1F9590" w14:textId="6437A052" w:rsidR="0011516D" w:rsidRPr="00BB08AB" w:rsidRDefault="0011516D" w:rsidP="0011516D">
            <w:pPr>
              <w:rPr>
                <w:rFonts w:cstheme="majorHAnsi"/>
                <w:sz w:val="18"/>
                <w:szCs w:val="18"/>
              </w:rPr>
            </w:pPr>
            <w:r>
              <w:rPr>
                <w:rFonts w:cstheme="majorHAnsi"/>
                <w:sz w:val="18"/>
                <w:szCs w:val="18"/>
              </w:rPr>
              <w:t>No studies reported on a reduction in mortality.</w:t>
            </w:r>
          </w:p>
        </w:tc>
      </w:tr>
      <w:tr w:rsidR="00636690" w:rsidRPr="00FE662D" w14:paraId="489A758E" w14:textId="77777777" w:rsidTr="00636690">
        <w:tc>
          <w:tcPr>
            <w:tcW w:w="2138" w:type="dxa"/>
          </w:tcPr>
          <w:p w14:paraId="2EBC3622" w14:textId="77777777" w:rsidR="00636690" w:rsidRPr="00BB08AB" w:rsidRDefault="00636690" w:rsidP="00636690">
            <w:pPr>
              <w:rPr>
                <w:rFonts w:cstheme="majorHAnsi"/>
                <w:sz w:val="18"/>
                <w:szCs w:val="18"/>
              </w:rPr>
            </w:pPr>
            <w:r w:rsidRPr="00BB08AB">
              <w:rPr>
                <w:rFonts w:cstheme="majorHAnsi"/>
                <w:sz w:val="18"/>
                <w:szCs w:val="18"/>
              </w:rPr>
              <w:t>Cancer detection rate</w:t>
            </w:r>
          </w:p>
          <w:p w14:paraId="05757FEF" w14:textId="77777777" w:rsidR="00636690" w:rsidRPr="00BB08AB" w:rsidRDefault="00636690" w:rsidP="00636690">
            <w:pPr>
              <w:rPr>
                <w:rFonts w:cstheme="majorHAnsi"/>
                <w:sz w:val="18"/>
                <w:szCs w:val="18"/>
              </w:rPr>
            </w:pPr>
          </w:p>
        </w:tc>
        <w:tc>
          <w:tcPr>
            <w:tcW w:w="1968" w:type="dxa"/>
          </w:tcPr>
          <w:p w14:paraId="3B1AE97D" w14:textId="2D0318D4" w:rsidR="00636690" w:rsidRDefault="00636690" w:rsidP="00636690">
            <w:pPr>
              <w:rPr>
                <w:rFonts w:cstheme="majorHAnsi"/>
                <w:sz w:val="18"/>
                <w:szCs w:val="18"/>
              </w:rPr>
            </w:pPr>
            <w:r>
              <w:rPr>
                <w:rFonts w:cstheme="majorHAnsi"/>
                <w:sz w:val="18"/>
                <w:szCs w:val="18"/>
              </w:rPr>
              <w:t>1,</w:t>
            </w:r>
            <w:r w:rsidR="00134AA4">
              <w:rPr>
                <w:rFonts w:cstheme="majorHAnsi"/>
                <w:sz w:val="18"/>
                <w:szCs w:val="18"/>
              </w:rPr>
              <w:t>293,328</w:t>
            </w:r>
            <w:r>
              <w:rPr>
                <w:rFonts w:cstheme="majorHAnsi"/>
                <w:sz w:val="18"/>
                <w:szCs w:val="18"/>
              </w:rPr>
              <w:t xml:space="preserve"> </w:t>
            </w:r>
            <w:r w:rsidR="00CA55FC">
              <w:rPr>
                <w:rFonts w:cstheme="majorHAnsi"/>
                <w:sz w:val="18"/>
                <w:szCs w:val="18"/>
              </w:rPr>
              <w:t>participants</w:t>
            </w:r>
          </w:p>
          <w:p w14:paraId="7A762E12" w14:textId="4ACE1DE3" w:rsidR="00636690" w:rsidRPr="00BB08AB" w:rsidRDefault="00134AA4" w:rsidP="00636690">
            <w:pPr>
              <w:rPr>
                <w:rFonts w:cstheme="majorHAnsi"/>
                <w:sz w:val="18"/>
                <w:szCs w:val="18"/>
              </w:rPr>
            </w:pPr>
            <w:r>
              <w:rPr>
                <w:rFonts w:cstheme="majorHAnsi"/>
                <w:sz w:val="18"/>
                <w:szCs w:val="18"/>
              </w:rPr>
              <w:t>Eight</w:t>
            </w:r>
            <w:r w:rsidR="00D40FE4">
              <w:rPr>
                <w:rFonts w:cstheme="majorHAnsi"/>
                <w:sz w:val="18"/>
                <w:szCs w:val="18"/>
              </w:rPr>
              <w:t xml:space="preserve"> </w:t>
            </w:r>
            <w:r w:rsidR="00636690">
              <w:rPr>
                <w:rFonts w:cstheme="majorHAnsi"/>
                <w:sz w:val="18"/>
                <w:szCs w:val="18"/>
              </w:rPr>
              <w:t xml:space="preserve">studies </w:t>
            </w:r>
            <w:r w:rsidR="00D40FE4">
              <w:rPr>
                <w:rFonts w:cstheme="majorHAnsi"/>
                <w:sz w:val="18"/>
                <w:szCs w:val="18"/>
              </w:rPr>
              <w:t xml:space="preserve">including </w:t>
            </w:r>
            <w:r w:rsidR="00636690">
              <w:rPr>
                <w:rFonts w:cstheme="majorHAnsi"/>
                <w:sz w:val="18"/>
                <w:szCs w:val="18"/>
              </w:rPr>
              <w:t>two systematic reviews, one RCT</w:t>
            </w:r>
            <w:r w:rsidR="00D40FE4">
              <w:rPr>
                <w:rFonts w:cstheme="majorHAnsi"/>
                <w:sz w:val="18"/>
                <w:szCs w:val="18"/>
              </w:rPr>
              <w:t xml:space="preserve"> and </w:t>
            </w:r>
            <w:r w:rsidR="00636690">
              <w:rPr>
                <w:rFonts w:cstheme="majorHAnsi"/>
                <w:sz w:val="18"/>
                <w:szCs w:val="18"/>
              </w:rPr>
              <w:t>one fully paired study</w:t>
            </w:r>
          </w:p>
        </w:tc>
        <w:tc>
          <w:tcPr>
            <w:tcW w:w="872" w:type="dxa"/>
          </w:tcPr>
          <w:p w14:paraId="7EB9E467" w14:textId="57A2F519" w:rsidR="00636690" w:rsidRDefault="00636690" w:rsidP="00636690">
            <w:pPr>
              <w:rPr>
                <w:rFonts w:cstheme="majorHAnsi"/>
                <w:sz w:val="18"/>
                <w:szCs w:val="18"/>
              </w:rPr>
            </w:pPr>
            <w:r w:rsidRPr="00BB08AB">
              <w:rPr>
                <w:rFonts w:ascii="Cambria Math" w:hAnsi="Cambria Math" w:cs="Cambria Math"/>
                <w:sz w:val="18"/>
                <w:szCs w:val="18"/>
              </w:rPr>
              <w:t>⊕⊕⊕⊕</w:t>
            </w:r>
          </w:p>
          <w:p w14:paraId="7A9C2EB4" w14:textId="45A96D86" w:rsidR="00636690" w:rsidRPr="00BB08AB" w:rsidRDefault="00636690" w:rsidP="00636690">
            <w:pPr>
              <w:rPr>
                <w:rFonts w:cstheme="majorHAnsi"/>
                <w:sz w:val="18"/>
                <w:szCs w:val="18"/>
              </w:rPr>
            </w:pPr>
            <w:r>
              <w:rPr>
                <w:rFonts w:cstheme="majorHAnsi"/>
                <w:sz w:val="18"/>
                <w:szCs w:val="18"/>
              </w:rPr>
              <w:t>Strong</w:t>
            </w:r>
          </w:p>
        </w:tc>
        <w:tc>
          <w:tcPr>
            <w:tcW w:w="4038" w:type="dxa"/>
          </w:tcPr>
          <w:p w14:paraId="54B8978A" w14:textId="08E82E2F" w:rsidR="00636690" w:rsidRPr="00BB08AB" w:rsidRDefault="00636690" w:rsidP="00636690">
            <w:pPr>
              <w:jc w:val="both"/>
              <w:rPr>
                <w:rFonts w:cstheme="majorHAnsi"/>
                <w:sz w:val="18"/>
                <w:szCs w:val="18"/>
              </w:rPr>
            </w:pPr>
            <w:r>
              <w:rPr>
                <w:rFonts w:cstheme="majorHAnsi"/>
                <w:sz w:val="18"/>
                <w:szCs w:val="18"/>
              </w:rPr>
              <w:t>Pooled analysis of data from 17 studies plus new results from one RCT and final results from the OTS reported that FFDM+DBT increases cancer detection. The pooled incremental increase was 1.6 cancers per 1000 screening examinations. A higher CDR was reported for studies using double reading and biennial screening (2.4 cancers per 1000 screening examinations). Data from retrospective analysis confirm the direction of effect</w:t>
            </w:r>
            <w:r w:rsidR="00134AA4">
              <w:rPr>
                <w:rFonts w:cstheme="majorHAnsi"/>
                <w:sz w:val="18"/>
                <w:szCs w:val="18"/>
              </w:rPr>
              <w:t xml:space="preserve"> but some non-significant results were also presented in retrospective </w:t>
            </w:r>
            <w:r w:rsidR="00134AA4" w:rsidRPr="0024768A">
              <w:rPr>
                <w:rFonts w:cstheme="majorHAnsi"/>
                <w:sz w:val="18"/>
                <w:szCs w:val="18"/>
              </w:rPr>
              <w:t>analyses</w:t>
            </w:r>
            <w:r w:rsidR="0024768A">
              <w:rPr>
                <w:rFonts w:cstheme="majorHAnsi"/>
                <w:sz w:val="18"/>
                <w:szCs w:val="18"/>
              </w:rPr>
              <w:t>,</w:t>
            </w:r>
            <w:r w:rsidR="00134AA4" w:rsidRPr="0024768A">
              <w:rPr>
                <w:rFonts w:cstheme="majorHAnsi"/>
                <w:sz w:val="18"/>
                <w:szCs w:val="18"/>
              </w:rPr>
              <w:t xml:space="preserve"> but this could be due </w:t>
            </w:r>
            <w:r w:rsidR="0024768A">
              <w:rPr>
                <w:rFonts w:cstheme="majorHAnsi"/>
                <w:sz w:val="18"/>
                <w:szCs w:val="18"/>
              </w:rPr>
              <w:t>to study effects</w:t>
            </w:r>
            <w:r w:rsidRPr="0024768A">
              <w:rPr>
                <w:rFonts w:cstheme="majorHAnsi"/>
                <w:sz w:val="18"/>
                <w:szCs w:val="18"/>
              </w:rPr>
              <w:t>.</w:t>
            </w:r>
          </w:p>
        </w:tc>
      </w:tr>
      <w:tr w:rsidR="00636690" w:rsidRPr="00FE662D" w14:paraId="07D4A7C4" w14:textId="77777777" w:rsidTr="00636690">
        <w:tc>
          <w:tcPr>
            <w:tcW w:w="2138" w:type="dxa"/>
          </w:tcPr>
          <w:p w14:paraId="689C9C0E" w14:textId="77777777" w:rsidR="00636690" w:rsidRPr="00BB08AB" w:rsidRDefault="00636690" w:rsidP="00636690">
            <w:pPr>
              <w:rPr>
                <w:rFonts w:cstheme="majorHAnsi"/>
                <w:sz w:val="18"/>
                <w:szCs w:val="18"/>
              </w:rPr>
            </w:pPr>
            <w:r w:rsidRPr="00BB08AB">
              <w:rPr>
                <w:rFonts w:cstheme="majorHAnsi"/>
                <w:sz w:val="18"/>
                <w:szCs w:val="18"/>
              </w:rPr>
              <w:t>Invasive cancer detection rate</w:t>
            </w:r>
          </w:p>
        </w:tc>
        <w:tc>
          <w:tcPr>
            <w:tcW w:w="1968" w:type="dxa"/>
          </w:tcPr>
          <w:p w14:paraId="0AB68BCB" w14:textId="51458559" w:rsidR="00636690" w:rsidRDefault="00D41F92" w:rsidP="00636690">
            <w:pPr>
              <w:rPr>
                <w:rFonts w:cstheme="majorHAnsi"/>
                <w:sz w:val="18"/>
                <w:szCs w:val="18"/>
              </w:rPr>
            </w:pPr>
            <w:r>
              <w:rPr>
                <w:rFonts w:cstheme="majorHAnsi"/>
                <w:sz w:val="18"/>
                <w:szCs w:val="18"/>
              </w:rPr>
              <w:t>151,776</w:t>
            </w:r>
            <w:r w:rsidR="00D40FE4">
              <w:rPr>
                <w:rFonts w:cstheme="majorHAnsi"/>
                <w:sz w:val="18"/>
                <w:szCs w:val="18"/>
              </w:rPr>
              <w:t xml:space="preserve"> </w:t>
            </w:r>
            <w:r w:rsidR="00CA55FC">
              <w:rPr>
                <w:rFonts w:cstheme="majorHAnsi"/>
                <w:sz w:val="18"/>
                <w:szCs w:val="18"/>
              </w:rPr>
              <w:t>participants</w:t>
            </w:r>
          </w:p>
          <w:p w14:paraId="4FAC64C0" w14:textId="79BE6F19" w:rsidR="006A2FFF" w:rsidRPr="00BB08AB" w:rsidRDefault="00D41F92" w:rsidP="00636690">
            <w:pPr>
              <w:rPr>
                <w:rFonts w:cstheme="majorHAnsi"/>
                <w:sz w:val="18"/>
                <w:szCs w:val="18"/>
              </w:rPr>
            </w:pPr>
            <w:r>
              <w:rPr>
                <w:rFonts w:cstheme="majorHAnsi"/>
                <w:sz w:val="18"/>
                <w:szCs w:val="18"/>
              </w:rPr>
              <w:t>Five</w:t>
            </w:r>
            <w:r w:rsidR="006A2FFF">
              <w:rPr>
                <w:rFonts w:cstheme="majorHAnsi"/>
                <w:sz w:val="18"/>
                <w:szCs w:val="18"/>
              </w:rPr>
              <w:t xml:space="preserve"> studies </w:t>
            </w:r>
            <w:r w:rsidR="00D40FE4">
              <w:rPr>
                <w:rFonts w:cstheme="majorHAnsi"/>
                <w:sz w:val="18"/>
                <w:szCs w:val="18"/>
              </w:rPr>
              <w:t xml:space="preserve"> including </w:t>
            </w:r>
            <w:r w:rsidR="006A2FFF">
              <w:rPr>
                <w:rFonts w:cstheme="majorHAnsi"/>
                <w:sz w:val="18"/>
                <w:szCs w:val="18"/>
              </w:rPr>
              <w:t>one RCT, one fully paired study</w:t>
            </w:r>
            <w:r w:rsidR="00D40FE4">
              <w:rPr>
                <w:rFonts w:cstheme="majorHAnsi"/>
                <w:sz w:val="18"/>
                <w:szCs w:val="18"/>
              </w:rPr>
              <w:t xml:space="preserve"> </w:t>
            </w:r>
          </w:p>
        </w:tc>
        <w:tc>
          <w:tcPr>
            <w:tcW w:w="872" w:type="dxa"/>
          </w:tcPr>
          <w:p w14:paraId="251F409E" w14:textId="77777777" w:rsidR="00D40FE4" w:rsidRDefault="00D40FE4" w:rsidP="00D40FE4">
            <w:pPr>
              <w:rPr>
                <w:rFonts w:cstheme="majorHAnsi"/>
                <w:sz w:val="18"/>
                <w:szCs w:val="18"/>
              </w:rPr>
            </w:pPr>
            <w:r w:rsidRPr="00BB08AB">
              <w:rPr>
                <w:rFonts w:ascii="Cambria Math" w:hAnsi="Cambria Math" w:cs="Cambria Math"/>
                <w:sz w:val="18"/>
                <w:szCs w:val="18"/>
              </w:rPr>
              <w:t>⊕⊕⊕⊕</w:t>
            </w:r>
          </w:p>
          <w:p w14:paraId="16474253" w14:textId="3AFEA55F" w:rsidR="00636690" w:rsidRPr="00BB08AB" w:rsidRDefault="00D40FE4" w:rsidP="00D40FE4">
            <w:pPr>
              <w:rPr>
                <w:rFonts w:cstheme="majorHAnsi"/>
                <w:sz w:val="18"/>
                <w:szCs w:val="18"/>
              </w:rPr>
            </w:pPr>
            <w:r>
              <w:rPr>
                <w:rFonts w:cstheme="majorHAnsi"/>
                <w:sz w:val="18"/>
                <w:szCs w:val="18"/>
              </w:rPr>
              <w:t>Strong</w:t>
            </w:r>
          </w:p>
        </w:tc>
        <w:tc>
          <w:tcPr>
            <w:tcW w:w="4038" w:type="dxa"/>
          </w:tcPr>
          <w:p w14:paraId="46C828DE" w14:textId="0BDDB08A" w:rsidR="00636690" w:rsidRPr="00BB08AB" w:rsidRDefault="00D40FE4" w:rsidP="00636690">
            <w:pPr>
              <w:jc w:val="both"/>
              <w:rPr>
                <w:rFonts w:cstheme="majorHAnsi"/>
                <w:sz w:val="18"/>
                <w:szCs w:val="18"/>
              </w:rPr>
            </w:pPr>
            <w:r>
              <w:rPr>
                <w:rFonts w:cstheme="majorHAnsi"/>
                <w:sz w:val="18"/>
                <w:szCs w:val="18"/>
              </w:rPr>
              <w:t xml:space="preserve">Based on previous systematic reviews with pooled analysis and noting </w:t>
            </w:r>
            <w:r w:rsidR="006A2FFF">
              <w:rPr>
                <w:rFonts w:cstheme="majorHAnsi"/>
                <w:sz w:val="18"/>
                <w:szCs w:val="18"/>
              </w:rPr>
              <w:t xml:space="preserve">initial results from </w:t>
            </w:r>
            <w:r w:rsidR="006A2FFF" w:rsidRPr="0024768A">
              <w:rPr>
                <w:rFonts w:cstheme="majorHAnsi"/>
                <w:sz w:val="18"/>
                <w:szCs w:val="18"/>
              </w:rPr>
              <w:t>the RCT</w:t>
            </w:r>
            <w:r w:rsidR="006A2FFF">
              <w:rPr>
                <w:rFonts w:cstheme="majorHAnsi"/>
                <w:sz w:val="18"/>
                <w:szCs w:val="18"/>
              </w:rPr>
              <w:t xml:space="preserve"> and final results from the OTS trial</w:t>
            </w:r>
            <w:r>
              <w:rPr>
                <w:rFonts w:cstheme="majorHAnsi"/>
                <w:sz w:val="18"/>
                <w:szCs w:val="18"/>
              </w:rPr>
              <w:t xml:space="preserve">, use of FFDM+DBT resulted in </w:t>
            </w:r>
            <w:r w:rsidR="006A2FFF">
              <w:rPr>
                <w:rFonts w:cstheme="majorHAnsi"/>
                <w:sz w:val="18"/>
                <w:szCs w:val="18"/>
              </w:rPr>
              <w:t>statistically significant increases in detection of invasive cancers for women aged over 50 years.</w:t>
            </w:r>
            <w:r w:rsidR="00277866">
              <w:rPr>
                <w:rFonts w:cstheme="majorHAnsi"/>
                <w:sz w:val="18"/>
                <w:szCs w:val="18"/>
              </w:rPr>
              <w:t xml:space="preserve"> Inconsistent results were presented for DCIS detection. </w:t>
            </w:r>
          </w:p>
        </w:tc>
      </w:tr>
      <w:tr w:rsidR="00636690" w:rsidRPr="00FE662D" w14:paraId="4EDF9E72" w14:textId="77777777" w:rsidTr="00636690">
        <w:tc>
          <w:tcPr>
            <w:tcW w:w="2138" w:type="dxa"/>
          </w:tcPr>
          <w:p w14:paraId="0434B8E3" w14:textId="77777777" w:rsidR="00636690" w:rsidRPr="00BB08AB" w:rsidRDefault="00636690" w:rsidP="00636690">
            <w:pPr>
              <w:rPr>
                <w:rFonts w:cstheme="majorHAnsi"/>
                <w:sz w:val="18"/>
                <w:szCs w:val="18"/>
              </w:rPr>
            </w:pPr>
            <w:r w:rsidRPr="00BB08AB">
              <w:rPr>
                <w:rFonts w:cstheme="majorHAnsi"/>
                <w:sz w:val="18"/>
                <w:szCs w:val="18"/>
              </w:rPr>
              <w:t>Interval cancer detection</w:t>
            </w:r>
          </w:p>
        </w:tc>
        <w:tc>
          <w:tcPr>
            <w:tcW w:w="1968" w:type="dxa"/>
          </w:tcPr>
          <w:p w14:paraId="7E3455F9" w14:textId="1BC5ADB2" w:rsidR="00636690" w:rsidRDefault="00D40FE4" w:rsidP="00636690">
            <w:pPr>
              <w:rPr>
                <w:rFonts w:cstheme="majorHAnsi"/>
                <w:sz w:val="18"/>
                <w:szCs w:val="18"/>
              </w:rPr>
            </w:pPr>
            <w:r>
              <w:rPr>
                <w:rFonts w:cstheme="majorHAnsi"/>
                <w:sz w:val="18"/>
                <w:szCs w:val="18"/>
              </w:rPr>
              <w:t>67,329</w:t>
            </w:r>
            <w:r w:rsidR="00636690">
              <w:rPr>
                <w:rFonts w:cstheme="majorHAnsi"/>
                <w:sz w:val="18"/>
                <w:szCs w:val="18"/>
              </w:rPr>
              <w:t xml:space="preserve"> participants</w:t>
            </w:r>
          </w:p>
          <w:p w14:paraId="6C7E777C" w14:textId="737639EB" w:rsidR="00636690" w:rsidRPr="00BB08AB" w:rsidRDefault="00D40FE4" w:rsidP="00636690">
            <w:pPr>
              <w:rPr>
                <w:rFonts w:cstheme="majorHAnsi"/>
                <w:sz w:val="18"/>
                <w:szCs w:val="18"/>
              </w:rPr>
            </w:pPr>
            <w:r>
              <w:rPr>
                <w:rFonts w:cstheme="majorHAnsi"/>
                <w:sz w:val="18"/>
                <w:szCs w:val="18"/>
              </w:rPr>
              <w:t xml:space="preserve">Three studies including two </w:t>
            </w:r>
            <w:r w:rsidR="00277866">
              <w:rPr>
                <w:rFonts w:cstheme="majorHAnsi"/>
                <w:sz w:val="18"/>
                <w:szCs w:val="18"/>
              </w:rPr>
              <w:t>fully paired</w:t>
            </w:r>
            <w:r w:rsidR="00636690">
              <w:rPr>
                <w:rFonts w:cstheme="majorHAnsi"/>
                <w:sz w:val="18"/>
                <w:szCs w:val="18"/>
              </w:rPr>
              <w:t xml:space="preserve"> studies</w:t>
            </w:r>
          </w:p>
        </w:tc>
        <w:tc>
          <w:tcPr>
            <w:tcW w:w="872" w:type="dxa"/>
          </w:tcPr>
          <w:p w14:paraId="5308A1F4" w14:textId="4577F5F0" w:rsidR="00636690" w:rsidRDefault="00636690" w:rsidP="00636690">
            <w:pPr>
              <w:rPr>
                <w:rFonts w:cstheme="majorHAnsi"/>
                <w:sz w:val="18"/>
                <w:szCs w:val="18"/>
              </w:rPr>
            </w:pPr>
            <w:r w:rsidRPr="00BB08AB">
              <w:rPr>
                <w:rFonts w:ascii="Cambria Math" w:hAnsi="Cambria Math" w:cs="Cambria Math"/>
                <w:sz w:val="18"/>
                <w:szCs w:val="18"/>
              </w:rPr>
              <w:t>⊕</w:t>
            </w:r>
          </w:p>
          <w:p w14:paraId="7C413414" w14:textId="22DEA910" w:rsidR="00636690" w:rsidRPr="00BB08AB" w:rsidRDefault="00636690" w:rsidP="00636690">
            <w:pPr>
              <w:rPr>
                <w:rFonts w:cstheme="majorHAnsi"/>
                <w:sz w:val="18"/>
                <w:szCs w:val="18"/>
              </w:rPr>
            </w:pPr>
            <w:r>
              <w:rPr>
                <w:rFonts w:cstheme="majorHAnsi"/>
                <w:sz w:val="18"/>
                <w:szCs w:val="18"/>
              </w:rPr>
              <w:t>Very low</w:t>
            </w:r>
          </w:p>
        </w:tc>
        <w:tc>
          <w:tcPr>
            <w:tcW w:w="4038" w:type="dxa"/>
          </w:tcPr>
          <w:p w14:paraId="6C77E6D6" w14:textId="13B221A2" w:rsidR="00636690" w:rsidRPr="00BB08AB" w:rsidRDefault="00D40FE4" w:rsidP="00636690">
            <w:pPr>
              <w:jc w:val="both"/>
              <w:rPr>
                <w:rFonts w:cstheme="majorHAnsi"/>
                <w:sz w:val="18"/>
                <w:szCs w:val="18"/>
              </w:rPr>
            </w:pPr>
            <w:r>
              <w:rPr>
                <w:rFonts w:cstheme="majorHAnsi"/>
                <w:sz w:val="18"/>
                <w:szCs w:val="18"/>
              </w:rPr>
              <w:t>No systematic review or pooled analysis was available. Primary studies reported n</w:t>
            </w:r>
            <w:r w:rsidR="00636690">
              <w:rPr>
                <w:rFonts w:cstheme="majorHAnsi"/>
                <w:sz w:val="18"/>
                <w:szCs w:val="18"/>
              </w:rPr>
              <w:t xml:space="preserve">on-significant results reported. No pooled analysis </w:t>
            </w:r>
            <w:r w:rsidR="006A2FFF">
              <w:rPr>
                <w:rFonts w:cstheme="majorHAnsi"/>
                <w:sz w:val="18"/>
                <w:szCs w:val="18"/>
              </w:rPr>
              <w:t xml:space="preserve">has been completed </w:t>
            </w:r>
            <w:r w:rsidR="00636690">
              <w:rPr>
                <w:rFonts w:cstheme="majorHAnsi"/>
                <w:sz w:val="18"/>
                <w:szCs w:val="18"/>
              </w:rPr>
              <w:t xml:space="preserve">but meta-analysis </w:t>
            </w:r>
            <w:r w:rsidR="00266748">
              <w:rPr>
                <w:rFonts w:cstheme="majorHAnsi"/>
                <w:sz w:val="18"/>
                <w:szCs w:val="18"/>
              </w:rPr>
              <w:t xml:space="preserve">is </w:t>
            </w:r>
            <w:r w:rsidR="00636690">
              <w:rPr>
                <w:rFonts w:cstheme="majorHAnsi"/>
                <w:sz w:val="18"/>
                <w:szCs w:val="18"/>
              </w:rPr>
              <w:t>underway.</w:t>
            </w:r>
          </w:p>
        </w:tc>
      </w:tr>
      <w:tr w:rsidR="00277866" w:rsidRPr="00FE662D" w14:paraId="174DBA9F" w14:textId="77777777" w:rsidTr="00636690">
        <w:tc>
          <w:tcPr>
            <w:tcW w:w="2138" w:type="dxa"/>
          </w:tcPr>
          <w:p w14:paraId="73CE5B3F" w14:textId="77777777" w:rsidR="00277866" w:rsidRPr="00BB08AB" w:rsidRDefault="00277866" w:rsidP="00277866">
            <w:pPr>
              <w:rPr>
                <w:rFonts w:cstheme="majorHAnsi"/>
                <w:sz w:val="18"/>
                <w:szCs w:val="18"/>
              </w:rPr>
            </w:pPr>
            <w:r w:rsidRPr="00BB08AB">
              <w:rPr>
                <w:rFonts w:cstheme="majorHAnsi"/>
                <w:sz w:val="18"/>
                <w:szCs w:val="18"/>
              </w:rPr>
              <w:t>PPV</w:t>
            </w:r>
            <w:r w:rsidRPr="00BB08AB">
              <w:rPr>
                <w:rFonts w:cstheme="majorHAnsi"/>
                <w:sz w:val="18"/>
                <w:szCs w:val="18"/>
                <w:vertAlign w:val="subscript"/>
              </w:rPr>
              <w:t>1-3</w:t>
            </w:r>
          </w:p>
        </w:tc>
        <w:tc>
          <w:tcPr>
            <w:tcW w:w="1968" w:type="dxa"/>
          </w:tcPr>
          <w:p w14:paraId="6BB0A2A7" w14:textId="542D6B7B" w:rsidR="00277866" w:rsidRDefault="00D40FE4" w:rsidP="00277866">
            <w:pPr>
              <w:rPr>
                <w:rFonts w:cstheme="majorHAnsi"/>
                <w:sz w:val="18"/>
                <w:szCs w:val="18"/>
              </w:rPr>
            </w:pPr>
            <w:r>
              <w:rPr>
                <w:rFonts w:cstheme="majorHAnsi"/>
                <w:sz w:val="18"/>
                <w:szCs w:val="18"/>
              </w:rPr>
              <w:t>267,443</w:t>
            </w:r>
            <w:r w:rsidR="00277866">
              <w:rPr>
                <w:rFonts w:cstheme="majorHAnsi"/>
                <w:sz w:val="18"/>
                <w:szCs w:val="18"/>
              </w:rPr>
              <w:t xml:space="preserve"> </w:t>
            </w:r>
            <w:r w:rsidR="00CA55FC">
              <w:rPr>
                <w:rFonts w:cstheme="majorHAnsi"/>
                <w:sz w:val="18"/>
                <w:szCs w:val="18"/>
              </w:rPr>
              <w:t>participants</w:t>
            </w:r>
          </w:p>
          <w:p w14:paraId="6E46914F" w14:textId="41AB5CE8" w:rsidR="00277866" w:rsidRPr="00BB08AB" w:rsidRDefault="00D40FE4" w:rsidP="00277866">
            <w:pPr>
              <w:rPr>
                <w:rFonts w:cstheme="majorHAnsi"/>
                <w:sz w:val="18"/>
                <w:szCs w:val="18"/>
              </w:rPr>
            </w:pPr>
            <w:r>
              <w:rPr>
                <w:rFonts w:cstheme="majorHAnsi"/>
                <w:sz w:val="18"/>
                <w:szCs w:val="18"/>
              </w:rPr>
              <w:t>Seven</w:t>
            </w:r>
            <w:r w:rsidR="00277866">
              <w:rPr>
                <w:rFonts w:cstheme="majorHAnsi"/>
                <w:sz w:val="18"/>
                <w:szCs w:val="18"/>
              </w:rPr>
              <w:t xml:space="preserve"> studies </w:t>
            </w:r>
            <w:r>
              <w:rPr>
                <w:rFonts w:cstheme="majorHAnsi"/>
                <w:sz w:val="18"/>
                <w:szCs w:val="18"/>
              </w:rPr>
              <w:t xml:space="preserve">including </w:t>
            </w:r>
            <w:r w:rsidR="00277866">
              <w:rPr>
                <w:rFonts w:cstheme="majorHAnsi"/>
                <w:sz w:val="18"/>
                <w:szCs w:val="18"/>
              </w:rPr>
              <w:t>one RCT</w:t>
            </w:r>
            <w:r>
              <w:rPr>
                <w:rFonts w:cstheme="majorHAnsi"/>
                <w:sz w:val="18"/>
                <w:szCs w:val="18"/>
              </w:rPr>
              <w:t xml:space="preserve"> and two </w:t>
            </w:r>
            <w:r w:rsidR="00277866">
              <w:rPr>
                <w:rFonts w:cstheme="majorHAnsi"/>
                <w:sz w:val="18"/>
                <w:szCs w:val="18"/>
              </w:rPr>
              <w:t>fully paired stud</w:t>
            </w:r>
            <w:r>
              <w:rPr>
                <w:rFonts w:cstheme="majorHAnsi"/>
                <w:sz w:val="18"/>
                <w:szCs w:val="18"/>
              </w:rPr>
              <w:t>ies</w:t>
            </w:r>
          </w:p>
        </w:tc>
        <w:tc>
          <w:tcPr>
            <w:tcW w:w="872" w:type="dxa"/>
          </w:tcPr>
          <w:p w14:paraId="70A45753" w14:textId="40BAC777" w:rsidR="00277866" w:rsidRDefault="00277866" w:rsidP="00277866">
            <w:pPr>
              <w:rPr>
                <w:rFonts w:cstheme="majorHAnsi"/>
                <w:sz w:val="18"/>
                <w:szCs w:val="18"/>
              </w:rPr>
            </w:pPr>
            <w:r w:rsidRPr="00BB08AB">
              <w:rPr>
                <w:rFonts w:ascii="Cambria Math" w:hAnsi="Cambria Math" w:cs="Cambria Math"/>
                <w:sz w:val="18"/>
                <w:szCs w:val="18"/>
              </w:rPr>
              <w:t>⊕</w:t>
            </w:r>
            <w:r w:rsidR="00D40FE4" w:rsidRPr="00BB08AB">
              <w:rPr>
                <w:rFonts w:ascii="Cambria Math" w:hAnsi="Cambria Math" w:cs="Cambria Math"/>
                <w:sz w:val="18"/>
                <w:szCs w:val="18"/>
              </w:rPr>
              <w:t>⊕</w:t>
            </w:r>
            <w:r w:rsidRPr="00BB08AB">
              <w:rPr>
                <w:rFonts w:ascii="Cambria Math" w:hAnsi="Cambria Math" w:cs="Cambria Math"/>
                <w:sz w:val="18"/>
                <w:szCs w:val="18"/>
              </w:rPr>
              <w:t>⊕</w:t>
            </w:r>
          </w:p>
          <w:p w14:paraId="7F853136" w14:textId="0DFD7E6D" w:rsidR="00277866" w:rsidRPr="00BB08AB" w:rsidRDefault="00D40FE4" w:rsidP="00277866">
            <w:pPr>
              <w:rPr>
                <w:rFonts w:cstheme="majorHAnsi"/>
                <w:sz w:val="18"/>
                <w:szCs w:val="18"/>
              </w:rPr>
            </w:pPr>
            <w:r>
              <w:rPr>
                <w:rFonts w:cstheme="majorHAnsi"/>
                <w:sz w:val="18"/>
                <w:szCs w:val="18"/>
              </w:rPr>
              <w:t>Moderate</w:t>
            </w:r>
          </w:p>
        </w:tc>
        <w:tc>
          <w:tcPr>
            <w:tcW w:w="4038" w:type="dxa"/>
          </w:tcPr>
          <w:p w14:paraId="33BDE6D8" w14:textId="0D174DA1" w:rsidR="00277866" w:rsidRPr="00277866" w:rsidRDefault="00D40FE4" w:rsidP="00277866">
            <w:pPr>
              <w:jc w:val="both"/>
              <w:rPr>
                <w:rFonts w:cstheme="majorHAnsi"/>
                <w:sz w:val="18"/>
                <w:szCs w:val="18"/>
                <w:vertAlign w:val="subscript"/>
              </w:rPr>
            </w:pPr>
            <w:r>
              <w:rPr>
                <w:rFonts w:cstheme="majorHAnsi"/>
                <w:sz w:val="18"/>
                <w:szCs w:val="18"/>
              </w:rPr>
              <w:t>No systematic review or pooled analysis was available. Both</w:t>
            </w:r>
            <w:r w:rsidR="00277866">
              <w:rPr>
                <w:rFonts w:cstheme="majorHAnsi"/>
                <w:sz w:val="18"/>
                <w:szCs w:val="18"/>
              </w:rPr>
              <w:t xml:space="preserve"> </w:t>
            </w:r>
            <w:r>
              <w:rPr>
                <w:rFonts w:cstheme="majorHAnsi"/>
                <w:sz w:val="18"/>
                <w:szCs w:val="18"/>
              </w:rPr>
              <w:t xml:space="preserve">primary </w:t>
            </w:r>
            <w:r w:rsidR="00277866">
              <w:rPr>
                <w:rFonts w:cstheme="majorHAnsi"/>
                <w:sz w:val="18"/>
                <w:szCs w:val="18"/>
              </w:rPr>
              <w:t xml:space="preserve">studies </w:t>
            </w:r>
            <w:r w:rsidR="00277866" w:rsidRPr="00277866">
              <w:rPr>
                <w:rFonts w:cstheme="majorHAnsi"/>
                <w:sz w:val="18"/>
                <w:szCs w:val="18"/>
              </w:rPr>
              <w:t>o</w:t>
            </w:r>
            <w:r w:rsidR="00277866">
              <w:rPr>
                <w:rFonts w:cstheme="majorHAnsi"/>
                <w:sz w:val="18"/>
                <w:szCs w:val="18"/>
              </w:rPr>
              <w:t xml:space="preserve">bserved </w:t>
            </w:r>
            <w:r>
              <w:rPr>
                <w:rFonts w:cstheme="majorHAnsi"/>
                <w:sz w:val="18"/>
                <w:szCs w:val="18"/>
              </w:rPr>
              <w:t>statistically significant</w:t>
            </w:r>
            <w:r w:rsidR="00277866">
              <w:rPr>
                <w:rFonts w:cstheme="majorHAnsi"/>
                <w:sz w:val="18"/>
                <w:szCs w:val="18"/>
              </w:rPr>
              <w:t xml:space="preserve"> increase</w:t>
            </w:r>
            <w:r>
              <w:rPr>
                <w:rFonts w:cstheme="majorHAnsi"/>
                <w:sz w:val="18"/>
                <w:szCs w:val="18"/>
              </w:rPr>
              <w:t>s</w:t>
            </w:r>
            <w:r w:rsidR="00277866">
              <w:rPr>
                <w:rFonts w:cstheme="majorHAnsi"/>
                <w:sz w:val="18"/>
                <w:szCs w:val="18"/>
              </w:rPr>
              <w:t xml:space="preserve"> when DBT was used. Data from retrospective analysis confirm the direction of effect.</w:t>
            </w:r>
            <w:r w:rsidR="00DC18A2">
              <w:rPr>
                <w:rFonts w:cstheme="majorHAnsi"/>
                <w:sz w:val="18"/>
                <w:szCs w:val="18"/>
              </w:rPr>
              <w:t xml:space="preserve"> No results were presented for PPV</w:t>
            </w:r>
            <w:r w:rsidR="00DC18A2">
              <w:rPr>
                <w:rFonts w:cstheme="majorHAnsi"/>
                <w:sz w:val="18"/>
                <w:szCs w:val="18"/>
                <w:vertAlign w:val="subscript"/>
              </w:rPr>
              <w:t>2</w:t>
            </w:r>
            <w:r w:rsidR="00DC18A2">
              <w:rPr>
                <w:rFonts w:cstheme="majorHAnsi"/>
                <w:sz w:val="18"/>
                <w:szCs w:val="18"/>
              </w:rPr>
              <w:t>.</w:t>
            </w:r>
          </w:p>
        </w:tc>
      </w:tr>
      <w:tr w:rsidR="00277866" w:rsidRPr="00D40FE4" w14:paraId="547672E2" w14:textId="77777777" w:rsidTr="00636690">
        <w:tc>
          <w:tcPr>
            <w:tcW w:w="2138" w:type="dxa"/>
          </w:tcPr>
          <w:p w14:paraId="1BFD2A8C" w14:textId="77777777" w:rsidR="00277866" w:rsidRPr="00430030" w:rsidRDefault="00277866" w:rsidP="00277866">
            <w:pPr>
              <w:rPr>
                <w:rFonts w:cstheme="majorHAnsi"/>
                <w:sz w:val="18"/>
                <w:szCs w:val="18"/>
              </w:rPr>
            </w:pPr>
            <w:r w:rsidRPr="00430030">
              <w:rPr>
                <w:rFonts w:cstheme="majorHAnsi"/>
                <w:sz w:val="18"/>
                <w:szCs w:val="18"/>
              </w:rPr>
              <w:t>Recall rate</w:t>
            </w:r>
          </w:p>
        </w:tc>
        <w:tc>
          <w:tcPr>
            <w:tcW w:w="1968" w:type="dxa"/>
          </w:tcPr>
          <w:p w14:paraId="65F9374D" w14:textId="24E465E3" w:rsidR="00833B78" w:rsidRDefault="00833B78" w:rsidP="00277866">
            <w:pPr>
              <w:rPr>
                <w:rFonts w:cstheme="majorHAnsi"/>
                <w:sz w:val="18"/>
                <w:szCs w:val="18"/>
              </w:rPr>
            </w:pPr>
            <w:r>
              <w:rPr>
                <w:rFonts w:cstheme="majorHAnsi"/>
                <w:sz w:val="18"/>
                <w:szCs w:val="18"/>
              </w:rPr>
              <w:t>1,276,867 participants</w:t>
            </w:r>
          </w:p>
          <w:p w14:paraId="323BF383" w14:textId="4D7A4552" w:rsidR="00277866" w:rsidRPr="00430030" w:rsidRDefault="007C7355" w:rsidP="00277866">
            <w:pPr>
              <w:rPr>
                <w:rFonts w:cstheme="majorHAnsi"/>
                <w:sz w:val="18"/>
                <w:szCs w:val="18"/>
              </w:rPr>
            </w:pPr>
            <w:r>
              <w:rPr>
                <w:rFonts w:cstheme="majorHAnsi"/>
                <w:sz w:val="18"/>
                <w:szCs w:val="18"/>
              </w:rPr>
              <w:t>Eight</w:t>
            </w:r>
            <w:r w:rsidR="00833B78">
              <w:rPr>
                <w:rFonts w:cstheme="majorHAnsi"/>
                <w:sz w:val="18"/>
                <w:szCs w:val="18"/>
              </w:rPr>
              <w:t xml:space="preserve"> studies </w:t>
            </w:r>
          </w:p>
        </w:tc>
        <w:tc>
          <w:tcPr>
            <w:tcW w:w="872" w:type="dxa"/>
          </w:tcPr>
          <w:p w14:paraId="59891A58" w14:textId="77777777" w:rsidR="00430030" w:rsidRPr="00430030" w:rsidRDefault="00430030" w:rsidP="00430030">
            <w:pPr>
              <w:rPr>
                <w:rFonts w:cstheme="majorHAnsi"/>
                <w:sz w:val="18"/>
                <w:szCs w:val="18"/>
              </w:rPr>
            </w:pPr>
            <w:r w:rsidRPr="00430030">
              <w:rPr>
                <w:rFonts w:ascii="Cambria Math" w:hAnsi="Cambria Math" w:cs="Cambria Math"/>
                <w:sz w:val="18"/>
                <w:szCs w:val="18"/>
              </w:rPr>
              <w:t>⊕⊕</w:t>
            </w:r>
          </w:p>
          <w:p w14:paraId="485FCABD" w14:textId="7BC48F49" w:rsidR="00277866" w:rsidRPr="00430030" w:rsidRDefault="00430030" w:rsidP="00430030">
            <w:pPr>
              <w:rPr>
                <w:rFonts w:cstheme="majorHAnsi"/>
                <w:sz w:val="18"/>
                <w:szCs w:val="18"/>
              </w:rPr>
            </w:pPr>
            <w:r w:rsidRPr="00430030">
              <w:rPr>
                <w:rFonts w:cstheme="majorHAnsi"/>
                <w:sz w:val="18"/>
                <w:szCs w:val="18"/>
              </w:rPr>
              <w:t>Low</w:t>
            </w:r>
          </w:p>
        </w:tc>
        <w:tc>
          <w:tcPr>
            <w:tcW w:w="4038" w:type="dxa"/>
          </w:tcPr>
          <w:p w14:paraId="1DF17DDE" w14:textId="16B9A5B6" w:rsidR="00277866" w:rsidRPr="00430030" w:rsidRDefault="00430030" w:rsidP="00277866">
            <w:pPr>
              <w:jc w:val="both"/>
              <w:rPr>
                <w:rFonts w:cstheme="majorHAnsi"/>
                <w:sz w:val="18"/>
                <w:szCs w:val="18"/>
              </w:rPr>
            </w:pPr>
            <w:r>
              <w:rPr>
                <w:rFonts w:cstheme="majorHAnsi"/>
                <w:sz w:val="18"/>
                <w:szCs w:val="18"/>
              </w:rPr>
              <w:t xml:space="preserve">Pooled analysis suggests that recall rates decreases with the use of </w:t>
            </w:r>
            <w:r w:rsidR="00BB7BBA">
              <w:rPr>
                <w:rFonts w:cstheme="majorHAnsi"/>
                <w:sz w:val="18"/>
                <w:szCs w:val="18"/>
              </w:rPr>
              <w:t>DBT,</w:t>
            </w:r>
            <w:r>
              <w:rPr>
                <w:rFonts w:cstheme="majorHAnsi"/>
                <w:sz w:val="18"/>
                <w:szCs w:val="18"/>
              </w:rPr>
              <w:t xml:space="preserve"> but the primary studies report inconsistent evidence.</w:t>
            </w:r>
          </w:p>
        </w:tc>
      </w:tr>
      <w:tr w:rsidR="00277866" w:rsidRPr="00FE662D" w14:paraId="7D221BCE" w14:textId="77777777" w:rsidTr="00636690">
        <w:tc>
          <w:tcPr>
            <w:tcW w:w="2138" w:type="dxa"/>
          </w:tcPr>
          <w:p w14:paraId="5F221BA5" w14:textId="77777777" w:rsidR="00277866" w:rsidRPr="00430030" w:rsidRDefault="00277866" w:rsidP="00277866">
            <w:pPr>
              <w:rPr>
                <w:rFonts w:cstheme="majorHAnsi"/>
                <w:sz w:val="18"/>
                <w:szCs w:val="18"/>
              </w:rPr>
            </w:pPr>
            <w:r w:rsidRPr="00430030">
              <w:rPr>
                <w:rFonts w:cstheme="majorHAnsi"/>
                <w:sz w:val="18"/>
                <w:szCs w:val="18"/>
              </w:rPr>
              <w:t>False positive rate</w:t>
            </w:r>
          </w:p>
        </w:tc>
        <w:tc>
          <w:tcPr>
            <w:tcW w:w="1968" w:type="dxa"/>
          </w:tcPr>
          <w:p w14:paraId="054DE6C9" w14:textId="03983DB4" w:rsidR="00430030" w:rsidRDefault="00833B78" w:rsidP="00277866">
            <w:pPr>
              <w:rPr>
                <w:rFonts w:cstheme="majorHAnsi"/>
                <w:sz w:val="18"/>
                <w:szCs w:val="18"/>
              </w:rPr>
            </w:pPr>
            <w:r>
              <w:rPr>
                <w:rFonts w:cstheme="majorHAnsi"/>
                <w:sz w:val="18"/>
                <w:szCs w:val="18"/>
              </w:rPr>
              <w:t>45,408 participants</w:t>
            </w:r>
          </w:p>
          <w:p w14:paraId="13646149" w14:textId="49596393" w:rsidR="00277866" w:rsidRPr="00430030" w:rsidRDefault="00430030" w:rsidP="00277866">
            <w:pPr>
              <w:rPr>
                <w:rFonts w:cstheme="majorHAnsi"/>
                <w:sz w:val="18"/>
                <w:szCs w:val="18"/>
              </w:rPr>
            </w:pPr>
            <w:r>
              <w:rPr>
                <w:rFonts w:cstheme="majorHAnsi"/>
                <w:sz w:val="18"/>
                <w:szCs w:val="18"/>
              </w:rPr>
              <w:t>Two studies</w:t>
            </w:r>
          </w:p>
        </w:tc>
        <w:tc>
          <w:tcPr>
            <w:tcW w:w="872" w:type="dxa"/>
          </w:tcPr>
          <w:p w14:paraId="3EB9E43F" w14:textId="3B5BDB7F" w:rsidR="00430030" w:rsidRPr="00430030" w:rsidRDefault="00430030" w:rsidP="00430030">
            <w:pPr>
              <w:rPr>
                <w:rFonts w:cstheme="majorHAnsi"/>
                <w:sz w:val="18"/>
                <w:szCs w:val="18"/>
              </w:rPr>
            </w:pPr>
            <w:r w:rsidRPr="00430030">
              <w:rPr>
                <w:rFonts w:ascii="Cambria Math" w:hAnsi="Cambria Math" w:cs="Cambria Math"/>
                <w:sz w:val="18"/>
                <w:szCs w:val="18"/>
              </w:rPr>
              <w:t>⊕</w:t>
            </w:r>
          </w:p>
          <w:p w14:paraId="28B35075" w14:textId="328383A9" w:rsidR="00277866" w:rsidRPr="00430030" w:rsidRDefault="00430030" w:rsidP="00430030">
            <w:pPr>
              <w:rPr>
                <w:rFonts w:cstheme="majorHAnsi"/>
                <w:sz w:val="18"/>
                <w:szCs w:val="18"/>
              </w:rPr>
            </w:pPr>
            <w:r>
              <w:rPr>
                <w:rFonts w:cstheme="majorHAnsi"/>
                <w:sz w:val="18"/>
                <w:szCs w:val="18"/>
              </w:rPr>
              <w:t>Very l</w:t>
            </w:r>
            <w:r w:rsidRPr="00430030">
              <w:rPr>
                <w:rFonts w:cstheme="majorHAnsi"/>
                <w:sz w:val="18"/>
                <w:szCs w:val="18"/>
              </w:rPr>
              <w:t>ow</w:t>
            </w:r>
          </w:p>
        </w:tc>
        <w:tc>
          <w:tcPr>
            <w:tcW w:w="4038" w:type="dxa"/>
          </w:tcPr>
          <w:p w14:paraId="022268FB" w14:textId="6C88CDA1" w:rsidR="00277866" w:rsidRPr="00430030" w:rsidRDefault="00430030" w:rsidP="00277866">
            <w:pPr>
              <w:jc w:val="both"/>
              <w:rPr>
                <w:rFonts w:cstheme="majorHAnsi"/>
                <w:sz w:val="18"/>
                <w:szCs w:val="18"/>
              </w:rPr>
            </w:pPr>
            <w:r>
              <w:rPr>
                <w:rFonts w:cstheme="majorHAnsi"/>
                <w:sz w:val="18"/>
                <w:szCs w:val="18"/>
              </w:rPr>
              <w:t>No systematic review or pooled analysis was available and primary study results are inconsistent.</w:t>
            </w:r>
          </w:p>
        </w:tc>
      </w:tr>
      <w:tr w:rsidR="00D40FE4" w:rsidRPr="00FE662D" w14:paraId="74733838" w14:textId="77777777" w:rsidTr="00636690">
        <w:tc>
          <w:tcPr>
            <w:tcW w:w="2138" w:type="dxa"/>
          </w:tcPr>
          <w:p w14:paraId="209197A4" w14:textId="77777777" w:rsidR="00D40FE4" w:rsidRPr="00BB08AB" w:rsidRDefault="00D40FE4" w:rsidP="00D40FE4">
            <w:pPr>
              <w:rPr>
                <w:rFonts w:cstheme="majorHAnsi"/>
                <w:sz w:val="18"/>
                <w:szCs w:val="18"/>
              </w:rPr>
            </w:pPr>
            <w:r w:rsidRPr="00BB08AB">
              <w:rPr>
                <w:rFonts w:cstheme="majorHAnsi"/>
                <w:sz w:val="18"/>
                <w:szCs w:val="18"/>
              </w:rPr>
              <w:t>Radiation dose</w:t>
            </w:r>
          </w:p>
        </w:tc>
        <w:tc>
          <w:tcPr>
            <w:tcW w:w="1968" w:type="dxa"/>
          </w:tcPr>
          <w:p w14:paraId="3CDC472F" w14:textId="5795B382" w:rsidR="00D40FE4" w:rsidRDefault="00935D4C" w:rsidP="00D40FE4">
            <w:pPr>
              <w:rPr>
                <w:rFonts w:cstheme="majorHAnsi"/>
                <w:sz w:val="18"/>
                <w:szCs w:val="18"/>
              </w:rPr>
            </w:pPr>
            <w:r>
              <w:rPr>
                <w:rFonts w:cstheme="majorHAnsi"/>
                <w:sz w:val="18"/>
                <w:szCs w:val="18"/>
              </w:rPr>
              <w:t>14,379</w:t>
            </w:r>
            <w:r w:rsidR="00D40FE4">
              <w:rPr>
                <w:rFonts w:cstheme="majorHAnsi"/>
                <w:sz w:val="18"/>
                <w:szCs w:val="18"/>
              </w:rPr>
              <w:t xml:space="preserve"> </w:t>
            </w:r>
            <w:r w:rsidR="00CA55FC">
              <w:rPr>
                <w:rFonts w:cstheme="majorHAnsi"/>
                <w:sz w:val="18"/>
                <w:szCs w:val="18"/>
              </w:rPr>
              <w:t>participants</w:t>
            </w:r>
          </w:p>
          <w:p w14:paraId="38613F96" w14:textId="5B6000EC" w:rsidR="00D40FE4" w:rsidRPr="00BB08AB" w:rsidRDefault="00D40FE4" w:rsidP="00D40FE4">
            <w:pPr>
              <w:rPr>
                <w:rFonts w:cstheme="majorHAnsi"/>
                <w:sz w:val="18"/>
                <w:szCs w:val="18"/>
              </w:rPr>
            </w:pPr>
            <w:r>
              <w:rPr>
                <w:rFonts w:cstheme="majorHAnsi"/>
                <w:sz w:val="18"/>
                <w:szCs w:val="18"/>
              </w:rPr>
              <w:t>Three studies including one RCT and two fully paired studies</w:t>
            </w:r>
          </w:p>
        </w:tc>
        <w:tc>
          <w:tcPr>
            <w:tcW w:w="872" w:type="dxa"/>
          </w:tcPr>
          <w:p w14:paraId="51855247" w14:textId="77777777" w:rsidR="00D40FE4" w:rsidRDefault="00D40FE4" w:rsidP="00D40FE4">
            <w:pPr>
              <w:rPr>
                <w:rFonts w:cstheme="majorHAnsi"/>
                <w:sz w:val="18"/>
                <w:szCs w:val="18"/>
              </w:rPr>
            </w:pPr>
            <w:r w:rsidRPr="00BB08AB">
              <w:rPr>
                <w:rFonts w:ascii="Cambria Math" w:hAnsi="Cambria Math" w:cs="Cambria Math"/>
                <w:sz w:val="18"/>
                <w:szCs w:val="18"/>
              </w:rPr>
              <w:t>⊕⊕</w:t>
            </w:r>
          </w:p>
          <w:p w14:paraId="447E5DFC" w14:textId="02B252E0" w:rsidR="00D40FE4" w:rsidRPr="00BB08AB" w:rsidRDefault="00D40FE4" w:rsidP="00D40FE4">
            <w:pPr>
              <w:rPr>
                <w:rFonts w:cstheme="majorHAnsi"/>
                <w:sz w:val="18"/>
                <w:szCs w:val="18"/>
              </w:rPr>
            </w:pPr>
            <w:r>
              <w:rPr>
                <w:rFonts w:cstheme="majorHAnsi"/>
                <w:sz w:val="18"/>
                <w:szCs w:val="18"/>
              </w:rPr>
              <w:t>Low</w:t>
            </w:r>
          </w:p>
        </w:tc>
        <w:tc>
          <w:tcPr>
            <w:tcW w:w="4038" w:type="dxa"/>
          </w:tcPr>
          <w:p w14:paraId="3EE864E3" w14:textId="0910A87D" w:rsidR="00D40FE4" w:rsidRPr="00BB08AB" w:rsidRDefault="00D40FE4" w:rsidP="00D40FE4">
            <w:pPr>
              <w:jc w:val="both"/>
              <w:rPr>
                <w:rFonts w:cstheme="majorHAnsi"/>
                <w:sz w:val="18"/>
                <w:szCs w:val="18"/>
              </w:rPr>
            </w:pPr>
            <w:r>
              <w:rPr>
                <w:rFonts w:cstheme="majorHAnsi"/>
                <w:sz w:val="18"/>
                <w:szCs w:val="18"/>
              </w:rPr>
              <w:t>No systematic review or pooled analysis was available. Both primary studies observed an increase in MGD which was almost double that recorded for FFDM.</w:t>
            </w:r>
          </w:p>
        </w:tc>
      </w:tr>
      <w:tr w:rsidR="00AF6DF3" w:rsidRPr="00FE662D" w14:paraId="7FAA2DE2" w14:textId="77777777" w:rsidTr="00636690">
        <w:tc>
          <w:tcPr>
            <w:tcW w:w="2138" w:type="dxa"/>
          </w:tcPr>
          <w:p w14:paraId="0340C1CC" w14:textId="77777777" w:rsidR="00AF6DF3" w:rsidRPr="00AF6DF3" w:rsidRDefault="00AF6DF3" w:rsidP="00AF6DF3">
            <w:pPr>
              <w:rPr>
                <w:rFonts w:cstheme="majorHAnsi"/>
                <w:sz w:val="18"/>
                <w:szCs w:val="18"/>
              </w:rPr>
            </w:pPr>
            <w:r w:rsidRPr="00AF6DF3">
              <w:rPr>
                <w:rFonts w:cstheme="majorHAnsi"/>
                <w:sz w:val="18"/>
                <w:szCs w:val="18"/>
              </w:rPr>
              <w:t>Interpretation time</w:t>
            </w:r>
          </w:p>
        </w:tc>
        <w:tc>
          <w:tcPr>
            <w:tcW w:w="1968" w:type="dxa"/>
          </w:tcPr>
          <w:p w14:paraId="2753E266" w14:textId="1EB4F109" w:rsidR="00AF6DF3" w:rsidRPr="00AF6DF3" w:rsidRDefault="00AF6DF3" w:rsidP="00AF6DF3">
            <w:pPr>
              <w:rPr>
                <w:rFonts w:cstheme="majorHAnsi"/>
                <w:sz w:val="18"/>
                <w:szCs w:val="18"/>
              </w:rPr>
            </w:pPr>
            <w:r w:rsidRPr="00AF6DF3">
              <w:rPr>
                <w:rFonts w:cstheme="majorHAnsi"/>
                <w:sz w:val="18"/>
                <w:szCs w:val="18"/>
              </w:rPr>
              <w:t>19</w:t>
            </w:r>
            <w:r w:rsidR="00935D4C">
              <w:rPr>
                <w:rFonts w:cstheme="majorHAnsi"/>
                <w:sz w:val="18"/>
                <w:szCs w:val="18"/>
              </w:rPr>
              <w:t>,</w:t>
            </w:r>
            <w:r w:rsidRPr="00AF6DF3">
              <w:rPr>
                <w:rFonts w:cstheme="majorHAnsi"/>
                <w:sz w:val="18"/>
                <w:szCs w:val="18"/>
              </w:rPr>
              <w:t>560 participants</w:t>
            </w:r>
          </w:p>
          <w:p w14:paraId="3E93C704" w14:textId="0D5DD127" w:rsidR="00AF6DF3" w:rsidRPr="00AF6DF3" w:rsidRDefault="00AF6DF3" w:rsidP="00AF6DF3">
            <w:pPr>
              <w:rPr>
                <w:rFonts w:cstheme="majorHAnsi"/>
                <w:sz w:val="18"/>
                <w:szCs w:val="18"/>
              </w:rPr>
            </w:pPr>
            <w:r w:rsidRPr="00AF6DF3">
              <w:rPr>
                <w:rFonts w:cstheme="majorHAnsi"/>
                <w:sz w:val="18"/>
                <w:szCs w:val="18"/>
              </w:rPr>
              <w:t>One RCT</w:t>
            </w:r>
          </w:p>
        </w:tc>
        <w:tc>
          <w:tcPr>
            <w:tcW w:w="872" w:type="dxa"/>
          </w:tcPr>
          <w:p w14:paraId="4B190425" w14:textId="0276B7A6" w:rsidR="00AF6DF3" w:rsidRDefault="00AF6DF3" w:rsidP="00AF6DF3">
            <w:pPr>
              <w:rPr>
                <w:rFonts w:cstheme="majorHAnsi"/>
                <w:sz w:val="18"/>
                <w:szCs w:val="18"/>
              </w:rPr>
            </w:pPr>
            <w:r w:rsidRPr="00BB08AB">
              <w:rPr>
                <w:rFonts w:ascii="Cambria Math" w:hAnsi="Cambria Math" w:cs="Cambria Math"/>
                <w:sz w:val="18"/>
                <w:szCs w:val="18"/>
              </w:rPr>
              <w:t>⊕</w:t>
            </w:r>
          </w:p>
          <w:p w14:paraId="22443D54" w14:textId="61E3FD3B" w:rsidR="00AF6DF3" w:rsidRPr="00AF6DF3" w:rsidRDefault="00AF6DF3" w:rsidP="00AF6DF3">
            <w:pPr>
              <w:rPr>
                <w:rFonts w:cstheme="majorHAnsi"/>
                <w:sz w:val="18"/>
                <w:szCs w:val="18"/>
              </w:rPr>
            </w:pPr>
            <w:r>
              <w:rPr>
                <w:rFonts w:cstheme="majorHAnsi"/>
                <w:sz w:val="18"/>
                <w:szCs w:val="18"/>
              </w:rPr>
              <w:t>Very low</w:t>
            </w:r>
          </w:p>
        </w:tc>
        <w:tc>
          <w:tcPr>
            <w:tcW w:w="4038" w:type="dxa"/>
          </w:tcPr>
          <w:p w14:paraId="2EF171DE" w14:textId="24AB08FE" w:rsidR="00AF6DF3" w:rsidRPr="00BB08AB" w:rsidRDefault="00AF6DF3" w:rsidP="00AF6DF3">
            <w:pPr>
              <w:jc w:val="both"/>
              <w:rPr>
                <w:rFonts w:cstheme="majorHAnsi"/>
                <w:sz w:val="18"/>
                <w:szCs w:val="18"/>
              </w:rPr>
            </w:pPr>
            <w:r w:rsidRPr="00AF6DF3">
              <w:rPr>
                <w:rFonts w:cstheme="majorHAnsi"/>
                <w:sz w:val="18"/>
                <w:szCs w:val="18"/>
              </w:rPr>
              <w:t>No systematic review or pooled analysis was available.</w:t>
            </w:r>
          </w:p>
        </w:tc>
      </w:tr>
    </w:tbl>
    <w:p w14:paraId="3EAF27F2" w14:textId="77777777" w:rsidR="00F53056" w:rsidRDefault="00F53056" w:rsidP="00F53056">
      <w:pPr>
        <w:pStyle w:val="BodyText"/>
      </w:pPr>
    </w:p>
    <w:bookmarkEnd w:id="74"/>
    <w:p w14:paraId="609C37AB" w14:textId="77777777" w:rsidR="00F53056" w:rsidRDefault="00F53056" w:rsidP="00F53056">
      <w:pPr>
        <w:rPr>
          <w:b/>
          <w:bCs/>
          <w:color w:val="36424A" w:themeColor="accent1"/>
          <w:sz w:val="18"/>
          <w:szCs w:val="18"/>
        </w:rPr>
      </w:pPr>
      <w:r>
        <w:br w:type="page"/>
      </w:r>
    </w:p>
    <w:p w14:paraId="25F18C7F" w14:textId="4EC108DB" w:rsidR="00F53056" w:rsidRDefault="00F53056" w:rsidP="00F53056">
      <w:pPr>
        <w:pStyle w:val="Caption"/>
      </w:pPr>
      <w:r>
        <w:lastRenderedPageBreak/>
        <w:t xml:space="preserve">Table </w:t>
      </w:r>
      <w:r>
        <w:fldChar w:fldCharType="begin"/>
      </w:r>
      <w:r>
        <w:instrText xml:space="preserve"> SEQ Table \* ARABIC </w:instrText>
      </w:r>
      <w:r>
        <w:fldChar w:fldCharType="separate"/>
      </w:r>
      <w:r w:rsidR="00AB18B5">
        <w:rPr>
          <w:noProof/>
        </w:rPr>
        <w:t>2</w:t>
      </w:r>
      <w:r>
        <w:fldChar w:fldCharType="end"/>
      </w:r>
      <w:r>
        <w:t xml:space="preserve">: Assessment of evidence for </w:t>
      </w:r>
      <w:r w:rsidR="00A41257">
        <w:t>DBT+</w:t>
      </w:r>
      <w:r w:rsidR="00176980">
        <w:t>s2DM</w:t>
      </w:r>
      <w:r>
        <w:t xml:space="preserve"> from all studies</w:t>
      </w:r>
    </w:p>
    <w:tbl>
      <w:tblPr>
        <w:tblStyle w:val="ACGreen-BasicTable"/>
        <w:tblW w:w="0" w:type="auto"/>
        <w:tblLook w:val="04A0" w:firstRow="1" w:lastRow="0" w:firstColumn="1" w:lastColumn="0" w:noHBand="0" w:noVBand="1"/>
        <w:tblDescription w:val="Table 2 shows assessment of evidence for DBT+s2DM from all studies&#10;&#10;Outcomes for Reduction in mortality&#10;There were no participants studies.&#10;The quality of evidence was nil.&#10;The overall results were no studies reported on a reduction in mortality.&#10;&#10;Outcomes for cancer detection rate&#10;The participants studies included 327,114 participants. There were eight studies including one RCT.&#10;The quality of evidence was low.&#10;The overall results were no systematic review or pooled analysis was available. Data from the RCT showed no statistically significant increase in CDR but all of the other paired studies or those set in European screening programs reported significant increases in CDR. Some of the American retrospective analyses did not report increases in CDR.&#10;&#10;Outcome for Invasive cancer detection rate&#10;The participants studies included 248,835 participants. There were eight studies including one RCT.&#10;The quality of evidence was very low.&#10;The overall results were no systematic review or pooled analysis was available. Data from the RCT showed no statistically significant increase in invasive CDR but all of the other studies reported increases but reported increases from two studies were descriptive only.&#10;&#10;Outcomes for Interval cancer detection&#10;The participants studies included 53,268 participants. There was one study.&#10;The quality of evidence was very low.&#10;The overall results were Non-significant results reported. No pooled analysis but meta-analysis underway.&#10;&#10;Outcomes for PPV1-3&#10;The participants studies included 294,347 participants. There were six studies including one RCT.&#10;The quality of evidence was moderate.&#10;The overall results were no systematic review or pooled analysis was available but all studies (including the RCT reported statistically significant increases in PPV1 and PPV3 (where this was reported). No results from prospective studies were presented for PPV2. &#10;&#10;Outcomes for Recall rate&#10;The participants studies included 616,334 participants. There were eight studies including one RCT.&#10;The quality of evidence was low.&#10;The overall results were pooled analysis suggests that recall rate decreases with the use of DBT, but the primary studies report inconsistent evidence.&#10;&#10;Outcomes for False positive rate&#10;The participants studies included 69,745 participants. There were four studies.&#10;The quality of evidence was very low.&#10;The overall results were no systematic review or pooled analysis was available and primary study results are inconsistent.&#10;&#10;Outcomes for Radiation dose&#10;The participants studies included 71,391 participants. There were five studies including one RCT.&#10;The quality of evidence was very low.&#10;The overall results were no systematic review or pooled analysis was available. Mixed results reported for radiation dose. No difference in MGD was reported in the RCT but data from all other studies indicated a higher MGD with DBT+s2DM (although the MGD for this modality was lower than for FFDM+DBT).&#10;&#10;Outcomes for Interpretation time&#10;The participants studies were 86,755 participants. There were four studies.&#10;The quality of evidence was moderate.&#10;The overall results were no systematic review or pooled analysis was available but evidence that interpretation time increased with the use of DBT was consistent across all studies, with most reporting at least a doubling in reading time.&#10;"/>
      </w:tblPr>
      <w:tblGrid>
        <w:gridCol w:w="2114"/>
        <w:gridCol w:w="1844"/>
        <w:gridCol w:w="988"/>
        <w:gridCol w:w="4020"/>
      </w:tblGrid>
      <w:tr w:rsidR="00F53056" w:rsidRPr="00614E0A" w14:paraId="479DB72E" w14:textId="77777777" w:rsidTr="00DC18A2">
        <w:trPr>
          <w:cnfStyle w:val="100000000000" w:firstRow="1" w:lastRow="0" w:firstColumn="0" w:lastColumn="0" w:oddVBand="0" w:evenVBand="0" w:oddHBand="0" w:evenHBand="0" w:firstRowFirstColumn="0" w:firstRowLastColumn="0" w:lastRowFirstColumn="0" w:lastRowLastColumn="0"/>
        </w:trPr>
        <w:tc>
          <w:tcPr>
            <w:tcW w:w="2114" w:type="dxa"/>
          </w:tcPr>
          <w:p w14:paraId="3EA79FA1" w14:textId="77777777" w:rsidR="00F53056" w:rsidRPr="00BB08AB" w:rsidRDefault="00F53056" w:rsidP="00236D7C">
            <w:pPr>
              <w:rPr>
                <w:rFonts w:cstheme="majorHAnsi"/>
                <w:sz w:val="18"/>
                <w:szCs w:val="18"/>
              </w:rPr>
            </w:pPr>
            <w:r w:rsidRPr="00BB08AB">
              <w:rPr>
                <w:rFonts w:cstheme="majorHAnsi"/>
                <w:sz w:val="18"/>
                <w:szCs w:val="18"/>
              </w:rPr>
              <w:t xml:space="preserve">Outcomes </w:t>
            </w:r>
          </w:p>
        </w:tc>
        <w:tc>
          <w:tcPr>
            <w:tcW w:w="1844" w:type="dxa"/>
          </w:tcPr>
          <w:p w14:paraId="3FA3C5DF" w14:textId="77777777" w:rsidR="00F53056" w:rsidRPr="00BB08AB" w:rsidRDefault="00F53056" w:rsidP="00236D7C">
            <w:pPr>
              <w:rPr>
                <w:rFonts w:cstheme="majorHAnsi"/>
                <w:b w:val="0"/>
                <w:sz w:val="18"/>
                <w:szCs w:val="18"/>
              </w:rPr>
            </w:pPr>
            <w:r w:rsidRPr="00BB08AB">
              <w:rPr>
                <w:rFonts w:cstheme="majorHAnsi"/>
                <w:sz w:val="18"/>
                <w:szCs w:val="18"/>
              </w:rPr>
              <w:t xml:space="preserve">Participants </w:t>
            </w:r>
          </w:p>
          <w:p w14:paraId="31325F5D" w14:textId="4D138E79" w:rsidR="00F53056" w:rsidRPr="00BB08AB" w:rsidRDefault="00F53056" w:rsidP="00236D7C">
            <w:pPr>
              <w:rPr>
                <w:rFonts w:cstheme="majorHAnsi"/>
                <w:sz w:val="18"/>
                <w:szCs w:val="18"/>
              </w:rPr>
            </w:pPr>
            <w:r w:rsidRPr="00BB08AB">
              <w:rPr>
                <w:rFonts w:cstheme="majorHAnsi"/>
                <w:sz w:val="18"/>
                <w:szCs w:val="18"/>
              </w:rPr>
              <w:t>Studies</w:t>
            </w:r>
          </w:p>
        </w:tc>
        <w:tc>
          <w:tcPr>
            <w:tcW w:w="988" w:type="dxa"/>
          </w:tcPr>
          <w:p w14:paraId="7481455A" w14:textId="1A72DCDE" w:rsidR="00F53056" w:rsidRPr="00BB08AB" w:rsidRDefault="00F53056" w:rsidP="00236D7C">
            <w:pPr>
              <w:rPr>
                <w:rFonts w:cstheme="majorHAnsi"/>
                <w:sz w:val="18"/>
                <w:szCs w:val="18"/>
              </w:rPr>
            </w:pPr>
            <w:r w:rsidRPr="00BB08AB">
              <w:rPr>
                <w:rFonts w:cstheme="majorHAnsi"/>
                <w:sz w:val="18"/>
                <w:szCs w:val="18"/>
              </w:rPr>
              <w:t xml:space="preserve">Quality of evidence </w:t>
            </w:r>
          </w:p>
        </w:tc>
        <w:tc>
          <w:tcPr>
            <w:tcW w:w="4020" w:type="dxa"/>
          </w:tcPr>
          <w:p w14:paraId="1E4E9458" w14:textId="77777777" w:rsidR="00F53056" w:rsidRPr="00BB08AB" w:rsidRDefault="00F53056" w:rsidP="00236D7C">
            <w:pPr>
              <w:rPr>
                <w:rFonts w:cstheme="majorHAnsi"/>
                <w:sz w:val="18"/>
                <w:szCs w:val="18"/>
              </w:rPr>
            </w:pPr>
            <w:r w:rsidRPr="00BB08AB">
              <w:rPr>
                <w:rFonts w:cstheme="majorHAnsi"/>
                <w:sz w:val="18"/>
                <w:szCs w:val="18"/>
              </w:rPr>
              <w:t xml:space="preserve">Overall results </w:t>
            </w:r>
          </w:p>
        </w:tc>
      </w:tr>
      <w:tr w:rsidR="0011516D" w:rsidRPr="00987881" w14:paraId="16A693F9" w14:textId="77777777" w:rsidTr="00DC18A2">
        <w:tc>
          <w:tcPr>
            <w:tcW w:w="2114" w:type="dxa"/>
          </w:tcPr>
          <w:p w14:paraId="088936EE" w14:textId="77777777" w:rsidR="0011516D" w:rsidRPr="00BB08AB" w:rsidRDefault="0011516D" w:rsidP="0011516D">
            <w:pPr>
              <w:rPr>
                <w:rFonts w:cstheme="majorHAnsi"/>
                <w:sz w:val="18"/>
                <w:szCs w:val="18"/>
              </w:rPr>
            </w:pPr>
            <w:r>
              <w:rPr>
                <w:rFonts w:cstheme="majorHAnsi"/>
                <w:sz w:val="18"/>
                <w:szCs w:val="18"/>
              </w:rPr>
              <w:t>Reduction in mortality</w:t>
            </w:r>
          </w:p>
        </w:tc>
        <w:tc>
          <w:tcPr>
            <w:tcW w:w="1844" w:type="dxa"/>
          </w:tcPr>
          <w:p w14:paraId="130D0C6D" w14:textId="4BB5FF1D" w:rsidR="0011516D" w:rsidRPr="00BB08AB" w:rsidRDefault="0011516D" w:rsidP="0011516D">
            <w:pPr>
              <w:rPr>
                <w:rFonts w:cstheme="majorHAnsi"/>
                <w:sz w:val="18"/>
                <w:szCs w:val="18"/>
              </w:rPr>
            </w:pPr>
            <w:r>
              <w:rPr>
                <w:rFonts w:cstheme="majorHAnsi"/>
                <w:sz w:val="18"/>
                <w:szCs w:val="18"/>
              </w:rPr>
              <w:t>0</w:t>
            </w:r>
          </w:p>
        </w:tc>
        <w:tc>
          <w:tcPr>
            <w:tcW w:w="988" w:type="dxa"/>
          </w:tcPr>
          <w:p w14:paraId="76A25B68" w14:textId="2008DE38" w:rsidR="0011516D" w:rsidRPr="00BB08AB" w:rsidRDefault="0011516D" w:rsidP="0011516D">
            <w:pPr>
              <w:rPr>
                <w:rFonts w:cstheme="majorHAnsi"/>
                <w:sz w:val="18"/>
                <w:szCs w:val="18"/>
              </w:rPr>
            </w:pPr>
            <w:r>
              <w:rPr>
                <w:rFonts w:cstheme="majorHAnsi"/>
                <w:sz w:val="18"/>
                <w:szCs w:val="18"/>
              </w:rPr>
              <w:t>Nil</w:t>
            </w:r>
          </w:p>
        </w:tc>
        <w:tc>
          <w:tcPr>
            <w:tcW w:w="4020" w:type="dxa"/>
          </w:tcPr>
          <w:p w14:paraId="4D998C42" w14:textId="0F41C64A" w:rsidR="0011516D" w:rsidRPr="00BB08AB" w:rsidRDefault="0011516D" w:rsidP="0011516D">
            <w:pPr>
              <w:rPr>
                <w:rFonts w:cstheme="majorHAnsi"/>
                <w:sz w:val="18"/>
                <w:szCs w:val="18"/>
              </w:rPr>
            </w:pPr>
            <w:r>
              <w:rPr>
                <w:rFonts w:cstheme="majorHAnsi"/>
                <w:sz w:val="18"/>
                <w:szCs w:val="18"/>
              </w:rPr>
              <w:t>No studies reported on a reduction in mortality.</w:t>
            </w:r>
          </w:p>
        </w:tc>
      </w:tr>
      <w:tr w:rsidR="0011516D" w14:paraId="030A1DE9" w14:textId="77777777" w:rsidTr="00DC18A2">
        <w:tc>
          <w:tcPr>
            <w:tcW w:w="2114" w:type="dxa"/>
          </w:tcPr>
          <w:p w14:paraId="0F8782B0" w14:textId="77777777" w:rsidR="0011516D" w:rsidRPr="00BB08AB" w:rsidRDefault="0011516D" w:rsidP="0011516D">
            <w:pPr>
              <w:rPr>
                <w:rFonts w:cstheme="majorHAnsi"/>
                <w:sz w:val="18"/>
                <w:szCs w:val="18"/>
              </w:rPr>
            </w:pPr>
            <w:r w:rsidRPr="00BB08AB">
              <w:rPr>
                <w:rFonts w:cstheme="majorHAnsi"/>
                <w:sz w:val="18"/>
                <w:szCs w:val="18"/>
              </w:rPr>
              <w:t>Cancer detection rate</w:t>
            </w:r>
          </w:p>
          <w:p w14:paraId="5CAD5B80" w14:textId="77777777" w:rsidR="0011516D" w:rsidRPr="00BB08AB" w:rsidRDefault="0011516D" w:rsidP="0011516D">
            <w:pPr>
              <w:rPr>
                <w:rFonts w:cstheme="majorHAnsi"/>
                <w:sz w:val="18"/>
                <w:szCs w:val="18"/>
              </w:rPr>
            </w:pPr>
          </w:p>
        </w:tc>
        <w:tc>
          <w:tcPr>
            <w:tcW w:w="1844" w:type="dxa"/>
          </w:tcPr>
          <w:p w14:paraId="665D6112" w14:textId="6B95257A" w:rsidR="00DC18A2" w:rsidRDefault="00134AA4" w:rsidP="0011516D">
            <w:pPr>
              <w:rPr>
                <w:rFonts w:cstheme="majorHAnsi"/>
                <w:sz w:val="18"/>
                <w:szCs w:val="18"/>
              </w:rPr>
            </w:pPr>
            <w:r>
              <w:rPr>
                <w:rFonts w:cstheme="majorHAnsi"/>
                <w:sz w:val="18"/>
                <w:szCs w:val="18"/>
              </w:rPr>
              <w:t>327,114</w:t>
            </w:r>
            <w:r w:rsidR="00DC18A2">
              <w:rPr>
                <w:rFonts w:cstheme="majorHAnsi"/>
                <w:sz w:val="18"/>
                <w:szCs w:val="18"/>
              </w:rPr>
              <w:t xml:space="preserve"> participants</w:t>
            </w:r>
          </w:p>
          <w:p w14:paraId="5BD95A8B" w14:textId="023EA7FB" w:rsidR="0011516D" w:rsidRPr="00BB08AB" w:rsidRDefault="00B05A51" w:rsidP="0011516D">
            <w:pPr>
              <w:rPr>
                <w:rFonts w:cstheme="majorHAnsi"/>
                <w:sz w:val="18"/>
                <w:szCs w:val="18"/>
              </w:rPr>
            </w:pPr>
            <w:r>
              <w:rPr>
                <w:rFonts w:cstheme="majorHAnsi"/>
                <w:sz w:val="18"/>
                <w:szCs w:val="18"/>
              </w:rPr>
              <w:t>Eight</w:t>
            </w:r>
            <w:r w:rsidR="00DC18A2">
              <w:rPr>
                <w:rFonts w:cstheme="majorHAnsi"/>
                <w:sz w:val="18"/>
                <w:szCs w:val="18"/>
              </w:rPr>
              <w:t xml:space="preserve"> studies including one RCT </w:t>
            </w:r>
          </w:p>
        </w:tc>
        <w:tc>
          <w:tcPr>
            <w:tcW w:w="988" w:type="dxa"/>
          </w:tcPr>
          <w:p w14:paraId="154DE59E" w14:textId="77777777" w:rsidR="00DC18A2" w:rsidRDefault="00DC18A2" w:rsidP="00DC18A2">
            <w:pPr>
              <w:rPr>
                <w:rFonts w:cstheme="majorHAnsi"/>
                <w:sz w:val="18"/>
                <w:szCs w:val="18"/>
              </w:rPr>
            </w:pPr>
            <w:r w:rsidRPr="00BB08AB">
              <w:rPr>
                <w:rFonts w:ascii="Cambria Math" w:hAnsi="Cambria Math" w:cs="Cambria Math"/>
                <w:sz w:val="18"/>
                <w:szCs w:val="18"/>
              </w:rPr>
              <w:t>⊕⊕</w:t>
            </w:r>
          </w:p>
          <w:p w14:paraId="34545D13" w14:textId="051B9AB7" w:rsidR="0011516D" w:rsidRPr="00BB08AB" w:rsidRDefault="00DC18A2" w:rsidP="00DC18A2">
            <w:pPr>
              <w:rPr>
                <w:rFonts w:cstheme="majorHAnsi"/>
                <w:sz w:val="18"/>
                <w:szCs w:val="18"/>
              </w:rPr>
            </w:pPr>
            <w:r>
              <w:rPr>
                <w:rFonts w:cstheme="majorHAnsi"/>
                <w:sz w:val="18"/>
                <w:szCs w:val="18"/>
              </w:rPr>
              <w:t>Low</w:t>
            </w:r>
          </w:p>
        </w:tc>
        <w:tc>
          <w:tcPr>
            <w:tcW w:w="4020" w:type="dxa"/>
          </w:tcPr>
          <w:p w14:paraId="238366C3" w14:textId="47FC2209" w:rsidR="0011516D" w:rsidRPr="00BB08AB" w:rsidRDefault="00DC18A2" w:rsidP="0011516D">
            <w:pPr>
              <w:jc w:val="both"/>
              <w:rPr>
                <w:rFonts w:cstheme="majorHAnsi"/>
                <w:sz w:val="18"/>
                <w:szCs w:val="18"/>
              </w:rPr>
            </w:pPr>
            <w:r>
              <w:rPr>
                <w:rFonts w:cstheme="majorHAnsi"/>
                <w:sz w:val="18"/>
                <w:szCs w:val="18"/>
              </w:rPr>
              <w:t xml:space="preserve">No systematic review or pooled analysis was available. Data from the RCT showed no statistically significant increase in CDR but all of the other </w:t>
            </w:r>
            <w:r w:rsidR="00134AA4">
              <w:rPr>
                <w:rFonts w:cstheme="majorHAnsi"/>
                <w:sz w:val="18"/>
                <w:szCs w:val="18"/>
              </w:rPr>
              <w:t xml:space="preserve">paired </w:t>
            </w:r>
            <w:r>
              <w:rPr>
                <w:rFonts w:cstheme="majorHAnsi"/>
                <w:sz w:val="18"/>
                <w:szCs w:val="18"/>
              </w:rPr>
              <w:t xml:space="preserve">studies </w:t>
            </w:r>
            <w:r w:rsidR="00134AA4">
              <w:rPr>
                <w:rFonts w:cstheme="majorHAnsi"/>
                <w:sz w:val="18"/>
                <w:szCs w:val="18"/>
              </w:rPr>
              <w:t xml:space="preserve">or those set in European screening programs </w:t>
            </w:r>
            <w:r>
              <w:rPr>
                <w:rFonts w:cstheme="majorHAnsi"/>
                <w:sz w:val="18"/>
                <w:szCs w:val="18"/>
              </w:rPr>
              <w:t>reported significant increases</w:t>
            </w:r>
            <w:r w:rsidR="00134AA4">
              <w:rPr>
                <w:rFonts w:cstheme="majorHAnsi"/>
                <w:sz w:val="18"/>
                <w:szCs w:val="18"/>
              </w:rPr>
              <w:t xml:space="preserve"> in CDR</w:t>
            </w:r>
            <w:r>
              <w:rPr>
                <w:rFonts w:cstheme="majorHAnsi"/>
                <w:sz w:val="18"/>
                <w:szCs w:val="18"/>
              </w:rPr>
              <w:t>.</w:t>
            </w:r>
            <w:r w:rsidR="00134AA4">
              <w:rPr>
                <w:rFonts w:cstheme="majorHAnsi"/>
                <w:sz w:val="18"/>
                <w:szCs w:val="18"/>
              </w:rPr>
              <w:t xml:space="preserve"> Some of the American retrospective analyses did not report increases in CDR.</w:t>
            </w:r>
          </w:p>
        </w:tc>
      </w:tr>
      <w:tr w:rsidR="0011516D" w14:paraId="76C21F90" w14:textId="77777777" w:rsidTr="00DC18A2">
        <w:tc>
          <w:tcPr>
            <w:tcW w:w="2114" w:type="dxa"/>
          </w:tcPr>
          <w:p w14:paraId="362A29AB" w14:textId="77777777" w:rsidR="0011516D" w:rsidRPr="00BB08AB" w:rsidRDefault="0011516D" w:rsidP="0011516D">
            <w:pPr>
              <w:rPr>
                <w:rFonts w:cstheme="majorHAnsi"/>
                <w:sz w:val="18"/>
                <w:szCs w:val="18"/>
              </w:rPr>
            </w:pPr>
            <w:r w:rsidRPr="00BB08AB">
              <w:rPr>
                <w:rFonts w:cstheme="majorHAnsi"/>
                <w:sz w:val="18"/>
                <w:szCs w:val="18"/>
              </w:rPr>
              <w:t>Invasive cancer detection rate</w:t>
            </w:r>
          </w:p>
        </w:tc>
        <w:tc>
          <w:tcPr>
            <w:tcW w:w="1844" w:type="dxa"/>
          </w:tcPr>
          <w:p w14:paraId="4071F27F" w14:textId="63FDD47A" w:rsidR="00DC18A2" w:rsidRDefault="00DC18A2" w:rsidP="00DC18A2">
            <w:pPr>
              <w:rPr>
                <w:rFonts w:cstheme="majorHAnsi"/>
                <w:sz w:val="18"/>
                <w:szCs w:val="18"/>
              </w:rPr>
            </w:pPr>
            <w:r>
              <w:rPr>
                <w:rFonts w:cstheme="majorHAnsi"/>
                <w:sz w:val="18"/>
                <w:szCs w:val="18"/>
              </w:rPr>
              <w:t>248,835 participants</w:t>
            </w:r>
          </w:p>
          <w:p w14:paraId="6C4A4E7F" w14:textId="0D8806CF" w:rsidR="0011516D" w:rsidRPr="00BB08AB" w:rsidRDefault="00D41F92" w:rsidP="00DC18A2">
            <w:pPr>
              <w:rPr>
                <w:rFonts w:cstheme="majorHAnsi"/>
                <w:sz w:val="18"/>
                <w:szCs w:val="18"/>
              </w:rPr>
            </w:pPr>
            <w:r>
              <w:rPr>
                <w:rFonts w:cstheme="majorHAnsi"/>
                <w:sz w:val="18"/>
                <w:szCs w:val="18"/>
              </w:rPr>
              <w:t>Eight</w:t>
            </w:r>
            <w:r w:rsidR="00DC18A2">
              <w:rPr>
                <w:rFonts w:cstheme="majorHAnsi"/>
                <w:sz w:val="18"/>
                <w:szCs w:val="18"/>
              </w:rPr>
              <w:t xml:space="preserve"> studies including one RCT</w:t>
            </w:r>
          </w:p>
        </w:tc>
        <w:tc>
          <w:tcPr>
            <w:tcW w:w="988" w:type="dxa"/>
          </w:tcPr>
          <w:p w14:paraId="2037EB55" w14:textId="3220E072" w:rsidR="00DC18A2" w:rsidRDefault="00DC18A2" w:rsidP="00DC18A2">
            <w:pPr>
              <w:rPr>
                <w:rFonts w:cstheme="majorHAnsi"/>
                <w:sz w:val="18"/>
                <w:szCs w:val="18"/>
              </w:rPr>
            </w:pPr>
            <w:r w:rsidRPr="00BB08AB">
              <w:rPr>
                <w:rFonts w:ascii="Cambria Math" w:hAnsi="Cambria Math" w:cs="Cambria Math"/>
                <w:sz w:val="18"/>
                <w:szCs w:val="18"/>
              </w:rPr>
              <w:t>⊕</w:t>
            </w:r>
          </w:p>
          <w:p w14:paraId="49A94F0F" w14:textId="6607D259" w:rsidR="0011516D" w:rsidRPr="00BB08AB" w:rsidRDefault="00DC18A2" w:rsidP="00DC18A2">
            <w:pPr>
              <w:rPr>
                <w:rFonts w:cstheme="majorHAnsi"/>
                <w:sz w:val="18"/>
                <w:szCs w:val="18"/>
              </w:rPr>
            </w:pPr>
            <w:r>
              <w:rPr>
                <w:rFonts w:cstheme="majorHAnsi"/>
                <w:sz w:val="18"/>
                <w:szCs w:val="18"/>
              </w:rPr>
              <w:t>Very low</w:t>
            </w:r>
          </w:p>
        </w:tc>
        <w:tc>
          <w:tcPr>
            <w:tcW w:w="4020" w:type="dxa"/>
          </w:tcPr>
          <w:p w14:paraId="7F4AE1B7" w14:textId="786E44FD" w:rsidR="0011516D" w:rsidRPr="00BB08AB" w:rsidRDefault="00DC18A2" w:rsidP="0011516D">
            <w:pPr>
              <w:jc w:val="both"/>
              <w:rPr>
                <w:rFonts w:cstheme="majorHAnsi"/>
                <w:sz w:val="18"/>
                <w:szCs w:val="18"/>
              </w:rPr>
            </w:pPr>
            <w:r>
              <w:rPr>
                <w:rFonts w:cstheme="majorHAnsi"/>
                <w:sz w:val="18"/>
                <w:szCs w:val="18"/>
              </w:rPr>
              <w:t>No systematic review or pooled analysis was available. Data from the RCT showed no statistically significant increase in invasive CDR but all of the other studies reported increases but reported increases from two studies were descriptive only.</w:t>
            </w:r>
          </w:p>
        </w:tc>
      </w:tr>
      <w:tr w:rsidR="0011516D" w14:paraId="7F0A17D9" w14:textId="77777777" w:rsidTr="00DC18A2">
        <w:tc>
          <w:tcPr>
            <w:tcW w:w="2114" w:type="dxa"/>
          </w:tcPr>
          <w:p w14:paraId="1041E1B5" w14:textId="77777777" w:rsidR="0011516D" w:rsidRPr="00BB08AB" w:rsidRDefault="0011516D" w:rsidP="0011516D">
            <w:pPr>
              <w:rPr>
                <w:rFonts w:cstheme="majorHAnsi"/>
                <w:sz w:val="18"/>
                <w:szCs w:val="18"/>
              </w:rPr>
            </w:pPr>
            <w:r w:rsidRPr="00BB08AB">
              <w:rPr>
                <w:rFonts w:cstheme="majorHAnsi"/>
                <w:sz w:val="18"/>
                <w:szCs w:val="18"/>
              </w:rPr>
              <w:t>Interval cancer detection</w:t>
            </w:r>
          </w:p>
        </w:tc>
        <w:tc>
          <w:tcPr>
            <w:tcW w:w="1844" w:type="dxa"/>
          </w:tcPr>
          <w:p w14:paraId="781F3754" w14:textId="49BFAE8A" w:rsidR="0011516D" w:rsidRDefault="0011516D" w:rsidP="0011516D">
            <w:pPr>
              <w:rPr>
                <w:rFonts w:cstheme="majorHAnsi"/>
                <w:sz w:val="18"/>
                <w:szCs w:val="18"/>
              </w:rPr>
            </w:pPr>
            <w:r>
              <w:rPr>
                <w:rFonts w:cstheme="majorHAnsi"/>
                <w:sz w:val="18"/>
                <w:szCs w:val="18"/>
              </w:rPr>
              <w:t>53,268 participants</w:t>
            </w:r>
          </w:p>
          <w:p w14:paraId="4A7CA31C" w14:textId="609A7CBD" w:rsidR="0011516D" w:rsidRPr="00BB08AB" w:rsidRDefault="0011516D" w:rsidP="0011516D">
            <w:pPr>
              <w:rPr>
                <w:rFonts w:cstheme="majorHAnsi"/>
                <w:sz w:val="18"/>
                <w:szCs w:val="18"/>
              </w:rPr>
            </w:pPr>
            <w:r>
              <w:rPr>
                <w:rFonts w:cstheme="majorHAnsi"/>
                <w:sz w:val="18"/>
                <w:szCs w:val="18"/>
              </w:rPr>
              <w:t>One study</w:t>
            </w:r>
          </w:p>
        </w:tc>
        <w:tc>
          <w:tcPr>
            <w:tcW w:w="988" w:type="dxa"/>
          </w:tcPr>
          <w:p w14:paraId="21B035CE" w14:textId="77777777" w:rsidR="0011516D" w:rsidRDefault="0011516D" w:rsidP="0011516D">
            <w:pPr>
              <w:rPr>
                <w:rFonts w:cstheme="majorHAnsi"/>
                <w:sz w:val="18"/>
                <w:szCs w:val="18"/>
              </w:rPr>
            </w:pPr>
            <w:r w:rsidRPr="00BB08AB">
              <w:rPr>
                <w:rFonts w:ascii="Cambria Math" w:hAnsi="Cambria Math" w:cs="Cambria Math"/>
                <w:sz w:val="18"/>
                <w:szCs w:val="18"/>
              </w:rPr>
              <w:t>⊕</w:t>
            </w:r>
          </w:p>
          <w:p w14:paraId="2A8A5884" w14:textId="000CDCD5" w:rsidR="0011516D" w:rsidRPr="0011516D" w:rsidRDefault="0011516D" w:rsidP="0011516D">
            <w:pPr>
              <w:rPr>
                <w:rFonts w:cstheme="majorHAnsi"/>
                <w:b/>
                <w:bCs/>
                <w:sz w:val="18"/>
                <w:szCs w:val="18"/>
              </w:rPr>
            </w:pPr>
            <w:r>
              <w:rPr>
                <w:rFonts w:cstheme="majorHAnsi"/>
                <w:sz w:val="18"/>
                <w:szCs w:val="18"/>
              </w:rPr>
              <w:t>Very low</w:t>
            </w:r>
          </w:p>
        </w:tc>
        <w:tc>
          <w:tcPr>
            <w:tcW w:w="4020" w:type="dxa"/>
          </w:tcPr>
          <w:p w14:paraId="187296A6" w14:textId="08808550" w:rsidR="0011516D" w:rsidRPr="00BB08AB" w:rsidRDefault="0011516D" w:rsidP="0011516D">
            <w:pPr>
              <w:jc w:val="both"/>
              <w:rPr>
                <w:rFonts w:cstheme="majorHAnsi"/>
                <w:sz w:val="18"/>
                <w:szCs w:val="18"/>
              </w:rPr>
            </w:pPr>
            <w:r>
              <w:rPr>
                <w:rFonts w:cstheme="majorHAnsi"/>
                <w:sz w:val="18"/>
                <w:szCs w:val="18"/>
              </w:rPr>
              <w:t>Non-significant results reported. No pooled analysis but meta-analysis underway.</w:t>
            </w:r>
          </w:p>
        </w:tc>
      </w:tr>
      <w:tr w:rsidR="0011516D" w:rsidRPr="00FE662D" w14:paraId="559C547D" w14:textId="77777777" w:rsidTr="00DC18A2">
        <w:tc>
          <w:tcPr>
            <w:tcW w:w="2114" w:type="dxa"/>
          </w:tcPr>
          <w:p w14:paraId="4141CCDA" w14:textId="77777777" w:rsidR="0011516D" w:rsidRPr="00BB08AB" w:rsidRDefault="0011516D" w:rsidP="0011516D">
            <w:pPr>
              <w:rPr>
                <w:rFonts w:cstheme="majorHAnsi"/>
                <w:sz w:val="18"/>
                <w:szCs w:val="18"/>
              </w:rPr>
            </w:pPr>
            <w:r w:rsidRPr="00BB08AB">
              <w:rPr>
                <w:rFonts w:cstheme="majorHAnsi"/>
                <w:sz w:val="18"/>
                <w:szCs w:val="18"/>
              </w:rPr>
              <w:t>PPV</w:t>
            </w:r>
            <w:r w:rsidRPr="00BB08AB">
              <w:rPr>
                <w:rFonts w:cstheme="majorHAnsi"/>
                <w:sz w:val="18"/>
                <w:szCs w:val="18"/>
                <w:vertAlign w:val="subscript"/>
              </w:rPr>
              <w:t>1-3</w:t>
            </w:r>
          </w:p>
        </w:tc>
        <w:tc>
          <w:tcPr>
            <w:tcW w:w="1844" w:type="dxa"/>
          </w:tcPr>
          <w:p w14:paraId="7CF49B34" w14:textId="77777777" w:rsidR="0011516D" w:rsidRDefault="00DC18A2" w:rsidP="0011516D">
            <w:pPr>
              <w:rPr>
                <w:rFonts w:cstheme="majorHAnsi"/>
                <w:sz w:val="18"/>
                <w:szCs w:val="18"/>
              </w:rPr>
            </w:pPr>
            <w:r>
              <w:rPr>
                <w:rFonts w:cstheme="majorHAnsi"/>
                <w:sz w:val="18"/>
                <w:szCs w:val="18"/>
              </w:rPr>
              <w:t>294,347 participants</w:t>
            </w:r>
          </w:p>
          <w:p w14:paraId="424414CD" w14:textId="5B063741" w:rsidR="00DC18A2" w:rsidRPr="00BB08AB" w:rsidRDefault="00DC18A2" w:rsidP="0011516D">
            <w:pPr>
              <w:rPr>
                <w:rFonts w:cstheme="majorHAnsi"/>
                <w:sz w:val="18"/>
                <w:szCs w:val="18"/>
              </w:rPr>
            </w:pPr>
            <w:r>
              <w:rPr>
                <w:rFonts w:cstheme="majorHAnsi"/>
                <w:sz w:val="18"/>
                <w:szCs w:val="18"/>
              </w:rPr>
              <w:t>Six studies including one RCT</w:t>
            </w:r>
          </w:p>
        </w:tc>
        <w:tc>
          <w:tcPr>
            <w:tcW w:w="988" w:type="dxa"/>
          </w:tcPr>
          <w:p w14:paraId="24410269" w14:textId="350CDCAA" w:rsidR="00DC18A2" w:rsidRDefault="00DC18A2" w:rsidP="00DC18A2">
            <w:pPr>
              <w:rPr>
                <w:rFonts w:cstheme="majorHAnsi"/>
                <w:sz w:val="18"/>
                <w:szCs w:val="18"/>
              </w:rPr>
            </w:pPr>
            <w:r w:rsidRPr="00BB08AB">
              <w:rPr>
                <w:rFonts w:ascii="Cambria Math" w:hAnsi="Cambria Math" w:cs="Cambria Math"/>
                <w:sz w:val="18"/>
                <w:szCs w:val="18"/>
              </w:rPr>
              <w:t>⊕⊕⊕</w:t>
            </w:r>
          </w:p>
          <w:p w14:paraId="2854C6CA" w14:textId="0A41AFBA" w:rsidR="0011516D" w:rsidRPr="00BB08AB" w:rsidRDefault="00DC18A2" w:rsidP="00DC18A2">
            <w:pPr>
              <w:rPr>
                <w:rFonts w:cstheme="majorHAnsi"/>
                <w:sz w:val="18"/>
                <w:szCs w:val="18"/>
              </w:rPr>
            </w:pPr>
            <w:r>
              <w:rPr>
                <w:rFonts w:cstheme="majorHAnsi"/>
                <w:sz w:val="18"/>
                <w:szCs w:val="18"/>
              </w:rPr>
              <w:t>Moderate</w:t>
            </w:r>
          </w:p>
        </w:tc>
        <w:tc>
          <w:tcPr>
            <w:tcW w:w="4020" w:type="dxa"/>
          </w:tcPr>
          <w:p w14:paraId="575AE8A8" w14:textId="7818FFE9" w:rsidR="0011516D" w:rsidRPr="00BB08AB" w:rsidRDefault="00DC18A2" w:rsidP="0011516D">
            <w:pPr>
              <w:jc w:val="both"/>
              <w:rPr>
                <w:rFonts w:cstheme="majorHAnsi"/>
                <w:sz w:val="18"/>
                <w:szCs w:val="18"/>
              </w:rPr>
            </w:pPr>
            <w:r>
              <w:rPr>
                <w:rFonts w:cstheme="majorHAnsi"/>
                <w:sz w:val="18"/>
                <w:szCs w:val="18"/>
              </w:rPr>
              <w:t>No systematic review or pooled analysis was available but all studies (including the RCT reported statistically significant increases in PPV</w:t>
            </w:r>
            <w:r>
              <w:rPr>
                <w:rFonts w:cstheme="majorHAnsi"/>
                <w:sz w:val="18"/>
                <w:szCs w:val="18"/>
                <w:vertAlign w:val="subscript"/>
              </w:rPr>
              <w:t xml:space="preserve">1 </w:t>
            </w:r>
            <w:r>
              <w:rPr>
                <w:rFonts w:cstheme="majorHAnsi"/>
                <w:sz w:val="18"/>
                <w:szCs w:val="18"/>
              </w:rPr>
              <w:t>and PPV</w:t>
            </w:r>
            <w:r>
              <w:rPr>
                <w:rFonts w:cstheme="majorHAnsi"/>
                <w:sz w:val="18"/>
                <w:szCs w:val="18"/>
                <w:vertAlign w:val="subscript"/>
              </w:rPr>
              <w:t>3</w:t>
            </w:r>
            <w:r>
              <w:rPr>
                <w:rFonts w:cstheme="majorHAnsi"/>
                <w:sz w:val="18"/>
                <w:szCs w:val="18"/>
              </w:rPr>
              <w:t xml:space="preserve"> (where this was reported). </w:t>
            </w:r>
            <w:r w:rsidRPr="0024768A">
              <w:rPr>
                <w:rFonts w:cstheme="majorHAnsi"/>
                <w:sz w:val="18"/>
                <w:szCs w:val="18"/>
              </w:rPr>
              <w:t>No results</w:t>
            </w:r>
            <w:r w:rsidR="0024768A">
              <w:rPr>
                <w:rFonts w:cstheme="majorHAnsi"/>
                <w:sz w:val="18"/>
                <w:szCs w:val="18"/>
              </w:rPr>
              <w:t xml:space="preserve"> from prospective studies</w:t>
            </w:r>
            <w:r w:rsidRPr="0024768A">
              <w:rPr>
                <w:rFonts w:cstheme="majorHAnsi"/>
                <w:sz w:val="18"/>
                <w:szCs w:val="18"/>
              </w:rPr>
              <w:t xml:space="preserve"> were presented for PPV</w:t>
            </w:r>
            <w:r w:rsidRPr="0024768A">
              <w:rPr>
                <w:rFonts w:cstheme="majorHAnsi"/>
                <w:sz w:val="18"/>
                <w:szCs w:val="18"/>
                <w:vertAlign w:val="subscript"/>
              </w:rPr>
              <w:t>2</w:t>
            </w:r>
            <w:r w:rsidRPr="0024768A">
              <w:rPr>
                <w:rFonts w:cstheme="majorHAnsi"/>
                <w:sz w:val="18"/>
                <w:szCs w:val="18"/>
              </w:rPr>
              <w:t xml:space="preserve">. </w:t>
            </w:r>
          </w:p>
        </w:tc>
      </w:tr>
      <w:tr w:rsidR="0011516D" w:rsidRPr="00DC18A2" w14:paraId="437D7022" w14:textId="77777777" w:rsidTr="00DC18A2">
        <w:tc>
          <w:tcPr>
            <w:tcW w:w="2114" w:type="dxa"/>
          </w:tcPr>
          <w:p w14:paraId="696228FB" w14:textId="77777777" w:rsidR="0011516D" w:rsidRPr="007C7355" w:rsidRDefault="0011516D" w:rsidP="0011516D">
            <w:pPr>
              <w:rPr>
                <w:rFonts w:cstheme="majorHAnsi"/>
                <w:sz w:val="18"/>
                <w:szCs w:val="18"/>
              </w:rPr>
            </w:pPr>
            <w:r w:rsidRPr="007C7355">
              <w:rPr>
                <w:rFonts w:cstheme="majorHAnsi"/>
                <w:sz w:val="18"/>
                <w:szCs w:val="18"/>
              </w:rPr>
              <w:t>Recall rate</w:t>
            </w:r>
          </w:p>
        </w:tc>
        <w:tc>
          <w:tcPr>
            <w:tcW w:w="1844" w:type="dxa"/>
          </w:tcPr>
          <w:p w14:paraId="7514C1A0" w14:textId="386B8EBE" w:rsidR="007C7355" w:rsidRDefault="007C7355" w:rsidP="0011516D">
            <w:pPr>
              <w:rPr>
                <w:rFonts w:cstheme="majorHAnsi"/>
                <w:sz w:val="18"/>
                <w:szCs w:val="18"/>
              </w:rPr>
            </w:pPr>
            <w:r>
              <w:rPr>
                <w:rFonts w:cstheme="majorHAnsi"/>
                <w:sz w:val="18"/>
                <w:szCs w:val="18"/>
              </w:rPr>
              <w:t>616,334 participants</w:t>
            </w:r>
          </w:p>
          <w:p w14:paraId="0D017D2B" w14:textId="65A48F27" w:rsidR="0011516D" w:rsidRPr="007C7355" w:rsidRDefault="007C7355" w:rsidP="0011516D">
            <w:pPr>
              <w:rPr>
                <w:rFonts w:cstheme="majorHAnsi"/>
                <w:sz w:val="18"/>
                <w:szCs w:val="18"/>
              </w:rPr>
            </w:pPr>
            <w:r>
              <w:rPr>
                <w:rFonts w:cstheme="majorHAnsi"/>
                <w:sz w:val="18"/>
                <w:szCs w:val="18"/>
              </w:rPr>
              <w:t>Eight studies including one RCT</w:t>
            </w:r>
          </w:p>
        </w:tc>
        <w:tc>
          <w:tcPr>
            <w:tcW w:w="988" w:type="dxa"/>
          </w:tcPr>
          <w:p w14:paraId="5AE1931A" w14:textId="77777777" w:rsidR="00430030" w:rsidRPr="007C7355" w:rsidRDefault="00430030" w:rsidP="00430030">
            <w:pPr>
              <w:rPr>
                <w:rFonts w:cstheme="majorHAnsi"/>
                <w:sz w:val="18"/>
                <w:szCs w:val="18"/>
              </w:rPr>
            </w:pPr>
            <w:r w:rsidRPr="007C7355">
              <w:rPr>
                <w:rFonts w:ascii="Cambria Math" w:hAnsi="Cambria Math" w:cs="Cambria Math"/>
                <w:sz w:val="18"/>
                <w:szCs w:val="18"/>
              </w:rPr>
              <w:t>⊕⊕</w:t>
            </w:r>
          </w:p>
          <w:p w14:paraId="5987374E" w14:textId="1AD53B91" w:rsidR="0011516D" w:rsidRPr="007C7355" w:rsidRDefault="00430030" w:rsidP="00430030">
            <w:pPr>
              <w:rPr>
                <w:rFonts w:cstheme="majorHAnsi"/>
                <w:sz w:val="18"/>
                <w:szCs w:val="18"/>
              </w:rPr>
            </w:pPr>
            <w:r w:rsidRPr="007C7355">
              <w:rPr>
                <w:rFonts w:cstheme="majorHAnsi"/>
                <w:sz w:val="18"/>
                <w:szCs w:val="18"/>
              </w:rPr>
              <w:t>Low</w:t>
            </w:r>
          </w:p>
        </w:tc>
        <w:tc>
          <w:tcPr>
            <w:tcW w:w="4020" w:type="dxa"/>
          </w:tcPr>
          <w:p w14:paraId="3361A180" w14:textId="145A6728" w:rsidR="0011516D" w:rsidRPr="007C7355" w:rsidRDefault="00430030" w:rsidP="0011516D">
            <w:pPr>
              <w:jc w:val="both"/>
              <w:rPr>
                <w:rFonts w:cstheme="majorHAnsi"/>
                <w:sz w:val="18"/>
                <w:szCs w:val="18"/>
              </w:rPr>
            </w:pPr>
            <w:r w:rsidRPr="007C7355">
              <w:rPr>
                <w:rFonts w:cstheme="majorHAnsi"/>
                <w:sz w:val="18"/>
                <w:szCs w:val="18"/>
              </w:rPr>
              <w:t xml:space="preserve">Pooled analysis suggests that recall rate decreases with the use of </w:t>
            </w:r>
            <w:r w:rsidR="00BB7BBA" w:rsidRPr="007C7355">
              <w:rPr>
                <w:rFonts w:cstheme="majorHAnsi"/>
                <w:sz w:val="18"/>
                <w:szCs w:val="18"/>
              </w:rPr>
              <w:t>DBT,</w:t>
            </w:r>
            <w:r w:rsidRPr="007C7355">
              <w:rPr>
                <w:rFonts w:cstheme="majorHAnsi"/>
                <w:sz w:val="18"/>
                <w:szCs w:val="18"/>
              </w:rPr>
              <w:t xml:space="preserve"> but the primary studies report inconsistent evidence.</w:t>
            </w:r>
          </w:p>
        </w:tc>
      </w:tr>
      <w:tr w:rsidR="0011516D" w14:paraId="3F8DCD4E" w14:textId="77777777" w:rsidTr="00DC18A2">
        <w:tc>
          <w:tcPr>
            <w:tcW w:w="2114" w:type="dxa"/>
          </w:tcPr>
          <w:p w14:paraId="528C815E" w14:textId="77777777" w:rsidR="0011516D" w:rsidRPr="00833B78" w:rsidRDefault="0011516D" w:rsidP="0011516D">
            <w:pPr>
              <w:rPr>
                <w:rFonts w:cstheme="majorHAnsi"/>
                <w:sz w:val="18"/>
                <w:szCs w:val="18"/>
              </w:rPr>
            </w:pPr>
            <w:r w:rsidRPr="00833B78">
              <w:rPr>
                <w:rFonts w:cstheme="majorHAnsi"/>
                <w:sz w:val="18"/>
                <w:szCs w:val="18"/>
              </w:rPr>
              <w:t>False positive rate</w:t>
            </w:r>
          </w:p>
          <w:p w14:paraId="3E43B0E1" w14:textId="3047EE44" w:rsidR="00DC18A2" w:rsidRPr="00833B78" w:rsidRDefault="00DC18A2" w:rsidP="0011516D">
            <w:pPr>
              <w:rPr>
                <w:rFonts w:cstheme="majorHAnsi"/>
                <w:sz w:val="18"/>
                <w:szCs w:val="18"/>
              </w:rPr>
            </w:pPr>
          </w:p>
        </w:tc>
        <w:tc>
          <w:tcPr>
            <w:tcW w:w="1844" w:type="dxa"/>
          </w:tcPr>
          <w:p w14:paraId="238EAC57" w14:textId="1220FC01" w:rsidR="00833B78" w:rsidRPr="00833B78" w:rsidRDefault="00833B78" w:rsidP="0011516D">
            <w:pPr>
              <w:rPr>
                <w:rFonts w:cstheme="majorHAnsi"/>
                <w:sz w:val="18"/>
                <w:szCs w:val="18"/>
              </w:rPr>
            </w:pPr>
            <w:r w:rsidRPr="00833B78">
              <w:rPr>
                <w:rFonts w:cstheme="majorHAnsi"/>
                <w:sz w:val="18"/>
                <w:szCs w:val="18"/>
              </w:rPr>
              <w:t>69,745</w:t>
            </w:r>
          </w:p>
          <w:p w14:paraId="0D2524EB" w14:textId="233AD874" w:rsidR="0011516D" w:rsidRPr="00833B78" w:rsidRDefault="00833B78" w:rsidP="0011516D">
            <w:pPr>
              <w:rPr>
                <w:rFonts w:cstheme="majorHAnsi"/>
                <w:sz w:val="18"/>
                <w:szCs w:val="18"/>
              </w:rPr>
            </w:pPr>
            <w:r w:rsidRPr="00833B78">
              <w:rPr>
                <w:rFonts w:cstheme="majorHAnsi"/>
                <w:sz w:val="18"/>
                <w:szCs w:val="18"/>
              </w:rPr>
              <w:t>Four studies</w:t>
            </w:r>
          </w:p>
        </w:tc>
        <w:tc>
          <w:tcPr>
            <w:tcW w:w="988" w:type="dxa"/>
          </w:tcPr>
          <w:p w14:paraId="015AEB78" w14:textId="7A5EAD74" w:rsidR="00430030" w:rsidRPr="00833B78" w:rsidRDefault="00430030" w:rsidP="00430030">
            <w:pPr>
              <w:rPr>
                <w:rFonts w:cstheme="majorHAnsi"/>
                <w:sz w:val="18"/>
                <w:szCs w:val="18"/>
              </w:rPr>
            </w:pPr>
            <w:r w:rsidRPr="00833B78">
              <w:rPr>
                <w:rFonts w:ascii="Cambria Math" w:hAnsi="Cambria Math" w:cs="Cambria Math"/>
                <w:sz w:val="18"/>
                <w:szCs w:val="18"/>
              </w:rPr>
              <w:t>⊕</w:t>
            </w:r>
          </w:p>
          <w:p w14:paraId="35925407" w14:textId="08E7D3D3" w:rsidR="0011516D" w:rsidRPr="00833B78" w:rsidRDefault="00430030" w:rsidP="00430030">
            <w:pPr>
              <w:rPr>
                <w:rFonts w:cstheme="majorHAnsi"/>
                <w:sz w:val="18"/>
                <w:szCs w:val="18"/>
              </w:rPr>
            </w:pPr>
            <w:r w:rsidRPr="00833B78">
              <w:rPr>
                <w:rFonts w:cstheme="majorHAnsi"/>
                <w:sz w:val="18"/>
                <w:szCs w:val="18"/>
              </w:rPr>
              <w:t>Very low</w:t>
            </w:r>
          </w:p>
        </w:tc>
        <w:tc>
          <w:tcPr>
            <w:tcW w:w="4020" w:type="dxa"/>
          </w:tcPr>
          <w:p w14:paraId="49AE5208" w14:textId="6824AB71" w:rsidR="0011516D" w:rsidRPr="00BB08AB" w:rsidRDefault="00430030" w:rsidP="0011516D">
            <w:pPr>
              <w:jc w:val="both"/>
              <w:rPr>
                <w:rFonts w:cstheme="majorHAnsi"/>
                <w:sz w:val="18"/>
                <w:szCs w:val="18"/>
              </w:rPr>
            </w:pPr>
            <w:r w:rsidRPr="00833B78">
              <w:rPr>
                <w:rFonts w:cstheme="majorHAnsi"/>
                <w:sz w:val="18"/>
                <w:szCs w:val="18"/>
              </w:rPr>
              <w:t>No systematic review or pooled analysis was available and primary study results are inconsistent.</w:t>
            </w:r>
          </w:p>
        </w:tc>
      </w:tr>
      <w:tr w:rsidR="0011516D" w:rsidRPr="00FE662D" w14:paraId="5AA09FC3" w14:textId="77777777" w:rsidTr="00DC18A2">
        <w:tc>
          <w:tcPr>
            <w:tcW w:w="2114" w:type="dxa"/>
          </w:tcPr>
          <w:p w14:paraId="3E09FF5B" w14:textId="77777777" w:rsidR="0011516D" w:rsidRPr="00BB08AB" w:rsidRDefault="0011516D" w:rsidP="0011516D">
            <w:pPr>
              <w:rPr>
                <w:rFonts w:cstheme="majorHAnsi"/>
                <w:sz w:val="18"/>
                <w:szCs w:val="18"/>
              </w:rPr>
            </w:pPr>
            <w:r w:rsidRPr="00BB08AB">
              <w:rPr>
                <w:rFonts w:cstheme="majorHAnsi"/>
                <w:sz w:val="18"/>
                <w:szCs w:val="18"/>
              </w:rPr>
              <w:t>Radiation dose</w:t>
            </w:r>
          </w:p>
        </w:tc>
        <w:tc>
          <w:tcPr>
            <w:tcW w:w="1844" w:type="dxa"/>
          </w:tcPr>
          <w:p w14:paraId="2FE77A9B" w14:textId="3B4A756B" w:rsidR="00927813" w:rsidRDefault="00DC18A2" w:rsidP="0011516D">
            <w:pPr>
              <w:rPr>
                <w:rFonts w:cstheme="majorHAnsi"/>
                <w:sz w:val="18"/>
                <w:szCs w:val="18"/>
              </w:rPr>
            </w:pPr>
            <w:r>
              <w:rPr>
                <w:rFonts w:cstheme="majorHAnsi"/>
                <w:sz w:val="18"/>
                <w:szCs w:val="18"/>
              </w:rPr>
              <w:t>71,391</w:t>
            </w:r>
          </w:p>
          <w:p w14:paraId="37952BC8" w14:textId="72BA80DB" w:rsidR="0011516D" w:rsidRPr="00BB08AB" w:rsidRDefault="00DC18A2" w:rsidP="0011516D">
            <w:pPr>
              <w:rPr>
                <w:rFonts w:cstheme="majorHAnsi"/>
                <w:sz w:val="18"/>
                <w:szCs w:val="18"/>
              </w:rPr>
            </w:pPr>
            <w:r>
              <w:rPr>
                <w:rFonts w:cstheme="majorHAnsi"/>
                <w:sz w:val="18"/>
                <w:szCs w:val="18"/>
              </w:rPr>
              <w:t>Five</w:t>
            </w:r>
            <w:r w:rsidR="00927813">
              <w:rPr>
                <w:rFonts w:cstheme="majorHAnsi"/>
                <w:sz w:val="18"/>
                <w:szCs w:val="18"/>
              </w:rPr>
              <w:t xml:space="preserve"> studies</w:t>
            </w:r>
            <w:r>
              <w:rPr>
                <w:rFonts w:cstheme="majorHAnsi"/>
                <w:sz w:val="18"/>
                <w:szCs w:val="18"/>
              </w:rPr>
              <w:t xml:space="preserve"> including one RCT</w:t>
            </w:r>
          </w:p>
        </w:tc>
        <w:tc>
          <w:tcPr>
            <w:tcW w:w="988" w:type="dxa"/>
          </w:tcPr>
          <w:p w14:paraId="12EE1F10" w14:textId="77777777" w:rsidR="00927813" w:rsidRDefault="00927813" w:rsidP="00927813">
            <w:pPr>
              <w:rPr>
                <w:rFonts w:cstheme="majorHAnsi"/>
                <w:sz w:val="18"/>
                <w:szCs w:val="18"/>
              </w:rPr>
            </w:pPr>
            <w:r w:rsidRPr="00BB08AB">
              <w:rPr>
                <w:rFonts w:ascii="Cambria Math" w:hAnsi="Cambria Math" w:cs="Cambria Math"/>
                <w:sz w:val="18"/>
                <w:szCs w:val="18"/>
              </w:rPr>
              <w:t>⊕</w:t>
            </w:r>
          </w:p>
          <w:p w14:paraId="2FDD199E" w14:textId="542A697A" w:rsidR="0011516D" w:rsidRPr="00BB08AB" w:rsidRDefault="00927813" w:rsidP="00927813">
            <w:pPr>
              <w:rPr>
                <w:rFonts w:cstheme="majorHAnsi"/>
                <w:sz w:val="18"/>
                <w:szCs w:val="18"/>
              </w:rPr>
            </w:pPr>
            <w:r>
              <w:rPr>
                <w:rFonts w:cstheme="majorHAnsi"/>
                <w:sz w:val="18"/>
                <w:szCs w:val="18"/>
              </w:rPr>
              <w:t>Very low</w:t>
            </w:r>
          </w:p>
        </w:tc>
        <w:tc>
          <w:tcPr>
            <w:tcW w:w="4020" w:type="dxa"/>
          </w:tcPr>
          <w:p w14:paraId="502C9D70" w14:textId="2D32EEF1" w:rsidR="0011516D" w:rsidRPr="00BB08AB" w:rsidRDefault="00DC18A2" w:rsidP="0011516D">
            <w:pPr>
              <w:jc w:val="both"/>
              <w:rPr>
                <w:rFonts w:cstheme="majorHAnsi"/>
                <w:sz w:val="18"/>
                <w:szCs w:val="18"/>
              </w:rPr>
            </w:pPr>
            <w:r>
              <w:rPr>
                <w:rFonts w:cstheme="majorHAnsi"/>
                <w:sz w:val="18"/>
                <w:szCs w:val="18"/>
              </w:rPr>
              <w:t xml:space="preserve">No systematic review or pooled analysis was available. </w:t>
            </w:r>
            <w:r w:rsidR="00927813">
              <w:rPr>
                <w:rFonts w:cstheme="majorHAnsi"/>
                <w:sz w:val="18"/>
                <w:szCs w:val="18"/>
              </w:rPr>
              <w:t>Mixed results reported for radiation dose.</w:t>
            </w:r>
            <w:r>
              <w:rPr>
                <w:rFonts w:cstheme="majorHAnsi"/>
                <w:sz w:val="18"/>
                <w:szCs w:val="18"/>
              </w:rPr>
              <w:t xml:space="preserve"> No difference in MGD was reported in the RCT but data from all other studies indicated a higher MGD with DBT+</w:t>
            </w:r>
            <w:r w:rsidR="00176980">
              <w:rPr>
                <w:rFonts w:cstheme="majorHAnsi"/>
                <w:sz w:val="18"/>
                <w:szCs w:val="18"/>
              </w:rPr>
              <w:t>s2DM</w:t>
            </w:r>
            <w:r>
              <w:rPr>
                <w:rFonts w:cstheme="majorHAnsi"/>
                <w:sz w:val="18"/>
                <w:szCs w:val="18"/>
              </w:rPr>
              <w:t xml:space="preserve"> (although the MGD for this modality was lower than for FFDM+DBT).</w:t>
            </w:r>
          </w:p>
        </w:tc>
      </w:tr>
      <w:tr w:rsidR="0011516D" w:rsidRPr="00FE662D" w14:paraId="37EFDB8E" w14:textId="77777777" w:rsidTr="00DC18A2">
        <w:tc>
          <w:tcPr>
            <w:tcW w:w="2114" w:type="dxa"/>
          </w:tcPr>
          <w:p w14:paraId="5F1DE004" w14:textId="77777777" w:rsidR="0011516D" w:rsidRPr="00630B87" w:rsidRDefault="0011516D" w:rsidP="0011516D">
            <w:pPr>
              <w:rPr>
                <w:rFonts w:cstheme="majorHAnsi"/>
                <w:sz w:val="18"/>
                <w:szCs w:val="18"/>
              </w:rPr>
            </w:pPr>
            <w:r w:rsidRPr="00630B87">
              <w:rPr>
                <w:rFonts w:cstheme="majorHAnsi"/>
                <w:sz w:val="18"/>
                <w:szCs w:val="18"/>
              </w:rPr>
              <w:t>Interpretation time</w:t>
            </w:r>
          </w:p>
        </w:tc>
        <w:tc>
          <w:tcPr>
            <w:tcW w:w="1844" w:type="dxa"/>
          </w:tcPr>
          <w:p w14:paraId="1890D9F5" w14:textId="77777777" w:rsidR="0011516D" w:rsidRDefault="00AF6DF3" w:rsidP="0011516D">
            <w:pPr>
              <w:rPr>
                <w:rFonts w:cstheme="majorHAnsi"/>
                <w:sz w:val="18"/>
                <w:szCs w:val="18"/>
              </w:rPr>
            </w:pPr>
            <w:r>
              <w:rPr>
                <w:rFonts w:cstheme="majorHAnsi"/>
                <w:sz w:val="18"/>
                <w:szCs w:val="18"/>
              </w:rPr>
              <w:t>86,755 participants</w:t>
            </w:r>
          </w:p>
          <w:p w14:paraId="4FC9DD67" w14:textId="338AF3EB" w:rsidR="00AF6DF3" w:rsidRPr="00630B87" w:rsidRDefault="00AF6DF3" w:rsidP="0011516D">
            <w:pPr>
              <w:rPr>
                <w:rFonts w:cstheme="majorHAnsi"/>
                <w:sz w:val="18"/>
                <w:szCs w:val="18"/>
              </w:rPr>
            </w:pPr>
            <w:r>
              <w:rPr>
                <w:rFonts w:cstheme="majorHAnsi"/>
                <w:sz w:val="18"/>
                <w:szCs w:val="18"/>
              </w:rPr>
              <w:t>Four studies</w:t>
            </w:r>
          </w:p>
        </w:tc>
        <w:tc>
          <w:tcPr>
            <w:tcW w:w="988" w:type="dxa"/>
          </w:tcPr>
          <w:p w14:paraId="36CC76F5" w14:textId="77777777" w:rsidR="00630B87" w:rsidRPr="00630B87" w:rsidRDefault="00630B87" w:rsidP="00630B87">
            <w:pPr>
              <w:rPr>
                <w:rFonts w:cstheme="majorHAnsi"/>
                <w:sz w:val="18"/>
                <w:szCs w:val="18"/>
              </w:rPr>
            </w:pPr>
            <w:r w:rsidRPr="00630B87">
              <w:rPr>
                <w:rFonts w:ascii="Cambria Math" w:hAnsi="Cambria Math" w:cs="Cambria Math"/>
                <w:sz w:val="18"/>
                <w:szCs w:val="18"/>
              </w:rPr>
              <w:t>⊕⊕⊕</w:t>
            </w:r>
          </w:p>
          <w:p w14:paraId="381CDCAD" w14:textId="5CFC6BFF" w:rsidR="0011516D" w:rsidRPr="00630B87" w:rsidRDefault="00630B87" w:rsidP="00630B87">
            <w:pPr>
              <w:rPr>
                <w:rFonts w:cstheme="majorHAnsi"/>
                <w:sz w:val="18"/>
                <w:szCs w:val="18"/>
              </w:rPr>
            </w:pPr>
            <w:r w:rsidRPr="00630B87">
              <w:rPr>
                <w:rFonts w:cstheme="majorHAnsi"/>
                <w:sz w:val="18"/>
                <w:szCs w:val="18"/>
              </w:rPr>
              <w:t>Moderate</w:t>
            </w:r>
          </w:p>
        </w:tc>
        <w:tc>
          <w:tcPr>
            <w:tcW w:w="4020" w:type="dxa"/>
          </w:tcPr>
          <w:p w14:paraId="464AA02E" w14:textId="5EA4458F" w:rsidR="0011516D" w:rsidRPr="00BB08AB" w:rsidRDefault="00630B87" w:rsidP="0011516D">
            <w:pPr>
              <w:jc w:val="both"/>
              <w:rPr>
                <w:rFonts w:cstheme="majorHAnsi"/>
                <w:sz w:val="18"/>
                <w:szCs w:val="18"/>
              </w:rPr>
            </w:pPr>
            <w:r w:rsidRPr="00630B87">
              <w:rPr>
                <w:rFonts w:cstheme="majorHAnsi"/>
                <w:sz w:val="18"/>
                <w:szCs w:val="18"/>
              </w:rPr>
              <w:t>No systematic review or pooled analysis was available but evidence that interpretation time increased with the use of DBT was consistent across all studies, with most reporting at least a doubling in reading time.</w:t>
            </w:r>
          </w:p>
        </w:tc>
      </w:tr>
    </w:tbl>
    <w:p w14:paraId="07C69E12" w14:textId="77777777" w:rsidR="00F53056" w:rsidRDefault="00F53056" w:rsidP="00F53056">
      <w:pPr>
        <w:pStyle w:val="BodyText"/>
      </w:pPr>
    </w:p>
    <w:p w14:paraId="29FB5799" w14:textId="4C530157" w:rsidR="00F53056" w:rsidRDefault="00F53056" w:rsidP="00F53056">
      <w:pPr>
        <w:rPr>
          <w:b/>
          <w:bCs/>
          <w:color w:val="36424A" w:themeColor="accent1"/>
          <w:sz w:val="18"/>
          <w:szCs w:val="18"/>
        </w:rPr>
      </w:pPr>
      <w:r>
        <w:br w:type="page"/>
      </w:r>
    </w:p>
    <w:p w14:paraId="2A5C4799" w14:textId="4DF9BFB0" w:rsidR="00F53056" w:rsidRPr="003234B3" w:rsidRDefault="00F53056" w:rsidP="00F53056">
      <w:pPr>
        <w:pStyle w:val="Caption"/>
        <w:rPr>
          <w:rFonts w:asciiTheme="majorHAnsi" w:hAnsiTheme="majorHAnsi" w:cstheme="majorHAnsi"/>
        </w:rPr>
      </w:pPr>
      <w:r>
        <w:lastRenderedPageBreak/>
        <w:t xml:space="preserve">Table </w:t>
      </w:r>
      <w:r>
        <w:fldChar w:fldCharType="begin"/>
      </w:r>
      <w:r>
        <w:instrText xml:space="preserve"> SEQ Table \* ARABIC </w:instrText>
      </w:r>
      <w:r>
        <w:fldChar w:fldCharType="separate"/>
      </w:r>
      <w:r w:rsidR="00AB18B5">
        <w:rPr>
          <w:noProof/>
        </w:rPr>
        <w:t>3</w:t>
      </w:r>
      <w:r>
        <w:fldChar w:fldCharType="end"/>
      </w:r>
      <w:r>
        <w:t>: Assessment of evidence for DBT</w:t>
      </w:r>
      <w:r>
        <w:rPr>
          <w:vertAlign w:val="subscript"/>
        </w:rPr>
        <w:t>MLO</w:t>
      </w:r>
      <w:r w:rsidR="0011516D">
        <w:t xml:space="preserve"> </w:t>
      </w:r>
      <w:r>
        <w:t xml:space="preserve">compared to </w:t>
      </w:r>
      <w:r w:rsidR="0011516D">
        <w:t>FFDM</w:t>
      </w:r>
    </w:p>
    <w:tbl>
      <w:tblPr>
        <w:tblStyle w:val="ACGreen-BasicTable"/>
        <w:tblW w:w="0" w:type="auto"/>
        <w:tblLook w:val="04A0" w:firstRow="1" w:lastRow="0" w:firstColumn="1" w:lastColumn="0" w:noHBand="0" w:noVBand="1"/>
        <w:tblDescription w:val="Table 3 shows assessment of evidence for DBTMLO compared to FFDM&#10;&#10;Outcomes for Reduction in mortality&#10;There were no Participants Studies.&#10;The quality of evidence was nil.&#10;The overall results: No studies reported on a reduction in mortality&#10;&#10;Outcomes for cancer detection rate&#10;The participants studies included 14,848 participants. There was one study.&#10;The quality of evidence was very low.&#10;The overall results were no systematic review or pooled analysis was available.&#10;&#10;Outcomes for Invasive cancer detection rate: &#10;The participants studies included 14,848 participants. There was one study.&#10;The quality of evidence was very low.&#10;The overall results were no systematic review or pooled analysis was available.&#10;&#10;Outcomes for Interval cancer detection&#10;The participants Studies included 14,848 participants. There was one study.&#10;The quality of evidence was very low.&#10;The overall results were non-significant results reported. No pooled analysis but meta-analysis underway.&#10;&#10;Outcome for PPV1-3&#10;The participants studies included 14,848 participants. There was one study.&#10;The quality of evidence was very low.&#10;The overall results were no systematic review or pooled analysis was available.&#10;&#10;Outcomes for Recall rate&#10;The participants studies included 14,848 participants. There was one study.&#10;The quality of evidence was very low.&#10;The overall results were no systematic review or pooled analysis was available.&#10;&#10;Outcomes for false positive rate&#10;The participants studies included 14,848 participants. There was one study.&#10;The quality of evidence was very low.&#10;The overall results were no systematic review or pooled analysis was available.&#10;&#10;Outcomes for Radiation dose&#10;The participants studies included 16,056 participants. There were two studies.&#10;The quality of evidence was very low.&#10;The overall results were no systematic review or pooled analysis was available. Mixed results were reported, with one study reporting a higher MGD with DBTMLO and one reporting a lower MGD compared to FFDM.&#10;&#10;Outcomes for Interpretation time&#10;The Participants Studies did not have any participants.&#10;The quality of evidence was nil.&#10;The overall results had no studies reported on interpretation time.&#10;&#10;&#10;"/>
      </w:tblPr>
      <w:tblGrid>
        <w:gridCol w:w="2114"/>
        <w:gridCol w:w="1992"/>
        <w:gridCol w:w="992"/>
        <w:gridCol w:w="3863"/>
      </w:tblGrid>
      <w:tr w:rsidR="00F53056" w:rsidRPr="00F23A05" w14:paraId="5FF7C1DE" w14:textId="77777777" w:rsidTr="0041447D">
        <w:trPr>
          <w:cnfStyle w:val="100000000000" w:firstRow="1" w:lastRow="0" w:firstColumn="0" w:lastColumn="0" w:oddVBand="0" w:evenVBand="0" w:oddHBand="0" w:evenHBand="0" w:firstRowFirstColumn="0" w:firstRowLastColumn="0" w:lastRowFirstColumn="0" w:lastRowLastColumn="0"/>
        </w:trPr>
        <w:tc>
          <w:tcPr>
            <w:tcW w:w="2114" w:type="dxa"/>
          </w:tcPr>
          <w:p w14:paraId="31338935" w14:textId="77777777" w:rsidR="00F53056" w:rsidRPr="00F23A05" w:rsidRDefault="00F53056" w:rsidP="00236D7C">
            <w:pPr>
              <w:rPr>
                <w:rFonts w:cstheme="majorHAnsi"/>
                <w:sz w:val="18"/>
                <w:szCs w:val="18"/>
              </w:rPr>
            </w:pPr>
            <w:r w:rsidRPr="00F23A05">
              <w:rPr>
                <w:rFonts w:cstheme="majorHAnsi"/>
                <w:sz w:val="18"/>
                <w:szCs w:val="18"/>
              </w:rPr>
              <w:t xml:space="preserve">Outcomes </w:t>
            </w:r>
          </w:p>
        </w:tc>
        <w:tc>
          <w:tcPr>
            <w:tcW w:w="1992" w:type="dxa"/>
          </w:tcPr>
          <w:p w14:paraId="21237AD1" w14:textId="77777777" w:rsidR="00F53056" w:rsidRPr="00F23A05" w:rsidRDefault="00F53056" w:rsidP="00236D7C">
            <w:pPr>
              <w:rPr>
                <w:rFonts w:cstheme="majorHAnsi"/>
                <w:b w:val="0"/>
                <w:sz w:val="18"/>
                <w:szCs w:val="18"/>
              </w:rPr>
            </w:pPr>
            <w:r w:rsidRPr="00F23A05">
              <w:rPr>
                <w:rFonts w:cstheme="majorHAnsi"/>
                <w:sz w:val="18"/>
                <w:szCs w:val="18"/>
              </w:rPr>
              <w:t xml:space="preserve">Participants </w:t>
            </w:r>
          </w:p>
          <w:p w14:paraId="3FECEEC5" w14:textId="7848E977" w:rsidR="00F53056" w:rsidRPr="00F23A05" w:rsidRDefault="00F53056" w:rsidP="00236D7C">
            <w:pPr>
              <w:rPr>
                <w:rFonts w:cstheme="majorHAnsi"/>
                <w:sz w:val="18"/>
                <w:szCs w:val="18"/>
              </w:rPr>
            </w:pPr>
            <w:r w:rsidRPr="00F23A05">
              <w:rPr>
                <w:rFonts w:cstheme="majorHAnsi"/>
                <w:sz w:val="18"/>
                <w:szCs w:val="18"/>
              </w:rPr>
              <w:t>Studies</w:t>
            </w:r>
          </w:p>
        </w:tc>
        <w:tc>
          <w:tcPr>
            <w:tcW w:w="992" w:type="dxa"/>
          </w:tcPr>
          <w:p w14:paraId="7F90D27B" w14:textId="02448A1B" w:rsidR="00F53056" w:rsidRPr="00F23A05" w:rsidRDefault="00F53056" w:rsidP="00236D7C">
            <w:pPr>
              <w:rPr>
                <w:rFonts w:cstheme="majorHAnsi"/>
                <w:sz w:val="18"/>
                <w:szCs w:val="18"/>
              </w:rPr>
            </w:pPr>
            <w:r w:rsidRPr="00F23A05">
              <w:rPr>
                <w:rFonts w:cstheme="majorHAnsi"/>
                <w:sz w:val="18"/>
                <w:szCs w:val="18"/>
              </w:rPr>
              <w:t xml:space="preserve">Quality of evidence </w:t>
            </w:r>
          </w:p>
        </w:tc>
        <w:tc>
          <w:tcPr>
            <w:tcW w:w="3863" w:type="dxa"/>
          </w:tcPr>
          <w:p w14:paraId="71E7AD7E" w14:textId="77777777" w:rsidR="00F53056" w:rsidRPr="00F23A05" w:rsidRDefault="00F53056" w:rsidP="00236D7C">
            <w:pPr>
              <w:rPr>
                <w:rFonts w:cstheme="majorHAnsi"/>
                <w:sz w:val="18"/>
                <w:szCs w:val="18"/>
              </w:rPr>
            </w:pPr>
            <w:r w:rsidRPr="00F23A05">
              <w:rPr>
                <w:rFonts w:cstheme="majorHAnsi"/>
                <w:sz w:val="18"/>
                <w:szCs w:val="18"/>
              </w:rPr>
              <w:t xml:space="preserve">Overall results </w:t>
            </w:r>
          </w:p>
        </w:tc>
      </w:tr>
      <w:tr w:rsidR="0011516D" w:rsidRPr="00F23A05" w14:paraId="3E508936" w14:textId="77777777" w:rsidTr="0041447D">
        <w:tc>
          <w:tcPr>
            <w:tcW w:w="2114" w:type="dxa"/>
          </w:tcPr>
          <w:p w14:paraId="3ED54EAB" w14:textId="77777777" w:rsidR="0011516D" w:rsidRPr="00F23A05" w:rsidRDefault="0011516D" w:rsidP="0011516D">
            <w:pPr>
              <w:rPr>
                <w:rFonts w:cstheme="majorHAnsi"/>
                <w:sz w:val="18"/>
                <w:szCs w:val="18"/>
              </w:rPr>
            </w:pPr>
            <w:r w:rsidRPr="00F23A05">
              <w:rPr>
                <w:rFonts w:cstheme="majorHAnsi"/>
                <w:sz w:val="18"/>
                <w:szCs w:val="18"/>
              </w:rPr>
              <w:t>Reduction in mortality</w:t>
            </w:r>
          </w:p>
        </w:tc>
        <w:tc>
          <w:tcPr>
            <w:tcW w:w="1992" w:type="dxa"/>
          </w:tcPr>
          <w:p w14:paraId="1837DAFA" w14:textId="107E70DA" w:rsidR="0011516D" w:rsidRPr="00F23A05" w:rsidRDefault="0011516D" w:rsidP="0011516D">
            <w:pPr>
              <w:rPr>
                <w:rFonts w:cstheme="majorHAnsi"/>
                <w:sz w:val="18"/>
                <w:szCs w:val="18"/>
              </w:rPr>
            </w:pPr>
            <w:r w:rsidRPr="00F23A05">
              <w:rPr>
                <w:rFonts w:cstheme="majorHAnsi"/>
                <w:sz w:val="18"/>
                <w:szCs w:val="18"/>
              </w:rPr>
              <w:t>0</w:t>
            </w:r>
          </w:p>
        </w:tc>
        <w:tc>
          <w:tcPr>
            <w:tcW w:w="992" w:type="dxa"/>
          </w:tcPr>
          <w:p w14:paraId="31D86F08" w14:textId="5DBC0335" w:rsidR="0011516D" w:rsidRPr="00F23A05" w:rsidRDefault="0011516D" w:rsidP="0011516D">
            <w:pPr>
              <w:rPr>
                <w:rFonts w:cstheme="majorHAnsi"/>
                <w:sz w:val="18"/>
                <w:szCs w:val="18"/>
              </w:rPr>
            </w:pPr>
            <w:r w:rsidRPr="00F23A05">
              <w:rPr>
                <w:rFonts w:cstheme="majorHAnsi"/>
                <w:sz w:val="18"/>
                <w:szCs w:val="18"/>
              </w:rPr>
              <w:t>Nil</w:t>
            </w:r>
          </w:p>
        </w:tc>
        <w:tc>
          <w:tcPr>
            <w:tcW w:w="3863" w:type="dxa"/>
          </w:tcPr>
          <w:p w14:paraId="572840F3" w14:textId="10D3E1F2" w:rsidR="0011516D" w:rsidRPr="00F23A05" w:rsidRDefault="0011516D" w:rsidP="0011516D">
            <w:pPr>
              <w:rPr>
                <w:rFonts w:cstheme="majorHAnsi"/>
                <w:sz w:val="18"/>
                <w:szCs w:val="18"/>
              </w:rPr>
            </w:pPr>
            <w:r w:rsidRPr="00F23A05">
              <w:rPr>
                <w:rFonts w:cstheme="majorHAnsi"/>
                <w:sz w:val="18"/>
                <w:szCs w:val="18"/>
              </w:rPr>
              <w:t>No studies reported on a reduction in mortality.</w:t>
            </w:r>
          </w:p>
        </w:tc>
      </w:tr>
      <w:tr w:rsidR="0011516D" w:rsidRPr="00F23A05" w14:paraId="1742358C" w14:textId="77777777" w:rsidTr="0041447D">
        <w:tc>
          <w:tcPr>
            <w:tcW w:w="2114" w:type="dxa"/>
          </w:tcPr>
          <w:p w14:paraId="32ACBBC7" w14:textId="77777777" w:rsidR="0011516D" w:rsidRPr="00F23A05" w:rsidRDefault="0011516D" w:rsidP="0011516D">
            <w:pPr>
              <w:rPr>
                <w:rFonts w:cstheme="majorHAnsi"/>
                <w:sz w:val="18"/>
                <w:szCs w:val="18"/>
              </w:rPr>
            </w:pPr>
            <w:r w:rsidRPr="00F23A05">
              <w:rPr>
                <w:rFonts w:cstheme="majorHAnsi"/>
                <w:sz w:val="18"/>
                <w:szCs w:val="18"/>
              </w:rPr>
              <w:t>Cancer detection rate</w:t>
            </w:r>
          </w:p>
          <w:p w14:paraId="27AC8EFF" w14:textId="77777777" w:rsidR="0011516D" w:rsidRPr="00F23A05" w:rsidRDefault="0011516D" w:rsidP="0011516D">
            <w:pPr>
              <w:rPr>
                <w:rFonts w:cstheme="majorHAnsi"/>
                <w:sz w:val="18"/>
                <w:szCs w:val="18"/>
              </w:rPr>
            </w:pPr>
          </w:p>
        </w:tc>
        <w:tc>
          <w:tcPr>
            <w:tcW w:w="1992" w:type="dxa"/>
          </w:tcPr>
          <w:p w14:paraId="4432B37D" w14:textId="77777777" w:rsidR="00CA55FC" w:rsidRPr="00F23A05" w:rsidRDefault="00CA55FC" w:rsidP="00CA55FC">
            <w:pPr>
              <w:rPr>
                <w:rFonts w:cstheme="majorHAnsi"/>
                <w:sz w:val="18"/>
                <w:szCs w:val="18"/>
              </w:rPr>
            </w:pPr>
            <w:r w:rsidRPr="00F23A05">
              <w:rPr>
                <w:rFonts w:cstheme="majorHAnsi"/>
                <w:sz w:val="18"/>
                <w:szCs w:val="18"/>
              </w:rPr>
              <w:t>14,848 participants</w:t>
            </w:r>
          </w:p>
          <w:p w14:paraId="0AB17249" w14:textId="681C8EE9" w:rsidR="0011516D" w:rsidRPr="00F23A05" w:rsidRDefault="00CA55FC" w:rsidP="00CA55FC">
            <w:pPr>
              <w:rPr>
                <w:rFonts w:cstheme="majorHAnsi"/>
                <w:sz w:val="18"/>
                <w:szCs w:val="18"/>
              </w:rPr>
            </w:pPr>
            <w:r w:rsidRPr="00F23A05">
              <w:rPr>
                <w:rFonts w:cstheme="majorHAnsi"/>
                <w:sz w:val="18"/>
                <w:szCs w:val="18"/>
              </w:rPr>
              <w:t>One study</w:t>
            </w:r>
          </w:p>
        </w:tc>
        <w:tc>
          <w:tcPr>
            <w:tcW w:w="992" w:type="dxa"/>
          </w:tcPr>
          <w:p w14:paraId="3408DB83" w14:textId="77777777" w:rsidR="00CA55FC" w:rsidRPr="00F23A05" w:rsidRDefault="00CA55FC" w:rsidP="00CA55FC">
            <w:pPr>
              <w:rPr>
                <w:rFonts w:cstheme="majorHAnsi"/>
                <w:sz w:val="18"/>
                <w:szCs w:val="18"/>
              </w:rPr>
            </w:pPr>
            <w:r w:rsidRPr="00F23A05">
              <w:rPr>
                <w:rFonts w:ascii="Cambria Math" w:hAnsi="Cambria Math" w:cs="Cambria Math"/>
                <w:sz w:val="18"/>
                <w:szCs w:val="18"/>
              </w:rPr>
              <w:t>⊕</w:t>
            </w:r>
          </w:p>
          <w:p w14:paraId="6A2159AD" w14:textId="52DA1179" w:rsidR="0011516D" w:rsidRPr="00F23A05" w:rsidRDefault="00CA55FC" w:rsidP="00CA55FC">
            <w:pPr>
              <w:rPr>
                <w:rFonts w:cstheme="majorHAnsi"/>
                <w:sz w:val="18"/>
                <w:szCs w:val="18"/>
              </w:rPr>
            </w:pPr>
            <w:r w:rsidRPr="00F23A05">
              <w:rPr>
                <w:rFonts w:cstheme="majorHAnsi"/>
                <w:sz w:val="18"/>
                <w:szCs w:val="18"/>
              </w:rPr>
              <w:t>Very low</w:t>
            </w:r>
          </w:p>
        </w:tc>
        <w:tc>
          <w:tcPr>
            <w:tcW w:w="3863" w:type="dxa"/>
          </w:tcPr>
          <w:p w14:paraId="1C7A34A4" w14:textId="7291677D" w:rsidR="0011516D" w:rsidRPr="00F23A05" w:rsidRDefault="00CA55FC" w:rsidP="0011516D">
            <w:pPr>
              <w:rPr>
                <w:rFonts w:cstheme="majorHAnsi"/>
                <w:sz w:val="18"/>
                <w:szCs w:val="18"/>
              </w:rPr>
            </w:pPr>
            <w:r w:rsidRPr="00F23A05">
              <w:rPr>
                <w:rFonts w:cstheme="majorHAnsi"/>
                <w:sz w:val="18"/>
                <w:szCs w:val="18"/>
              </w:rPr>
              <w:t>No systematic review or pooled analysis was available.</w:t>
            </w:r>
          </w:p>
        </w:tc>
      </w:tr>
      <w:tr w:rsidR="0011516D" w:rsidRPr="00F23A05" w14:paraId="6D8002AD" w14:textId="77777777" w:rsidTr="0041447D">
        <w:tc>
          <w:tcPr>
            <w:tcW w:w="2114" w:type="dxa"/>
          </w:tcPr>
          <w:p w14:paraId="620CF7A7" w14:textId="77777777" w:rsidR="0011516D" w:rsidRPr="00F23A05" w:rsidRDefault="0011516D" w:rsidP="0011516D">
            <w:pPr>
              <w:rPr>
                <w:rFonts w:cstheme="majorHAnsi"/>
                <w:sz w:val="18"/>
                <w:szCs w:val="18"/>
              </w:rPr>
            </w:pPr>
            <w:r w:rsidRPr="00F23A05">
              <w:rPr>
                <w:rFonts w:cstheme="majorHAnsi"/>
                <w:sz w:val="18"/>
                <w:szCs w:val="18"/>
              </w:rPr>
              <w:t>Invasive cancer detection rate</w:t>
            </w:r>
          </w:p>
        </w:tc>
        <w:tc>
          <w:tcPr>
            <w:tcW w:w="1992" w:type="dxa"/>
          </w:tcPr>
          <w:p w14:paraId="2AA36BF2" w14:textId="77777777" w:rsidR="00CA55FC" w:rsidRPr="00F23A05" w:rsidRDefault="00CA55FC" w:rsidP="00CA55FC">
            <w:pPr>
              <w:rPr>
                <w:rFonts w:cstheme="majorHAnsi"/>
                <w:sz w:val="18"/>
                <w:szCs w:val="18"/>
              </w:rPr>
            </w:pPr>
            <w:r w:rsidRPr="00F23A05">
              <w:rPr>
                <w:rFonts w:cstheme="majorHAnsi"/>
                <w:sz w:val="18"/>
                <w:szCs w:val="18"/>
              </w:rPr>
              <w:t>14,848 participants</w:t>
            </w:r>
          </w:p>
          <w:p w14:paraId="6E60DF42" w14:textId="5A70DA96" w:rsidR="0011516D" w:rsidRPr="00F23A05" w:rsidRDefault="00CA55FC" w:rsidP="00CA55FC">
            <w:pPr>
              <w:rPr>
                <w:rFonts w:cstheme="majorHAnsi"/>
                <w:sz w:val="18"/>
                <w:szCs w:val="18"/>
              </w:rPr>
            </w:pPr>
            <w:r w:rsidRPr="00F23A05">
              <w:rPr>
                <w:rFonts w:cstheme="majorHAnsi"/>
                <w:sz w:val="18"/>
                <w:szCs w:val="18"/>
              </w:rPr>
              <w:t>One study</w:t>
            </w:r>
          </w:p>
        </w:tc>
        <w:tc>
          <w:tcPr>
            <w:tcW w:w="992" w:type="dxa"/>
          </w:tcPr>
          <w:p w14:paraId="12DD237B" w14:textId="77777777" w:rsidR="00CA55FC" w:rsidRPr="00F23A05" w:rsidRDefault="00CA55FC" w:rsidP="00CA55FC">
            <w:pPr>
              <w:rPr>
                <w:rFonts w:cstheme="majorHAnsi"/>
                <w:sz w:val="18"/>
                <w:szCs w:val="18"/>
              </w:rPr>
            </w:pPr>
            <w:r w:rsidRPr="00F23A05">
              <w:rPr>
                <w:rFonts w:ascii="Cambria Math" w:hAnsi="Cambria Math" w:cs="Cambria Math"/>
                <w:sz w:val="18"/>
                <w:szCs w:val="18"/>
              </w:rPr>
              <w:t>⊕</w:t>
            </w:r>
          </w:p>
          <w:p w14:paraId="66ACAFF1" w14:textId="48A6D4F7" w:rsidR="0011516D" w:rsidRPr="00F23A05" w:rsidRDefault="00CA55FC" w:rsidP="00CA55FC">
            <w:pPr>
              <w:rPr>
                <w:rFonts w:cstheme="majorHAnsi"/>
                <w:sz w:val="18"/>
                <w:szCs w:val="18"/>
              </w:rPr>
            </w:pPr>
            <w:r w:rsidRPr="00F23A05">
              <w:rPr>
                <w:rFonts w:cstheme="majorHAnsi"/>
                <w:sz w:val="18"/>
                <w:szCs w:val="18"/>
              </w:rPr>
              <w:t>Very low</w:t>
            </w:r>
          </w:p>
        </w:tc>
        <w:tc>
          <w:tcPr>
            <w:tcW w:w="3863" w:type="dxa"/>
          </w:tcPr>
          <w:p w14:paraId="09E6921C" w14:textId="60BE70CD" w:rsidR="0011516D" w:rsidRPr="00F23A05" w:rsidRDefault="00CA55FC" w:rsidP="0011516D">
            <w:pPr>
              <w:rPr>
                <w:rFonts w:cstheme="majorHAnsi"/>
                <w:sz w:val="18"/>
                <w:szCs w:val="18"/>
              </w:rPr>
            </w:pPr>
            <w:r w:rsidRPr="00F23A05">
              <w:rPr>
                <w:rFonts w:cstheme="majorHAnsi"/>
                <w:sz w:val="18"/>
                <w:szCs w:val="18"/>
              </w:rPr>
              <w:t>No systematic review or pooled analysis was available.</w:t>
            </w:r>
          </w:p>
        </w:tc>
      </w:tr>
      <w:tr w:rsidR="0011516D" w:rsidRPr="00F23A05" w14:paraId="0F151BED" w14:textId="77777777" w:rsidTr="0041447D">
        <w:tc>
          <w:tcPr>
            <w:tcW w:w="2114" w:type="dxa"/>
          </w:tcPr>
          <w:p w14:paraId="62F3A420" w14:textId="77777777" w:rsidR="0011516D" w:rsidRPr="00F23A05" w:rsidRDefault="0011516D" w:rsidP="0011516D">
            <w:pPr>
              <w:rPr>
                <w:rFonts w:cstheme="majorHAnsi"/>
                <w:sz w:val="18"/>
                <w:szCs w:val="18"/>
              </w:rPr>
            </w:pPr>
            <w:r w:rsidRPr="00F23A05">
              <w:rPr>
                <w:rFonts w:cstheme="majorHAnsi"/>
                <w:sz w:val="18"/>
                <w:szCs w:val="18"/>
              </w:rPr>
              <w:t>Interval cancer detection</w:t>
            </w:r>
          </w:p>
        </w:tc>
        <w:tc>
          <w:tcPr>
            <w:tcW w:w="1992" w:type="dxa"/>
          </w:tcPr>
          <w:p w14:paraId="664A439B" w14:textId="77777777" w:rsidR="0011516D" w:rsidRPr="00F23A05" w:rsidRDefault="0011516D" w:rsidP="0011516D">
            <w:pPr>
              <w:rPr>
                <w:rFonts w:cstheme="majorHAnsi"/>
                <w:sz w:val="18"/>
                <w:szCs w:val="18"/>
              </w:rPr>
            </w:pPr>
            <w:r w:rsidRPr="00F23A05">
              <w:rPr>
                <w:rFonts w:cstheme="majorHAnsi"/>
                <w:sz w:val="18"/>
                <w:szCs w:val="18"/>
              </w:rPr>
              <w:t>14,848 participants</w:t>
            </w:r>
          </w:p>
          <w:p w14:paraId="37EC5470" w14:textId="4A107184" w:rsidR="0011516D" w:rsidRPr="00F23A05" w:rsidRDefault="0011516D" w:rsidP="0011516D">
            <w:pPr>
              <w:rPr>
                <w:rFonts w:cstheme="majorHAnsi"/>
                <w:b/>
                <w:bCs/>
                <w:sz w:val="18"/>
                <w:szCs w:val="18"/>
              </w:rPr>
            </w:pPr>
            <w:r w:rsidRPr="00F23A05">
              <w:rPr>
                <w:rFonts w:cstheme="majorHAnsi"/>
                <w:sz w:val="18"/>
                <w:szCs w:val="18"/>
              </w:rPr>
              <w:t>One study</w:t>
            </w:r>
          </w:p>
        </w:tc>
        <w:tc>
          <w:tcPr>
            <w:tcW w:w="992" w:type="dxa"/>
          </w:tcPr>
          <w:p w14:paraId="73DFB77B" w14:textId="77777777" w:rsidR="0011516D" w:rsidRPr="00F23A05" w:rsidRDefault="0011516D" w:rsidP="0011516D">
            <w:pPr>
              <w:rPr>
                <w:rFonts w:cstheme="majorHAnsi"/>
                <w:sz w:val="18"/>
                <w:szCs w:val="18"/>
              </w:rPr>
            </w:pPr>
            <w:r w:rsidRPr="00F23A05">
              <w:rPr>
                <w:rFonts w:ascii="Cambria Math" w:hAnsi="Cambria Math" w:cs="Cambria Math"/>
                <w:sz w:val="18"/>
                <w:szCs w:val="18"/>
              </w:rPr>
              <w:t>⊕</w:t>
            </w:r>
          </w:p>
          <w:p w14:paraId="00702D59" w14:textId="688EE46A" w:rsidR="0011516D" w:rsidRPr="00F23A05" w:rsidRDefault="0011516D" w:rsidP="0011516D">
            <w:pPr>
              <w:rPr>
                <w:rFonts w:cstheme="majorHAnsi"/>
                <w:sz w:val="18"/>
                <w:szCs w:val="18"/>
              </w:rPr>
            </w:pPr>
            <w:r w:rsidRPr="00F23A05">
              <w:rPr>
                <w:rFonts w:cstheme="majorHAnsi"/>
                <w:sz w:val="18"/>
                <w:szCs w:val="18"/>
              </w:rPr>
              <w:t>Very low</w:t>
            </w:r>
          </w:p>
        </w:tc>
        <w:tc>
          <w:tcPr>
            <w:tcW w:w="3863" w:type="dxa"/>
          </w:tcPr>
          <w:p w14:paraId="6A886EF2" w14:textId="4CDDA4BA" w:rsidR="0011516D" w:rsidRPr="00F23A05" w:rsidRDefault="0011516D" w:rsidP="0011516D">
            <w:pPr>
              <w:rPr>
                <w:rFonts w:cstheme="majorHAnsi"/>
                <w:sz w:val="18"/>
                <w:szCs w:val="18"/>
              </w:rPr>
            </w:pPr>
            <w:r w:rsidRPr="00F23A05">
              <w:rPr>
                <w:rFonts w:cstheme="majorHAnsi"/>
                <w:sz w:val="18"/>
                <w:szCs w:val="18"/>
              </w:rPr>
              <w:t>Non-significant results reported. No pooled analysis but meta-analysis underway.</w:t>
            </w:r>
          </w:p>
        </w:tc>
      </w:tr>
      <w:tr w:rsidR="0011516D" w:rsidRPr="00F23A05" w14:paraId="063A2EF1" w14:textId="77777777" w:rsidTr="0041447D">
        <w:tc>
          <w:tcPr>
            <w:tcW w:w="2114" w:type="dxa"/>
          </w:tcPr>
          <w:p w14:paraId="37DD0227" w14:textId="77777777" w:rsidR="0011516D" w:rsidRPr="00F23A05" w:rsidRDefault="0011516D" w:rsidP="0011516D">
            <w:pPr>
              <w:rPr>
                <w:rFonts w:cstheme="majorHAnsi"/>
                <w:sz w:val="18"/>
                <w:szCs w:val="18"/>
              </w:rPr>
            </w:pPr>
            <w:r w:rsidRPr="00F23A05">
              <w:rPr>
                <w:rFonts w:cstheme="majorHAnsi"/>
                <w:sz w:val="18"/>
                <w:szCs w:val="18"/>
              </w:rPr>
              <w:t>PPV</w:t>
            </w:r>
            <w:r w:rsidRPr="00F23A05">
              <w:rPr>
                <w:rFonts w:cstheme="majorHAnsi"/>
                <w:sz w:val="18"/>
                <w:szCs w:val="18"/>
                <w:vertAlign w:val="subscript"/>
              </w:rPr>
              <w:t>1-3</w:t>
            </w:r>
          </w:p>
        </w:tc>
        <w:tc>
          <w:tcPr>
            <w:tcW w:w="1992" w:type="dxa"/>
          </w:tcPr>
          <w:p w14:paraId="5EFD16E8" w14:textId="77777777" w:rsidR="00CA55FC" w:rsidRPr="00F23A05" w:rsidRDefault="00CA55FC" w:rsidP="00CA55FC">
            <w:pPr>
              <w:rPr>
                <w:rFonts w:cstheme="majorHAnsi"/>
                <w:sz w:val="18"/>
                <w:szCs w:val="18"/>
              </w:rPr>
            </w:pPr>
            <w:r w:rsidRPr="00F23A05">
              <w:rPr>
                <w:rFonts w:cstheme="majorHAnsi"/>
                <w:sz w:val="18"/>
                <w:szCs w:val="18"/>
              </w:rPr>
              <w:t>14,848 participants</w:t>
            </w:r>
          </w:p>
          <w:p w14:paraId="34A86EB5" w14:textId="2E64AF01" w:rsidR="0011516D" w:rsidRPr="00F23A05" w:rsidRDefault="00CA55FC" w:rsidP="00CA55FC">
            <w:pPr>
              <w:rPr>
                <w:rFonts w:cstheme="majorHAnsi"/>
                <w:sz w:val="18"/>
                <w:szCs w:val="18"/>
              </w:rPr>
            </w:pPr>
            <w:r w:rsidRPr="00F23A05">
              <w:rPr>
                <w:rFonts w:cstheme="majorHAnsi"/>
                <w:sz w:val="18"/>
                <w:szCs w:val="18"/>
              </w:rPr>
              <w:t>One study</w:t>
            </w:r>
          </w:p>
        </w:tc>
        <w:tc>
          <w:tcPr>
            <w:tcW w:w="992" w:type="dxa"/>
          </w:tcPr>
          <w:p w14:paraId="4344D2CF" w14:textId="77777777" w:rsidR="00CA55FC" w:rsidRPr="00F23A05" w:rsidRDefault="00CA55FC" w:rsidP="00CA55FC">
            <w:pPr>
              <w:rPr>
                <w:rFonts w:cstheme="majorHAnsi"/>
                <w:sz w:val="18"/>
                <w:szCs w:val="18"/>
              </w:rPr>
            </w:pPr>
            <w:r w:rsidRPr="00F23A05">
              <w:rPr>
                <w:rFonts w:ascii="Cambria Math" w:hAnsi="Cambria Math" w:cs="Cambria Math"/>
                <w:sz w:val="18"/>
                <w:szCs w:val="18"/>
              </w:rPr>
              <w:t>⊕</w:t>
            </w:r>
          </w:p>
          <w:p w14:paraId="3CABD5BE" w14:textId="42582930" w:rsidR="0011516D" w:rsidRPr="00F23A05" w:rsidRDefault="00CA55FC" w:rsidP="00CA55FC">
            <w:pPr>
              <w:rPr>
                <w:rFonts w:cstheme="majorHAnsi"/>
                <w:sz w:val="18"/>
                <w:szCs w:val="18"/>
              </w:rPr>
            </w:pPr>
            <w:r w:rsidRPr="00F23A05">
              <w:rPr>
                <w:rFonts w:cstheme="majorHAnsi"/>
                <w:sz w:val="18"/>
                <w:szCs w:val="18"/>
              </w:rPr>
              <w:t>Very low</w:t>
            </w:r>
          </w:p>
        </w:tc>
        <w:tc>
          <w:tcPr>
            <w:tcW w:w="3863" w:type="dxa"/>
          </w:tcPr>
          <w:p w14:paraId="2733B883" w14:textId="04FA525A" w:rsidR="0011516D" w:rsidRPr="00F23A05" w:rsidRDefault="00CA55FC" w:rsidP="0011516D">
            <w:pPr>
              <w:rPr>
                <w:rFonts w:cstheme="majorHAnsi"/>
                <w:sz w:val="18"/>
                <w:szCs w:val="18"/>
              </w:rPr>
            </w:pPr>
            <w:r w:rsidRPr="00F23A05">
              <w:rPr>
                <w:rFonts w:cstheme="majorHAnsi"/>
                <w:sz w:val="18"/>
                <w:szCs w:val="18"/>
              </w:rPr>
              <w:t>No systematic review or pooled analysis was available.</w:t>
            </w:r>
          </w:p>
        </w:tc>
      </w:tr>
      <w:tr w:rsidR="0011516D" w:rsidRPr="00F23A05" w14:paraId="5F41F0E6" w14:textId="77777777" w:rsidTr="0041447D">
        <w:tc>
          <w:tcPr>
            <w:tcW w:w="2114" w:type="dxa"/>
          </w:tcPr>
          <w:p w14:paraId="0127939E" w14:textId="77777777" w:rsidR="0011516D" w:rsidRPr="00F23A05" w:rsidRDefault="0011516D" w:rsidP="0011516D">
            <w:pPr>
              <w:rPr>
                <w:rFonts w:cstheme="majorHAnsi"/>
                <w:sz w:val="18"/>
                <w:szCs w:val="18"/>
              </w:rPr>
            </w:pPr>
            <w:r w:rsidRPr="00F23A05">
              <w:rPr>
                <w:rFonts w:cstheme="majorHAnsi"/>
                <w:sz w:val="18"/>
                <w:szCs w:val="18"/>
              </w:rPr>
              <w:t>Recall rate</w:t>
            </w:r>
          </w:p>
        </w:tc>
        <w:tc>
          <w:tcPr>
            <w:tcW w:w="1992" w:type="dxa"/>
          </w:tcPr>
          <w:p w14:paraId="679A8257" w14:textId="77777777" w:rsidR="00CA55FC" w:rsidRPr="00F23A05" w:rsidRDefault="00CA55FC" w:rsidP="00CA55FC">
            <w:pPr>
              <w:rPr>
                <w:rFonts w:cstheme="majorHAnsi"/>
                <w:sz w:val="18"/>
                <w:szCs w:val="18"/>
              </w:rPr>
            </w:pPr>
            <w:r w:rsidRPr="00F23A05">
              <w:rPr>
                <w:rFonts w:cstheme="majorHAnsi"/>
                <w:sz w:val="18"/>
                <w:szCs w:val="18"/>
              </w:rPr>
              <w:t>14,848 participants</w:t>
            </w:r>
          </w:p>
          <w:p w14:paraId="2BFC3A01" w14:textId="2D8740AA" w:rsidR="0011516D" w:rsidRPr="00F23A05" w:rsidRDefault="00CA55FC" w:rsidP="00CA55FC">
            <w:pPr>
              <w:rPr>
                <w:rFonts w:cstheme="majorHAnsi"/>
                <w:sz w:val="18"/>
                <w:szCs w:val="18"/>
              </w:rPr>
            </w:pPr>
            <w:r w:rsidRPr="00F23A05">
              <w:rPr>
                <w:rFonts w:cstheme="majorHAnsi"/>
                <w:sz w:val="18"/>
                <w:szCs w:val="18"/>
              </w:rPr>
              <w:t>One study</w:t>
            </w:r>
          </w:p>
        </w:tc>
        <w:tc>
          <w:tcPr>
            <w:tcW w:w="992" w:type="dxa"/>
          </w:tcPr>
          <w:p w14:paraId="4B30F60C" w14:textId="77777777" w:rsidR="00CA55FC" w:rsidRPr="00F23A05" w:rsidRDefault="00CA55FC" w:rsidP="00CA55FC">
            <w:pPr>
              <w:rPr>
                <w:rFonts w:cstheme="majorHAnsi"/>
                <w:sz w:val="18"/>
                <w:szCs w:val="18"/>
              </w:rPr>
            </w:pPr>
            <w:r w:rsidRPr="00F23A05">
              <w:rPr>
                <w:rFonts w:ascii="Cambria Math" w:hAnsi="Cambria Math" w:cs="Cambria Math"/>
                <w:sz w:val="18"/>
                <w:szCs w:val="18"/>
              </w:rPr>
              <w:t>⊕</w:t>
            </w:r>
          </w:p>
          <w:p w14:paraId="60927E9E" w14:textId="305BFB82" w:rsidR="0011516D" w:rsidRPr="00F23A05" w:rsidRDefault="00CA55FC" w:rsidP="00CA55FC">
            <w:pPr>
              <w:rPr>
                <w:rFonts w:cstheme="majorHAnsi"/>
                <w:sz w:val="18"/>
                <w:szCs w:val="18"/>
              </w:rPr>
            </w:pPr>
            <w:r w:rsidRPr="00F23A05">
              <w:rPr>
                <w:rFonts w:cstheme="majorHAnsi"/>
                <w:sz w:val="18"/>
                <w:szCs w:val="18"/>
              </w:rPr>
              <w:t>Very low</w:t>
            </w:r>
          </w:p>
        </w:tc>
        <w:tc>
          <w:tcPr>
            <w:tcW w:w="3863" w:type="dxa"/>
          </w:tcPr>
          <w:p w14:paraId="6F104C09" w14:textId="1235ED10" w:rsidR="0011516D" w:rsidRPr="00F23A05" w:rsidRDefault="00CA55FC" w:rsidP="0011516D">
            <w:pPr>
              <w:rPr>
                <w:rFonts w:cstheme="majorHAnsi"/>
                <w:sz w:val="18"/>
                <w:szCs w:val="18"/>
              </w:rPr>
            </w:pPr>
            <w:r w:rsidRPr="00F23A05">
              <w:rPr>
                <w:rFonts w:cstheme="majorHAnsi"/>
                <w:sz w:val="18"/>
                <w:szCs w:val="18"/>
              </w:rPr>
              <w:t>No systematic review or pooled analysis was available.</w:t>
            </w:r>
          </w:p>
        </w:tc>
      </w:tr>
      <w:tr w:rsidR="0011516D" w:rsidRPr="00F23A05" w14:paraId="4348A212" w14:textId="77777777" w:rsidTr="0041447D">
        <w:tc>
          <w:tcPr>
            <w:tcW w:w="2114" w:type="dxa"/>
          </w:tcPr>
          <w:p w14:paraId="7FC39CAA" w14:textId="77777777" w:rsidR="0011516D" w:rsidRPr="00F23A05" w:rsidRDefault="0011516D" w:rsidP="0011516D">
            <w:pPr>
              <w:rPr>
                <w:rFonts w:cstheme="majorHAnsi"/>
                <w:sz w:val="18"/>
                <w:szCs w:val="18"/>
              </w:rPr>
            </w:pPr>
            <w:r w:rsidRPr="00F23A05">
              <w:rPr>
                <w:rFonts w:cstheme="majorHAnsi"/>
                <w:sz w:val="18"/>
                <w:szCs w:val="18"/>
              </w:rPr>
              <w:t>False positive rate</w:t>
            </w:r>
          </w:p>
        </w:tc>
        <w:tc>
          <w:tcPr>
            <w:tcW w:w="1992" w:type="dxa"/>
          </w:tcPr>
          <w:p w14:paraId="38C8734E" w14:textId="77777777" w:rsidR="00CA55FC" w:rsidRPr="00F23A05" w:rsidRDefault="00CA55FC" w:rsidP="00CA55FC">
            <w:pPr>
              <w:rPr>
                <w:rFonts w:cstheme="majorHAnsi"/>
                <w:sz w:val="18"/>
                <w:szCs w:val="18"/>
              </w:rPr>
            </w:pPr>
            <w:r w:rsidRPr="00F23A05">
              <w:rPr>
                <w:rFonts w:cstheme="majorHAnsi"/>
                <w:sz w:val="18"/>
                <w:szCs w:val="18"/>
              </w:rPr>
              <w:t>14,848 participants</w:t>
            </w:r>
          </w:p>
          <w:p w14:paraId="4C564687" w14:textId="7CFC3DFD" w:rsidR="0011516D" w:rsidRPr="00F23A05" w:rsidRDefault="00CA55FC" w:rsidP="00CA55FC">
            <w:pPr>
              <w:rPr>
                <w:rFonts w:cstheme="majorHAnsi"/>
                <w:sz w:val="18"/>
                <w:szCs w:val="18"/>
              </w:rPr>
            </w:pPr>
            <w:r w:rsidRPr="00F23A05">
              <w:rPr>
                <w:rFonts w:cstheme="majorHAnsi"/>
                <w:sz w:val="18"/>
                <w:szCs w:val="18"/>
              </w:rPr>
              <w:t>One study</w:t>
            </w:r>
          </w:p>
        </w:tc>
        <w:tc>
          <w:tcPr>
            <w:tcW w:w="992" w:type="dxa"/>
          </w:tcPr>
          <w:p w14:paraId="53CC7933" w14:textId="77777777" w:rsidR="00CA55FC" w:rsidRPr="00F23A05" w:rsidRDefault="00CA55FC" w:rsidP="00CA55FC">
            <w:pPr>
              <w:rPr>
                <w:rFonts w:cstheme="majorHAnsi"/>
                <w:sz w:val="18"/>
                <w:szCs w:val="18"/>
              </w:rPr>
            </w:pPr>
            <w:r w:rsidRPr="00F23A05">
              <w:rPr>
                <w:rFonts w:ascii="Cambria Math" w:hAnsi="Cambria Math" w:cs="Cambria Math"/>
                <w:sz w:val="18"/>
                <w:szCs w:val="18"/>
              </w:rPr>
              <w:t>⊕</w:t>
            </w:r>
          </w:p>
          <w:p w14:paraId="385FA340" w14:textId="66528499" w:rsidR="0011516D" w:rsidRPr="00F23A05" w:rsidRDefault="00CA55FC" w:rsidP="00CA55FC">
            <w:pPr>
              <w:rPr>
                <w:rFonts w:cstheme="majorHAnsi"/>
                <w:sz w:val="18"/>
                <w:szCs w:val="18"/>
              </w:rPr>
            </w:pPr>
            <w:r w:rsidRPr="00F23A05">
              <w:rPr>
                <w:rFonts w:cstheme="majorHAnsi"/>
                <w:sz w:val="18"/>
                <w:szCs w:val="18"/>
              </w:rPr>
              <w:t>Very low</w:t>
            </w:r>
          </w:p>
        </w:tc>
        <w:tc>
          <w:tcPr>
            <w:tcW w:w="3863" w:type="dxa"/>
          </w:tcPr>
          <w:p w14:paraId="4806ADDC" w14:textId="39D4324A" w:rsidR="0011516D" w:rsidRPr="00F23A05" w:rsidRDefault="00CA55FC" w:rsidP="0011516D">
            <w:pPr>
              <w:rPr>
                <w:rFonts w:cstheme="majorHAnsi"/>
                <w:sz w:val="18"/>
                <w:szCs w:val="18"/>
              </w:rPr>
            </w:pPr>
            <w:r w:rsidRPr="00F23A05">
              <w:rPr>
                <w:rFonts w:cstheme="majorHAnsi"/>
                <w:sz w:val="18"/>
                <w:szCs w:val="18"/>
              </w:rPr>
              <w:t>No systematic review or pooled analysis was available.</w:t>
            </w:r>
          </w:p>
        </w:tc>
      </w:tr>
      <w:tr w:rsidR="0011516D" w:rsidRPr="00F23A05" w14:paraId="4A3CEE62" w14:textId="77777777" w:rsidTr="0041447D">
        <w:tc>
          <w:tcPr>
            <w:tcW w:w="2114" w:type="dxa"/>
          </w:tcPr>
          <w:p w14:paraId="547E5B83" w14:textId="77777777" w:rsidR="0011516D" w:rsidRPr="00F23A05" w:rsidRDefault="0011516D" w:rsidP="0011516D">
            <w:pPr>
              <w:rPr>
                <w:rFonts w:cstheme="majorHAnsi"/>
                <w:sz w:val="18"/>
                <w:szCs w:val="18"/>
              </w:rPr>
            </w:pPr>
            <w:r w:rsidRPr="00F23A05">
              <w:rPr>
                <w:rFonts w:cstheme="majorHAnsi"/>
                <w:sz w:val="18"/>
                <w:szCs w:val="18"/>
              </w:rPr>
              <w:t>Radiation dose</w:t>
            </w:r>
          </w:p>
        </w:tc>
        <w:tc>
          <w:tcPr>
            <w:tcW w:w="1992" w:type="dxa"/>
          </w:tcPr>
          <w:p w14:paraId="31803E8B" w14:textId="7291EEBF" w:rsidR="0011516D" w:rsidRPr="00F23A05" w:rsidRDefault="00CA55FC" w:rsidP="0011516D">
            <w:pPr>
              <w:rPr>
                <w:rFonts w:cstheme="majorHAnsi"/>
                <w:sz w:val="18"/>
                <w:szCs w:val="18"/>
              </w:rPr>
            </w:pPr>
            <w:r w:rsidRPr="00F23A05">
              <w:rPr>
                <w:rFonts w:cstheme="majorHAnsi"/>
                <w:sz w:val="18"/>
                <w:szCs w:val="18"/>
              </w:rPr>
              <w:t>16,056 participants</w:t>
            </w:r>
          </w:p>
          <w:p w14:paraId="0E899BAA" w14:textId="1888BDAD" w:rsidR="00CA55FC" w:rsidRPr="00F23A05" w:rsidRDefault="00CA55FC" w:rsidP="0011516D">
            <w:pPr>
              <w:rPr>
                <w:rFonts w:cstheme="majorHAnsi"/>
                <w:sz w:val="18"/>
                <w:szCs w:val="18"/>
              </w:rPr>
            </w:pPr>
            <w:r w:rsidRPr="00F23A05">
              <w:rPr>
                <w:rFonts w:cstheme="majorHAnsi"/>
                <w:sz w:val="18"/>
                <w:szCs w:val="18"/>
              </w:rPr>
              <w:t>Two studies</w:t>
            </w:r>
          </w:p>
        </w:tc>
        <w:tc>
          <w:tcPr>
            <w:tcW w:w="992" w:type="dxa"/>
          </w:tcPr>
          <w:p w14:paraId="7133348F" w14:textId="77777777" w:rsidR="00CA55FC" w:rsidRPr="00F23A05" w:rsidRDefault="00CA55FC" w:rsidP="00CA55FC">
            <w:pPr>
              <w:rPr>
                <w:rFonts w:cstheme="majorHAnsi"/>
                <w:sz w:val="18"/>
                <w:szCs w:val="18"/>
              </w:rPr>
            </w:pPr>
            <w:r w:rsidRPr="00F23A05">
              <w:rPr>
                <w:rFonts w:ascii="Cambria Math" w:hAnsi="Cambria Math" w:cs="Cambria Math"/>
                <w:sz w:val="18"/>
                <w:szCs w:val="18"/>
              </w:rPr>
              <w:t>⊕</w:t>
            </w:r>
          </w:p>
          <w:p w14:paraId="502591E3" w14:textId="54744BA2" w:rsidR="0011516D" w:rsidRPr="00F23A05" w:rsidRDefault="00CA55FC" w:rsidP="00CA55FC">
            <w:pPr>
              <w:rPr>
                <w:rFonts w:cstheme="majorHAnsi"/>
                <w:sz w:val="18"/>
                <w:szCs w:val="18"/>
              </w:rPr>
            </w:pPr>
            <w:r w:rsidRPr="00F23A05">
              <w:rPr>
                <w:rFonts w:cstheme="majorHAnsi"/>
                <w:sz w:val="18"/>
                <w:szCs w:val="18"/>
              </w:rPr>
              <w:t>Very low</w:t>
            </w:r>
          </w:p>
        </w:tc>
        <w:tc>
          <w:tcPr>
            <w:tcW w:w="3863" w:type="dxa"/>
          </w:tcPr>
          <w:p w14:paraId="4C5A9618" w14:textId="2B56C046" w:rsidR="0011516D" w:rsidRPr="00F23A05" w:rsidRDefault="00CA55FC" w:rsidP="0011516D">
            <w:pPr>
              <w:jc w:val="both"/>
              <w:rPr>
                <w:rFonts w:cstheme="majorHAnsi"/>
                <w:sz w:val="18"/>
                <w:szCs w:val="18"/>
              </w:rPr>
            </w:pPr>
            <w:r w:rsidRPr="00F23A05">
              <w:rPr>
                <w:rFonts w:cstheme="majorHAnsi"/>
                <w:sz w:val="18"/>
                <w:szCs w:val="18"/>
              </w:rPr>
              <w:t>No systematic review or pooled analysis was available. Mixed results were reported, with one study reporting a higher MGD with DBT</w:t>
            </w:r>
            <w:r w:rsidRPr="00F23A05">
              <w:rPr>
                <w:rFonts w:cstheme="majorHAnsi"/>
                <w:sz w:val="18"/>
                <w:szCs w:val="18"/>
                <w:vertAlign w:val="subscript"/>
              </w:rPr>
              <w:t>MLO</w:t>
            </w:r>
            <w:r w:rsidRPr="00F23A05">
              <w:rPr>
                <w:rFonts w:cstheme="majorHAnsi"/>
                <w:sz w:val="18"/>
                <w:szCs w:val="18"/>
              </w:rPr>
              <w:t xml:space="preserve"> and one reporting a lower MGD compared to FFDM.</w:t>
            </w:r>
          </w:p>
        </w:tc>
      </w:tr>
      <w:tr w:rsidR="0011516D" w:rsidRPr="00833B78" w14:paraId="4972474C" w14:textId="77777777" w:rsidTr="0041447D">
        <w:tc>
          <w:tcPr>
            <w:tcW w:w="2114" w:type="dxa"/>
          </w:tcPr>
          <w:p w14:paraId="1E921360" w14:textId="77777777" w:rsidR="0011516D" w:rsidRPr="00833B78" w:rsidRDefault="0011516D" w:rsidP="0011516D">
            <w:pPr>
              <w:rPr>
                <w:rFonts w:cstheme="majorHAnsi"/>
                <w:sz w:val="18"/>
                <w:szCs w:val="18"/>
              </w:rPr>
            </w:pPr>
            <w:r w:rsidRPr="00833B78">
              <w:rPr>
                <w:rFonts w:cstheme="majorHAnsi"/>
                <w:sz w:val="18"/>
                <w:szCs w:val="18"/>
              </w:rPr>
              <w:t>Interpretation time</w:t>
            </w:r>
          </w:p>
        </w:tc>
        <w:tc>
          <w:tcPr>
            <w:tcW w:w="1992" w:type="dxa"/>
          </w:tcPr>
          <w:p w14:paraId="7F859082" w14:textId="767D1936" w:rsidR="0011516D" w:rsidRPr="00833B78" w:rsidRDefault="00AF6DF3" w:rsidP="00CA55FC">
            <w:pPr>
              <w:rPr>
                <w:rFonts w:cstheme="majorHAnsi"/>
                <w:sz w:val="18"/>
                <w:szCs w:val="18"/>
              </w:rPr>
            </w:pPr>
            <w:r w:rsidRPr="00833B78">
              <w:rPr>
                <w:rFonts w:cstheme="majorHAnsi"/>
                <w:sz w:val="18"/>
                <w:szCs w:val="18"/>
              </w:rPr>
              <w:t>0</w:t>
            </w:r>
          </w:p>
        </w:tc>
        <w:tc>
          <w:tcPr>
            <w:tcW w:w="992" w:type="dxa"/>
          </w:tcPr>
          <w:p w14:paraId="750C1940" w14:textId="0AE1A767" w:rsidR="0011516D" w:rsidRPr="00833B78" w:rsidRDefault="00AF6DF3" w:rsidP="00CA55FC">
            <w:pPr>
              <w:rPr>
                <w:rFonts w:cstheme="majorHAnsi"/>
                <w:sz w:val="18"/>
                <w:szCs w:val="18"/>
              </w:rPr>
            </w:pPr>
            <w:r w:rsidRPr="00833B78">
              <w:rPr>
                <w:rFonts w:cstheme="majorHAnsi"/>
                <w:sz w:val="18"/>
                <w:szCs w:val="18"/>
              </w:rPr>
              <w:t>Nil</w:t>
            </w:r>
          </w:p>
        </w:tc>
        <w:tc>
          <w:tcPr>
            <w:tcW w:w="3863" w:type="dxa"/>
          </w:tcPr>
          <w:p w14:paraId="6C31B178" w14:textId="7DB2F98F" w:rsidR="0011516D" w:rsidRPr="00833B78" w:rsidRDefault="00CA55FC" w:rsidP="0011516D">
            <w:pPr>
              <w:rPr>
                <w:rFonts w:cstheme="majorHAnsi"/>
                <w:sz w:val="18"/>
                <w:szCs w:val="18"/>
              </w:rPr>
            </w:pPr>
            <w:r w:rsidRPr="00833B78">
              <w:rPr>
                <w:rFonts w:cstheme="majorHAnsi"/>
                <w:sz w:val="18"/>
                <w:szCs w:val="18"/>
              </w:rPr>
              <w:t xml:space="preserve">No </w:t>
            </w:r>
            <w:r w:rsidR="00AF6DF3" w:rsidRPr="00833B78">
              <w:rPr>
                <w:rFonts w:cstheme="majorHAnsi"/>
                <w:sz w:val="18"/>
                <w:szCs w:val="18"/>
              </w:rPr>
              <w:t>studies reported on interpretation time.</w:t>
            </w:r>
          </w:p>
        </w:tc>
      </w:tr>
    </w:tbl>
    <w:p w14:paraId="40260E71" w14:textId="77777777" w:rsidR="00F53056" w:rsidRDefault="00F53056" w:rsidP="00F53056">
      <w:pPr>
        <w:pStyle w:val="Caption"/>
      </w:pPr>
    </w:p>
    <w:p w14:paraId="0F5BF88B" w14:textId="77777777" w:rsidR="0041447D" w:rsidRDefault="0041447D">
      <w:pPr>
        <w:rPr>
          <w:rFonts w:asciiTheme="majorHAnsi" w:hAnsiTheme="majorHAnsi"/>
          <w:b/>
          <w:caps/>
          <w:color w:val="36424A" w:themeColor="text2"/>
          <w:sz w:val="28"/>
        </w:rPr>
      </w:pPr>
      <w:bookmarkStart w:id="76" w:name="_Toc513112121"/>
      <w:r>
        <w:br w:type="page"/>
      </w:r>
    </w:p>
    <w:p w14:paraId="3B8925CF" w14:textId="77777777" w:rsidR="00F53056" w:rsidRPr="00E44152" w:rsidRDefault="00F53056" w:rsidP="007E3481">
      <w:pPr>
        <w:pStyle w:val="NumberedHeading1"/>
        <w:numPr>
          <w:ilvl w:val="0"/>
          <w:numId w:val="2"/>
        </w:numPr>
        <w:spacing w:line="256" w:lineRule="auto"/>
        <w:ind w:left="567" w:hanging="567"/>
      </w:pPr>
      <w:bookmarkStart w:id="77" w:name="_Toc513112122"/>
      <w:bookmarkStart w:id="78" w:name="_Toc43376258"/>
      <w:bookmarkStart w:id="79" w:name="_Hlk507660196"/>
      <w:bookmarkEnd w:id="76"/>
      <w:r w:rsidRPr="00E44152">
        <w:lastRenderedPageBreak/>
        <w:t>Introduction</w:t>
      </w:r>
      <w:bookmarkEnd w:id="77"/>
      <w:bookmarkEnd w:id="78"/>
    </w:p>
    <w:p w14:paraId="177C5D3A" w14:textId="77777777" w:rsidR="00F53056" w:rsidRPr="00E44152" w:rsidRDefault="00F53056" w:rsidP="007E3481">
      <w:pPr>
        <w:pStyle w:val="NumberedHeading2"/>
        <w:numPr>
          <w:ilvl w:val="1"/>
          <w:numId w:val="2"/>
        </w:numPr>
      </w:pPr>
      <w:bookmarkStart w:id="80" w:name="_Toc513112123"/>
      <w:bookmarkStart w:id="81" w:name="_Toc43376259"/>
      <w:bookmarkEnd w:id="79"/>
      <w:r w:rsidRPr="00E44152">
        <w:t>About digital breast tomosynthesis</w:t>
      </w:r>
      <w:bookmarkEnd w:id="80"/>
      <w:bookmarkEnd w:id="81"/>
    </w:p>
    <w:p w14:paraId="2F824C69" w14:textId="2189A437" w:rsidR="00433A09" w:rsidRPr="00E44152" w:rsidRDefault="00433A09" w:rsidP="00433A09">
      <w:pPr>
        <w:pStyle w:val="BodyText"/>
      </w:pPr>
      <w:r w:rsidRPr="00E44152">
        <w:t xml:space="preserve">Digital breast tomosynthesis (DBT) (also known as breast tomosynthesis, mammographic tomosynthesis or </w:t>
      </w:r>
      <w:r w:rsidR="008C1B27">
        <w:t xml:space="preserve"> pseudo-t</w:t>
      </w:r>
      <w:r w:rsidRPr="00E44152">
        <w:t xml:space="preserve">hree dimensional/3D mammography) is an imaging technology that can be used to detect, assess and diagnose breast cancer. DBT records low-dose images of a compressed breast. These images are reconstructed in </w:t>
      </w:r>
      <w:r w:rsidR="008C1B27">
        <w:t xml:space="preserve">(usually) </w:t>
      </w:r>
      <w:r w:rsidRPr="00E44152">
        <w:t xml:space="preserve">1mm parallel slices </w:t>
      </w:r>
      <w:r w:rsidR="00100A83">
        <w:t xml:space="preserve">or 10mm slabs </w:t>
      </w:r>
      <w:r w:rsidRPr="00E44152">
        <w:t xml:space="preserve">to form a three-dimensional image of the breast. Radiologists </w:t>
      </w:r>
      <w:r>
        <w:t xml:space="preserve">(or other readers) </w:t>
      </w:r>
      <w:r w:rsidRPr="00E44152">
        <w:t>then analyse these images to determine the presence of abnormalities or to further investigate an area identified as suspicious on a digital mammogram. The thin cross-sectional images created by DBT minimise the masking effects of breast tissue overlap, which can improve margin visibility for soft tissue tumours</w:t>
      </w:r>
      <w:r w:rsidR="00100A83">
        <w:t xml:space="preserve"> presenting as masses</w:t>
      </w:r>
      <w:r w:rsidRPr="00E44152">
        <w:t xml:space="preserve"> and increase lesion conspicuity</w:t>
      </w:r>
      <w:r w:rsidR="00100A83">
        <w:t xml:space="preserve"> for presentations like architectural distortion (AD)</w:t>
      </w:r>
      <w:r w:rsidRPr="00E44152">
        <w:t xml:space="preserve">. This potentially increases screening sensitivity and specificity as abnormalities are easier to see. </w:t>
      </w:r>
    </w:p>
    <w:p w14:paraId="34BA1FC7" w14:textId="367EBB77" w:rsidR="00433A09" w:rsidRPr="002E2769" w:rsidRDefault="00433A09" w:rsidP="00433A09">
      <w:pPr>
        <w:pStyle w:val="BodyText"/>
      </w:pPr>
      <w:r w:rsidRPr="00E44152">
        <w:t>Radiation dose varies depending on</w:t>
      </w:r>
      <w:r w:rsidR="00100A83">
        <w:t xml:space="preserve"> the units used, whether the dose is automated or set by a radiographer, and by</w:t>
      </w:r>
      <w:r w:rsidRPr="00E44152">
        <w:t xml:space="preserve"> whether DBT is used alone, with integrated </w:t>
      </w:r>
      <w:r w:rsidR="008C1B27">
        <w:t>synthesi</w:t>
      </w:r>
      <w:r w:rsidR="0024768A">
        <w:t>z</w:t>
      </w:r>
      <w:r w:rsidR="008C1B27">
        <w:t>ed mammography (</w:t>
      </w:r>
      <w:r w:rsidR="00176980">
        <w:t>s2DM</w:t>
      </w:r>
      <w:r w:rsidR="008C1B27">
        <w:t>)</w:t>
      </w:r>
      <w:r w:rsidRPr="00E44152">
        <w:t xml:space="preserve"> image acquisition</w:t>
      </w:r>
      <w:r w:rsidRPr="00E44152">
        <w:rPr>
          <w:rStyle w:val="FootnoteReference"/>
        </w:rPr>
        <w:footnoteReference w:id="1"/>
      </w:r>
      <w:r w:rsidRPr="00E44152">
        <w:t xml:space="preserve"> or is used as an adjunct to full field digital mammography (FFDM</w:t>
      </w:r>
      <w:r w:rsidRPr="00E44152">
        <w:rPr>
          <w:rStyle w:val="FootnoteReference"/>
        </w:rPr>
        <w:footnoteReference w:id="2"/>
      </w:r>
      <w:r w:rsidRPr="00E44152">
        <w:t xml:space="preserve">). Concerns about radiation dose plus the longer image acquisition and interpretation time required with </w:t>
      </w:r>
      <w:r w:rsidR="00A41257">
        <w:t>FFDM+DBT</w:t>
      </w:r>
      <w:r w:rsidRPr="00E44152">
        <w:t xml:space="preserve"> means that this </w:t>
      </w:r>
      <w:r w:rsidRPr="002E2769">
        <w:t xml:space="preserve">screening strategy could be potentially unacceptable to women and practitioners. </w:t>
      </w:r>
      <w:r w:rsidR="00A41257">
        <w:t>DBT+</w:t>
      </w:r>
      <w:r w:rsidR="00176980">
        <w:t>s2DM</w:t>
      </w:r>
      <w:r w:rsidRPr="002E2769">
        <w:t xml:space="preserve"> developed in response to these concerns. As a result, DBT’s use (both in clinical and research settings) is evolving as the evidence base underpinning the use of </w:t>
      </w:r>
      <w:r w:rsidR="00A41257">
        <w:t>DBT+</w:t>
      </w:r>
      <w:r w:rsidR="00176980">
        <w:t>s2DM</w:t>
      </w:r>
      <w:r w:rsidRPr="002E2769">
        <w:t xml:space="preserve"> within a screening program grows. </w:t>
      </w:r>
    </w:p>
    <w:p w14:paraId="3D1A544D" w14:textId="77777777" w:rsidR="00433A09" w:rsidRPr="00E44152" w:rsidRDefault="00433A09" w:rsidP="007E3481">
      <w:pPr>
        <w:pStyle w:val="NumberedHeading2"/>
        <w:numPr>
          <w:ilvl w:val="1"/>
          <w:numId w:val="2"/>
        </w:numPr>
        <w:spacing w:line="256" w:lineRule="auto"/>
        <w:ind w:left="851" w:hanging="851"/>
      </w:pPr>
      <w:bookmarkStart w:id="82" w:name="_Toc513112124"/>
      <w:bookmarkStart w:id="83" w:name="_Toc43376260"/>
      <w:r w:rsidRPr="00E44152">
        <w:t>BreastScreen Australia’s position statement on tomosynthesis</w:t>
      </w:r>
      <w:bookmarkEnd w:id="82"/>
      <w:bookmarkEnd w:id="83"/>
    </w:p>
    <w:p w14:paraId="1835074D" w14:textId="7C86DE3A" w:rsidR="008C1B27" w:rsidRPr="00E44152" w:rsidRDefault="008C1B27" w:rsidP="008C1B27">
      <w:pPr>
        <w:pStyle w:val="BodyText"/>
      </w:pPr>
      <w:r>
        <w:t xml:space="preserve">The BSA program uses bilateral FFDM as the screening test for the </w:t>
      </w:r>
      <w:r w:rsidRPr="00BE2E91">
        <w:t>early detection of breast cancer in asymptomatic women aged over 40 years</w:t>
      </w:r>
      <w:r>
        <w:t xml:space="preserve">. DBT is used in the </w:t>
      </w:r>
      <w:r w:rsidR="00402C2C">
        <w:t>examination</w:t>
      </w:r>
      <w:r>
        <w:t xml:space="preserve"> of screen-detected abnormalities</w:t>
      </w:r>
      <w:r w:rsidR="00901FB1">
        <w:t xml:space="preserve"> at some BSA assessment clinics</w:t>
      </w:r>
      <w:r>
        <w:t xml:space="preserve">. </w:t>
      </w:r>
      <w:r w:rsidRPr="00E44152">
        <w:t xml:space="preserve">In 2014, the Community Care and Population Health Principal Committee of the Australian Health Ministers’ Advisory Council </w:t>
      </w:r>
      <w:r w:rsidR="00901FB1">
        <w:t xml:space="preserve">(AHMAC) </w:t>
      </w:r>
      <w:r w:rsidRPr="00E44152">
        <w:t xml:space="preserve">endorsed BSA’s position statement on DBT. </w:t>
      </w:r>
      <w:r w:rsidR="00901FB1">
        <w:t xml:space="preserve">It </w:t>
      </w:r>
      <w:r w:rsidRPr="00E44152">
        <w:t xml:space="preserve">concluded that FFDM remained the most effective population screening </w:t>
      </w:r>
      <w:r w:rsidR="00100A83">
        <w:t>test</w:t>
      </w:r>
      <w:r w:rsidRPr="00E44152">
        <w:t xml:space="preserve"> for breast cancer. </w:t>
      </w:r>
    </w:p>
    <w:p w14:paraId="4565D93B" w14:textId="5D0856AC" w:rsidR="008C1B27" w:rsidRPr="008C1B27" w:rsidRDefault="008C1B27" w:rsidP="008C1B27">
      <w:pPr>
        <w:pStyle w:val="BodyText"/>
      </w:pPr>
      <w:r w:rsidRPr="00E44152">
        <w:t xml:space="preserve">Since publication of BSA’s position statement, the evidence base for DBT as a promising effective population screening tool for the early detection of breast </w:t>
      </w:r>
      <w:r w:rsidRPr="002E2769">
        <w:t xml:space="preserve">cancer in asymptomatic women has continued to develop. </w:t>
      </w:r>
      <w:r>
        <w:rPr>
          <w:i/>
          <w:iCs/>
        </w:rPr>
        <w:t xml:space="preserve">Allen + Clarke </w:t>
      </w:r>
      <w:r>
        <w:t xml:space="preserve">has previously undertaken narrative literature reviews on the emerging evidence about the role of DBT in screening and the assessment of screen-detected lesions (see </w:t>
      </w:r>
      <w:r>
        <w:rPr>
          <w:i/>
          <w:iCs/>
        </w:rPr>
        <w:t>section 1.3</w:t>
      </w:r>
      <w:r>
        <w:t xml:space="preserve">). These reviews have been considered by the Breast-Screening Technical Reference Group, which recommended that changes be made to the position statement. The key changes focus on supporting the use of DBT in the </w:t>
      </w:r>
      <w:r w:rsidR="00402C2C">
        <w:t>investigation</w:t>
      </w:r>
      <w:r>
        <w:t xml:space="preserve"> of screen-detected abnormalities</w:t>
      </w:r>
      <w:r w:rsidR="00100A83">
        <w:t>,</w:t>
      </w:r>
      <w:r>
        <w:t xml:space="preserve"> but it does not recommend that DBT be used as the screening test at this time. </w:t>
      </w:r>
      <w:r w:rsidR="00A62A2E">
        <w:t>A</w:t>
      </w:r>
      <w:r>
        <w:t xml:space="preserve"> new position </w:t>
      </w:r>
      <w:r>
        <w:lastRenderedPageBreak/>
        <w:t xml:space="preserve">statement on DBT was </w:t>
      </w:r>
      <w:r w:rsidR="00901FB1">
        <w:t>endorsed</w:t>
      </w:r>
      <w:r>
        <w:t xml:space="preserve"> by </w:t>
      </w:r>
      <w:r w:rsidR="006370B8">
        <w:t xml:space="preserve">the </w:t>
      </w:r>
      <w:r w:rsidR="00C64CEB">
        <w:t xml:space="preserve">AHMAC </w:t>
      </w:r>
      <w:r w:rsidR="006370B8">
        <w:t>Standing Committee on Screening in November 2019</w:t>
      </w:r>
      <w:r w:rsidR="00E22480">
        <w:t xml:space="preserve"> and by the AHMAC Clinical Principal Committee in 2020</w:t>
      </w:r>
      <w:r>
        <w:t>.</w:t>
      </w:r>
    </w:p>
    <w:p w14:paraId="7E7BE80A" w14:textId="318D7B4E" w:rsidR="00433A09" w:rsidRPr="0063783C" w:rsidRDefault="00433A09" w:rsidP="007E3481">
      <w:pPr>
        <w:pStyle w:val="NumberedHeading2"/>
        <w:numPr>
          <w:ilvl w:val="1"/>
          <w:numId w:val="2"/>
        </w:numPr>
        <w:spacing w:line="256" w:lineRule="auto"/>
        <w:ind w:left="851" w:hanging="851"/>
      </w:pPr>
      <w:bookmarkStart w:id="84" w:name="_Toc43376261"/>
      <w:bookmarkStart w:id="85" w:name="_Toc513112125"/>
      <w:r w:rsidRPr="0063783C">
        <w:t xml:space="preserve">Previous literature reviews undertaken by </w:t>
      </w:r>
      <w:r w:rsidRPr="0063783C">
        <w:rPr>
          <w:i/>
          <w:iCs/>
        </w:rPr>
        <w:t>Allen + Clarke</w:t>
      </w:r>
      <w:bookmarkEnd w:id="84"/>
    </w:p>
    <w:p w14:paraId="579B9D25" w14:textId="3780ADE4" w:rsidR="00901FB1" w:rsidRPr="008C1B27" w:rsidRDefault="0063783C" w:rsidP="00901FB1">
      <w:pPr>
        <w:pStyle w:val="BodyText"/>
      </w:pPr>
      <w:r>
        <w:t xml:space="preserve">Recognising that the evidence base underpinning the use of digital breast tomosynthesis DBT in breast cancer screening and the assessment and diagnosis of breast cancer is developing quickly, the Department of Health (Australia) commissioned two narrative literature reviews exploring the role of tomosynthesis in breast cancer screening of asymptomatic women. </w:t>
      </w:r>
      <w:r w:rsidR="00901FB1">
        <w:t xml:space="preserve">Key findings from both reviews are summarised in the report for ease of reference. Full texts </w:t>
      </w:r>
      <w:r w:rsidR="00F748F1">
        <w:t xml:space="preserve">are </w:t>
      </w:r>
      <w:r w:rsidR="00901FB1">
        <w:t>available at</w:t>
      </w:r>
      <w:r w:rsidR="00F748F1">
        <w:t xml:space="preserve"> </w:t>
      </w:r>
      <w:hyperlink r:id="rId12" w:history="1">
        <w:r w:rsidR="00DB0743" w:rsidRPr="00005642">
          <w:rPr>
            <w:rStyle w:val="Hyperlink"/>
          </w:rPr>
          <w:t>www.cancerscreening.gov.au/internet/screening/publishing.nsf/Content/dbt</w:t>
        </w:r>
      </w:hyperlink>
      <w:r w:rsidR="00F748F1">
        <w:t>.</w:t>
      </w:r>
    </w:p>
    <w:p w14:paraId="1C41CED6" w14:textId="2D1C0A51" w:rsidR="008C1B27" w:rsidRDefault="008C1B27" w:rsidP="008C1B27">
      <w:pPr>
        <w:pStyle w:val="NumberedHeading3"/>
      </w:pPr>
      <w:bookmarkStart w:id="86" w:name="_Toc27477553"/>
      <w:bookmarkStart w:id="87" w:name="_Toc27665686"/>
      <w:bookmarkStart w:id="88" w:name="_Toc27844466"/>
      <w:bookmarkStart w:id="89" w:name="_Toc27859596"/>
      <w:bookmarkStart w:id="90" w:name="_Toc27904711"/>
      <w:bookmarkStart w:id="91" w:name="_Toc43376262"/>
      <w:r>
        <w:t>The role of DBT in as a screening test</w:t>
      </w:r>
      <w:bookmarkEnd w:id="86"/>
      <w:bookmarkEnd w:id="87"/>
      <w:bookmarkEnd w:id="88"/>
      <w:bookmarkEnd w:id="89"/>
      <w:bookmarkEnd w:id="90"/>
      <w:bookmarkEnd w:id="91"/>
    </w:p>
    <w:p w14:paraId="7A676ED3" w14:textId="457F36E9" w:rsidR="008C1B27" w:rsidRDefault="008C1B27" w:rsidP="0063783C">
      <w:pPr>
        <w:pStyle w:val="BodyText"/>
      </w:pPr>
      <w:r>
        <w:t>In 2017, t</w:t>
      </w:r>
      <w:r w:rsidRPr="00BE2E91">
        <w:t xml:space="preserve">he Department of Health (Australia) contracted </w:t>
      </w:r>
      <w:r w:rsidRPr="00BE2E91">
        <w:rPr>
          <w:i/>
        </w:rPr>
        <w:t xml:space="preserve">Allen + Clarke </w:t>
      </w:r>
      <w:r w:rsidRPr="00BE2E91">
        <w:t xml:space="preserve">to undertake a literature review </w:t>
      </w:r>
      <w:r>
        <w:t>(not</w:t>
      </w:r>
      <w:r w:rsidR="00815FC2">
        <w:t xml:space="preserve"> a</w:t>
      </w:r>
      <w:r>
        <w:t xml:space="preserve"> systematic review) </w:t>
      </w:r>
      <w:r w:rsidRPr="00BE2E91">
        <w:t xml:space="preserve">on the use of digital breast tomosynthesis (DBT) as a primary </w:t>
      </w:r>
      <w:r>
        <w:t xml:space="preserve">or adjunct </w:t>
      </w:r>
      <w:r w:rsidRPr="00BE2E91">
        <w:t>screening test</w:t>
      </w:r>
      <w:r>
        <w:t xml:space="preserve"> for the early detection of breast cancer in healthy, asymptomatic women</w:t>
      </w:r>
      <w:r w:rsidRPr="00BE2E91">
        <w:t>.</w:t>
      </w:r>
      <w:r>
        <w:t xml:space="preserve"> </w:t>
      </w:r>
      <w:r w:rsidRPr="002E2769">
        <w:t xml:space="preserve">We wanted to know if DBT (implemented either alone, with </w:t>
      </w:r>
      <w:r w:rsidR="00176980">
        <w:t>s2DM</w:t>
      </w:r>
      <w:r w:rsidRPr="002E2769">
        <w:t xml:space="preserve"> or as an adjunct to FFDM) is a more sensitive, specific and safer test for the early detection of breast cancer in asymptomatic women compared to </w:t>
      </w:r>
      <w:r>
        <w:t xml:space="preserve">bilateral </w:t>
      </w:r>
      <w:r w:rsidRPr="002E2769">
        <w:t>FFDM alone (the</w:t>
      </w:r>
      <w:r w:rsidRPr="00E44152">
        <w:t xml:space="preserve"> current </w:t>
      </w:r>
      <w:r>
        <w:t>screening test</w:t>
      </w:r>
      <w:r w:rsidRPr="00E44152">
        <w:t xml:space="preserve">). </w:t>
      </w:r>
      <w:r>
        <w:t xml:space="preserve">This review </w:t>
      </w:r>
      <w:r w:rsidRPr="00E44152">
        <w:t>consider</w:t>
      </w:r>
      <w:r>
        <w:t>ed</w:t>
      </w:r>
      <w:r w:rsidRPr="00E44152">
        <w:t xml:space="preserve"> if available published evidence on efficacy, effectiveness and safety indicate</w:t>
      </w:r>
      <w:r>
        <w:t>d</w:t>
      </w:r>
      <w:r w:rsidRPr="00E44152">
        <w:t xml:space="preserve"> that DBT should be the preferred method for screening asymptomatic women for breast cancer in Australia (i.e., that it replaces or is used as an adjunct to FFDM for all or some women). We were also interested in whether DBT should be the preferred method for average risk women and/or population groups with a higher than average lifetime risk of breast cancer. We explored the incremental costs associated with implementing DBT as a screening tool and women’s experience with this imaging technology when used for screening purposes. </w:t>
      </w:r>
    </w:p>
    <w:p w14:paraId="10E01A83" w14:textId="42A5A62A" w:rsidR="008C1B27" w:rsidRDefault="008C1B27" w:rsidP="008C1B27">
      <w:pPr>
        <w:pStyle w:val="NumberedHeading3"/>
      </w:pPr>
      <w:bookmarkStart w:id="92" w:name="_Toc27477554"/>
      <w:bookmarkStart w:id="93" w:name="_Toc27665687"/>
      <w:bookmarkStart w:id="94" w:name="_Toc27844467"/>
      <w:bookmarkStart w:id="95" w:name="_Toc27859597"/>
      <w:bookmarkStart w:id="96" w:name="_Toc27904712"/>
      <w:bookmarkStart w:id="97" w:name="_Toc43376263"/>
      <w:r>
        <w:t>The role of DBT in the assessment clinic</w:t>
      </w:r>
      <w:bookmarkEnd w:id="92"/>
      <w:bookmarkEnd w:id="93"/>
      <w:bookmarkEnd w:id="94"/>
      <w:bookmarkEnd w:id="95"/>
      <w:bookmarkEnd w:id="96"/>
      <w:bookmarkEnd w:id="97"/>
    </w:p>
    <w:p w14:paraId="372EC095" w14:textId="12D95195" w:rsidR="008C1B27" w:rsidRPr="008C1B27" w:rsidRDefault="008C1B27" w:rsidP="0063783C">
      <w:pPr>
        <w:pStyle w:val="BodyText"/>
        <w:rPr>
          <w:i/>
          <w:iCs/>
        </w:rPr>
      </w:pPr>
      <w:r>
        <w:rPr>
          <w:i/>
          <w:iCs/>
        </w:rPr>
        <w:t xml:space="preserve">Allen + Clarke </w:t>
      </w:r>
      <w:r>
        <w:t xml:space="preserve"> </w:t>
      </w:r>
      <w:r w:rsidR="00815FC2">
        <w:t xml:space="preserve">undertook </w:t>
      </w:r>
      <w:r w:rsidRPr="002E2769">
        <w:t>a</w:t>
      </w:r>
      <w:r w:rsidR="00815FC2">
        <w:t xml:space="preserve"> second</w:t>
      </w:r>
      <w:r w:rsidRPr="002E2769">
        <w:t xml:space="preserve"> literature review on </w:t>
      </w:r>
      <w:r>
        <w:t xml:space="preserve">the role of </w:t>
      </w:r>
      <w:r w:rsidRPr="002E2769">
        <w:t xml:space="preserve">DBT </w:t>
      </w:r>
      <w:r>
        <w:t xml:space="preserve">in the </w:t>
      </w:r>
      <w:r w:rsidR="00885A1C">
        <w:t>investigation</w:t>
      </w:r>
      <w:r>
        <w:t xml:space="preserve"> of screen-detected abnormalities (i.e., its potential role in the </w:t>
      </w:r>
      <w:r w:rsidRPr="00FE4428">
        <w:t>assessment and diagnosis of breast cancer</w:t>
      </w:r>
      <w:r>
        <w:t xml:space="preserve"> within a breast screening program). We wanted to know if DBT is a more sensitive and specific imaging technology that can contribute to reduced </w:t>
      </w:r>
      <w:r w:rsidR="00402C2C">
        <w:t>investigation</w:t>
      </w:r>
      <w:r>
        <w:t xml:space="preserve"> for benign final outcome compared to other mammographic views including repeat FFDM, digital spot-compression or magnification views, or adjunctive ultrasound and adjunctive MRI. This review considered evidence assessing whether DBT should be the preferred method of assessment for women with a suspected malignancy identified by screening, and any incremental costs or safety considerations associated with the implementation of DBT as an imaging tool in assessment or diagnosis. </w:t>
      </w:r>
    </w:p>
    <w:p w14:paraId="75BEB309" w14:textId="730FF454" w:rsidR="00433A09" w:rsidRDefault="00433A09" w:rsidP="007E3481">
      <w:pPr>
        <w:pStyle w:val="NumberedHeading2"/>
        <w:numPr>
          <w:ilvl w:val="1"/>
          <w:numId w:val="2"/>
        </w:numPr>
        <w:spacing w:line="256" w:lineRule="auto"/>
        <w:ind w:left="851" w:hanging="851"/>
      </w:pPr>
      <w:bookmarkStart w:id="98" w:name="_Toc43376264"/>
      <w:r w:rsidRPr="00E44152">
        <w:t>Purpose and scope of this literature review</w:t>
      </w:r>
      <w:bookmarkEnd w:id="85"/>
      <w:bookmarkEnd w:id="98"/>
    </w:p>
    <w:p w14:paraId="25FF3DC0" w14:textId="06D61980" w:rsidR="00680AD1" w:rsidRPr="0091554F" w:rsidRDefault="005269DB" w:rsidP="00680AD1">
      <w:pPr>
        <w:pStyle w:val="BodyText"/>
      </w:pPr>
      <w:r>
        <w:t>S</w:t>
      </w:r>
      <w:r w:rsidR="00680AD1">
        <w:t xml:space="preserve">ince the preparation of </w:t>
      </w:r>
      <w:r w:rsidR="00680AD1">
        <w:rPr>
          <w:i/>
        </w:rPr>
        <w:t>Allen + Clarke</w:t>
      </w:r>
      <w:r w:rsidR="00680AD1">
        <w:t xml:space="preserve">’s 2018 literature reviews, further evidence has been published (including final results from the Maroondah and Malmö trials and further results from the Oslo Tomosynthesis in Screening and STORM trials). Much of the newer evidence adds depth to what is already known, rather than shedding light on some of the unknown issues associated </w:t>
      </w:r>
      <w:r w:rsidR="00680AD1">
        <w:lastRenderedPageBreak/>
        <w:t>with the use of DBT as a primary screening test. It is important that the updated BSA position statement on the role of DBT accurately reflect</w:t>
      </w:r>
      <w:r w:rsidR="00815FC2">
        <w:t>s</w:t>
      </w:r>
      <w:r w:rsidR="00680AD1">
        <w:t xml:space="preserve"> the literature base at the time of its publication even as f</w:t>
      </w:r>
      <w:r w:rsidR="00680AD1" w:rsidRPr="00077436">
        <w:t xml:space="preserve">urther studies </w:t>
      </w:r>
      <w:r w:rsidR="00680AD1">
        <w:t xml:space="preserve">investigating </w:t>
      </w:r>
      <w:r w:rsidR="00680AD1" w:rsidRPr="00077436">
        <w:t>long</w:t>
      </w:r>
      <w:r w:rsidR="00680AD1">
        <w:t>er</w:t>
      </w:r>
      <w:r w:rsidR="00680AD1" w:rsidRPr="00077436">
        <w:t xml:space="preserve">-term </w:t>
      </w:r>
      <w:r w:rsidR="00680AD1">
        <w:t xml:space="preserve">screening </w:t>
      </w:r>
      <w:r w:rsidR="00680AD1" w:rsidRPr="00077436">
        <w:t>outcomes continue.</w:t>
      </w:r>
      <w:r w:rsidR="00680AD1">
        <w:t xml:space="preserve"> </w:t>
      </w:r>
      <w:r w:rsidR="00680AD1" w:rsidRPr="00077436">
        <w:t xml:space="preserve">The Department of Health has engaged </w:t>
      </w:r>
      <w:r w:rsidR="00680AD1" w:rsidRPr="00D1048A">
        <w:rPr>
          <w:i/>
        </w:rPr>
        <w:t>A</w:t>
      </w:r>
      <w:r w:rsidR="00680AD1" w:rsidRPr="00077436">
        <w:rPr>
          <w:i/>
        </w:rPr>
        <w:t xml:space="preserve">llen + Clarke </w:t>
      </w:r>
      <w:r w:rsidR="00680AD1" w:rsidRPr="00077436">
        <w:t xml:space="preserve">to </w:t>
      </w:r>
      <w:r w:rsidR="00680AD1">
        <w:t>update its 2018 literature review</w:t>
      </w:r>
      <w:r>
        <w:t>s</w:t>
      </w:r>
      <w:r w:rsidR="00680AD1">
        <w:t xml:space="preserve"> with research published to December 2019. This</w:t>
      </w:r>
      <w:r>
        <w:t xml:space="preserve"> new narrative literature</w:t>
      </w:r>
      <w:r w:rsidR="00680AD1">
        <w:t xml:space="preserve"> review will ensure that </w:t>
      </w:r>
      <w:r>
        <w:t xml:space="preserve">any updated BSA </w:t>
      </w:r>
      <w:r w:rsidR="00680AD1">
        <w:t xml:space="preserve">position statement </w:t>
      </w:r>
      <w:r>
        <w:t xml:space="preserve">on DBT </w:t>
      </w:r>
      <w:r w:rsidR="00680AD1">
        <w:t xml:space="preserve">most accurately reflects the current evidence base. </w:t>
      </w:r>
    </w:p>
    <w:p w14:paraId="01E0D674" w14:textId="3F08DFC7" w:rsidR="00433A09" w:rsidRDefault="00433A09" w:rsidP="007E3481">
      <w:pPr>
        <w:pStyle w:val="NumberedHeading2"/>
        <w:numPr>
          <w:ilvl w:val="1"/>
          <w:numId w:val="2"/>
        </w:numPr>
        <w:spacing w:line="256" w:lineRule="auto"/>
        <w:ind w:left="851" w:hanging="851"/>
      </w:pPr>
      <w:bookmarkStart w:id="99" w:name="_Ref507059589"/>
      <w:bookmarkStart w:id="100" w:name="_Toc513112126"/>
      <w:bookmarkStart w:id="101" w:name="_Toc43376265"/>
      <w:r w:rsidRPr="00E44152">
        <w:t>Ongoing research</w:t>
      </w:r>
      <w:bookmarkEnd w:id="99"/>
      <w:bookmarkEnd w:id="100"/>
      <w:bookmarkEnd w:id="101"/>
    </w:p>
    <w:p w14:paraId="6ED74D3C" w14:textId="58D53AC5" w:rsidR="00506A84" w:rsidRPr="00E44152" w:rsidRDefault="0083772F" w:rsidP="00566354">
      <w:pPr>
        <w:pStyle w:val="BodyText"/>
      </w:pPr>
      <w:bookmarkStart w:id="102" w:name="_Hlk506702274"/>
      <w:r>
        <w:t xml:space="preserve">Since </w:t>
      </w:r>
      <w:r>
        <w:rPr>
          <w:i/>
          <w:iCs/>
        </w:rPr>
        <w:t>Allen + Clarke</w:t>
      </w:r>
      <w:r>
        <w:t>’s</w:t>
      </w:r>
      <w:r>
        <w:rPr>
          <w:i/>
          <w:iCs/>
        </w:rPr>
        <w:t xml:space="preserve"> </w:t>
      </w:r>
      <w:r>
        <w:t xml:space="preserve">2018 literature review, several large trials have reported </w:t>
      </w:r>
      <w:r w:rsidR="00100A83">
        <w:t xml:space="preserve">baseline, </w:t>
      </w:r>
      <w:r>
        <w:t xml:space="preserve">interim or final results including results from the </w:t>
      </w:r>
      <w:r w:rsidR="00100A83">
        <w:t xml:space="preserve">Reggio Emilia and To-Be-1 RCTs and evaluation pilots/trials from key European and Australian screening programs (i.e., </w:t>
      </w:r>
      <w:r>
        <w:t>Malmö, Maroondah</w:t>
      </w:r>
      <w:r w:rsidR="00100A83">
        <w:t>,</w:t>
      </w:r>
      <w:r>
        <w:t xml:space="preserve"> </w:t>
      </w:r>
      <w:r w:rsidR="00100A83">
        <w:t xml:space="preserve">Oslo, STORM-2, </w:t>
      </w:r>
      <w:r w:rsidR="00566354">
        <w:t>Trento and</w:t>
      </w:r>
      <w:r>
        <w:t xml:space="preserve"> </w:t>
      </w:r>
      <w:r w:rsidR="00566354">
        <w:t>Verona</w:t>
      </w:r>
      <w:r w:rsidR="00100A83">
        <w:t xml:space="preserve">); however, this is still an area of very active research. </w:t>
      </w:r>
      <w:r w:rsidR="00506A84" w:rsidRPr="00E44152">
        <w:t xml:space="preserve">Our review of </w:t>
      </w:r>
      <w:hyperlink r:id="rId13" w:history="1">
        <w:r w:rsidR="00506A84" w:rsidRPr="00E44152">
          <w:rPr>
            <w:rStyle w:val="Hyperlink"/>
          </w:rPr>
          <w:t>www.clinicaltrials.gov</w:t>
        </w:r>
      </w:hyperlink>
      <w:r w:rsidR="00506A84" w:rsidRPr="00E44152">
        <w:t xml:space="preserve"> (completed on </w:t>
      </w:r>
      <w:r w:rsidR="00D51D85">
        <w:t>22 November 2019</w:t>
      </w:r>
      <w:r w:rsidR="00506A84" w:rsidRPr="00E44152">
        <w:t xml:space="preserve">) identified </w:t>
      </w:r>
      <w:r w:rsidR="00215CAC">
        <w:t>si</w:t>
      </w:r>
      <w:r w:rsidR="00D51D85">
        <w:t xml:space="preserve">x </w:t>
      </w:r>
      <w:r w:rsidR="00506A84" w:rsidRPr="00E44152">
        <w:t>large</w:t>
      </w:r>
      <w:r w:rsidR="00100A83">
        <w:t>, ongoing</w:t>
      </w:r>
      <w:r w:rsidR="00506A84" w:rsidRPr="00E44152">
        <w:t xml:space="preserve"> studies investigating the role of DBT in population-based screening for asymptomatic women (either </w:t>
      </w:r>
      <w:r w:rsidR="00215CAC">
        <w:t xml:space="preserve">comparing FFDM to </w:t>
      </w:r>
      <w:r w:rsidR="00A41257">
        <w:t>FFDM+DBT</w:t>
      </w:r>
      <w:r w:rsidR="00215CAC">
        <w:t xml:space="preserve">, DBT </w:t>
      </w:r>
      <w:r w:rsidR="00506A84" w:rsidRPr="00E44152">
        <w:t xml:space="preserve">alone or </w:t>
      </w:r>
      <w:r w:rsidR="00215CAC">
        <w:t xml:space="preserve">DBT </w:t>
      </w:r>
      <w:r w:rsidR="00506A84" w:rsidRPr="00E44152">
        <w:t xml:space="preserve">in combination with </w:t>
      </w:r>
      <w:r w:rsidR="00176980">
        <w:t>s2DM</w:t>
      </w:r>
      <w:r w:rsidR="00506A84" w:rsidRPr="00E44152">
        <w:t xml:space="preserve">). </w:t>
      </w:r>
      <w:r>
        <w:t xml:space="preserve">Many of these studies are focusing on cost-effectiveness, </w:t>
      </w:r>
      <w:r w:rsidR="00566354" w:rsidRPr="00566354">
        <w:t xml:space="preserve">pathologic and biological characteristics of screen-detected cancers </w:t>
      </w:r>
      <w:r w:rsidRPr="00566354">
        <w:t>(including cancer subtypes)</w:t>
      </w:r>
      <w:r w:rsidR="00566354" w:rsidRPr="00566354">
        <w:t xml:space="preserve"> and/or presentation of advanced cancers at a subsequent screening round</w:t>
      </w:r>
      <w:r w:rsidRPr="00566354">
        <w:t xml:space="preserve">, interval cancer rates and/or measures of mortality from breast cancer. </w:t>
      </w:r>
      <w:r w:rsidR="00506A84" w:rsidRPr="00566354">
        <w:t>Further updates to the BSA position statement may be required as these studies report interim or final findings. Key</w:t>
      </w:r>
      <w:r w:rsidR="008F745B" w:rsidRPr="00566354">
        <w:t xml:space="preserve"> large,</w:t>
      </w:r>
      <w:r w:rsidR="00506A84" w:rsidRPr="00566354">
        <w:t xml:space="preserve"> ongoing or upcoming trials </w:t>
      </w:r>
      <w:bookmarkEnd w:id="102"/>
      <w:r w:rsidR="00506A84" w:rsidRPr="00566354">
        <w:t>include the:</w:t>
      </w:r>
    </w:p>
    <w:p w14:paraId="4FD18B4D" w14:textId="2E81E186" w:rsidR="00815FC2" w:rsidRPr="00E44152" w:rsidRDefault="0083772F" w:rsidP="005D3634">
      <w:pPr>
        <w:pStyle w:val="List-BulletLvl1"/>
      </w:pPr>
      <w:r w:rsidRPr="00E44152">
        <w:t xml:space="preserve">Tomosynthesis </w:t>
      </w:r>
      <w:r w:rsidR="00815FC2">
        <w:t>t</w:t>
      </w:r>
      <w:r w:rsidRPr="00E44152">
        <w:t>rial in Bergen (</w:t>
      </w:r>
      <w:r>
        <w:t xml:space="preserve">the </w:t>
      </w:r>
      <w:r w:rsidR="00815FC2">
        <w:t>To-Be-</w:t>
      </w:r>
      <w:r>
        <w:t xml:space="preserve">1 </w:t>
      </w:r>
      <w:r w:rsidRPr="00E44152">
        <w:t>study</w:t>
      </w:r>
      <w:r>
        <w:t xml:space="preserve"> in </w:t>
      </w:r>
      <w:r w:rsidRPr="00E44152">
        <w:t>Norway</w:t>
      </w:r>
      <w:r>
        <w:t>, active status</w:t>
      </w:r>
      <w:r>
        <w:rPr>
          <w:rStyle w:val="FootnoteReference"/>
        </w:rPr>
        <w:footnoteReference w:id="3"/>
      </w:r>
      <w:r w:rsidR="005D3634">
        <w:t xml:space="preserve">; and a second RCT (the </w:t>
      </w:r>
      <w:r w:rsidR="00815FC2">
        <w:t xml:space="preserve">To-Be-2 </w:t>
      </w:r>
      <w:r w:rsidR="00815FC2" w:rsidRPr="00E44152">
        <w:t>study</w:t>
      </w:r>
      <w:r w:rsidR="005D3634">
        <w:t xml:space="preserve">, </w:t>
      </w:r>
      <w:r w:rsidR="00815FC2">
        <w:t>recruiting status</w:t>
      </w:r>
      <w:r w:rsidR="00815FC2" w:rsidRPr="00E44152">
        <w:t>)</w:t>
      </w:r>
      <w:r w:rsidR="00815FC2" w:rsidRPr="00E44152">
        <w:rPr>
          <w:rStyle w:val="FootnoteReference"/>
        </w:rPr>
        <w:footnoteReference w:id="4"/>
      </w:r>
    </w:p>
    <w:p w14:paraId="2CD3A96A" w14:textId="21CE4531" w:rsidR="00566354" w:rsidRDefault="00566354" w:rsidP="0083772F">
      <w:pPr>
        <w:pStyle w:val="List-BulletLvl1"/>
      </w:pPr>
      <w:r>
        <w:t>ProteusDonna trial (</w:t>
      </w:r>
      <w:r w:rsidR="00090A88">
        <w:t xml:space="preserve">Piedmont, </w:t>
      </w:r>
      <w:r>
        <w:t>Italy, active status)</w:t>
      </w:r>
      <w:r>
        <w:rPr>
          <w:rStyle w:val="FootnoteReference"/>
        </w:rPr>
        <w:footnoteReference w:id="5"/>
      </w:r>
    </w:p>
    <w:p w14:paraId="22BCCF74" w14:textId="4C1D6943" w:rsidR="00506A84" w:rsidRDefault="008F745B" w:rsidP="008F745B">
      <w:pPr>
        <w:pStyle w:val="List-BulletLvl1"/>
      </w:pPr>
      <w:r>
        <w:t>PROSPECTS trial (United Kingdom</w:t>
      </w:r>
      <w:r w:rsidR="0083772F">
        <w:t>, recruiting status</w:t>
      </w:r>
      <w:r>
        <w:t>)</w:t>
      </w:r>
      <w:r>
        <w:rPr>
          <w:rStyle w:val="FootnoteReference"/>
        </w:rPr>
        <w:footnoteReference w:id="6"/>
      </w:r>
    </w:p>
    <w:p w14:paraId="24D21456" w14:textId="7E852503" w:rsidR="0083772F" w:rsidRDefault="0083772F" w:rsidP="008F745B">
      <w:pPr>
        <w:pStyle w:val="List-BulletLvl1"/>
      </w:pPr>
      <w:r>
        <w:t>TOSYMA (Germany, recruiting status)</w:t>
      </w:r>
      <w:r w:rsidRPr="00E44152">
        <w:rPr>
          <w:rStyle w:val="FootnoteReference"/>
        </w:rPr>
        <w:footnoteReference w:id="7"/>
      </w:r>
      <w:r>
        <w:t>, and</w:t>
      </w:r>
    </w:p>
    <w:p w14:paraId="2571A19D" w14:textId="69B314FB" w:rsidR="0083772F" w:rsidRDefault="0083772F" w:rsidP="0083772F">
      <w:pPr>
        <w:pStyle w:val="List-BulletLvl1"/>
      </w:pPr>
      <w:r w:rsidRPr="0083772F">
        <w:t xml:space="preserve">Tomosynthesis Mammographic Imaging Screening </w:t>
      </w:r>
      <w:r>
        <w:t>t</w:t>
      </w:r>
      <w:r w:rsidRPr="0083772F">
        <w:t>rial (TMIST) (United States, recruiting status)</w:t>
      </w:r>
      <w:r w:rsidRPr="00566354">
        <w:rPr>
          <w:rStyle w:val="FootnoteReference"/>
        </w:rPr>
        <w:footnoteReference w:id="8"/>
      </w:r>
      <w:r w:rsidR="00566354">
        <w:t>.</w:t>
      </w:r>
    </w:p>
    <w:p w14:paraId="2B1ADD67" w14:textId="0BA1E19D" w:rsidR="00D718EE" w:rsidRPr="00A62A2E" w:rsidRDefault="007165E8" w:rsidP="00A62A2E">
      <w:pPr>
        <w:pStyle w:val="BodyText"/>
      </w:pPr>
      <w:r>
        <w:lastRenderedPageBreak/>
        <w:t>Additionally, there may be further papers published from data collected in the Maroondah pilot, which could explore issues relating to DBT and overdiagnosis in more detail and within the context of the BSA program.</w:t>
      </w:r>
    </w:p>
    <w:p w14:paraId="32309364" w14:textId="77777777" w:rsidR="00D718EE" w:rsidRPr="00E44152" w:rsidRDefault="00D718EE" w:rsidP="00B76263">
      <w:pPr>
        <w:pStyle w:val="NumberedHeading1"/>
      </w:pPr>
      <w:bookmarkStart w:id="103" w:name="_Toc513112128"/>
      <w:bookmarkStart w:id="104" w:name="_Toc43376266"/>
      <w:r w:rsidRPr="00E44152">
        <w:lastRenderedPageBreak/>
        <w:t>Methodolo</w:t>
      </w:r>
      <w:r>
        <w:t>gy</w:t>
      </w:r>
      <w:bookmarkEnd w:id="103"/>
      <w:bookmarkEnd w:id="104"/>
    </w:p>
    <w:tbl>
      <w:tblPr>
        <w:tblW w:w="0" w:type="auto"/>
        <w:tblLook w:val="04A0" w:firstRow="1" w:lastRow="0" w:firstColumn="1" w:lastColumn="0" w:noHBand="0" w:noVBand="1"/>
        <w:tblDescription w:val="Table 6 is the PICO(T/S) criteria for questions relating to effectiveness and safety.&#10;The criteria for Population has a description for Women aged over 40 years with no symptoms of breast cancer, Women living in rural or remote communities, Women with dense/non-fatty breasts, &#10;Ethnic groups including Aboriginal and Torres Straits Islanders,&#10;Women with risk factors for breast cancer including familial history/previous history of breast cancer.&#10;&#10;The criterion for intervention has a description for DBT (either alone or when combined with s2DM)&#10;&#10;The criterion for Comparators has a description for FFDM alone &#10;FFDM when used in combination with DBT&#10;&#10;The criterion for outcomes has a description for Radiation dose by combination of screening modality, Screen detected cancer rates, &#10;Sensitivity in detecting cancers present (detection rate for types/sub-types of breast lesions), Specificity (recall rates, false positive recall rates and over-diagnosis for specific types of breast lesions)&#10;Interval cancer rates, Surrogate mortality indicators (tumour size at detection, lymph node negativity, grade)&#10;&#10;The criterion for study types has a description for Systematic reviews, RCT&#10;"/>
      </w:tblPr>
      <w:tblGrid>
        <w:gridCol w:w="9061"/>
      </w:tblGrid>
      <w:tr w:rsidR="00D718EE" w:rsidRPr="00E44152" w14:paraId="75B80766" w14:textId="77777777" w:rsidTr="006859AE">
        <w:tc>
          <w:tcPr>
            <w:tcW w:w="9061" w:type="dxa"/>
            <w:tcBorders>
              <w:top w:val="single" w:sz="4" w:space="0" w:color="auto"/>
              <w:left w:val="single" w:sz="4" w:space="0" w:color="auto"/>
              <w:bottom w:val="single" w:sz="4" w:space="0" w:color="auto"/>
              <w:right w:val="single" w:sz="4" w:space="0" w:color="auto"/>
            </w:tcBorders>
            <w:shd w:val="clear" w:color="auto" w:fill="E7FFBD" w:themeFill="background2" w:themeFillTint="33"/>
            <w:hideMark/>
          </w:tcPr>
          <w:p w14:paraId="0C932F16" w14:textId="77777777" w:rsidR="00D718EE" w:rsidRPr="00E44152" w:rsidRDefault="00D718EE" w:rsidP="00236D7C">
            <w:pPr>
              <w:pStyle w:val="CV-Heading"/>
              <w:spacing w:before="240"/>
              <w:rPr>
                <w:color w:val="auto"/>
                <w:lang w:val="en-US"/>
              </w:rPr>
            </w:pPr>
            <w:r w:rsidRPr="00E44152">
              <w:rPr>
                <w:color w:val="auto"/>
                <w:lang w:val="en-US"/>
              </w:rPr>
              <w:t xml:space="preserve">Summary </w:t>
            </w:r>
          </w:p>
          <w:p w14:paraId="0FC8D5F7" w14:textId="519DF5F0" w:rsidR="0019605F" w:rsidRPr="0019605F" w:rsidRDefault="00D718EE" w:rsidP="007E3481">
            <w:pPr>
              <w:pStyle w:val="List-BulletLvl1"/>
              <w:numPr>
                <w:ilvl w:val="0"/>
                <w:numId w:val="10"/>
              </w:numPr>
            </w:pPr>
            <w:r w:rsidRPr="006859AE">
              <w:rPr>
                <w:lang w:val="en-US"/>
              </w:rPr>
              <w:t xml:space="preserve">This </w:t>
            </w:r>
            <w:r w:rsidRPr="00BB08AB">
              <w:t xml:space="preserve">literature review provides an overview of research about the effectiveness and safety of DBT as a population screening tool for the early detection of breast cancer in asymptomatic women. </w:t>
            </w:r>
            <w:r w:rsidR="005D3634">
              <w:t xml:space="preserve">It </w:t>
            </w:r>
            <w:r w:rsidR="0019605F" w:rsidRPr="0019605F">
              <w:t>builds on</w:t>
            </w:r>
            <w:r w:rsidR="0019605F">
              <w:t xml:space="preserve"> two previous literature reviews on DBT conducted by </w:t>
            </w:r>
            <w:r w:rsidR="0019605F" w:rsidRPr="006859AE">
              <w:rPr>
                <w:i/>
                <w:iCs/>
              </w:rPr>
              <w:t xml:space="preserve">Allen + Clarke. </w:t>
            </w:r>
            <w:r w:rsidR="0019605F" w:rsidRPr="0019605F">
              <w:t>The same research</w:t>
            </w:r>
            <w:r w:rsidR="0019605F" w:rsidRPr="006859AE">
              <w:rPr>
                <w:i/>
                <w:iCs/>
              </w:rPr>
              <w:t xml:space="preserve"> </w:t>
            </w:r>
            <w:r w:rsidR="0019605F">
              <w:t>questions and methodology were used, enabling effective comparison of results from new research with previous findings.</w:t>
            </w:r>
          </w:p>
          <w:p w14:paraId="0582049C" w14:textId="457A1CC0" w:rsidR="00D718EE" w:rsidRPr="00BB08AB" w:rsidRDefault="0019605F" w:rsidP="007E3481">
            <w:pPr>
              <w:pStyle w:val="List-BulletLvl1"/>
              <w:numPr>
                <w:ilvl w:val="0"/>
                <w:numId w:val="10"/>
              </w:numPr>
            </w:pPr>
            <w:r>
              <w:t xml:space="preserve">This is </w:t>
            </w:r>
            <w:r w:rsidR="00D718EE" w:rsidRPr="00BB08AB">
              <w:t>not a systematic review. We have provided statements about the quality of the evidence included in this review</w:t>
            </w:r>
            <w:r w:rsidR="006859AE">
              <w:t>, but n</w:t>
            </w:r>
            <w:r w:rsidR="00D718EE" w:rsidRPr="00BB08AB">
              <w:t xml:space="preserve">o primary research or pooled analysis was undertaken. </w:t>
            </w:r>
          </w:p>
          <w:p w14:paraId="67F78F30" w14:textId="5C818E2D" w:rsidR="00D718EE" w:rsidRPr="006859AE" w:rsidRDefault="00D718EE" w:rsidP="007E3481">
            <w:pPr>
              <w:pStyle w:val="List-BulletLvl1"/>
              <w:numPr>
                <w:ilvl w:val="0"/>
                <w:numId w:val="10"/>
              </w:numPr>
            </w:pPr>
            <w:r w:rsidRPr="00BB08AB">
              <w:t xml:space="preserve">The following database were searched on </w:t>
            </w:r>
            <w:r w:rsidR="0019605F">
              <w:t>1</w:t>
            </w:r>
            <w:r w:rsidR="00EC38A7">
              <w:t>1-13</w:t>
            </w:r>
            <w:r w:rsidR="0019605F">
              <w:t xml:space="preserve"> November 2019</w:t>
            </w:r>
            <w:r w:rsidRPr="00BB08AB">
              <w:t>: O</w:t>
            </w:r>
            <w:r w:rsidR="005D3634">
              <w:t>VID</w:t>
            </w:r>
            <w:r w:rsidRPr="00BB08AB">
              <w:t xml:space="preserve"> Medline. The following websites were reviewed: clinicaltrials.gov, the Cochrane database, </w:t>
            </w:r>
            <w:r w:rsidR="005D3634" w:rsidRPr="00E44152">
              <w:t>National Institute for Health and Clinical Ex</w:t>
            </w:r>
            <w:r w:rsidR="005D3634" w:rsidRPr="006859AE">
              <w:t>cellence</w:t>
            </w:r>
            <w:r w:rsidRPr="006859AE">
              <w:t>,</w:t>
            </w:r>
            <w:r w:rsidR="006859AE">
              <w:t xml:space="preserve"> UK National Institute for Health Research HTA database,</w:t>
            </w:r>
            <w:r w:rsidRPr="006859AE">
              <w:t xml:space="preserve"> and the UK NHSBPS.</w:t>
            </w:r>
          </w:p>
          <w:p w14:paraId="1F3D1F52" w14:textId="78FF7F71" w:rsidR="00D718EE" w:rsidRPr="006859AE" w:rsidRDefault="00D718EE" w:rsidP="007E3481">
            <w:pPr>
              <w:pStyle w:val="List-BulletLvl1"/>
              <w:numPr>
                <w:ilvl w:val="0"/>
                <w:numId w:val="10"/>
              </w:numPr>
              <w:rPr>
                <w:lang w:val="en-US"/>
              </w:rPr>
            </w:pPr>
            <w:r w:rsidRPr="00BB08AB">
              <w:t>All returned citations and abstracts were assessed for relevance to the research questions</w:t>
            </w:r>
            <w:r w:rsidR="006859AE">
              <w:t xml:space="preserve">, PICO(T/S) </w:t>
            </w:r>
            <w:r w:rsidRPr="00BB08AB">
              <w:t>criteria</w:t>
            </w:r>
            <w:r w:rsidR="006859AE">
              <w:t xml:space="preserve"> and inclusion in previous </w:t>
            </w:r>
            <w:r w:rsidR="006859AE">
              <w:rPr>
                <w:i/>
                <w:iCs/>
              </w:rPr>
              <w:t xml:space="preserve">Allen + Clarke </w:t>
            </w:r>
            <w:r w:rsidR="006859AE" w:rsidRPr="006859AE">
              <w:t>literature reviews</w:t>
            </w:r>
            <w:r w:rsidRPr="00BB08AB">
              <w:t>. The same criteria were used to review the full-text and bibliographies of all articles proposed for inclusion. The methodologies of all included studies were critically appraised</w:t>
            </w:r>
            <w:r w:rsidRPr="006859AE">
              <w:rPr>
                <w:lang w:val="en-US"/>
              </w:rPr>
              <w:t xml:space="preserve"> using the AMSTAR 2 tool or SIGN criteria.</w:t>
            </w:r>
            <w:r w:rsidR="0019605F" w:rsidRPr="006859AE">
              <w:rPr>
                <w:lang w:val="en-US"/>
              </w:rPr>
              <w:t xml:space="preserve"> This replicates the methodology from the previous literature reviews.</w:t>
            </w:r>
            <w:r w:rsidRPr="006859AE">
              <w:rPr>
                <w:lang w:val="en-US"/>
              </w:rPr>
              <w:t xml:space="preserve"> </w:t>
            </w:r>
          </w:p>
          <w:p w14:paraId="3629504E" w14:textId="149699C8" w:rsidR="00D718EE" w:rsidRPr="006859AE" w:rsidRDefault="00D718EE" w:rsidP="007E3481">
            <w:pPr>
              <w:pStyle w:val="List-BulletLvl1"/>
              <w:numPr>
                <w:ilvl w:val="0"/>
                <w:numId w:val="10"/>
              </w:numPr>
              <w:rPr>
                <w:lang w:val="en-US"/>
              </w:rPr>
            </w:pPr>
            <w:r w:rsidRPr="006859AE">
              <w:rPr>
                <w:lang w:val="en-US"/>
              </w:rPr>
              <w:t xml:space="preserve">A total of </w:t>
            </w:r>
            <w:r w:rsidR="002F48B4" w:rsidRPr="006859AE">
              <w:rPr>
                <w:lang w:val="en-US"/>
              </w:rPr>
              <w:t>4</w:t>
            </w:r>
            <w:r w:rsidR="00F23A05">
              <w:rPr>
                <w:lang w:val="en-US"/>
              </w:rPr>
              <w:t>1</w:t>
            </w:r>
            <w:r w:rsidRPr="006859AE">
              <w:rPr>
                <w:lang w:val="en-US"/>
              </w:rPr>
              <w:t xml:space="preserve"> articles met the inclusion criteria</w:t>
            </w:r>
            <w:r w:rsidR="0019605F" w:rsidRPr="006859AE">
              <w:rPr>
                <w:lang w:val="en-US"/>
              </w:rPr>
              <w:t>.</w:t>
            </w:r>
          </w:p>
          <w:p w14:paraId="552576F8" w14:textId="37BE77F7" w:rsidR="006859AE" w:rsidRDefault="006859AE" w:rsidP="007E3481">
            <w:pPr>
              <w:pStyle w:val="List-BulletLvl2"/>
              <w:numPr>
                <w:ilvl w:val="1"/>
                <w:numId w:val="10"/>
              </w:numPr>
            </w:pPr>
            <w:r>
              <w:t xml:space="preserve">Two systematic reviews covering immediate screening outcomes </w:t>
            </w:r>
          </w:p>
          <w:p w14:paraId="210D0DEF" w14:textId="2B0E7324" w:rsidR="006859AE" w:rsidRDefault="00F23A05" w:rsidP="007E3481">
            <w:pPr>
              <w:pStyle w:val="List-BulletLvl2"/>
              <w:numPr>
                <w:ilvl w:val="1"/>
                <w:numId w:val="10"/>
              </w:numPr>
            </w:pPr>
            <w:r>
              <w:t>Five</w:t>
            </w:r>
            <w:r w:rsidR="006859AE">
              <w:t xml:space="preserve"> narrative literature reviews or editorial commentary by experienced researchers</w:t>
            </w:r>
          </w:p>
          <w:p w14:paraId="3CF82C39" w14:textId="481ED6FD" w:rsidR="006859AE" w:rsidRDefault="006859AE" w:rsidP="007E3481">
            <w:pPr>
              <w:pStyle w:val="List-BulletLvl2"/>
              <w:numPr>
                <w:ilvl w:val="1"/>
                <w:numId w:val="10"/>
              </w:numPr>
            </w:pPr>
            <w:r>
              <w:t>Four primary research papers from two RCTs</w:t>
            </w:r>
          </w:p>
          <w:p w14:paraId="622A7E4D" w14:textId="166B2CE5" w:rsidR="006859AE" w:rsidRDefault="006859AE" w:rsidP="007E3481">
            <w:pPr>
              <w:pStyle w:val="List-BulletLvl2"/>
              <w:numPr>
                <w:ilvl w:val="1"/>
                <w:numId w:val="10"/>
              </w:numPr>
            </w:pPr>
            <w:r>
              <w:t>Nine prospective studies embedded in a European population-based screening program</w:t>
            </w:r>
          </w:p>
          <w:p w14:paraId="28A5FFB2" w14:textId="113CC4C8" w:rsidR="006859AE" w:rsidRDefault="006859AE" w:rsidP="007E3481">
            <w:pPr>
              <w:pStyle w:val="List-BulletLvl2"/>
              <w:numPr>
                <w:ilvl w:val="1"/>
                <w:numId w:val="10"/>
              </w:numPr>
            </w:pPr>
            <w:r>
              <w:t>Two prospective cohort studies embedded in a European population-based screening program that used a historical cohort</w:t>
            </w:r>
          </w:p>
          <w:p w14:paraId="6355D69D" w14:textId="4218E056" w:rsidR="006859AE" w:rsidRDefault="006859AE" w:rsidP="007E3481">
            <w:pPr>
              <w:pStyle w:val="List-BulletLvl2"/>
              <w:numPr>
                <w:ilvl w:val="1"/>
                <w:numId w:val="10"/>
              </w:numPr>
            </w:pPr>
            <w:r>
              <w:t>Three sub-studies from the STORM-2 trial</w:t>
            </w:r>
          </w:p>
          <w:p w14:paraId="4F630F25" w14:textId="2472B0DA" w:rsidR="006859AE" w:rsidRDefault="006859AE" w:rsidP="007E3481">
            <w:pPr>
              <w:pStyle w:val="List-BulletLvl2"/>
              <w:numPr>
                <w:ilvl w:val="1"/>
                <w:numId w:val="10"/>
              </w:numPr>
            </w:pPr>
            <w:r>
              <w:t>One prospective study embedded in an American screening program</w:t>
            </w:r>
          </w:p>
          <w:p w14:paraId="5EF75291" w14:textId="3FC3B173" w:rsidR="006859AE" w:rsidRDefault="006859AE" w:rsidP="007E3481">
            <w:pPr>
              <w:pStyle w:val="List-BulletLvl2"/>
              <w:numPr>
                <w:ilvl w:val="1"/>
                <w:numId w:val="10"/>
              </w:numPr>
            </w:pPr>
            <w:r>
              <w:t>Three observer performance studies</w:t>
            </w:r>
          </w:p>
          <w:p w14:paraId="1D03A2A8" w14:textId="0A71EFF8" w:rsidR="0019605F" w:rsidRDefault="006859AE" w:rsidP="007E3481">
            <w:pPr>
              <w:pStyle w:val="List-BulletLvl2"/>
              <w:numPr>
                <w:ilvl w:val="1"/>
                <w:numId w:val="10"/>
              </w:numPr>
            </w:pPr>
            <w:r>
              <w:t>11 retrospective analyses, and</w:t>
            </w:r>
          </w:p>
          <w:p w14:paraId="06E76270" w14:textId="6D1DE450" w:rsidR="006859AE" w:rsidRPr="006859AE" w:rsidRDefault="006859AE" w:rsidP="007E3481">
            <w:pPr>
              <w:pStyle w:val="List-BulletLvl2"/>
              <w:numPr>
                <w:ilvl w:val="1"/>
                <w:numId w:val="10"/>
              </w:numPr>
            </w:pPr>
            <w:r w:rsidRPr="00062EF9">
              <w:t>One cost-effectiveness study</w:t>
            </w:r>
            <w:r>
              <w:t>.</w:t>
            </w:r>
          </w:p>
        </w:tc>
      </w:tr>
    </w:tbl>
    <w:p w14:paraId="1957CA2A" w14:textId="77777777" w:rsidR="006859AE" w:rsidRDefault="006859AE" w:rsidP="006859AE">
      <w:pPr>
        <w:pStyle w:val="NumberedHeading2"/>
        <w:numPr>
          <w:ilvl w:val="0"/>
          <w:numId w:val="0"/>
        </w:numPr>
        <w:spacing w:line="256" w:lineRule="auto"/>
      </w:pPr>
      <w:bookmarkStart w:id="105" w:name="_Toc513112129"/>
    </w:p>
    <w:p w14:paraId="3000D468" w14:textId="578EB8E3" w:rsidR="00D718EE" w:rsidRPr="00E44152" w:rsidRDefault="00D718EE" w:rsidP="007E3481">
      <w:pPr>
        <w:pStyle w:val="NumberedHeading2"/>
        <w:numPr>
          <w:ilvl w:val="1"/>
          <w:numId w:val="2"/>
        </w:numPr>
        <w:spacing w:line="256" w:lineRule="auto"/>
        <w:ind w:left="851" w:hanging="851"/>
      </w:pPr>
      <w:bookmarkStart w:id="106" w:name="_Toc43376267"/>
      <w:r w:rsidRPr="00E44152">
        <w:lastRenderedPageBreak/>
        <w:t>Objectives</w:t>
      </w:r>
      <w:bookmarkEnd w:id="105"/>
      <w:bookmarkEnd w:id="106"/>
      <w:r w:rsidRPr="00E44152">
        <w:t xml:space="preserve"> </w:t>
      </w:r>
    </w:p>
    <w:p w14:paraId="14FC6A4B" w14:textId="351C715A" w:rsidR="00A82369" w:rsidRDefault="00A82369" w:rsidP="00A82369">
      <w:pPr>
        <w:pStyle w:val="BodyText"/>
      </w:pPr>
      <w:r>
        <w:t>W</w:t>
      </w:r>
      <w:r w:rsidRPr="00164765">
        <w:t>e want</w:t>
      </w:r>
      <w:r>
        <w:t>ed</w:t>
      </w:r>
      <w:r w:rsidRPr="00164765">
        <w:t xml:space="preserve"> to </w:t>
      </w:r>
      <w:r>
        <w:t xml:space="preserve">understand how the evidence on DBT’s role as a primary screening test has developed since 1 January 2018 (the closing date for </w:t>
      </w:r>
      <w:r>
        <w:rPr>
          <w:i/>
        </w:rPr>
        <w:t>Allen + Clarke</w:t>
      </w:r>
      <w:r>
        <w:t>’s previous literature reviews</w:t>
      </w:r>
      <w:r>
        <w:rPr>
          <w:rStyle w:val="FootnoteReference"/>
        </w:rPr>
        <w:footnoteReference w:id="9"/>
      </w:r>
      <w:r>
        <w:t xml:space="preserve">). It aims to </w:t>
      </w:r>
      <w:r w:rsidR="00901FB1">
        <w:t xml:space="preserve">determine whether </w:t>
      </w:r>
      <w:r w:rsidR="00D718EE" w:rsidRPr="00E44152">
        <w:t xml:space="preserve">FFDM remains the best test for the early detection of </w:t>
      </w:r>
      <w:r w:rsidR="00901FB1">
        <w:t xml:space="preserve">clinically significant </w:t>
      </w:r>
      <w:r w:rsidR="00D718EE" w:rsidRPr="00E44152">
        <w:t xml:space="preserve">breast cancer in asymptomatic women or if DBT (either alone, with </w:t>
      </w:r>
      <w:r w:rsidR="00176980">
        <w:t>s2DM</w:t>
      </w:r>
      <w:r w:rsidR="00D718EE" w:rsidRPr="00E44152">
        <w:t xml:space="preserve"> or as an adjunct to FFDM) is more sensitive, specific and safer and therefore better at</w:t>
      </w:r>
      <w:r>
        <w:t xml:space="preserve"> detecting</w:t>
      </w:r>
      <w:r w:rsidR="00D718EE" w:rsidRPr="00E44152">
        <w:t xml:space="preserve"> cancer early. </w:t>
      </w:r>
      <w:r>
        <w:t>That is,</w:t>
      </w:r>
      <w:r>
        <w:rPr>
          <w:i/>
        </w:rPr>
        <w:t xml:space="preserve"> </w:t>
      </w:r>
      <w:r>
        <w:t>confirming whether digital mammography</w:t>
      </w:r>
      <w:r w:rsidR="005D3634">
        <w:t xml:space="preserve"> is</w:t>
      </w:r>
      <w:r>
        <w:t xml:space="preserve"> still the best test for the early detection of breast cancer and what (if any </w:t>
      </w:r>
      <w:r w:rsidRPr="00F32A26">
        <w:rPr>
          <w:u w:val="single"/>
        </w:rPr>
        <w:t>further</w:t>
      </w:r>
      <w:r>
        <w:t>) updates are needed to BSA’s position statement on DBT as a screening tool. Specific topics include:</w:t>
      </w:r>
    </w:p>
    <w:p w14:paraId="328679EB" w14:textId="77777777" w:rsidR="00A82369" w:rsidRDefault="00A82369" w:rsidP="007E3481">
      <w:pPr>
        <w:pStyle w:val="List-BulletLvl1"/>
        <w:numPr>
          <w:ilvl w:val="0"/>
          <w:numId w:val="6"/>
        </w:numPr>
      </w:pPr>
      <w:r>
        <w:t xml:space="preserve">the efficacy, </w:t>
      </w:r>
      <w:r w:rsidRPr="00416724">
        <w:t xml:space="preserve">effectiveness and safety </w:t>
      </w:r>
      <w:r>
        <w:t xml:space="preserve">of </w:t>
      </w:r>
      <w:r w:rsidRPr="00416724">
        <w:t xml:space="preserve">DBT </w:t>
      </w:r>
      <w:r>
        <w:t xml:space="preserve">as a screening tool (which will support the consideration of whether DBT </w:t>
      </w:r>
      <w:r w:rsidRPr="00416724">
        <w:t>should be the preferred method for screening asymptomatic women for breast cancer in Australia</w:t>
      </w:r>
      <w:r>
        <w:t>)</w:t>
      </w:r>
    </w:p>
    <w:p w14:paraId="6BFFE876" w14:textId="2AB3B496" w:rsidR="00A82369" w:rsidRDefault="00A82369" w:rsidP="007E3481">
      <w:pPr>
        <w:pStyle w:val="List-BulletLvl1"/>
        <w:numPr>
          <w:ilvl w:val="0"/>
          <w:numId w:val="6"/>
        </w:numPr>
      </w:pPr>
      <w:r>
        <w:t>whether DBT should be the preferred method for screening asymptomatic women with dense breasts or women aged between 40 and 50 years, and</w:t>
      </w:r>
    </w:p>
    <w:p w14:paraId="5385EAA1" w14:textId="722C619C" w:rsidR="00A82369" w:rsidRDefault="00A82369" w:rsidP="007E3481">
      <w:pPr>
        <w:pStyle w:val="List-BulletLvl1"/>
        <w:numPr>
          <w:ilvl w:val="0"/>
          <w:numId w:val="6"/>
        </w:numPr>
      </w:pPr>
      <w:r>
        <w:t>the incremental costs associated with implementing DBT as a screening tool and patient and health practitioner experience with this screening modality as well as any other specific evidence about how to implement DBT into the BSA screening program as the primary test.</w:t>
      </w:r>
    </w:p>
    <w:p w14:paraId="2AE17977" w14:textId="5DA2DC4D" w:rsidR="00D718EE" w:rsidRDefault="00D718EE" w:rsidP="00D718EE">
      <w:pPr>
        <w:pStyle w:val="BodyText"/>
      </w:pPr>
      <w:r>
        <w:t>A systematic review with pooled analysis was not performed.</w:t>
      </w:r>
    </w:p>
    <w:p w14:paraId="26FDA259" w14:textId="77777777" w:rsidR="00D718EE" w:rsidRPr="00E44152" w:rsidRDefault="00D718EE" w:rsidP="007E3481">
      <w:pPr>
        <w:pStyle w:val="NumberedHeading2"/>
        <w:numPr>
          <w:ilvl w:val="1"/>
          <w:numId w:val="2"/>
        </w:numPr>
        <w:spacing w:line="256" w:lineRule="auto"/>
        <w:ind w:left="851" w:hanging="851"/>
      </w:pPr>
      <w:bookmarkStart w:id="107" w:name="_Toc513112130"/>
      <w:bookmarkStart w:id="108" w:name="_Toc43376268"/>
      <w:r w:rsidRPr="00E44152">
        <w:t>Research questions</w:t>
      </w:r>
      <w:bookmarkEnd w:id="107"/>
      <w:bookmarkEnd w:id="108"/>
    </w:p>
    <w:p w14:paraId="6B49FB2F" w14:textId="159510F9" w:rsidR="00D718EE" w:rsidRPr="00E44152" w:rsidRDefault="00D718EE" w:rsidP="00D718EE">
      <w:pPr>
        <w:pStyle w:val="NumberedHeading3"/>
        <w:ind w:left="0" w:firstLine="0"/>
      </w:pPr>
      <w:bookmarkStart w:id="109" w:name="_Toc27477563"/>
      <w:bookmarkStart w:id="110" w:name="_Toc27665696"/>
      <w:bookmarkStart w:id="111" w:name="_Toc27844473"/>
      <w:bookmarkStart w:id="112" w:name="_Toc27859603"/>
      <w:bookmarkStart w:id="113" w:name="_Toc27904718"/>
      <w:bookmarkStart w:id="114" w:name="_Toc43376269"/>
      <w:r w:rsidRPr="00E44152">
        <w:t xml:space="preserve">Questions about effectiveness, </w:t>
      </w:r>
      <w:r w:rsidR="005D3634">
        <w:t>efficacy</w:t>
      </w:r>
      <w:r w:rsidRPr="00E44152">
        <w:t xml:space="preserve"> and safety</w:t>
      </w:r>
      <w:bookmarkEnd w:id="109"/>
      <w:bookmarkEnd w:id="110"/>
      <w:bookmarkEnd w:id="111"/>
      <w:bookmarkEnd w:id="112"/>
      <w:bookmarkEnd w:id="113"/>
      <w:bookmarkEnd w:id="114"/>
    </w:p>
    <w:p w14:paraId="10362586" w14:textId="5257E96E" w:rsidR="00D718EE" w:rsidRPr="00E44152" w:rsidRDefault="00D718EE" w:rsidP="00D718EE">
      <w:pPr>
        <w:pStyle w:val="BodyText"/>
      </w:pPr>
      <w:r w:rsidRPr="00E44152">
        <w:t xml:space="preserve">The three questions about effectiveness, </w:t>
      </w:r>
      <w:r w:rsidR="005D3634">
        <w:t xml:space="preserve">efficacy </w:t>
      </w:r>
      <w:r w:rsidRPr="00E44152">
        <w:t>and safety were:</w:t>
      </w:r>
    </w:p>
    <w:p w14:paraId="084A4B71" w14:textId="5AD4377F" w:rsidR="00D718EE" w:rsidRPr="00E44152" w:rsidRDefault="00D718EE" w:rsidP="007E3481">
      <w:pPr>
        <w:pStyle w:val="List-AlphanumericLvl1"/>
        <w:numPr>
          <w:ilvl w:val="0"/>
          <w:numId w:val="8"/>
        </w:numPr>
        <w:spacing w:line="256" w:lineRule="auto"/>
        <w:ind w:left="851"/>
        <w:jc w:val="both"/>
      </w:pPr>
      <w:r w:rsidRPr="00E44152">
        <w:t xml:space="preserve">Should DBT (with or without </w:t>
      </w:r>
      <w:r w:rsidR="00176980">
        <w:t>s2DM</w:t>
      </w:r>
      <w:r w:rsidRPr="00E44152">
        <w:t xml:space="preserve">) be used as the primary screening tool for the early </w:t>
      </w:r>
      <w:bookmarkStart w:id="115" w:name="_Hlk506702321"/>
      <w:r w:rsidRPr="00E44152">
        <w:t>detection of breast cancer in asymptomatic women aged over 40 years?</w:t>
      </w:r>
    </w:p>
    <w:p w14:paraId="253CE5A6" w14:textId="39DF980B" w:rsidR="00D718EE" w:rsidRPr="00E44152" w:rsidRDefault="00D718EE" w:rsidP="007E3481">
      <w:pPr>
        <w:pStyle w:val="List-AlphanumericLvl1"/>
        <w:numPr>
          <w:ilvl w:val="0"/>
          <w:numId w:val="8"/>
        </w:numPr>
        <w:spacing w:line="256" w:lineRule="auto"/>
        <w:ind w:left="851"/>
      </w:pPr>
      <w:r w:rsidRPr="00E44152">
        <w:t xml:space="preserve">For the early detection of breast cancer in asymptomatic women aged over 40 years, is DBT (including </w:t>
      </w:r>
      <w:r w:rsidR="00176980">
        <w:t>s2DM</w:t>
      </w:r>
      <w:r w:rsidRPr="00E44152">
        <w:t xml:space="preserve">): </w:t>
      </w:r>
    </w:p>
    <w:p w14:paraId="2C42E29A" w14:textId="77777777" w:rsidR="00D718EE" w:rsidRPr="00E44152" w:rsidRDefault="00D718EE" w:rsidP="007E3481">
      <w:pPr>
        <w:pStyle w:val="List-BulletLvl1"/>
        <w:numPr>
          <w:ilvl w:val="0"/>
          <w:numId w:val="10"/>
        </w:numPr>
        <w:ind w:left="1134" w:hanging="283"/>
      </w:pPr>
      <w:r w:rsidRPr="00E44152">
        <w:t>a more</w:t>
      </w:r>
      <w:r>
        <w:t xml:space="preserve"> </w:t>
      </w:r>
      <w:r w:rsidRPr="00E44152">
        <w:t>efficacious and safer screening modality than FFDM alone?</w:t>
      </w:r>
    </w:p>
    <w:p w14:paraId="1CFC0ADC" w14:textId="77777777" w:rsidR="00D718EE" w:rsidRPr="00E44152" w:rsidRDefault="00D718EE" w:rsidP="007E3481">
      <w:pPr>
        <w:pStyle w:val="List-BulletLvl1"/>
        <w:numPr>
          <w:ilvl w:val="0"/>
          <w:numId w:val="10"/>
        </w:numPr>
        <w:ind w:left="1134" w:hanging="283"/>
      </w:pPr>
      <w:r w:rsidRPr="00E44152">
        <w:t>in addition to FFDM,</w:t>
      </w:r>
      <w:r>
        <w:t xml:space="preserve"> a</w:t>
      </w:r>
      <w:r w:rsidRPr="00E44152">
        <w:t xml:space="preserve"> more efficacious and safer screening </w:t>
      </w:r>
      <w:r>
        <w:t xml:space="preserve">test </w:t>
      </w:r>
      <w:r w:rsidRPr="00E44152">
        <w:t>than FFDM alone?</w:t>
      </w:r>
    </w:p>
    <w:p w14:paraId="0C395664" w14:textId="7E5CC917" w:rsidR="00D718EE" w:rsidRPr="00E44152" w:rsidRDefault="00D718EE" w:rsidP="007E3481">
      <w:pPr>
        <w:pStyle w:val="List-AlphanumericLvl1"/>
        <w:numPr>
          <w:ilvl w:val="0"/>
          <w:numId w:val="8"/>
        </w:numPr>
        <w:spacing w:line="256" w:lineRule="auto"/>
        <w:ind w:left="851"/>
        <w:jc w:val="both"/>
      </w:pPr>
      <w:r w:rsidRPr="00E44152">
        <w:t xml:space="preserve">For the early detection of breast cancer, are there population groups for which DBT (including </w:t>
      </w:r>
      <w:r w:rsidR="00176980">
        <w:t>s2DM</w:t>
      </w:r>
      <w:r w:rsidRPr="00E44152">
        <w:t>):</w:t>
      </w:r>
    </w:p>
    <w:p w14:paraId="0EB40436" w14:textId="77777777" w:rsidR="00D718EE" w:rsidRPr="00E44152" w:rsidRDefault="00D718EE" w:rsidP="007E3481">
      <w:pPr>
        <w:pStyle w:val="List-BulletLvl1"/>
        <w:numPr>
          <w:ilvl w:val="0"/>
          <w:numId w:val="10"/>
        </w:numPr>
        <w:ind w:left="1418" w:hanging="425"/>
      </w:pPr>
      <w:r w:rsidRPr="00E44152">
        <w:t xml:space="preserve">is a more efficacious, safer screening modality than FFDM alone? </w:t>
      </w:r>
    </w:p>
    <w:p w14:paraId="2B1242D7" w14:textId="77777777" w:rsidR="00D718EE" w:rsidRPr="00E44152" w:rsidRDefault="00D718EE" w:rsidP="007E3481">
      <w:pPr>
        <w:pStyle w:val="List-BulletLvl1"/>
        <w:numPr>
          <w:ilvl w:val="0"/>
          <w:numId w:val="10"/>
        </w:numPr>
        <w:ind w:left="1418" w:hanging="425"/>
      </w:pPr>
      <w:r w:rsidRPr="00E44152">
        <w:t>in addition to FFDM is</w:t>
      </w:r>
      <w:r>
        <w:t xml:space="preserve"> a more</w:t>
      </w:r>
      <w:r w:rsidRPr="00E44152">
        <w:t xml:space="preserve"> efficacious and safer screening modality than FFDM alone?</w:t>
      </w:r>
    </w:p>
    <w:bookmarkEnd w:id="115"/>
    <w:p w14:paraId="5820DB10" w14:textId="3888772A" w:rsidR="00EC38A7" w:rsidRPr="006859AE" w:rsidRDefault="00D718EE" w:rsidP="006859AE">
      <w:pPr>
        <w:pStyle w:val="BodyText"/>
        <w:rPr>
          <w:b/>
          <w:color w:val="77B800"/>
          <w:sz w:val="24"/>
        </w:rPr>
      </w:pPr>
      <w:r w:rsidRPr="00E44152">
        <w:t>The PICO(</w:t>
      </w:r>
      <w:r w:rsidR="005D3634">
        <w:t>T/</w:t>
      </w:r>
      <w:r w:rsidRPr="00E44152">
        <w:t>S) criteria underpinning these research questions are described in</w:t>
      </w:r>
      <w:r w:rsidR="00196E0D">
        <w:t xml:space="preserve"> </w:t>
      </w:r>
      <w:r w:rsidR="00CB12B9" w:rsidRPr="00676B7A">
        <w:rPr>
          <w:rStyle w:val="BodyTextChar"/>
          <w:i/>
          <w:iCs/>
        </w:rPr>
        <w:t xml:space="preserve">Table </w:t>
      </w:r>
      <w:r w:rsidR="006859AE" w:rsidRPr="00676B7A">
        <w:rPr>
          <w:rStyle w:val="BodyTextChar"/>
          <w:i/>
          <w:iCs/>
        </w:rPr>
        <w:t>6</w:t>
      </w:r>
      <w:r w:rsidR="00CB12B9">
        <w:t xml:space="preserve"> (overleaf).</w:t>
      </w:r>
      <w:bookmarkStart w:id="116" w:name="_Ref506995981"/>
    </w:p>
    <w:p w14:paraId="34657D40" w14:textId="5891AD2B" w:rsidR="00D718EE" w:rsidRPr="00E44152" w:rsidRDefault="00D718EE" w:rsidP="00D718EE">
      <w:pPr>
        <w:pStyle w:val="Caption"/>
        <w:keepNext/>
        <w:jc w:val="both"/>
      </w:pPr>
      <w:r>
        <w:lastRenderedPageBreak/>
        <w:t xml:space="preserve">Table </w:t>
      </w:r>
      <w:bookmarkEnd w:id="116"/>
      <w:r w:rsidR="006859AE">
        <w:t>6</w:t>
      </w:r>
      <w:r>
        <w:t>: PICO(</w:t>
      </w:r>
      <w:r w:rsidR="005D3634">
        <w:t>T/</w:t>
      </w:r>
      <w:r>
        <w:t>S) criteria for questions relating to effectiveness and safety</w:t>
      </w:r>
    </w:p>
    <w:tbl>
      <w:tblPr>
        <w:tblStyle w:val="ACGreen-BasicTable"/>
        <w:tblW w:w="9010" w:type="dxa"/>
        <w:tblLook w:val="04A0" w:firstRow="1" w:lastRow="0" w:firstColumn="1" w:lastColumn="0" w:noHBand="0" w:noVBand="1"/>
        <w:tblDescription w:val="Table 6 is the PICO(T/S) criteria for questions relating to effectiveness and safety.&#10;The criteria for Population has a description for Women aged over 40 years with no symptoms of breast cancer, Women living in rural or remote communities, Women with dense/non-fatty breasts, &#10;Ethnic groups including Aboriginal and Torres Straits Islanders,&#10;Women with risk factors for breast cancer including familial history/previous history of breast cancer.&#10;&#10;The criterion for intervention has a description for DBT (either alone or when combined with s2DM)&#10;&#10;The criterion for Comparators has a description for FFDM alone &#10;FFDM when used in combination with DBT&#10;&#10;The criterion for outcomes has a description for Radiation dose by combination of screening modality, Screen detected cancer rates, &#10;Sensitivity in detecting cancers present (detection rate for types/sub-types of breast lesions), Specificity (recall rates, false positive recall rates and over-diagnosis for specific types of breast lesions)&#10;Interval cancer rates, Surrogate mortality indicators (tumour size at detection, lymph node negativity, grade)&#10;&#10;The criterion for study types has a description for Systematic reviews, RCT"/>
      </w:tblPr>
      <w:tblGrid>
        <w:gridCol w:w="1356"/>
        <w:gridCol w:w="7654"/>
      </w:tblGrid>
      <w:tr w:rsidR="00D718EE" w:rsidRPr="007B68CD" w14:paraId="30257970" w14:textId="77777777" w:rsidTr="00236D7C">
        <w:trPr>
          <w:cnfStyle w:val="100000000000" w:firstRow="1" w:lastRow="0" w:firstColumn="0" w:lastColumn="0" w:oddVBand="0" w:evenVBand="0" w:oddHBand="0" w:evenHBand="0" w:firstRowFirstColumn="0" w:firstRowLastColumn="0" w:lastRowFirstColumn="0" w:lastRowLastColumn="0"/>
        </w:trPr>
        <w:tc>
          <w:tcPr>
            <w:tcW w:w="1356" w:type="dxa"/>
            <w:hideMark/>
          </w:tcPr>
          <w:p w14:paraId="3482E148"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Criterion</w:t>
            </w:r>
          </w:p>
        </w:tc>
        <w:tc>
          <w:tcPr>
            <w:tcW w:w="7654" w:type="dxa"/>
            <w:hideMark/>
          </w:tcPr>
          <w:p w14:paraId="1C09699D"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Description</w:t>
            </w:r>
          </w:p>
        </w:tc>
      </w:tr>
      <w:tr w:rsidR="00D718EE" w:rsidRPr="007B68CD" w14:paraId="052A278D" w14:textId="77777777" w:rsidTr="00236D7C">
        <w:tc>
          <w:tcPr>
            <w:tcW w:w="1356" w:type="dxa"/>
            <w:hideMark/>
          </w:tcPr>
          <w:p w14:paraId="28B08984" w14:textId="77777777" w:rsidR="00D718EE" w:rsidRPr="007B68CD" w:rsidRDefault="00D718EE" w:rsidP="00236D7C">
            <w:pPr>
              <w:pStyle w:val="BodyText"/>
              <w:spacing w:beforeLines="20" w:before="48" w:afterLines="20" w:after="48" w:line="240" w:lineRule="exact"/>
              <w:rPr>
                <w:b/>
                <w:sz w:val="18"/>
                <w:szCs w:val="18"/>
                <w:lang w:val="en-US"/>
              </w:rPr>
            </w:pPr>
            <w:r w:rsidRPr="007B68CD">
              <w:rPr>
                <w:b/>
                <w:sz w:val="18"/>
                <w:szCs w:val="18"/>
                <w:lang w:val="en-US"/>
              </w:rPr>
              <w:t>Populations</w:t>
            </w:r>
          </w:p>
        </w:tc>
        <w:tc>
          <w:tcPr>
            <w:tcW w:w="7654" w:type="dxa"/>
            <w:hideMark/>
          </w:tcPr>
          <w:p w14:paraId="17985FE7"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Women aged over 40 years with no symptoms of breast cancer</w:t>
            </w:r>
          </w:p>
          <w:p w14:paraId="4BA3D751"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Women living in rural or remote communities</w:t>
            </w:r>
          </w:p>
          <w:p w14:paraId="67881351"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 xml:space="preserve">Women with dense/non-fatty breasts </w:t>
            </w:r>
          </w:p>
          <w:p w14:paraId="6A5A02E9"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Ethnic groups including Aboriginal and Torres Straits Islanders</w:t>
            </w:r>
          </w:p>
          <w:p w14:paraId="1A2E817C" w14:textId="2AB75DB0"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Women with risk factors for breast cancer including familial history</w:t>
            </w:r>
            <w:r w:rsidR="00316358">
              <w:rPr>
                <w:sz w:val="18"/>
                <w:szCs w:val="18"/>
                <w:lang w:val="en-US"/>
              </w:rPr>
              <w:t>/</w:t>
            </w:r>
            <w:r w:rsidRPr="007B68CD">
              <w:rPr>
                <w:sz w:val="18"/>
                <w:szCs w:val="18"/>
                <w:lang w:val="en-US"/>
              </w:rPr>
              <w:t>previous history of breast cance</w:t>
            </w:r>
            <w:r w:rsidR="00316358">
              <w:rPr>
                <w:sz w:val="18"/>
                <w:szCs w:val="18"/>
                <w:lang w:val="en-US"/>
              </w:rPr>
              <w:t>r</w:t>
            </w:r>
          </w:p>
        </w:tc>
      </w:tr>
      <w:tr w:rsidR="00D718EE" w:rsidRPr="007B68CD" w14:paraId="6BCF1CB1" w14:textId="77777777" w:rsidTr="00236D7C">
        <w:tc>
          <w:tcPr>
            <w:tcW w:w="1356" w:type="dxa"/>
            <w:hideMark/>
          </w:tcPr>
          <w:p w14:paraId="3D3BF3DC" w14:textId="77777777" w:rsidR="00D718EE" w:rsidRPr="007B68CD" w:rsidRDefault="00D718EE" w:rsidP="00236D7C">
            <w:pPr>
              <w:pStyle w:val="BodyText"/>
              <w:spacing w:beforeLines="20" w:before="48" w:afterLines="20" w:after="48" w:line="240" w:lineRule="exact"/>
              <w:rPr>
                <w:b/>
                <w:sz w:val="18"/>
                <w:szCs w:val="18"/>
                <w:lang w:val="en-US"/>
              </w:rPr>
            </w:pPr>
            <w:r w:rsidRPr="007B68CD">
              <w:rPr>
                <w:b/>
                <w:sz w:val="18"/>
                <w:szCs w:val="18"/>
                <w:lang w:val="en-US"/>
              </w:rPr>
              <w:t>Intervention</w:t>
            </w:r>
          </w:p>
        </w:tc>
        <w:tc>
          <w:tcPr>
            <w:tcW w:w="7654" w:type="dxa"/>
            <w:hideMark/>
          </w:tcPr>
          <w:p w14:paraId="40071C22" w14:textId="0C0A9FF2"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 xml:space="preserve">DBT (either alone or when combined with </w:t>
            </w:r>
            <w:r w:rsidR="00176980">
              <w:rPr>
                <w:sz w:val="18"/>
                <w:szCs w:val="18"/>
                <w:lang w:val="en-US"/>
              </w:rPr>
              <w:t>s2DM</w:t>
            </w:r>
            <w:r w:rsidRPr="007B68CD">
              <w:rPr>
                <w:sz w:val="18"/>
                <w:szCs w:val="18"/>
                <w:lang w:val="en-US"/>
              </w:rPr>
              <w:t>)</w:t>
            </w:r>
          </w:p>
        </w:tc>
      </w:tr>
      <w:tr w:rsidR="00D718EE" w:rsidRPr="007B68CD" w14:paraId="482DAC1A" w14:textId="77777777" w:rsidTr="00236D7C">
        <w:tc>
          <w:tcPr>
            <w:tcW w:w="1356" w:type="dxa"/>
            <w:hideMark/>
          </w:tcPr>
          <w:p w14:paraId="038C9210" w14:textId="77777777" w:rsidR="00D718EE" w:rsidRPr="007B68CD" w:rsidRDefault="00D718EE" w:rsidP="00236D7C">
            <w:pPr>
              <w:pStyle w:val="BodyText"/>
              <w:spacing w:beforeLines="20" w:before="48" w:afterLines="20" w:after="48" w:line="240" w:lineRule="exact"/>
              <w:rPr>
                <w:b/>
                <w:sz w:val="18"/>
                <w:szCs w:val="18"/>
                <w:lang w:val="en-US"/>
              </w:rPr>
            </w:pPr>
            <w:r w:rsidRPr="007B68CD">
              <w:rPr>
                <w:b/>
                <w:sz w:val="18"/>
                <w:szCs w:val="18"/>
                <w:lang w:val="en-US"/>
              </w:rPr>
              <w:t>Comparators</w:t>
            </w:r>
          </w:p>
        </w:tc>
        <w:tc>
          <w:tcPr>
            <w:tcW w:w="7654" w:type="dxa"/>
            <w:hideMark/>
          </w:tcPr>
          <w:p w14:paraId="42CC28AF"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 xml:space="preserve">FFDM alone </w:t>
            </w:r>
          </w:p>
          <w:p w14:paraId="2D41963F"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FFDM when used in combination with DBT</w:t>
            </w:r>
          </w:p>
        </w:tc>
      </w:tr>
      <w:tr w:rsidR="00D718EE" w:rsidRPr="007B68CD" w14:paraId="6840EA80" w14:textId="77777777" w:rsidTr="00236D7C">
        <w:tc>
          <w:tcPr>
            <w:tcW w:w="1356" w:type="dxa"/>
            <w:hideMark/>
          </w:tcPr>
          <w:p w14:paraId="1B304AA6" w14:textId="77777777" w:rsidR="00D718EE" w:rsidRPr="007B68CD" w:rsidRDefault="00D718EE" w:rsidP="00236D7C">
            <w:pPr>
              <w:pStyle w:val="BodyText"/>
              <w:spacing w:beforeLines="20" w:before="48" w:afterLines="20" w:after="48" w:line="240" w:lineRule="exact"/>
              <w:rPr>
                <w:b/>
                <w:sz w:val="18"/>
                <w:szCs w:val="18"/>
                <w:lang w:val="en-US"/>
              </w:rPr>
            </w:pPr>
            <w:r w:rsidRPr="007B68CD">
              <w:rPr>
                <w:b/>
                <w:sz w:val="18"/>
                <w:szCs w:val="18"/>
                <w:lang w:val="en-US"/>
              </w:rPr>
              <w:t>Outcomes</w:t>
            </w:r>
          </w:p>
        </w:tc>
        <w:tc>
          <w:tcPr>
            <w:tcW w:w="7654" w:type="dxa"/>
            <w:hideMark/>
          </w:tcPr>
          <w:p w14:paraId="26AC76AE"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 xml:space="preserve">Radiation dose by combination of screening modality </w:t>
            </w:r>
          </w:p>
          <w:p w14:paraId="4151C9C7"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 xml:space="preserve">Screen detected cancer rates </w:t>
            </w:r>
          </w:p>
          <w:p w14:paraId="79B6A597"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Sensitivity in detecting cancers present (detection rate for types/sub-types of breast lesions)</w:t>
            </w:r>
          </w:p>
          <w:p w14:paraId="6EFB8AF0" w14:textId="54D7CC95"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 xml:space="preserve">Specificity (recall rates, </w:t>
            </w:r>
            <w:r w:rsidR="00870ABB">
              <w:rPr>
                <w:sz w:val="18"/>
                <w:szCs w:val="18"/>
                <w:lang w:val="en-US"/>
              </w:rPr>
              <w:t>false positive</w:t>
            </w:r>
            <w:r w:rsidRPr="007B68CD">
              <w:rPr>
                <w:sz w:val="18"/>
                <w:szCs w:val="18"/>
                <w:lang w:val="en-US"/>
              </w:rPr>
              <w:t xml:space="preserve"> recall rates and over-diagnosis for specific types of breast lesions)</w:t>
            </w:r>
          </w:p>
          <w:p w14:paraId="430E0768"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Interval cancer rates</w:t>
            </w:r>
          </w:p>
          <w:p w14:paraId="0C3F021E" w14:textId="77777777"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Surrogate mortality indicators (tumour size at detection, lymph node negativity, grade)</w:t>
            </w:r>
          </w:p>
        </w:tc>
      </w:tr>
      <w:tr w:rsidR="00D718EE" w:rsidRPr="007B68CD" w14:paraId="18C90469" w14:textId="77777777" w:rsidTr="00236D7C">
        <w:tc>
          <w:tcPr>
            <w:tcW w:w="1356" w:type="dxa"/>
            <w:hideMark/>
          </w:tcPr>
          <w:p w14:paraId="1D7113C8" w14:textId="77777777" w:rsidR="00D718EE" w:rsidRPr="007B68CD" w:rsidRDefault="00D718EE" w:rsidP="00236D7C">
            <w:pPr>
              <w:pStyle w:val="BodyText"/>
              <w:spacing w:beforeLines="20" w:before="48" w:afterLines="20" w:after="48" w:line="240" w:lineRule="exact"/>
              <w:rPr>
                <w:b/>
                <w:sz w:val="18"/>
                <w:szCs w:val="18"/>
                <w:lang w:val="en-US"/>
              </w:rPr>
            </w:pPr>
            <w:r w:rsidRPr="007B68CD">
              <w:rPr>
                <w:b/>
                <w:sz w:val="18"/>
                <w:szCs w:val="18"/>
                <w:lang w:val="en-US"/>
              </w:rPr>
              <w:t>Study types</w:t>
            </w:r>
          </w:p>
        </w:tc>
        <w:tc>
          <w:tcPr>
            <w:tcW w:w="7654" w:type="dxa"/>
            <w:hideMark/>
          </w:tcPr>
          <w:p w14:paraId="1610ACFC" w14:textId="3DD4B513" w:rsidR="00D718EE" w:rsidRPr="007B68CD" w:rsidRDefault="00D718EE" w:rsidP="00236D7C">
            <w:pPr>
              <w:pStyle w:val="BodyText"/>
              <w:spacing w:beforeLines="20" w:before="48" w:afterLines="20" w:after="48" w:line="240" w:lineRule="exact"/>
              <w:rPr>
                <w:sz w:val="18"/>
                <w:szCs w:val="18"/>
                <w:lang w:val="en-US"/>
              </w:rPr>
            </w:pPr>
            <w:r w:rsidRPr="007B68CD">
              <w:rPr>
                <w:sz w:val="18"/>
                <w:szCs w:val="18"/>
                <w:lang w:val="en-US"/>
              </w:rPr>
              <w:t>Systematic reviews, RCT</w:t>
            </w:r>
          </w:p>
        </w:tc>
      </w:tr>
    </w:tbl>
    <w:p w14:paraId="72BAE0D8" w14:textId="77777777" w:rsidR="00D718EE" w:rsidRPr="00E44152" w:rsidRDefault="00D718EE" w:rsidP="00D718EE">
      <w:pPr>
        <w:pStyle w:val="NumberedHeading3"/>
        <w:spacing w:line="256" w:lineRule="auto"/>
        <w:ind w:left="0" w:hanging="1"/>
      </w:pPr>
      <w:bookmarkStart w:id="117" w:name="_Toc27477564"/>
      <w:bookmarkStart w:id="118" w:name="_Toc27665697"/>
      <w:bookmarkStart w:id="119" w:name="_Toc27844474"/>
      <w:bookmarkStart w:id="120" w:name="_Toc27859604"/>
      <w:bookmarkStart w:id="121" w:name="_Toc27904719"/>
      <w:bookmarkStart w:id="122" w:name="_Toc43376270"/>
      <w:r w:rsidRPr="00E44152">
        <w:t>Question about implementation</w:t>
      </w:r>
      <w:bookmarkEnd w:id="117"/>
      <w:bookmarkEnd w:id="118"/>
      <w:bookmarkEnd w:id="119"/>
      <w:bookmarkEnd w:id="120"/>
      <w:bookmarkEnd w:id="121"/>
      <w:bookmarkEnd w:id="122"/>
    </w:p>
    <w:p w14:paraId="631159D5" w14:textId="613FD9D5" w:rsidR="00D718EE" w:rsidRPr="00E44152" w:rsidRDefault="00D718EE" w:rsidP="00316358">
      <w:pPr>
        <w:pStyle w:val="BodyText"/>
      </w:pPr>
      <w:r w:rsidRPr="00E44152">
        <w:t>The question was:</w:t>
      </w:r>
      <w:bookmarkStart w:id="123" w:name="_Hlk506702340"/>
      <w:r w:rsidR="00316358">
        <w:t xml:space="preserve"> w</w:t>
      </w:r>
      <w:r w:rsidRPr="00E44152">
        <w:t xml:space="preserve">hat are the incremental costs associated with implementing: </w:t>
      </w:r>
    </w:p>
    <w:p w14:paraId="2BB02E13" w14:textId="2DE778E3" w:rsidR="00D718EE" w:rsidRPr="00E44152" w:rsidRDefault="00D718EE" w:rsidP="007E3481">
      <w:pPr>
        <w:pStyle w:val="List-BulletLvl1"/>
        <w:numPr>
          <w:ilvl w:val="0"/>
          <w:numId w:val="10"/>
        </w:numPr>
      </w:pPr>
      <w:r w:rsidRPr="00E44152">
        <w:t xml:space="preserve">DBT (including </w:t>
      </w:r>
      <w:r w:rsidR="00176980">
        <w:t>s2DM</w:t>
      </w:r>
      <w:r w:rsidRPr="00E44152">
        <w:t>) as a screening tool for the early detection of breast cancer compared to FFDM alone?</w:t>
      </w:r>
    </w:p>
    <w:p w14:paraId="20E465BF" w14:textId="66DE3AB4" w:rsidR="00D718EE" w:rsidRPr="00E44152" w:rsidRDefault="00D718EE" w:rsidP="007E3481">
      <w:pPr>
        <w:pStyle w:val="List-BulletLvl1"/>
        <w:numPr>
          <w:ilvl w:val="0"/>
          <w:numId w:val="10"/>
        </w:numPr>
      </w:pPr>
      <w:r w:rsidRPr="00E44152">
        <w:t xml:space="preserve">DBT (including </w:t>
      </w:r>
      <w:r w:rsidR="00176980">
        <w:t>s2DM</w:t>
      </w:r>
      <w:r w:rsidRPr="00E44152">
        <w:t>) plus FFDM as a screening tool for the early detection of breast cancer compared to FFDM alone?</w:t>
      </w:r>
    </w:p>
    <w:bookmarkEnd w:id="123"/>
    <w:p w14:paraId="6B40846D" w14:textId="5BF8861D" w:rsidR="00D718EE" w:rsidRPr="00E44152" w:rsidRDefault="00D718EE" w:rsidP="00EC38A7">
      <w:pPr>
        <w:pStyle w:val="BodyText"/>
        <w:rPr>
          <w:b/>
          <w:color w:val="77B800"/>
          <w:sz w:val="24"/>
        </w:rPr>
      </w:pPr>
      <w:r w:rsidRPr="00E44152">
        <w:t>The PICO(</w:t>
      </w:r>
      <w:r w:rsidR="005D3634">
        <w:t>T/</w:t>
      </w:r>
      <w:r w:rsidRPr="00E44152">
        <w:t xml:space="preserve">S) criteria underpinning these research questions are described in </w:t>
      </w:r>
      <w:r w:rsidR="006859AE" w:rsidRPr="006859AE">
        <w:rPr>
          <w:i/>
          <w:iCs/>
        </w:rPr>
        <w:t>Table 7</w:t>
      </w:r>
      <w:r w:rsidRPr="00E44152">
        <w:t xml:space="preserve"> (</w:t>
      </w:r>
      <w:r w:rsidR="00316358">
        <w:t>below</w:t>
      </w:r>
      <w:r w:rsidRPr="00E44152">
        <w:t>)</w:t>
      </w:r>
      <w:r w:rsidR="00EC38A7">
        <w:t>.</w:t>
      </w:r>
    </w:p>
    <w:p w14:paraId="25252F47" w14:textId="5BA2F434" w:rsidR="00D718EE" w:rsidRPr="00E44152" w:rsidRDefault="00D718EE" w:rsidP="00D718EE">
      <w:pPr>
        <w:pStyle w:val="Caption"/>
        <w:keepNext/>
        <w:jc w:val="both"/>
      </w:pPr>
      <w:bookmarkStart w:id="124" w:name="_Ref506995974"/>
      <w:r>
        <w:t xml:space="preserve">Table </w:t>
      </w:r>
      <w:bookmarkEnd w:id="124"/>
      <w:r w:rsidR="006859AE">
        <w:t>7</w:t>
      </w:r>
      <w:r>
        <w:t xml:space="preserve">: </w:t>
      </w:r>
      <w:r w:rsidRPr="00EE7351">
        <w:t>PICO(</w:t>
      </w:r>
      <w:r w:rsidR="005D3634">
        <w:t>T/</w:t>
      </w:r>
      <w:r w:rsidRPr="00EE7351">
        <w:t>S) criteria for questions relating to the implementation of DBT</w:t>
      </w:r>
    </w:p>
    <w:tbl>
      <w:tblPr>
        <w:tblStyle w:val="ACGreen-BasicTable"/>
        <w:tblW w:w="9010" w:type="dxa"/>
        <w:tblLook w:val="04A0" w:firstRow="1" w:lastRow="0" w:firstColumn="1" w:lastColumn="0" w:noHBand="0" w:noVBand="1"/>
        <w:tblDescription w:val="Table 7 is for the PICO(T/S) criteria for questions relating to the implementation of DBT.&#10;The criterial for Population has a description for Women aged over 40 years (inclusive) with no symptoms of breast cancer, Women aged over 40 years (inclusive) with no symptoms of breast cancer with dense breasts&#10; &#10;The criterion for Intervention has a description for DBT (combined with s2DM or used alone)&#10;&#10;The criterion for comparators has a description for FFDM alone &#10;FFDM when used in combination with DBT&#10;&#10;The criterion for outcomes has a description for Work-flow benefits including imaging acquisition time and interpretation/reading time&#10;Technologist and radiologist training, IT changes (including software/hardware upgrades and data storage)&#10;&#10;The criterion for study types has a description for Systematic reviews, RCT, observational studies&#10;"/>
      </w:tblPr>
      <w:tblGrid>
        <w:gridCol w:w="1356"/>
        <w:gridCol w:w="7654"/>
      </w:tblGrid>
      <w:tr w:rsidR="00D718EE" w:rsidRPr="007B68CD" w14:paraId="004656B8" w14:textId="77777777" w:rsidTr="00236D7C">
        <w:trPr>
          <w:cnfStyle w:val="100000000000" w:firstRow="1" w:lastRow="0" w:firstColumn="0" w:lastColumn="0" w:oddVBand="0" w:evenVBand="0" w:oddHBand="0" w:evenHBand="0" w:firstRowFirstColumn="0" w:firstRowLastColumn="0" w:lastRowFirstColumn="0" w:lastRowLastColumn="0"/>
        </w:trPr>
        <w:tc>
          <w:tcPr>
            <w:tcW w:w="1356" w:type="dxa"/>
            <w:hideMark/>
          </w:tcPr>
          <w:p w14:paraId="1E937D01" w14:textId="77777777" w:rsidR="00D718EE" w:rsidRPr="007B68CD" w:rsidRDefault="00D718EE" w:rsidP="00236D7C">
            <w:pPr>
              <w:pStyle w:val="BodyText"/>
              <w:spacing w:before="40" w:after="40" w:line="240" w:lineRule="exact"/>
              <w:rPr>
                <w:sz w:val="18"/>
                <w:szCs w:val="18"/>
                <w:lang w:val="en-US"/>
              </w:rPr>
            </w:pPr>
            <w:r w:rsidRPr="007B68CD">
              <w:rPr>
                <w:sz w:val="18"/>
                <w:szCs w:val="18"/>
                <w:lang w:val="en-US"/>
              </w:rPr>
              <w:t>Criterion</w:t>
            </w:r>
          </w:p>
        </w:tc>
        <w:tc>
          <w:tcPr>
            <w:tcW w:w="7654" w:type="dxa"/>
            <w:hideMark/>
          </w:tcPr>
          <w:p w14:paraId="1B2F4A69" w14:textId="77777777" w:rsidR="00D718EE" w:rsidRPr="007B68CD" w:rsidRDefault="00D718EE" w:rsidP="00236D7C">
            <w:pPr>
              <w:pStyle w:val="BodyText"/>
              <w:spacing w:before="40" w:after="40" w:line="240" w:lineRule="exact"/>
              <w:rPr>
                <w:sz w:val="18"/>
                <w:szCs w:val="18"/>
                <w:lang w:val="en-US"/>
              </w:rPr>
            </w:pPr>
            <w:r w:rsidRPr="007B68CD">
              <w:rPr>
                <w:sz w:val="18"/>
                <w:szCs w:val="18"/>
                <w:lang w:val="en-US"/>
              </w:rPr>
              <w:t>Description</w:t>
            </w:r>
          </w:p>
        </w:tc>
      </w:tr>
      <w:tr w:rsidR="00D718EE" w:rsidRPr="00E44152" w14:paraId="54D506C4" w14:textId="77777777" w:rsidTr="00236D7C">
        <w:tc>
          <w:tcPr>
            <w:tcW w:w="1356" w:type="dxa"/>
            <w:hideMark/>
          </w:tcPr>
          <w:p w14:paraId="257989A4"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Population</w:t>
            </w:r>
          </w:p>
        </w:tc>
        <w:tc>
          <w:tcPr>
            <w:tcW w:w="7654" w:type="dxa"/>
            <w:hideMark/>
          </w:tcPr>
          <w:p w14:paraId="42A22648"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Women aged over 40 years (inclusive) with no symptoms of breast cancer</w:t>
            </w:r>
          </w:p>
          <w:p w14:paraId="61A367E1"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 xml:space="preserve">Women aged over 40 years (inclusive) with no symptoms of breast cancer with dense breasts </w:t>
            </w:r>
          </w:p>
        </w:tc>
      </w:tr>
      <w:tr w:rsidR="00D718EE" w:rsidRPr="00E44152" w14:paraId="42306611" w14:textId="77777777" w:rsidTr="00236D7C">
        <w:tc>
          <w:tcPr>
            <w:tcW w:w="1356" w:type="dxa"/>
            <w:hideMark/>
          </w:tcPr>
          <w:p w14:paraId="0B7179DA"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Intervention</w:t>
            </w:r>
          </w:p>
        </w:tc>
        <w:tc>
          <w:tcPr>
            <w:tcW w:w="7654" w:type="dxa"/>
            <w:hideMark/>
          </w:tcPr>
          <w:p w14:paraId="1B5C6236" w14:textId="00885371" w:rsidR="00D718EE" w:rsidRPr="00E44152" w:rsidRDefault="00D718EE" w:rsidP="00236D7C">
            <w:pPr>
              <w:pStyle w:val="BodyText"/>
              <w:spacing w:before="40" w:after="40" w:line="240" w:lineRule="exact"/>
              <w:rPr>
                <w:sz w:val="20"/>
                <w:szCs w:val="20"/>
                <w:lang w:val="en-US"/>
              </w:rPr>
            </w:pPr>
            <w:r w:rsidRPr="00E44152">
              <w:rPr>
                <w:sz w:val="20"/>
                <w:szCs w:val="20"/>
                <w:lang w:val="en-US"/>
              </w:rPr>
              <w:t xml:space="preserve">DBT (combined with </w:t>
            </w:r>
            <w:r w:rsidR="00176980">
              <w:rPr>
                <w:sz w:val="20"/>
                <w:szCs w:val="20"/>
                <w:lang w:val="en-US"/>
              </w:rPr>
              <w:t>s2DM</w:t>
            </w:r>
            <w:r w:rsidRPr="00E44152">
              <w:rPr>
                <w:sz w:val="20"/>
                <w:szCs w:val="20"/>
                <w:lang w:val="en-US"/>
              </w:rPr>
              <w:t xml:space="preserve"> or used alone)</w:t>
            </w:r>
          </w:p>
        </w:tc>
      </w:tr>
      <w:tr w:rsidR="00D718EE" w:rsidRPr="00E44152" w14:paraId="67AE6F16" w14:textId="77777777" w:rsidTr="00236D7C">
        <w:tc>
          <w:tcPr>
            <w:tcW w:w="1356" w:type="dxa"/>
            <w:hideMark/>
          </w:tcPr>
          <w:p w14:paraId="55C879B5"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Comparators</w:t>
            </w:r>
          </w:p>
        </w:tc>
        <w:tc>
          <w:tcPr>
            <w:tcW w:w="7654" w:type="dxa"/>
            <w:hideMark/>
          </w:tcPr>
          <w:p w14:paraId="06F2054D"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 xml:space="preserve">FFDM alone </w:t>
            </w:r>
          </w:p>
          <w:p w14:paraId="0DC207B5"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FFDM when used in combination with DBT</w:t>
            </w:r>
          </w:p>
        </w:tc>
      </w:tr>
      <w:tr w:rsidR="00D718EE" w:rsidRPr="00E44152" w14:paraId="0FF75394" w14:textId="77777777" w:rsidTr="00236D7C">
        <w:tc>
          <w:tcPr>
            <w:tcW w:w="1356" w:type="dxa"/>
            <w:hideMark/>
          </w:tcPr>
          <w:p w14:paraId="29E89202"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Outcomes</w:t>
            </w:r>
          </w:p>
        </w:tc>
        <w:tc>
          <w:tcPr>
            <w:tcW w:w="7654" w:type="dxa"/>
            <w:hideMark/>
          </w:tcPr>
          <w:p w14:paraId="5A362999" w14:textId="3C27CB33" w:rsidR="00D718EE" w:rsidRPr="00E44152" w:rsidRDefault="00D718EE" w:rsidP="00236D7C">
            <w:pPr>
              <w:pStyle w:val="BodyText"/>
              <w:spacing w:before="40" w:after="40" w:line="240" w:lineRule="exact"/>
              <w:rPr>
                <w:sz w:val="20"/>
                <w:szCs w:val="20"/>
                <w:lang w:val="en-US"/>
              </w:rPr>
            </w:pPr>
            <w:r w:rsidRPr="00E44152">
              <w:rPr>
                <w:sz w:val="20"/>
                <w:szCs w:val="20"/>
                <w:lang w:val="en-US"/>
              </w:rPr>
              <w:t>Work</w:t>
            </w:r>
            <w:r w:rsidR="005D3634">
              <w:rPr>
                <w:sz w:val="20"/>
                <w:szCs w:val="20"/>
                <w:lang w:val="en-US"/>
              </w:rPr>
              <w:t>-</w:t>
            </w:r>
            <w:r w:rsidRPr="00E44152">
              <w:rPr>
                <w:sz w:val="20"/>
                <w:szCs w:val="20"/>
                <w:lang w:val="en-US"/>
              </w:rPr>
              <w:t>flow benefits including imaging acquisition time and interpretation/reading time</w:t>
            </w:r>
          </w:p>
          <w:p w14:paraId="6AE6A85F"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Technologist and radiologist training</w:t>
            </w:r>
          </w:p>
          <w:p w14:paraId="2DD643E4"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IT changes (including software/hardware upgrades and data storage)</w:t>
            </w:r>
          </w:p>
        </w:tc>
      </w:tr>
      <w:tr w:rsidR="00D718EE" w:rsidRPr="00E44152" w14:paraId="135EC80B" w14:textId="77777777" w:rsidTr="00236D7C">
        <w:tc>
          <w:tcPr>
            <w:tcW w:w="1356" w:type="dxa"/>
            <w:hideMark/>
          </w:tcPr>
          <w:p w14:paraId="1E4E0EC3"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Study types</w:t>
            </w:r>
          </w:p>
        </w:tc>
        <w:tc>
          <w:tcPr>
            <w:tcW w:w="7654" w:type="dxa"/>
            <w:hideMark/>
          </w:tcPr>
          <w:p w14:paraId="339918F2" w14:textId="00A2B7FE" w:rsidR="00D718EE" w:rsidRPr="00E44152" w:rsidRDefault="00D718EE" w:rsidP="00236D7C">
            <w:pPr>
              <w:pStyle w:val="BodyText"/>
              <w:spacing w:before="40" w:after="40" w:line="240" w:lineRule="exact"/>
              <w:rPr>
                <w:sz w:val="20"/>
                <w:szCs w:val="20"/>
                <w:lang w:val="en-US"/>
              </w:rPr>
            </w:pPr>
            <w:r w:rsidRPr="00E44152">
              <w:rPr>
                <w:sz w:val="20"/>
                <w:szCs w:val="20"/>
                <w:lang w:val="en-US"/>
              </w:rPr>
              <w:t>Systematic reviews, RCT, observational studies</w:t>
            </w:r>
          </w:p>
        </w:tc>
      </w:tr>
    </w:tbl>
    <w:p w14:paraId="362D1674" w14:textId="77777777" w:rsidR="00D718EE" w:rsidRPr="00E44152" w:rsidRDefault="00D718EE" w:rsidP="00D718EE">
      <w:pPr>
        <w:pStyle w:val="NumberedHeading3"/>
        <w:spacing w:line="256" w:lineRule="auto"/>
        <w:ind w:left="0" w:hanging="1"/>
      </w:pPr>
      <w:bookmarkStart w:id="125" w:name="_Toc27477565"/>
      <w:bookmarkStart w:id="126" w:name="_Toc27665698"/>
      <w:bookmarkStart w:id="127" w:name="_Toc27844475"/>
      <w:bookmarkStart w:id="128" w:name="_Toc27859605"/>
      <w:bookmarkStart w:id="129" w:name="_Toc27904720"/>
      <w:bookmarkStart w:id="130" w:name="_Toc43376271"/>
      <w:r w:rsidRPr="00E44152">
        <w:lastRenderedPageBreak/>
        <w:t>Question about acceptability to women</w:t>
      </w:r>
      <w:bookmarkEnd w:id="125"/>
      <w:bookmarkEnd w:id="126"/>
      <w:bookmarkEnd w:id="127"/>
      <w:bookmarkEnd w:id="128"/>
      <w:bookmarkEnd w:id="129"/>
      <w:bookmarkEnd w:id="130"/>
      <w:r w:rsidRPr="00E44152">
        <w:t xml:space="preserve"> </w:t>
      </w:r>
    </w:p>
    <w:p w14:paraId="7AC32C6A" w14:textId="77777777" w:rsidR="00D718EE" w:rsidRPr="00E44152" w:rsidRDefault="00D718EE" w:rsidP="00D718EE">
      <w:pPr>
        <w:pStyle w:val="BodyText"/>
      </w:pPr>
      <w:r w:rsidRPr="00E44152">
        <w:t>The question on acceptability was:</w:t>
      </w:r>
    </w:p>
    <w:p w14:paraId="2C8BDB44" w14:textId="77777777" w:rsidR="00D718EE" w:rsidRPr="00E44152" w:rsidRDefault="00D718EE" w:rsidP="00D718EE">
      <w:pPr>
        <w:pStyle w:val="List-AlphanumericLvl1"/>
        <w:numPr>
          <w:ilvl w:val="0"/>
          <w:numId w:val="0"/>
        </w:numPr>
        <w:ind w:left="284"/>
        <w:jc w:val="both"/>
      </w:pPr>
      <w:bookmarkStart w:id="131" w:name="_Hlk506702353"/>
      <w:r w:rsidRPr="00E44152">
        <w:t>Do asymptomatic women screened for breast cancer experience more anxiety, discomfort or inconvenience if the screening modality is:</w:t>
      </w:r>
    </w:p>
    <w:p w14:paraId="0C6783D1" w14:textId="57835A40" w:rsidR="00D718EE" w:rsidRPr="00E44152" w:rsidRDefault="00D718EE" w:rsidP="007E3481">
      <w:pPr>
        <w:pStyle w:val="List-BulletLvl1"/>
        <w:numPr>
          <w:ilvl w:val="0"/>
          <w:numId w:val="10"/>
        </w:numPr>
      </w:pPr>
      <w:r w:rsidRPr="00E44152">
        <w:t xml:space="preserve">DBT (including </w:t>
      </w:r>
      <w:r w:rsidR="00176980">
        <w:t>s2DM</w:t>
      </w:r>
      <w:r w:rsidRPr="00E44152">
        <w:t>) compared with FFDM alone?</w:t>
      </w:r>
    </w:p>
    <w:p w14:paraId="7A38A0AB" w14:textId="1EBD320B" w:rsidR="00D718EE" w:rsidRPr="00E44152" w:rsidRDefault="00D718EE" w:rsidP="007E3481">
      <w:pPr>
        <w:pStyle w:val="List-BulletLvl1"/>
        <w:numPr>
          <w:ilvl w:val="0"/>
          <w:numId w:val="10"/>
        </w:numPr>
      </w:pPr>
      <w:r w:rsidRPr="00E44152">
        <w:t xml:space="preserve">DBT (including </w:t>
      </w:r>
      <w:r w:rsidR="00176980">
        <w:t>s2DM</w:t>
      </w:r>
      <w:r w:rsidRPr="00E44152">
        <w:t>) plus FFDM compared with FFDM alone?</w:t>
      </w:r>
    </w:p>
    <w:bookmarkEnd w:id="131"/>
    <w:p w14:paraId="6978C5B7" w14:textId="1EB6E385" w:rsidR="00D718EE" w:rsidRPr="00E44152" w:rsidRDefault="00D718EE" w:rsidP="00D718EE">
      <w:pPr>
        <w:pStyle w:val="BodyText"/>
        <w:rPr>
          <w:b/>
          <w:color w:val="77B800"/>
          <w:sz w:val="24"/>
        </w:rPr>
      </w:pPr>
      <w:r w:rsidRPr="00E44152">
        <w:t>The PICO(</w:t>
      </w:r>
      <w:r w:rsidR="005D3634">
        <w:t>T/</w:t>
      </w:r>
      <w:r w:rsidRPr="00E44152">
        <w:t xml:space="preserve">S) criteria underpinning these research questions are described in </w:t>
      </w:r>
      <w:r w:rsidR="006859AE" w:rsidRPr="006859AE">
        <w:rPr>
          <w:i/>
          <w:iCs/>
        </w:rPr>
        <w:t>Table 8</w:t>
      </w:r>
      <w:r w:rsidRPr="00E44152">
        <w:t xml:space="preserve"> (below).</w:t>
      </w:r>
    </w:p>
    <w:p w14:paraId="5945F896" w14:textId="4D90FBA0" w:rsidR="00D718EE" w:rsidRPr="00E44152" w:rsidRDefault="00D718EE" w:rsidP="00D718EE">
      <w:pPr>
        <w:pStyle w:val="Caption"/>
      </w:pPr>
      <w:bookmarkStart w:id="132" w:name="_Ref506995956"/>
      <w:r>
        <w:t xml:space="preserve">Table </w:t>
      </w:r>
      <w:r w:rsidR="006859AE">
        <w:t>8</w:t>
      </w:r>
      <w:bookmarkEnd w:id="132"/>
      <w:r>
        <w:t xml:space="preserve">: </w:t>
      </w:r>
      <w:r w:rsidRPr="00952EAB">
        <w:t>PICO(</w:t>
      </w:r>
      <w:r w:rsidR="005D3634">
        <w:t>T/</w:t>
      </w:r>
      <w:r w:rsidRPr="00952EAB">
        <w:t>S) criteria for questions relating to the acceptability of DBT</w:t>
      </w:r>
    </w:p>
    <w:tbl>
      <w:tblPr>
        <w:tblStyle w:val="ACGreen-BasicTable"/>
        <w:tblW w:w="9010" w:type="dxa"/>
        <w:tblLook w:val="04A0" w:firstRow="1" w:lastRow="0" w:firstColumn="1" w:lastColumn="0" w:noHBand="0" w:noVBand="1"/>
        <w:tblDescription w:val="Table 8 is the PICO(T/S) criteria for questions relating to the acceptability of DBT.&#10;The criterion for Population has a description for Woman aged over 40 years (inclusive) with no symptoms of breast cancer, Women living in rural or remote communities&#10;&#10;The criterion for Intervention has a description for DBT (combined with s2DM or used alone)&#10;&#10;The criterion for Comparators has a description for FFDM alone &#10;FFDM when used in combination with DBT&#10;&#10;The criterion for Outcomes has a description has a for Discomfort/pain, Anxiety/distress, Time spent having a mammogram/convenience, Women’s confidence in screening modality&#10;&#10;The criterion for Study types has a description for Systematic reviews, RCT, observational studies."/>
      </w:tblPr>
      <w:tblGrid>
        <w:gridCol w:w="1356"/>
        <w:gridCol w:w="7654"/>
      </w:tblGrid>
      <w:tr w:rsidR="00D718EE" w:rsidRPr="007B68CD" w14:paraId="2DB39A4E" w14:textId="77777777" w:rsidTr="00236D7C">
        <w:trPr>
          <w:cnfStyle w:val="100000000000" w:firstRow="1" w:lastRow="0" w:firstColumn="0" w:lastColumn="0" w:oddVBand="0" w:evenVBand="0" w:oddHBand="0" w:evenHBand="0" w:firstRowFirstColumn="0" w:firstRowLastColumn="0" w:lastRowFirstColumn="0" w:lastRowLastColumn="0"/>
        </w:trPr>
        <w:tc>
          <w:tcPr>
            <w:tcW w:w="1356" w:type="dxa"/>
            <w:hideMark/>
          </w:tcPr>
          <w:p w14:paraId="6C5E7D0A" w14:textId="77777777" w:rsidR="00D718EE" w:rsidRPr="007B68CD" w:rsidRDefault="00D718EE" w:rsidP="00236D7C">
            <w:pPr>
              <w:pStyle w:val="BodyText"/>
              <w:spacing w:before="40" w:after="40" w:line="240" w:lineRule="exact"/>
              <w:rPr>
                <w:sz w:val="18"/>
                <w:szCs w:val="18"/>
                <w:lang w:val="en-US"/>
              </w:rPr>
            </w:pPr>
            <w:r w:rsidRPr="007B68CD">
              <w:rPr>
                <w:sz w:val="18"/>
                <w:szCs w:val="18"/>
                <w:lang w:val="en-US"/>
              </w:rPr>
              <w:t>Criterion</w:t>
            </w:r>
          </w:p>
        </w:tc>
        <w:tc>
          <w:tcPr>
            <w:tcW w:w="7654" w:type="dxa"/>
            <w:hideMark/>
          </w:tcPr>
          <w:p w14:paraId="7FEFCDB5" w14:textId="77777777" w:rsidR="00D718EE" w:rsidRPr="007B68CD" w:rsidRDefault="00D718EE" w:rsidP="00236D7C">
            <w:pPr>
              <w:pStyle w:val="BodyText"/>
              <w:spacing w:before="40" w:after="40" w:line="240" w:lineRule="exact"/>
              <w:rPr>
                <w:sz w:val="18"/>
                <w:szCs w:val="18"/>
                <w:lang w:val="en-US"/>
              </w:rPr>
            </w:pPr>
            <w:r w:rsidRPr="007B68CD">
              <w:rPr>
                <w:sz w:val="18"/>
                <w:szCs w:val="18"/>
                <w:lang w:val="en-US"/>
              </w:rPr>
              <w:t>Description</w:t>
            </w:r>
          </w:p>
        </w:tc>
      </w:tr>
      <w:tr w:rsidR="00D718EE" w:rsidRPr="00E44152" w14:paraId="3E3A36A3" w14:textId="77777777" w:rsidTr="00236D7C">
        <w:tc>
          <w:tcPr>
            <w:tcW w:w="1356" w:type="dxa"/>
            <w:hideMark/>
          </w:tcPr>
          <w:p w14:paraId="5E337E6C"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Population</w:t>
            </w:r>
          </w:p>
        </w:tc>
        <w:tc>
          <w:tcPr>
            <w:tcW w:w="7654" w:type="dxa"/>
            <w:hideMark/>
          </w:tcPr>
          <w:p w14:paraId="7885D823"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Women aged over 40 years (inclusive) with no symptoms of breast cancer</w:t>
            </w:r>
          </w:p>
          <w:p w14:paraId="41C1ADED" w14:textId="77777777" w:rsidR="00D718EE" w:rsidRPr="00E44152" w:rsidRDefault="00D718EE" w:rsidP="00236D7C">
            <w:pPr>
              <w:pStyle w:val="BodyText"/>
              <w:spacing w:beforeLines="20" w:before="48" w:afterLines="20" w:after="48" w:line="240" w:lineRule="exact"/>
              <w:rPr>
                <w:sz w:val="20"/>
                <w:szCs w:val="20"/>
                <w:lang w:val="en-US"/>
              </w:rPr>
            </w:pPr>
            <w:r w:rsidRPr="00E44152">
              <w:rPr>
                <w:sz w:val="20"/>
                <w:szCs w:val="20"/>
                <w:lang w:val="en-US"/>
              </w:rPr>
              <w:t>Women living in rural or remote communities</w:t>
            </w:r>
          </w:p>
        </w:tc>
      </w:tr>
      <w:tr w:rsidR="00D718EE" w:rsidRPr="00E44152" w14:paraId="02DA8D7B" w14:textId="77777777" w:rsidTr="00236D7C">
        <w:tc>
          <w:tcPr>
            <w:tcW w:w="1356" w:type="dxa"/>
            <w:hideMark/>
          </w:tcPr>
          <w:p w14:paraId="5A4EE760"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Intervention</w:t>
            </w:r>
          </w:p>
        </w:tc>
        <w:tc>
          <w:tcPr>
            <w:tcW w:w="7654" w:type="dxa"/>
            <w:hideMark/>
          </w:tcPr>
          <w:p w14:paraId="200F37C0" w14:textId="30B0B73B" w:rsidR="00D718EE" w:rsidRPr="00E44152" w:rsidRDefault="00D718EE" w:rsidP="00236D7C">
            <w:pPr>
              <w:pStyle w:val="BodyText"/>
              <w:spacing w:before="40" w:after="40" w:line="240" w:lineRule="exact"/>
              <w:rPr>
                <w:sz w:val="20"/>
                <w:szCs w:val="20"/>
                <w:lang w:val="en-US"/>
              </w:rPr>
            </w:pPr>
            <w:r w:rsidRPr="00E44152">
              <w:rPr>
                <w:sz w:val="20"/>
                <w:szCs w:val="20"/>
                <w:lang w:val="en-US"/>
              </w:rPr>
              <w:t xml:space="preserve">DBT (combined with </w:t>
            </w:r>
            <w:r w:rsidR="00176980">
              <w:rPr>
                <w:sz w:val="20"/>
                <w:szCs w:val="20"/>
                <w:lang w:val="en-US"/>
              </w:rPr>
              <w:t>s2DM</w:t>
            </w:r>
            <w:r w:rsidRPr="00E44152">
              <w:rPr>
                <w:sz w:val="20"/>
                <w:szCs w:val="20"/>
                <w:lang w:val="en-US"/>
              </w:rPr>
              <w:t xml:space="preserve"> or used alone)</w:t>
            </w:r>
          </w:p>
        </w:tc>
      </w:tr>
      <w:tr w:rsidR="00D718EE" w:rsidRPr="00E44152" w14:paraId="2ADE83B3" w14:textId="77777777" w:rsidTr="00236D7C">
        <w:tc>
          <w:tcPr>
            <w:tcW w:w="1356" w:type="dxa"/>
            <w:hideMark/>
          </w:tcPr>
          <w:p w14:paraId="15725B2A"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Comparators</w:t>
            </w:r>
          </w:p>
        </w:tc>
        <w:tc>
          <w:tcPr>
            <w:tcW w:w="7654" w:type="dxa"/>
            <w:hideMark/>
          </w:tcPr>
          <w:p w14:paraId="5F200591"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 xml:space="preserve">FFDM alone </w:t>
            </w:r>
          </w:p>
          <w:p w14:paraId="6A827C11"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FFDM when used in combination with DBT</w:t>
            </w:r>
          </w:p>
        </w:tc>
      </w:tr>
      <w:tr w:rsidR="00D718EE" w:rsidRPr="00E44152" w14:paraId="7B648F16" w14:textId="77777777" w:rsidTr="00236D7C">
        <w:tc>
          <w:tcPr>
            <w:tcW w:w="1356" w:type="dxa"/>
            <w:hideMark/>
          </w:tcPr>
          <w:p w14:paraId="356F369B"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Outcomes</w:t>
            </w:r>
          </w:p>
        </w:tc>
        <w:tc>
          <w:tcPr>
            <w:tcW w:w="7654" w:type="dxa"/>
            <w:hideMark/>
          </w:tcPr>
          <w:p w14:paraId="068EA437"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Discomfort/pain</w:t>
            </w:r>
          </w:p>
          <w:p w14:paraId="293E8588"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Anxiety/distress</w:t>
            </w:r>
          </w:p>
          <w:p w14:paraId="5E958B0B"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 xml:space="preserve">Time spent having a mammogram/convenience </w:t>
            </w:r>
          </w:p>
          <w:p w14:paraId="2A0420A1" w14:textId="77777777" w:rsidR="00D718EE" w:rsidRPr="00E44152" w:rsidRDefault="00D718EE" w:rsidP="00236D7C">
            <w:pPr>
              <w:pStyle w:val="BodyText"/>
              <w:spacing w:before="40" w:after="40" w:line="240" w:lineRule="exact"/>
              <w:rPr>
                <w:sz w:val="20"/>
                <w:szCs w:val="20"/>
                <w:lang w:val="en-US"/>
              </w:rPr>
            </w:pPr>
            <w:r w:rsidRPr="00E44152">
              <w:rPr>
                <w:sz w:val="20"/>
                <w:szCs w:val="20"/>
                <w:lang w:val="en-US"/>
              </w:rPr>
              <w:t>Women’s confidence in screening modality</w:t>
            </w:r>
          </w:p>
        </w:tc>
      </w:tr>
      <w:tr w:rsidR="00D718EE" w:rsidRPr="00E44152" w14:paraId="0C3AE0D4" w14:textId="77777777" w:rsidTr="00236D7C">
        <w:tc>
          <w:tcPr>
            <w:tcW w:w="1356" w:type="dxa"/>
            <w:hideMark/>
          </w:tcPr>
          <w:p w14:paraId="5BD22D96" w14:textId="77777777" w:rsidR="00D718EE" w:rsidRPr="00E44152" w:rsidRDefault="00D718EE" w:rsidP="00236D7C">
            <w:pPr>
              <w:pStyle w:val="BodyText"/>
              <w:spacing w:before="40" w:after="40" w:line="240" w:lineRule="exact"/>
              <w:rPr>
                <w:b/>
                <w:sz w:val="20"/>
                <w:szCs w:val="20"/>
                <w:lang w:val="en-US"/>
              </w:rPr>
            </w:pPr>
            <w:r w:rsidRPr="00E44152">
              <w:rPr>
                <w:b/>
                <w:sz w:val="20"/>
                <w:szCs w:val="20"/>
                <w:lang w:val="en-US"/>
              </w:rPr>
              <w:t>Study types</w:t>
            </w:r>
          </w:p>
        </w:tc>
        <w:tc>
          <w:tcPr>
            <w:tcW w:w="7654" w:type="dxa"/>
            <w:hideMark/>
          </w:tcPr>
          <w:p w14:paraId="292BB13B" w14:textId="42EA60B1" w:rsidR="00D718EE" w:rsidRPr="00E44152" w:rsidRDefault="00D718EE" w:rsidP="00236D7C">
            <w:pPr>
              <w:pStyle w:val="BodyText"/>
              <w:spacing w:before="40" w:after="40" w:line="240" w:lineRule="exact"/>
              <w:rPr>
                <w:sz w:val="20"/>
                <w:szCs w:val="20"/>
                <w:lang w:val="en-US"/>
              </w:rPr>
            </w:pPr>
            <w:r w:rsidRPr="00E44152">
              <w:rPr>
                <w:sz w:val="20"/>
                <w:szCs w:val="20"/>
                <w:lang w:val="en-US"/>
              </w:rPr>
              <w:t>Systematic reviews, RCT, observational studies</w:t>
            </w:r>
          </w:p>
        </w:tc>
      </w:tr>
    </w:tbl>
    <w:p w14:paraId="49CFE7ED" w14:textId="148017D9" w:rsidR="00D718EE" w:rsidRPr="00E44152" w:rsidRDefault="00D718EE" w:rsidP="007E3481">
      <w:pPr>
        <w:pStyle w:val="NumberedHeading2"/>
        <w:numPr>
          <w:ilvl w:val="1"/>
          <w:numId w:val="2"/>
        </w:numPr>
        <w:spacing w:line="256" w:lineRule="auto"/>
        <w:ind w:left="851" w:hanging="851"/>
      </w:pPr>
      <w:bookmarkStart w:id="133" w:name="_Toc513112131"/>
      <w:bookmarkStart w:id="134" w:name="_Toc43376272"/>
      <w:r w:rsidRPr="00E44152">
        <w:t>Literature search</w:t>
      </w:r>
      <w:bookmarkEnd w:id="133"/>
      <w:bookmarkEnd w:id="134"/>
    </w:p>
    <w:p w14:paraId="480150CE" w14:textId="57A00F46" w:rsidR="00D718EE" w:rsidRPr="00E44152" w:rsidRDefault="00D718EE" w:rsidP="00D718EE">
      <w:pPr>
        <w:pStyle w:val="List-BulletLvl1"/>
        <w:numPr>
          <w:ilvl w:val="0"/>
          <w:numId w:val="0"/>
        </w:numPr>
        <w:spacing w:before="120"/>
      </w:pPr>
      <w:r w:rsidRPr="00E44152">
        <w:t xml:space="preserve">The following databases were searched on </w:t>
      </w:r>
      <w:r w:rsidR="00EC38A7">
        <w:t>11-13 November 2019</w:t>
      </w:r>
      <w:r w:rsidRPr="00E44152">
        <w:t>:</w:t>
      </w:r>
    </w:p>
    <w:p w14:paraId="774C0DBA" w14:textId="1DDD551A" w:rsidR="00D718EE" w:rsidRPr="00E44152" w:rsidRDefault="00D718EE" w:rsidP="007E3481">
      <w:pPr>
        <w:pStyle w:val="List-BulletLvl1"/>
        <w:numPr>
          <w:ilvl w:val="0"/>
          <w:numId w:val="10"/>
        </w:numPr>
      </w:pPr>
      <w:r w:rsidRPr="00E44152">
        <w:t xml:space="preserve">Cochrane Library database </w:t>
      </w:r>
    </w:p>
    <w:p w14:paraId="09BB004E" w14:textId="77777777" w:rsidR="00D718EE" w:rsidRPr="00E44152" w:rsidRDefault="00D718EE" w:rsidP="007E3481">
      <w:pPr>
        <w:pStyle w:val="List-BulletLvl1"/>
        <w:numPr>
          <w:ilvl w:val="0"/>
          <w:numId w:val="10"/>
        </w:numPr>
      </w:pPr>
      <w:r w:rsidRPr="00E44152">
        <w:t xml:space="preserve">National Institute for Health and Clinical Excellence </w:t>
      </w:r>
    </w:p>
    <w:p w14:paraId="6607580C" w14:textId="77777777" w:rsidR="00D718EE" w:rsidRPr="00E44152" w:rsidRDefault="00D718EE" w:rsidP="007E3481">
      <w:pPr>
        <w:pStyle w:val="List-BulletLvl1"/>
        <w:numPr>
          <w:ilvl w:val="0"/>
          <w:numId w:val="10"/>
        </w:numPr>
      </w:pPr>
      <w:r w:rsidRPr="00E44152">
        <w:t>OVID Medline</w:t>
      </w:r>
    </w:p>
    <w:p w14:paraId="18EF7ED5" w14:textId="77777777" w:rsidR="00D718EE" w:rsidRPr="00E44152" w:rsidRDefault="00D718EE" w:rsidP="007E3481">
      <w:pPr>
        <w:pStyle w:val="List-BulletLvl1"/>
        <w:numPr>
          <w:ilvl w:val="0"/>
          <w:numId w:val="10"/>
        </w:numPr>
      </w:pPr>
      <w:r w:rsidRPr="00E44152">
        <w:rPr>
          <w:shd w:val="clear" w:color="auto" w:fill="FFFFFF"/>
        </w:rPr>
        <w:t>UK National Institute for Health Research HTA database, and</w:t>
      </w:r>
    </w:p>
    <w:p w14:paraId="36E16694" w14:textId="77777777" w:rsidR="00D718EE" w:rsidRPr="00E44152" w:rsidRDefault="00D718EE" w:rsidP="007E3481">
      <w:pPr>
        <w:pStyle w:val="List-BulletLvl1"/>
        <w:numPr>
          <w:ilvl w:val="0"/>
          <w:numId w:val="10"/>
        </w:numPr>
      </w:pPr>
      <w:r w:rsidRPr="00E44152">
        <w:t>UK NHSBPS.</w:t>
      </w:r>
    </w:p>
    <w:p w14:paraId="2FEDBAC4" w14:textId="79CA262D" w:rsidR="00EC38A7" w:rsidRDefault="00EC38A7" w:rsidP="00D718EE">
      <w:pPr>
        <w:pStyle w:val="BodyText"/>
      </w:pPr>
      <w:r>
        <w:t xml:space="preserve">The website </w:t>
      </w:r>
      <w:hyperlink r:id="rId14" w:history="1">
        <w:r w:rsidR="006859AE" w:rsidRPr="00EF7770">
          <w:rPr>
            <w:rStyle w:val="Hyperlink"/>
          </w:rPr>
          <w:t>www.clinicaltrials.gov</w:t>
        </w:r>
      </w:hyperlink>
      <w:r w:rsidR="006859AE">
        <w:t xml:space="preserve"> </w:t>
      </w:r>
      <w:r>
        <w:t>was searched on 22 November 2019.</w:t>
      </w:r>
    </w:p>
    <w:p w14:paraId="00291443" w14:textId="5F8A76AD" w:rsidR="00D718EE" w:rsidRPr="00E44152" w:rsidRDefault="00D718EE" w:rsidP="00D718EE">
      <w:pPr>
        <w:pStyle w:val="BodyText"/>
      </w:pPr>
      <w:r w:rsidRPr="00E44152">
        <w:t xml:space="preserve">To complete a </w:t>
      </w:r>
      <w:bookmarkStart w:id="135" w:name="_Hlk506702373"/>
      <w:r w:rsidRPr="00E44152">
        <w:t>systematic search, we used combinations of subject/index terms where appropriate (eg, exploded term ‘mammography’ or exploded ‘breast neoplasm’) in combination with key words, or key words alone depending on the search functionality of each database or website (</w:t>
      </w:r>
      <w:r w:rsidR="005D3634">
        <w:t>i.e.</w:t>
      </w:r>
      <w:r w:rsidRPr="00E44152">
        <w:t xml:space="preserve">, main searches included ‘tomosynthesis’ PLUS ‘breast cancer’ PLUS ‘screen*’ in the title or abstract). </w:t>
      </w:r>
      <w:bookmarkEnd w:id="135"/>
    </w:p>
    <w:p w14:paraId="04AAB4ED" w14:textId="77777777" w:rsidR="00676B7A" w:rsidRDefault="00676B7A">
      <w:r>
        <w:br w:type="page"/>
      </w:r>
    </w:p>
    <w:p w14:paraId="4061A6D3" w14:textId="648243B0" w:rsidR="00701EDE" w:rsidRDefault="00D718EE" w:rsidP="00676B7A">
      <w:pPr>
        <w:pStyle w:val="BodyText"/>
      </w:pPr>
      <w:r w:rsidRPr="00E44152">
        <w:lastRenderedPageBreak/>
        <w:t>The following limits were applied on all searches</w:t>
      </w:r>
      <w:r w:rsidR="00676B7A">
        <w:t xml:space="preserve">: </w:t>
      </w:r>
      <w:r w:rsidRPr="00E44152">
        <w:t>a date criterion (1 January 201</w:t>
      </w:r>
      <w:r w:rsidR="00EC796D">
        <w:t>8</w:t>
      </w:r>
      <w:r w:rsidRPr="00E44152">
        <w:t xml:space="preserve"> – 31 December 201</w:t>
      </w:r>
      <w:r w:rsidR="00EC796D">
        <w:t>9</w:t>
      </w:r>
      <w:r w:rsidRPr="00E44152">
        <w:t>)</w:t>
      </w:r>
      <w:r w:rsidR="00676B7A">
        <w:t>, E</w:t>
      </w:r>
      <w:r w:rsidRPr="00E44152">
        <w:t>nglish language</w:t>
      </w:r>
      <w:r w:rsidR="00676B7A">
        <w:t xml:space="preserve">, </w:t>
      </w:r>
      <w:r w:rsidR="00701EDE">
        <w:t>h</w:t>
      </w:r>
      <w:r w:rsidR="00EC796D">
        <w:t>uman</w:t>
      </w:r>
      <w:r w:rsidR="00701EDE">
        <w:t xml:space="preserve"> and</w:t>
      </w:r>
      <w:r w:rsidR="00676B7A">
        <w:t xml:space="preserve"> </w:t>
      </w:r>
      <w:r w:rsidRPr="00E44152">
        <w:t>study type restrictions (where available and appropriate, we restricted returns from research databases to peer-reviewed systematic reviews, literature reviews, RCT, observational studies and clinical trials)</w:t>
      </w:r>
      <w:r w:rsidR="00701EDE">
        <w:t>.</w:t>
      </w:r>
    </w:p>
    <w:p w14:paraId="573B8031" w14:textId="5E59D78B" w:rsidR="00D718EE" w:rsidRPr="00E44152" w:rsidRDefault="00D718EE" w:rsidP="00D718EE">
      <w:pPr>
        <w:pStyle w:val="BodyText"/>
      </w:pPr>
      <w:r w:rsidRPr="00E44152">
        <w:t>Duplicate citations and a small number of false hits/inaccurate returns were removed before all initial returned citations and abstracts were reviewed for relevance to the main research questions. Material was excluded if it:</w:t>
      </w:r>
    </w:p>
    <w:p w14:paraId="70023535" w14:textId="025B8FC2" w:rsidR="00701EDE" w:rsidRPr="00E44152" w:rsidRDefault="00D718EE" w:rsidP="007E3481">
      <w:pPr>
        <w:pStyle w:val="List-BulletLvl1"/>
        <w:numPr>
          <w:ilvl w:val="0"/>
          <w:numId w:val="10"/>
        </w:numPr>
      </w:pPr>
      <w:r w:rsidRPr="00E44152">
        <w:t xml:space="preserve">did not relate to DBT as a population screening tool for breast cancer </w:t>
      </w:r>
      <w:r w:rsidR="00EC796D">
        <w:t>(i.e., its potential role in intra-operative imaging</w:t>
      </w:r>
      <w:r w:rsidR="00701EDE">
        <w:t>)</w:t>
      </w:r>
    </w:p>
    <w:p w14:paraId="5D01265A" w14:textId="77777777" w:rsidR="00D718EE" w:rsidRPr="00E44152" w:rsidRDefault="00D718EE" w:rsidP="007E3481">
      <w:pPr>
        <w:pStyle w:val="List-BulletLvl1"/>
        <w:numPr>
          <w:ilvl w:val="0"/>
          <w:numId w:val="10"/>
        </w:numPr>
      </w:pPr>
      <w:r w:rsidRPr="00E44152">
        <w:t xml:space="preserve">compared DBT to </w:t>
      </w:r>
      <w:r w:rsidRPr="00D86CAB">
        <w:t xml:space="preserve">screening </w:t>
      </w:r>
      <w:r>
        <w:t>strategies</w:t>
      </w:r>
      <w:r w:rsidRPr="00E44152">
        <w:t xml:space="preserve"> other than FFDM</w:t>
      </w:r>
    </w:p>
    <w:p w14:paraId="05A03943" w14:textId="4FE03525" w:rsidR="00EC796D" w:rsidRDefault="00D718EE" w:rsidP="007E3481">
      <w:pPr>
        <w:pStyle w:val="List-BulletLvl1"/>
        <w:numPr>
          <w:ilvl w:val="0"/>
          <w:numId w:val="10"/>
        </w:numPr>
      </w:pPr>
      <w:r w:rsidRPr="00E44152">
        <w:t>focused on a study population other than asymptomatic women</w:t>
      </w:r>
      <w:r w:rsidR="00EC796D">
        <w:t xml:space="preserve"> (i.e., diagnostic studies that focused on cancer detection in symptomatic women or other diagnostic imaging)</w:t>
      </w:r>
    </w:p>
    <w:p w14:paraId="598521CE" w14:textId="2A448E01" w:rsidR="00EC796D" w:rsidRDefault="00EC796D" w:rsidP="007E3481">
      <w:pPr>
        <w:pStyle w:val="List-BulletLvl1"/>
        <w:numPr>
          <w:ilvl w:val="0"/>
          <w:numId w:val="10"/>
        </w:numPr>
      </w:pPr>
      <w:r>
        <w:t>related to refinement in technique, image processing, or CAD</w:t>
      </w:r>
      <w:r w:rsidR="00A62A2E">
        <w:t xml:space="preserve"> (</w:t>
      </w:r>
      <w:r>
        <w:t>not linked to reading time</w:t>
      </w:r>
      <w:r w:rsidR="00A62A2E">
        <w:t>)</w:t>
      </w:r>
    </w:p>
    <w:p w14:paraId="10292895" w14:textId="148E5BA7" w:rsidR="00D718EE" w:rsidRPr="00E44152" w:rsidRDefault="00EC796D" w:rsidP="007E3481">
      <w:pPr>
        <w:pStyle w:val="List-BulletLvl1"/>
        <w:numPr>
          <w:ilvl w:val="0"/>
          <w:numId w:val="10"/>
        </w:numPr>
      </w:pPr>
      <w:r>
        <w:t>focused on measuring breast density or used phantoms, or</w:t>
      </w:r>
    </w:p>
    <w:p w14:paraId="1606A676" w14:textId="2D45CA34" w:rsidR="00D718EE" w:rsidRDefault="00D718EE" w:rsidP="007E3481">
      <w:pPr>
        <w:pStyle w:val="List-BulletLvl1"/>
        <w:numPr>
          <w:ilvl w:val="0"/>
          <w:numId w:val="10"/>
        </w:numPr>
      </w:pPr>
      <w:r w:rsidRPr="00E44152">
        <w:t xml:space="preserve">related to </w:t>
      </w:r>
      <w:r w:rsidR="00701EDE">
        <w:t xml:space="preserve">post-treatment </w:t>
      </w:r>
      <w:r w:rsidRPr="00E44152">
        <w:t xml:space="preserve">surveillance. </w:t>
      </w:r>
    </w:p>
    <w:p w14:paraId="696AF7D1" w14:textId="5B277997" w:rsidR="00701EDE" w:rsidRDefault="00701EDE" w:rsidP="00701EDE">
      <w:pPr>
        <w:pStyle w:val="BodyText"/>
      </w:pPr>
      <w:r>
        <w:t xml:space="preserve">We excluded 14 studies published between 1 January 2018 and 31 May 2018 because these had previously been covered comprehensively in </w:t>
      </w:r>
      <w:r>
        <w:rPr>
          <w:i/>
          <w:iCs/>
        </w:rPr>
        <w:t>Allen + Clarke</w:t>
      </w:r>
      <w:r>
        <w:t>’s</w:t>
      </w:r>
      <w:r>
        <w:rPr>
          <w:i/>
          <w:iCs/>
        </w:rPr>
        <w:t xml:space="preserve"> </w:t>
      </w:r>
      <w:r>
        <w:t>2018 literature review on the role of tomosynthesis in the assessment clinic.</w:t>
      </w:r>
      <w:r>
        <w:rPr>
          <w:rStyle w:val="FootnoteReference"/>
        </w:rPr>
        <w:footnoteReference w:id="10"/>
      </w:r>
      <w:r>
        <w:t xml:space="preserve"> </w:t>
      </w:r>
      <w:r w:rsidR="00AB67E9">
        <w:t xml:space="preserve">We included one study covered in this previous </w:t>
      </w:r>
      <w:r w:rsidR="00AB67E9">
        <w:lastRenderedPageBreak/>
        <w:t>literature review (Phi et al., 2018) because it included some material about the role of DBT as a screening test which had not previously been captured.</w:t>
      </w:r>
    </w:p>
    <w:p w14:paraId="1F349439" w14:textId="071B67FC" w:rsidR="00701EDE" w:rsidRPr="00E44152" w:rsidRDefault="00701EDE" w:rsidP="00701EDE">
      <w:pPr>
        <w:pStyle w:val="NumberedHeading3"/>
      </w:pPr>
      <w:bookmarkStart w:id="136" w:name="_Toc27477567"/>
      <w:bookmarkStart w:id="137" w:name="_Toc27665700"/>
      <w:bookmarkStart w:id="138" w:name="_Toc27844477"/>
      <w:bookmarkStart w:id="139" w:name="_Toc27859607"/>
      <w:bookmarkStart w:id="140" w:name="_Toc27904722"/>
      <w:bookmarkStart w:id="141" w:name="_Toc43376273"/>
      <w:r>
        <w:t>Validation</w:t>
      </w:r>
      <w:bookmarkEnd w:id="136"/>
      <w:bookmarkEnd w:id="137"/>
      <w:bookmarkEnd w:id="138"/>
      <w:bookmarkEnd w:id="139"/>
      <w:bookmarkEnd w:id="140"/>
      <w:bookmarkEnd w:id="141"/>
    </w:p>
    <w:p w14:paraId="5E5DD9FB" w14:textId="642B677E" w:rsidR="005D3634" w:rsidRDefault="00D718EE" w:rsidP="00676B7A">
      <w:pPr>
        <w:pStyle w:val="BodyText"/>
      </w:pPr>
      <w:r w:rsidRPr="00E44152">
        <w:t xml:space="preserve">To determine if </w:t>
      </w:r>
      <w:r w:rsidR="00701EDE">
        <w:t>the</w:t>
      </w:r>
      <w:r w:rsidRPr="00E44152">
        <w:t xml:space="preserve"> search retrieved the correct range of available research, a validation process was completed using </w:t>
      </w:r>
      <w:r w:rsidR="00260AC6">
        <w:t xml:space="preserve">three recent </w:t>
      </w:r>
      <w:r w:rsidRPr="00E44152">
        <w:t>literature reviews</w:t>
      </w:r>
      <w:r w:rsidR="00260AC6">
        <w:t>/overview commentaries by leading researchers</w:t>
      </w:r>
      <w:r w:rsidRPr="00E44152">
        <w:t xml:space="preserve"> relevant to the primary research questions</w:t>
      </w:r>
      <w:r w:rsidR="00701EDE">
        <w:t xml:space="preserve">: </w:t>
      </w:r>
      <w:r w:rsidR="00260AC6">
        <w:t>Chong et al., 2019</w:t>
      </w:r>
      <w:r w:rsidR="00676B7A">
        <w:t xml:space="preserve">, </w:t>
      </w:r>
      <w:r w:rsidR="00260AC6" w:rsidRPr="00260AC6">
        <w:t>Lång</w:t>
      </w:r>
      <w:r w:rsidR="00260AC6">
        <w:t>, 2019</w:t>
      </w:r>
      <w:r w:rsidR="005D3634">
        <w:t>,</w:t>
      </w:r>
      <w:r w:rsidR="00701EDE">
        <w:t xml:space="preserve"> and </w:t>
      </w:r>
      <w:r w:rsidR="00676B7A">
        <w:t xml:space="preserve"> </w:t>
      </w:r>
      <w:r w:rsidR="0089104A">
        <w:t xml:space="preserve">Rocha García &amp; Fernández, </w:t>
      </w:r>
      <w:r w:rsidR="00701EDE">
        <w:t xml:space="preserve">2019. </w:t>
      </w:r>
    </w:p>
    <w:p w14:paraId="182CB78A" w14:textId="09F593C7" w:rsidR="00D718EE" w:rsidRPr="00E44152" w:rsidRDefault="00D718EE" w:rsidP="005D3634">
      <w:pPr>
        <w:pStyle w:val="BodyText"/>
      </w:pPr>
      <w:r w:rsidRPr="00E44152">
        <w:t>There was a high degree of consistency between in the studies returned using our strategies and those included in the three reviews</w:t>
      </w:r>
      <w:r w:rsidR="00701EDE">
        <w:t xml:space="preserve">; however, only a small number of studies </w:t>
      </w:r>
      <w:r w:rsidR="0057013E">
        <w:t xml:space="preserve">included within these papers were published after 1 January 2018. To counter this, we reviewed </w:t>
      </w:r>
      <w:hyperlink r:id="rId15" w:history="1">
        <w:r w:rsidR="0057013E" w:rsidRPr="00BD7CA6">
          <w:rPr>
            <w:rStyle w:val="Hyperlink"/>
          </w:rPr>
          <w:t>www.clinicaltrials.gov</w:t>
        </w:r>
      </w:hyperlink>
      <w:r w:rsidR="0057013E">
        <w:t xml:space="preserve"> to check whether papers from recently completed trials had been published and, if so, whether our search had captured these. We also completed bibliography checks of each included paper and are confident that this review is comprehensive</w:t>
      </w:r>
      <w:r w:rsidR="006859AE">
        <w:t xml:space="preserve"> for studies that have a high degree of applicability to the BSA program</w:t>
      </w:r>
      <w:r w:rsidR="0057013E">
        <w:t>.</w:t>
      </w:r>
    </w:p>
    <w:p w14:paraId="74B74823" w14:textId="1A65ECB1" w:rsidR="0057013E" w:rsidRDefault="0057013E" w:rsidP="0057013E">
      <w:pPr>
        <w:pStyle w:val="NumberedHeading3"/>
      </w:pPr>
      <w:bookmarkStart w:id="142" w:name="_Toc27477568"/>
      <w:bookmarkStart w:id="143" w:name="_Toc27665701"/>
      <w:bookmarkStart w:id="144" w:name="_Toc27844478"/>
      <w:bookmarkStart w:id="145" w:name="_Toc27859608"/>
      <w:bookmarkStart w:id="146" w:name="_Toc27904723"/>
      <w:bookmarkStart w:id="147" w:name="_Toc43376274"/>
      <w:r>
        <w:t>Inclusion process</w:t>
      </w:r>
      <w:bookmarkEnd w:id="142"/>
      <w:bookmarkEnd w:id="143"/>
      <w:bookmarkEnd w:id="144"/>
      <w:bookmarkEnd w:id="145"/>
      <w:bookmarkEnd w:id="146"/>
      <w:bookmarkEnd w:id="147"/>
    </w:p>
    <w:p w14:paraId="0689E53B" w14:textId="5D64F3F8" w:rsidR="00D718EE" w:rsidRDefault="00D718EE" w:rsidP="00D718EE">
      <w:pPr>
        <w:pStyle w:val="BodyText"/>
      </w:pPr>
      <w:r w:rsidRPr="00E44152">
        <w:t xml:space="preserve">From </w:t>
      </w:r>
      <w:r w:rsidR="0057013E">
        <w:t xml:space="preserve">a </w:t>
      </w:r>
      <w:r w:rsidRPr="00E44152">
        <w:t>first sweep</w:t>
      </w:r>
      <w:r w:rsidR="0057013E">
        <w:t xml:space="preserve"> based on citation and abstract</w:t>
      </w:r>
      <w:r w:rsidRPr="00E44152">
        <w:t>, full texts for all proposed inclusions were retrieved and reviewed for relevance to the research questions, inclusion criteria and documented PICO</w:t>
      </w:r>
      <w:r w:rsidR="005D3634">
        <w:t>(</w:t>
      </w:r>
      <w:r w:rsidRPr="00E44152">
        <w:t>T</w:t>
      </w:r>
      <w:r w:rsidR="005D3634">
        <w:t>/S)</w:t>
      </w:r>
      <w:r w:rsidRPr="00E44152">
        <w:t xml:space="preserve"> criteria. A critical appraisal of study design (to determine overall quality) was completed and the bibliography of each included article was reviewed to identify other relevant research that may be of interest.</w:t>
      </w:r>
    </w:p>
    <w:p w14:paraId="732BAF78" w14:textId="43A3E5E0" w:rsidR="00D718EE" w:rsidRPr="00E44152" w:rsidRDefault="00D718EE" w:rsidP="00D718EE">
      <w:pPr>
        <w:pStyle w:val="BodyText"/>
      </w:pPr>
      <w:r w:rsidRPr="00E44152">
        <w:t xml:space="preserve">The citation review process for academic articles relating to the research questions is described in </w:t>
      </w:r>
      <w:r w:rsidRPr="006859AE">
        <w:rPr>
          <w:i/>
          <w:iCs/>
        </w:rPr>
        <w:fldChar w:fldCharType="begin"/>
      </w:r>
      <w:r w:rsidRPr="006859AE">
        <w:rPr>
          <w:i/>
          <w:iCs/>
        </w:rPr>
        <w:instrText xml:space="preserve"> REF _Ref506996030 \h </w:instrText>
      </w:r>
      <w:r w:rsidR="006859AE">
        <w:rPr>
          <w:i/>
          <w:iCs/>
        </w:rPr>
        <w:instrText xml:space="preserve"> \* MERGEFORMAT </w:instrText>
      </w:r>
      <w:r w:rsidRPr="006859AE">
        <w:rPr>
          <w:i/>
          <w:iCs/>
        </w:rPr>
      </w:r>
      <w:r w:rsidRPr="006859AE">
        <w:rPr>
          <w:i/>
          <w:iCs/>
        </w:rPr>
        <w:fldChar w:fldCharType="separate"/>
      </w:r>
      <w:r w:rsidR="00AB18B5" w:rsidRPr="00AB18B5">
        <w:rPr>
          <w:i/>
          <w:iCs/>
        </w:rPr>
        <w:t xml:space="preserve">Figure </w:t>
      </w:r>
      <w:r w:rsidR="00AB18B5" w:rsidRPr="00AB18B5">
        <w:rPr>
          <w:i/>
          <w:iCs/>
          <w:noProof/>
        </w:rPr>
        <w:t>1</w:t>
      </w:r>
      <w:r w:rsidRPr="006859AE">
        <w:rPr>
          <w:i/>
          <w:iCs/>
        </w:rPr>
        <w:fldChar w:fldCharType="end"/>
      </w:r>
      <w:r>
        <w:t xml:space="preserve"> </w:t>
      </w:r>
      <w:r w:rsidRPr="00E44152">
        <w:t>(below).</w:t>
      </w:r>
    </w:p>
    <w:p w14:paraId="6DF780C8" w14:textId="472802DC" w:rsidR="00D718EE" w:rsidRDefault="00D718EE" w:rsidP="00D718EE">
      <w:pPr>
        <w:pStyle w:val="Caption"/>
        <w:jc w:val="both"/>
      </w:pPr>
      <w:bookmarkStart w:id="148" w:name="_Ref506996030"/>
      <w:r>
        <w:t xml:space="preserve">Figure </w:t>
      </w:r>
      <w:r>
        <w:fldChar w:fldCharType="begin"/>
      </w:r>
      <w:r>
        <w:instrText xml:space="preserve"> SEQ Figure \* ARABIC </w:instrText>
      </w:r>
      <w:r>
        <w:fldChar w:fldCharType="separate"/>
      </w:r>
      <w:r w:rsidR="00AB18B5">
        <w:rPr>
          <w:noProof/>
        </w:rPr>
        <w:t>1</w:t>
      </w:r>
      <w:r>
        <w:fldChar w:fldCharType="end"/>
      </w:r>
      <w:bookmarkEnd w:id="148"/>
      <w:r>
        <w:t>: Citations review process</w:t>
      </w:r>
    </w:p>
    <w:p w14:paraId="50E55796" w14:textId="3C6CEB2A" w:rsidR="00316358" w:rsidRPr="00316358" w:rsidRDefault="00F23A05" w:rsidP="00676B7A">
      <w:pPr>
        <w:jc w:val="center"/>
      </w:pPr>
      <w:r>
        <w:rPr>
          <w:noProof/>
          <w:lang w:val="en-AU" w:eastAsia="en-AU"/>
        </w:rPr>
        <w:drawing>
          <wp:inline distT="0" distB="0" distL="0" distR="0" wp14:anchorId="25C0F893" wp14:editId="0FC65D9A">
            <wp:extent cx="4158254" cy="3391592"/>
            <wp:effectExtent l="0" t="0" r="0" b="0"/>
            <wp:docPr id="30" name="Picture 30" descr="Figure 1: Shows the citations review process - &#10;Step 1: Identification for inclusion - 234 citations identified through database search leads to; &#10;Step 2: Eligibility and Screening - After duplicates removed, 156 citations remained. After checking titles, abstracts and publication year. 73 articles remains. This lead to&#10;Step 3:  Articles included - After checking full article for relevancy, 39 articles remained. After checking bibliographies and other links for relevancy, 1 article were added. Both these steps resulted in 41 papers (32 studies) reviewed. &#10;&#10;Records excluded were:&#10;Wrong intervention (n=18)&#10;Wrong study type - (n=17)&#10;In previous review (n=14)&#10;About technique/machine (n=13)&#10;Wrong outcome (n=12)&#10;Wrong population (n=8)&#10;Wrong data (n=1)&#10;&#10;Full text articles excluded were:&#10;Not English (n=3)&#10;Diagnostic population (n=23)&#10;Wrong outcome (n=6)&#10;Wrong intervention (n=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69" cy="3406123"/>
                    </a:xfrm>
                    <a:prstGeom prst="rect">
                      <a:avLst/>
                    </a:prstGeom>
                    <a:noFill/>
                  </pic:spPr>
                </pic:pic>
              </a:graphicData>
            </a:graphic>
          </wp:inline>
        </w:drawing>
      </w:r>
    </w:p>
    <w:p w14:paraId="5AAD42DA" w14:textId="7E1AB80A" w:rsidR="00A62A2E" w:rsidRDefault="00A62A2E" w:rsidP="00A62A2E">
      <w:pPr>
        <w:pStyle w:val="BodyText"/>
      </w:pPr>
      <w:r w:rsidRPr="00676B7A">
        <w:lastRenderedPageBreak/>
        <w:t>In order to ensure greatest use of this literature review for the BSA program, we deliberately prioritised reporting on studies that provided the most relevant data to the Australian screening context (i.e., studies set in population-based screening with a biennial screening interval and double reading). We have, of course, included a number of studies that have different policy s</w:t>
      </w:r>
      <w:r w:rsidR="0024768A">
        <w:t>et</w:t>
      </w:r>
      <w:r w:rsidRPr="00676B7A">
        <w:t>tings (eg, annual screening interval and/or single reading)</w:t>
      </w:r>
      <w:r>
        <w:t>,</w:t>
      </w:r>
      <w:r w:rsidRPr="00676B7A">
        <w:t xml:space="preserve"> but have not reported on these to the same extent.</w:t>
      </w:r>
      <w:r>
        <w:t xml:space="preserve"> The list of papers by study type is listed below.</w:t>
      </w:r>
    </w:p>
    <w:p w14:paraId="5CB1B83C" w14:textId="01187FE1" w:rsidR="00C7510A" w:rsidRDefault="00C7510A" w:rsidP="00C7510A">
      <w:pPr>
        <w:pStyle w:val="List-BulletLvl1"/>
      </w:pPr>
      <w:r>
        <w:t>Two systematic reviews covering immediate screening outcomes (Marinovich et al., 2018; P</w:t>
      </w:r>
      <w:r w:rsidR="00CC0A9F">
        <w:t xml:space="preserve">hi </w:t>
      </w:r>
      <w:r>
        <w:t>et al., 2018)</w:t>
      </w:r>
    </w:p>
    <w:p w14:paraId="2C2E7954" w14:textId="47284949" w:rsidR="00C7510A" w:rsidRDefault="00F23A05" w:rsidP="00C7510A">
      <w:pPr>
        <w:pStyle w:val="List-BulletLvl1"/>
      </w:pPr>
      <w:r>
        <w:t>Five</w:t>
      </w:r>
      <w:r w:rsidR="00C7510A">
        <w:t xml:space="preserve"> narrative literature reviews or editorial commentary by experienced researchers (Chong et al., 2019; </w:t>
      </w:r>
      <w:r w:rsidR="003A38A8">
        <w:t>L</w:t>
      </w:r>
      <w:r w:rsidR="00C7510A">
        <w:t>ång, 2019;</w:t>
      </w:r>
      <w:r w:rsidR="00C7510A" w:rsidRPr="00C7510A">
        <w:t xml:space="preserve"> </w:t>
      </w:r>
      <w:r w:rsidR="0089104A">
        <w:t>Rocha García &amp; Fernández</w:t>
      </w:r>
      <w:r w:rsidR="00C7510A">
        <w:t>, 2019; Zackrisson, 2019</w:t>
      </w:r>
      <w:r>
        <w:t>; Li et al., 2018</w:t>
      </w:r>
      <w:r w:rsidR="00C7510A">
        <w:t>)</w:t>
      </w:r>
    </w:p>
    <w:p w14:paraId="6CF595D2" w14:textId="0CEE7754" w:rsidR="00C7510A" w:rsidRPr="00062EF9" w:rsidRDefault="005D3634" w:rsidP="00C7510A">
      <w:pPr>
        <w:pStyle w:val="List-BulletLvl1"/>
      </w:pPr>
      <w:r>
        <w:t>Four</w:t>
      </w:r>
      <w:r w:rsidR="00C7510A">
        <w:t xml:space="preserve"> papers from two RCTs (the </w:t>
      </w:r>
      <w:r w:rsidR="00815FC2">
        <w:t>To-Be-1</w:t>
      </w:r>
      <w:r w:rsidR="00C7510A">
        <w:t xml:space="preserve"> RCT and baseline data from the Reggio</w:t>
      </w:r>
      <w:r w:rsidR="00A9108F">
        <w:t xml:space="preserve"> </w:t>
      </w:r>
      <w:r w:rsidR="00C7510A">
        <w:t xml:space="preserve">Emilia RCT) (Aase et al., 2019; Hofvind et al., 2019; </w:t>
      </w:r>
      <w:r w:rsidR="00C7510A" w:rsidRPr="00062EF9">
        <w:t>Moger et al., 2019; Pattacini et al., 2018)</w:t>
      </w:r>
    </w:p>
    <w:p w14:paraId="43344B5B" w14:textId="1BBE7740" w:rsidR="00C7510A" w:rsidRDefault="005D3634" w:rsidP="00C7510A">
      <w:pPr>
        <w:pStyle w:val="List-BulletLvl1"/>
      </w:pPr>
      <w:r>
        <w:t>Nine</w:t>
      </w:r>
      <w:r w:rsidR="00F02549">
        <w:t xml:space="preserve"> prospective studies embedded in a European population-based screening program</w:t>
      </w:r>
      <w:r w:rsidR="0024768A">
        <w:t>s</w:t>
      </w:r>
      <w:r w:rsidR="00F02549">
        <w:t xml:space="preserve"> </w:t>
      </w:r>
      <w:r w:rsidR="00F02549" w:rsidRPr="006D457E">
        <w:t xml:space="preserve">(Houssami et al., 2019; Johnson et al., 2019; Miglioretti et al., 2019; </w:t>
      </w:r>
      <w:r w:rsidR="003A38A8" w:rsidRPr="006D457E">
        <w:t>Skaane et al., 2019;</w:t>
      </w:r>
      <w:r w:rsidR="003A38A8">
        <w:t xml:space="preserve"> </w:t>
      </w:r>
      <w:r w:rsidR="00F02549">
        <w:t>Hofvind et al., 2018;</w:t>
      </w:r>
      <w:r w:rsidR="00F02549" w:rsidRPr="00F02549">
        <w:t xml:space="preserve"> </w:t>
      </w:r>
      <w:r w:rsidRPr="00062EF9">
        <w:t>Øster</w:t>
      </w:r>
      <w:r>
        <w:t>å</w:t>
      </w:r>
      <w:r w:rsidRPr="00062EF9">
        <w:t>s et al., 2018</w:t>
      </w:r>
      <w:r>
        <w:t xml:space="preserve">; </w:t>
      </w:r>
      <w:r w:rsidR="00F02549">
        <w:t>Romero Martín et al., 2018; Skaane et al., 2018; Zackrisson et al., 2018)</w:t>
      </w:r>
    </w:p>
    <w:p w14:paraId="37F114DF" w14:textId="4DAA16E2" w:rsidR="005D3634" w:rsidRDefault="006859AE" w:rsidP="006859AE">
      <w:pPr>
        <w:pStyle w:val="List-BulletLvl1"/>
      </w:pPr>
      <w:r>
        <w:t>Two prospective cohort studies embedded in a European population-based screening program that used a historical cohort</w:t>
      </w:r>
      <w:r w:rsidR="005D3634">
        <w:t xml:space="preserve"> (Bernardi et al., 2019; Caumo et al., 2018)</w:t>
      </w:r>
    </w:p>
    <w:p w14:paraId="2BF2F0DC" w14:textId="28226479" w:rsidR="00F02549" w:rsidRDefault="00CC0A9F" w:rsidP="00F02549">
      <w:pPr>
        <w:pStyle w:val="List-BulletLvl1"/>
      </w:pPr>
      <w:r>
        <w:t xml:space="preserve">Three </w:t>
      </w:r>
      <w:r w:rsidR="00F02549">
        <w:t>sub-studies from the STORM-2 trial (Bernardi et al., 2018; Gennaro et al., 2018</w:t>
      </w:r>
      <w:r>
        <w:t>; Houssami et al., 2018</w:t>
      </w:r>
      <w:r w:rsidR="00F02549">
        <w:t>)</w:t>
      </w:r>
    </w:p>
    <w:p w14:paraId="0DBA51A8" w14:textId="0AF4A8BE" w:rsidR="00F02549" w:rsidRDefault="00F02549" w:rsidP="00C7510A">
      <w:pPr>
        <w:pStyle w:val="List-BulletLvl1"/>
      </w:pPr>
      <w:r>
        <w:t>One prospective study embedded in an American screening program (Rose &amp; Shisler, 2018)</w:t>
      </w:r>
    </w:p>
    <w:p w14:paraId="301F1AAE" w14:textId="4A74FABE" w:rsidR="00C7510A" w:rsidRDefault="00F94CCA" w:rsidP="00C7510A">
      <w:pPr>
        <w:pStyle w:val="List-BulletLvl1"/>
      </w:pPr>
      <w:r>
        <w:t>Three</w:t>
      </w:r>
      <w:r w:rsidR="002463AC">
        <w:t xml:space="preserve"> </w:t>
      </w:r>
      <w:r w:rsidR="00C7510A">
        <w:t>observer performance studies</w:t>
      </w:r>
      <w:r w:rsidR="002463AC">
        <w:t xml:space="preserve"> (</w:t>
      </w:r>
      <w:r w:rsidR="002463AC" w:rsidRPr="006D457E">
        <w:t xml:space="preserve">Chae et al., 2019; </w:t>
      </w:r>
      <w:r w:rsidR="002463AC" w:rsidRPr="005D3634">
        <w:t>Choi et al., 2019;</w:t>
      </w:r>
      <w:r w:rsidR="002463AC">
        <w:t xml:space="preserve"> Lai et al., 2018)</w:t>
      </w:r>
    </w:p>
    <w:p w14:paraId="46959C08" w14:textId="58775FFD" w:rsidR="00C7510A" w:rsidRDefault="00196E0D" w:rsidP="00C7510A">
      <w:pPr>
        <w:pStyle w:val="List-BulletLvl1"/>
      </w:pPr>
      <w:r>
        <w:t>1</w:t>
      </w:r>
      <w:r w:rsidR="006859AE">
        <w:t>1</w:t>
      </w:r>
      <w:r>
        <w:t xml:space="preserve"> </w:t>
      </w:r>
      <w:r w:rsidR="00C7510A">
        <w:t>retrospective analyses</w:t>
      </w:r>
      <w:r w:rsidR="00824CBC">
        <w:t xml:space="preserve"> </w:t>
      </w:r>
      <w:r w:rsidR="00824CBC" w:rsidRPr="00F94CCA">
        <w:t xml:space="preserve">(Ambinder et al., 2019; </w:t>
      </w:r>
      <w:r w:rsidR="00CC0A9F" w:rsidRPr="00F94CCA">
        <w:t>Bahl</w:t>
      </w:r>
      <w:r w:rsidR="00CC0A9F">
        <w:t xml:space="preserve"> et al., 2019; </w:t>
      </w:r>
      <w:r w:rsidR="00824CBC">
        <w:t>Conant</w:t>
      </w:r>
      <w:r w:rsidR="00824CBC" w:rsidRPr="00824CBC">
        <w:t xml:space="preserve"> </w:t>
      </w:r>
      <w:r w:rsidR="00824CBC">
        <w:t>et al., 2019; Dang</w:t>
      </w:r>
      <w:r w:rsidR="00824CBC" w:rsidRPr="00824CBC">
        <w:t xml:space="preserve"> </w:t>
      </w:r>
      <w:r w:rsidR="00824CBC">
        <w:t xml:space="preserve">et al., 2019; Fuiji et al., 2019; </w:t>
      </w:r>
      <w:r w:rsidR="00824CBC" w:rsidRPr="00A33B53">
        <w:t>Honig et al., 2019;</w:t>
      </w:r>
      <w:r w:rsidR="00824CBC">
        <w:t xml:space="preserve"> </w:t>
      </w:r>
      <w:r w:rsidR="00C50219">
        <w:t xml:space="preserve">Hovda et al., 2019; </w:t>
      </w:r>
      <w:r w:rsidR="006D457E">
        <w:t xml:space="preserve">Simon et al., 2019; </w:t>
      </w:r>
      <w:r w:rsidR="00824CBC">
        <w:t>Wasan</w:t>
      </w:r>
      <w:r w:rsidR="00824CBC" w:rsidRPr="00824CBC">
        <w:t xml:space="preserve"> </w:t>
      </w:r>
      <w:r w:rsidR="00824CBC">
        <w:t>et al., 2019</w:t>
      </w:r>
      <w:r w:rsidR="00824CBC" w:rsidRPr="00F94CCA">
        <w:t>; Upadahay et al., 2018</w:t>
      </w:r>
      <w:r w:rsidRPr="00F94CCA">
        <w:t>;</w:t>
      </w:r>
      <w:r>
        <w:t xml:space="preserve"> Wahab et al., 2018</w:t>
      </w:r>
      <w:r w:rsidR="00824CBC">
        <w:t>)</w:t>
      </w:r>
      <w:r w:rsidR="002F48B4">
        <w:t>, and</w:t>
      </w:r>
    </w:p>
    <w:p w14:paraId="468BF2B9" w14:textId="11E09B28" w:rsidR="00C7510A" w:rsidRDefault="00C7510A" w:rsidP="00C7510A">
      <w:pPr>
        <w:pStyle w:val="List-BulletLvl1"/>
      </w:pPr>
      <w:r w:rsidRPr="00062EF9">
        <w:t>One cost-effectiveness study (Lowry et al.,  2019).</w:t>
      </w:r>
    </w:p>
    <w:p w14:paraId="70AD17C8" w14:textId="65E3F129" w:rsidR="00901883" w:rsidRPr="00062EF9" w:rsidRDefault="00901883" w:rsidP="00901883">
      <w:pPr>
        <w:pStyle w:val="BodyText"/>
      </w:pPr>
      <w:r>
        <w:t xml:space="preserve">A further </w:t>
      </w:r>
      <w:r w:rsidR="005866B2">
        <w:t>nine</w:t>
      </w:r>
      <w:r>
        <w:t xml:space="preserve"> studies from </w:t>
      </w:r>
      <w:r w:rsidR="005D3634">
        <w:rPr>
          <w:i/>
          <w:iCs/>
        </w:rPr>
        <w:t>Allen + Clarke</w:t>
      </w:r>
      <w:r w:rsidR="005D3634">
        <w:t>’s</w:t>
      </w:r>
      <w:r>
        <w:t xml:space="preserve"> previous literature reviews are also referenced</w:t>
      </w:r>
      <w:r w:rsidR="005D3634">
        <w:t xml:space="preserve">, including the pooled analysis prepared by </w:t>
      </w:r>
      <w:r w:rsidR="004C5A14">
        <w:t>Phi et al. (2018), Coop et al. (2016</w:t>
      </w:r>
      <w:r w:rsidR="00A62A2E">
        <w:t>)</w:t>
      </w:r>
      <w:r w:rsidR="004C5A14">
        <w:t xml:space="preserve">, and </w:t>
      </w:r>
      <w:r w:rsidR="005D3634">
        <w:t>Hodgson et al. (2016)</w:t>
      </w:r>
      <w:r w:rsidR="004C5A14">
        <w:t xml:space="preserve">, </w:t>
      </w:r>
      <w:r w:rsidR="001076E3">
        <w:t>three</w:t>
      </w:r>
      <w:r w:rsidR="004C5A14">
        <w:t xml:space="preserve"> papers from the STORM trial and a technical evaluation of DBT (Strudley et al., 2014).</w:t>
      </w:r>
    </w:p>
    <w:p w14:paraId="7238C4C3" w14:textId="77777777" w:rsidR="00A62A2E" w:rsidRPr="00906D7A" w:rsidRDefault="00A62A2E" w:rsidP="007E3481">
      <w:pPr>
        <w:keepNext/>
        <w:numPr>
          <w:ilvl w:val="2"/>
          <w:numId w:val="2"/>
        </w:numPr>
        <w:spacing w:before="240" w:after="120"/>
        <w:ind w:left="0" w:firstLine="0"/>
        <w:outlineLvl w:val="2"/>
        <w:rPr>
          <w:rFonts w:ascii="Calibri" w:eastAsia="Cambria" w:hAnsi="Calibri" w:cs="Times New Roman"/>
          <w:b/>
          <w:color w:val="36424A"/>
          <w:sz w:val="24"/>
        </w:rPr>
      </w:pPr>
      <w:r w:rsidRPr="00906D7A">
        <w:rPr>
          <w:rFonts w:ascii="Calibri" w:eastAsia="Cambria" w:hAnsi="Calibri" w:cs="Times New Roman"/>
          <w:b/>
          <w:color w:val="36424A"/>
          <w:sz w:val="24"/>
        </w:rPr>
        <w:t>Imaging systems used in the literature</w:t>
      </w:r>
    </w:p>
    <w:p w14:paraId="3BD32211" w14:textId="77777777" w:rsidR="00A62A2E" w:rsidRDefault="00A62A2E" w:rsidP="00A62A2E">
      <w:pPr>
        <w:pStyle w:val="BodyText"/>
      </w:pPr>
      <w:r w:rsidRPr="002E2769">
        <w:t xml:space="preserve">We assessed the imaging systems and screening strategies used in all studies included in </w:t>
      </w:r>
      <w:r>
        <w:t>this literature review to understand whether the findings are broadly generalizable or whether findings relate to specific units/machinery</w:t>
      </w:r>
      <w:r w:rsidRPr="002E2769">
        <w:t>.</w:t>
      </w:r>
      <w:r>
        <w:t xml:space="preserve"> </w:t>
      </w:r>
    </w:p>
    <w:p w14:paraId="548F438D" w14:textId="77777777" w:rsidR="00B524B8" w:rsidRDefault="00A62A2E" w:rsidP="00A62A2E">
      <w:pPr>
        <w:pStyle w:val="BodyText"/>
      </w:pPr>
      <w:r>
        <w:t xml:space="preserve">Imaging units used in studies reported in this literature review varied, </w:t>
      </w:r>
      <w:r w:rsidRPr="0039290A">
        <w:t>reflect</w:t>
      </w:r>
      <w:r>
        <w:t>ing</w:t>
      </w:r>
      <w:r w:rsidRPr="0039290A">
        <w:t xml:space="preserve"> </w:t>
      </w:r>
      <w:r>
        <w:t>the</w:t>
      </w:r>
      <w:r w:rsidRPr="0039290A">
        <w:t xml:space="preserve"> dynamic nature of breast screening technology at this time. </w:t>
      </w:r>
      <w:r>
        <w:t xml:space="preserve">Hologic units were the most commonly used DBT-capable units. </w:t>
      </w:r>
    </w:p>
    <w:p w14:paraId="06E154C5" w14:textId="387E5515" w:rsidR="00A62A2E" w:rsidRPr="0039290A" w:rsidRDefault="00A62A2E" w:rsidP="00A62A2E">
      <w:pPr>
        <w:pStyle w:val="BodyText"/>
      </w:pPr>
      <w:r>
        <w:lastRenderedPageBreak/>
        <w:t xml:space="preserve">A list of DBT-capable units and the studies they were used in is summarised </w:t>
      </w:r>
      <w:r w:rsidR="00B524B8">
        <w:t>below:</w:t>
      </w:r>
    </w:p>
    <w:p w14:paraId="0D7DBAA6" w14:textId="77777777" w:rsidR="00A62A2E" w:rsidRDefault="00A62A2E" w:rsidP="00A62A2E">
      <w:pPr>
        <w:pStyle w:val="List-BulletLvl1"/>
      </w:pPr>
      <w:r>
        <w:t xml:space="preserve">Hologic </w:t>
      </w:r>
      <w:r w:rsidRPr="0039290A">
        <w:t>Seleni</w:t>
      </w:r>
      <w:r>
        <w:t>a</w:t>
      </w:r>
      <w:r w:rsidRPr="0039290A">
        <w:t xml:space="preserve"> Dimensions </w:t>
      </w:r>
      <w:r>
        <w:t>units (20 papers: Bahl et al., 2019; Bernardi et al., 2019; Choi et al., 2019; Conant et al., 2019; Fuiji et al., 2019; Houssami et al., 2019; Hovda et al., 2019; Simon et al., 2019; Skaane et al., 2019; Wasan et al., 2019; Bernardi et al., 2018; Caumo et al., 2018; Gennaro et al., 2018; Hofvind et al., 2018; Houssami et al., 2018; Østerås et al., 2018; Romero Martín et al., 2018; Rose &amp; Shisler et al., 2018; Skaane et al., 2018; Wahab et al., 2018)</w:t>
      </w:r>
    </w:p>
    <w:p w14:paraId="2B6E24CF" w14:textId="77777777" w:rsidR="00A62A2E" w:rsidRPr="00C01EC0" w:rsidRDefault="00A62A2E" w:rsidP="00A62A2E">
      <w:pPr>
        <w:pStyle w:val="List-BulletLvl1"/>
      </w:pPr>
      <w:r w:rsidRPr="00C01EC0">
        <w:rPr>
          <w:rFonts w:eastAsia="Cambria" w:cs="Times New Roman"/>
        </w:rPr>
        <w:t xml:space="preserve">GE </w:t>
      </w:r>
      <w:r w:rsidRPr="00C01EC0">
        <w:t>Seno</w:t>
      </w:r>
      <w:bookmarkStart w:id="149" w:name="_Hlk27660109"/>
      <w:r w:rsidRPr="00C01EC0">
        <w:t>graphe</w:t>
      </w:r>
      <w:bookmarkEnd w:id="149"/>
      <w:r w:rsidRPr="00C01EC0">
        <w:t xml:space="preserve"> Essential</w:t>
      </w:r>
      <w:r>
        <w:t>, SenoClair or Pristina units</w:t>
      </w:r>
      <w:r w:rsidRPr="00C01EC0">
        <w:t xml:space="preserve"> </w:t>
      </w:r>
      <w:r>
        <w:t>(seven papers including papers from both RCTs: Aase et al., 2019; Chae et al., 2019; Hovda et al., 2019; Hofvind et al., 2019; Moger et al., 2019; Hofvind et al., 2018; Pattacini et al., 2018)</w:t>
      </w:r>
      <w:r w:rsidRPr="00C01EC0">
        <w:t xml:space="preserve"> </w:t>
      </w:r>
    </w:p>
    <w:p w14:paraId="3B86DD03" w14:textId="77777777" w:rsidR="00A62A2E" w:rsidRDefault="00A62A2E" w:rsidP="00A62A2E">
      <w:pPr>
        <w:pStyle w:val="List-BulletLvl1"/>
        <w:rPr>
          <w:rFonts w:eastAsia="Cambria" w:cs="Times New Roman"/>
        </w:rPr>
      </w:pPr>
      <w:r>
        <w:rPr>
          <w:rFonts w:eastAsia="Cambria" w:cs="Times New Roman"/>
        </w:rPr>
        <w:t xml:space="preserve">Siemens </w:t>
      </w:r>
      <w:r w:rsidRPr="00C01EC0">
        <w:rPr>
          <w:rFonts w:eastAsia="Cambria" w:cs="Times New Roman"/>
        </w:rPr>
        <w:t>Mammomat Inspiration</w:t>
      </w:r>
      <w:r>
        <w:rPr>
          <w:rFonts w:eastAsia="Cambria" w:cs="Times New Roman"/>
        </w:rPr>
        <w:t xml:space="preserve">s (four papers: </w:t>
      </w:r>
      <w:r>
        <w:t xml:space="preserve">Hovda et al., 2019; </w:t>
      </w:r>
      <w:r>
        <w:rPr>
          <w:rFonts w:eastAsia="Cambria" w:cs="Times New Roman"/>
        </w:rPr>
        <w:t xml:space="preserve">Johnson et al., 2019; Hofvind et al., 2018; Zackrisson et al., 2018), and </w:t>
      </w:r>
    </w:p>
    <w:p w14:paraId="3FD97E54" w14:textId="77777777" w:rsidR="00A62A2E" w:rsidRPr="00C01EC0" w:rsidRDefault="00A62A2E" w:rsidP="00A62A2E">
      <w:pPr>
        <w:pStyle w:val="List-BulletLvl1"/>
        <w:rPr>
          <w:rFonts w:eastAsia="Cambria" w:cs="Times New Roman"/>
        </w:rPr>
      </w:pPr>
      <w:r>
        <w:rPr>
          <w:rFonts w:eastAsia="Cambria" w:cs="Times New Roman"/>
        </w:rPr>
        <w:t>Not stated but covered multiple sites so likely to involve multiple units (two papers: Honig et al., 2019; Miglioretti et al., 2019).</w:t>
      </w:r>
    </w:p>
    <w:p w14:paraId="15D025E0" w14:textId="39763FBE" w:rsidR="00A62A2E" w:rsidRPr="00E92844" w:rsidRDefault="00A62A2E" w:rsidP="00A62A2E">
      <w:pPr>
        <w:spacing w:before="120" w:after="120" w:line="280" w:lineRule="exact"/>
        <w:jc w:val="both"/>
        <w:rPr>
          <w:rFonts w:ascii="Cambria" w:eastAsia="Cambria" w:hAnsi="Cambria" w:cs="Times New Roman"/>
        </w:rPr>
      </w:pPr>
      <w:r w:rsidRPr="002F7600">
        <w:rPr>
          <w:rFonts w:ascii="Cambria" w:eastAsia="Cambria" w:hAnsi="Cambria" w:cs="Times New Roman"/>
        </w:rPr>
        <w:t xml:space="preserve">This literature update </w:t>
      </w:r>
      <w:r>
        <w:rPr>
          <w:rFonts w:ascii="Cambria" w:eastAsia="Cambria" w:hAnsi="Cambria" w:cs="Times New Roman"/>
        </w:rPr>
        <w:t xml:space="preserve">reviewed the imaging software used to create the synthesised images. Many studies did not include details of the software used but all that did used Hologic’s </w:t>
      </w:r>
      <w:r w:rsidRPr="00E92844">
        <w:rPr>
          <w:rFonts w:ascii="Cambria" w:eastAsia="Cambria" w:hAnsi="Cambria" w:cs="Times New Roman"/>
        </w:rPr>
        <w:t>C-View</w:t>
      </w:r>
      <w:r>
        <w:rPr>
          <w:rFonts w:ascii="Cambria" w:eastAsia="Cambria" w:hAnsi="Cambria" w:cs="Times New Roman"/>
        </w:rPr>
        <w:t xml:space="preserve"> (i.e., the evaluation pilots in </w:t>
      </w:r>
      <w:r w:rsidRPr="00E92844">
        <w:rPr>
          <w:rFonts w:ascii="Cambria" w:eastAsia="Cambria" w:hAnsi="Cambria" w:cs="Times New Roman"/>
        </w:rPr>
        <w:t>Cordoba</w:t>
      </w:r>
      <w:r>
        <w:rPr>
          <w:rFonts w:ascii="Cambria" w:eastAsia="Cambria" w:hAnsi="Cambria" w:cs="Times New Roman"/>
        </w:rPr>
        <w:t xml:space="preserve">, Maroondah and the STORM 2 trial and a study by Simon et al., 2019). </w:t>
      </w:r>
    </w:p>
    <w:p w14:paraId="6D49AF2E" w14:textId="77777777" w:rsidR="00A62A2E" w:rsidRPr="00906D7A" w:rsidRDefault="00A62A2E" w:rsidP="007E3481">
      <w:pPr>
        <w:keepNext/>
        <w:numPr>
          <w:ilvl w:val="2"/>
          <w:numId w:val="2"/>
        </w:numPr>
        <w:spacing w:before="240" w:after="120"/>
        <w:ind w:left="0" w:firstLine="0"/>
        <w:outlineLvl w:val="2"/>
        <w:rPr>
          <w:rFonts w:ascii="Calibri" w:eastAsia="Cambria" w:hAnsi="Calibri" w:cs="Times New Roman"/>
          <w:b/>
          <w:color w:val="36424A"/>
          <w:sz w:val="24"/>
        </w:rPr>
      </w:pPr>
      <w:r w:rsidRPr="00906D7A">
        <w:rPr>
          <w:rFonts w:ascii="Calibri" w:eastAsia="Cambria" w:hAnsi="Calibri" w:cs="Times New Roman"/>
          <w:b/>
          <w:color w:val="36424A"/>
          <w:sz w:val="24"/>
        </w:rPr>
        <w:t xml:space="preserve">Imaging protocols used in the </w:t>
      </w:r>
      <w:r>
        <w:rPr>
          <w:rFonts w:ascii="Calibri" w:eastAsia="Cambria" w:hAnsi="Calibri" w:cs="Times New Roman"/>
          <w:b/>
          <w:color w:val="36424A"/>
          <w:sz w:val="24"/>
        </w:rPr>
        <w:t>primary studies</w:t>
      </w:r>
    </w:p>
    <w:p w14:paraId="5745864D" w14:textId="71959FCB" w:rsidR="00B76E92" w:rsidRDefault="00A62A2E" w:rsidP="00A62A2E">
      <w:pPr>
        <w:pStyle w:val="BodyText"/>
      </w:pPr>
      <w:r w:rsidRPr="004A1BC6">
        <w:t>Studies reported in this literature review used a wide range of different imaging protocols.</w:t>
      </w:r>
      <w:r>
        <w:t xml:space="preserve"> Compared to </w:t>
      </w:r>
      <w:r>
        <w:rPr>
          <w:i/>
          <w:iCs/>
        </w:rPr>
        <w:t>Allen + Clarke</w:t>
      </w:r>
      <w:r>
        <w:t>’s earlier literature review on DBT in screening, m</w:t>
      </w:r>
      <w:r w:rsidRPr="004A1BC6">
        <w:t>o</w:t>
      </w:r>
      <w:r>
        <w:t>re</w:t>
      </w:r>
      <w:r w:rsidRPr="004A1BC6">
        <w:t xml:space="preserve"> </w:t>
      </w:r>
      <w:r>
        <w:t xml:space="preserve">recent </w:t>
      </w:r>
      <w:r w:rsidRPr="004A1BC6">
        <w:t>research observed performance of DBT+</w:t>
      </w:r>
      <w:r w:rsidR="00176980">
        <w:t>s2DM</w:t>
      </w:r>
      <w:r w:rsidRPr="004A1BC6">
        <w:t xml:space="preserve"> compared to FFDM alone</w:t>
      </w:r>
      <w:r>
        <w:t xml:space="preserve"> (in the literature published to December 2017</w:t>
      </w:r>
      <w:r w:rsidRPr="004A1BC6">
        <w:t>,</w:t>
      </w:r>
      <w:r>
        <w:t xml:space="preserve"> research focused on more on dual acquisition </w:t>
      </w:r>
      <w:r w:rsidR="00B524B8">
        <w:t>as</w:t>
      </w:r>
      <w:r>
        <w:t xml:space="preserve"> DBT+</w:t>
      </w:r>
      <w:r w:rsidR="00176980">
        <w:t>s2DM</w:t>
      </w:r>
      <w:r>
        <w:t xml:space="preserve"> was only emerging as technique of interest</w:t>
      </w:r>
      <w:r w:rsidRPr="004A1BC6">
        <w:t>).</w:t>
      </w:r>
      <w:r>
        <w:t xml:space="preserve"> Since then, screening programs that have chosen to implement DBT (eg, Trento and Verona) and the only Australia pilot (Maroondah) have used DBT+</w:t>
      </w:r>
      <w:r w:rsidR="00176980">
        <w:t>s2DM</w:t>
      </w:r>
      <w:r>
        <w:t xml:space="preserve"> rather than FFDM+DBT. </w:t>
      </w:r>
      <w:r w:rsidR="00B76E92">
        <w:t>Primary imaging techniques were:</w:t>
      </w:r>
    </w:p>
    <w:p w14:paraId="7BFACBBE" w14:textId="320C2E25" w:rsidR="00B76E92" w:rsidRDefault="00B76E92" w:rsidP="00B76E92">
      <w:pPr>
        <w:pStyle w:val="List-BulletLvl1"/>
      </w:pPr>
      <w:r>
        <w:t>FFDM compared to DBT+</w:t>
      </w:r>
      <w:r w:rsidR="00176980">
        <w:t>s2DM</w:t>
      </w:r>
      <w:r>
        <w:t>: 1</w:t>
      </w:r>
      <w:r w:rsidR="00FB66C8">
        <w:t>2</w:t>
      </w:r>
      <w:r>
        <w:t xml:space="preserve"> papers</w:t>
      </w:r>
    </w:p>
    <w:p w14:paraId="4E995400" w14:textId="15E8C57C" w:rsidR="00B76E92" w:rsidRDefault="00B76E92" w:rsidP="00B76E92">
      <w:pPr>
        <w:pStyle w:val="List-BulletLvl1"/>
      </w:pPr>
      <w:r>
        <w:t>FFDM compared to FFDM+DBT:</w:t>
      </w:r>
      <w:r w:rsidR="00FB66C8">
        <w:t xml:space="preserve"> 12 papers</w:t>
      </w:r>
    </w:p>
    <w:p w14:paraId="524A4A28" w14:textId="4ECBBECF" w:rsidR="00B76E92" w:rsidRDefault="00B76E92" w:rsidP="00B76E92">
      <w:pPr>
        <w:pStyle w:val="List-BulletLvl1"/>
      </w:pPr>
      <w:r>
        <w:t>FFDM compared to DBT</w:t>
      </w:r>
      <w:r>
        <w:rPr>
          <w:vertAlign w:val="subscript"/>
        </w:rPr>
        <w:t>MLO</w:t>
      </w:r>
      <w:r>
        <w:t>:</w:t>
      </w:r>
      <w:r w:rsidR="00FB66C8">
        <w:t xml:space="preserve"> two papers, and</w:t>
      </w:r>
    </w:p>
    <w:p w14:paraId="28B22D58" w14:textId="698914A7" w:rsidR="00B76E92" w:rsidRDefault="00B76E92" w:rsidP="00B76E92">
      <w:pPr>
        <w:pStyle w:val="List-BulletLvl1"/>
      </w:pPr>
      <w:r>
        <w:t>Other combinations:</w:t>
      </w:r>
      <w:r w:rsidR="00FB66C8">
        <w:t xml:space="preserve"> six papers.</w:t>
      </w:r>
    </w:p>
    <w:p w14:paraId="2D5F9B54" w14:textId="7FAA143B" w:rsidR="00D234C1" w:rsidRPr="004A1BC6" w:rsidRDefault="00D234C1" w:rsidP="00D234C1">
      <w:pPr>
        <w:pStyle w:val="BodyText"/>
      </w:pPr>
      <w:r>
        <w:t xml:space="preserve">The studies by Hovda et al. (2019) and Romero Martín et al. (2018) reported on complex sequences of imaging, grouping of study participants and/or reading strategies. These studies were generally designed to test whether DBT alone (either one view or single </w:t>
      </w:r>
      <w:r w:rsidRPr="00D234C1">
        <w:t>reading</w:t>
      </w:r>
      <w:r>
        <w:t>) had good short-term performance metrics or could be used to decrease reading time. We have chosen to primarily report results from these studies based on the arms that are most relevant to the way that programs are implementing DBT into screening programs (i.e., DBT+</w:t>
      </w:r>
      <w:r w:rsidR="00176980">
        <w:t>s2DM</w:t>
      </w:r>
      <w:r>
        <w:t xml:space="preserve"> compared to FFDM alone or two sequential FFDM screening examinations compared to FFDM followed by DBT+</w:t>
      </w:r>
      <w:r w:rsidR="00176980">
        <w:t>s2DM</w:t>
      </w:r>
      <w:r>
        <w:t xml:space="preserve"> or FFDM+DBT). Imaging protocols </w:t>
      </w:r>
      <w:r w:rsidRPr="004A1BC6">
        <w:t xml:space="preserve">are summarised in </w:t>
      </w:r>
      <w:r w:rsidRPr="004A1BC6">
        <w:rPr>
          <w:i/>
          <w:iCs/>
        </w:rPr>
        <w:t xml:space="preserve">Table </w:t>
      </w:r>
      <w:r>
        <w:rPr>
          <w:i/>
          <w:iCs/>
        </w:rPr>
        <w:t xml:space="preserve">5 </w:t>
      </w:r>
      <w:r>
        <w:t>(overleaf)</w:t>
      </w:r>
      <w:r w:rsidRPr="004A1BC6">
        <w:t>.</w:t>
      </w:r>
      <w:r>
        <w:t xml:space="preserve"> Large bolded (</w:t>
      </w:r>
      <w:r w:rsidRPr="00A62A2E">
        <w:rPr>
          <w:rFonts w:ascii="Wingdings 2" w:eastAsia="Times New Roman" w:hAnsi="Wingdings 2" w:cs="Calibri"/>
          <w:b/>
          <w:bCs/>
          <w:color w:val="000000"/>
          <w:sz w:val="18"/>
          <w:szCs w:val="18"/>
          <w:lang w:eastAsia="en-NZ"/>
        </w:rPr>
        <w:t></w:t>
      </w:r>
      <w:r>
        <w:t>)</w:t>
      </w:r>
      <w:r>
        <w:rPr>
          <w:rFonts w:ascii="Wingdings 2" w:eastAsia="Times New Roman" w:hAnsi="Wingdings 2" w:cs="Calibri"/>
          <w:color w:val="000000"/>
          <w:sz w:val="18"/>
          <w:szCs w:val="18"/>
          <w:lang w:eastAsia="en-NZ"/>
        </w:rPr>
        <w:t></w:t>
      </w:r>
      <w:r>
        <w:t>refer to a study’s main imaging protocol (noting that some studies or sub-studies reported some data on additional reading protocols).</w:t>
      </w:r>
    </w:p>
    <w:p w14:paraId="133795D8" w14:textId="77777777" w:rsidR="000C503A" w:rsidRDefault="000C503A">
      <w:pPr>
        <w:rPr>
          <w:b/>
          <w:bCs/>
          <w:color w:val="36424A" w:themeColor="accent1"/>
          <w:sz w:val="18"/>
          <w:szCs w:val="18"/>
        </w:rPr>
      </w:pPr>
      <w:r>
        <w:br w:type="page"/>
      </w:r>
    </w:p>
    <w:p w14:paraId="03D916B0" w14:textId="07B3AE6F" w:rsidR="00A62A2E" w:rsidRPr="0070649C" w:rsidRDefault="00A62A2E" w:rsidP="00A62A2E">
      <w:pPr>
        <w:pStyle w:val="Caption"/>
      </w:pPr>
      <w:r>
        <w:lastRenderedPageBreak/>
        <w:t>Table 5: Imaging protocols used in the primary studies included in this literature review</w:t>
      </w:r>
    </w:p>
    <w:tbl>
      <w:tblPr>
        <w:tblStyle w:val="ACGreen-BasicTable"/>
        <w:tblW w:w="5003" w:type="pct"/>
        <w:tblLayout w:type="fixed"/>
        <w:tblLook w:val="04A0" w:firstRow="1" w:lastRow="0" w:firstColumn="1" w:lastColumn="0" w:noHBand="0" w:noVBand="1"/>
        <w:tblDescription w:val="Table 5 is the Imaging protocols used in the primary studies included in this literature review. This includes: &#10;Key papers&#10;Aase at al. (2019); Hofvind et al. (2019); Moger et al. (2019); the Study: To-Be-1, FFDM alone and DBT+s2DM;&#10;&#10;Key papers - Bernardi et al. (2018); Gennaro et al. (2018), Study STORM-2, FFDM alone, DBT+sDM, FFDM+DBT, s2DM alone and other protocols (Single projections);&#10;&#10;Key papers - Bernardi at al. (2019), Study - Trento, FFDM alone, DBT+s2DM&#10;&#10;Key papers - Caumo et al. (2018), Study - Verona, FFDM alone, DBT+2sDM&#10;&#10;Key papers - Houssami et al. (2019), Study - Maroondah, FFDM alone, DBT+s2DM&#10;&#10;Key papers - Romero Martin et al. (2018) - Cordoba, FFDM alone, DBT+ s2DM, other protocols (FFDM+s2DM_DBT)&#10;&#10;Key papers - Hofvind et al. (2018) - Norway BSP, FFDM alone, DBT+ s2DM&#10;&#10;Key papers - Hovda et al. (2019) - Norway BSP FFDM alone, DBT+ s2DM, FFDM+DBT&#10;&#10;Key papers - Lat et al. (2018) - No study, FFDM alone, DBT+s2DM&#10;&#10;Key papers - Pattacini et al. (2018) - Study -Reggio Emilia, FFDM alone, FFDM+DBT&#10;&#10;Key papers - Houssami et al. (2018) Study - STORM, FFDM alone, FFDM+DBT&#10;&#10;Key papers - Skaane et al. (2019); Østerås et al. (2018); Skaane et al. (2018) - Study - OTS, FFDM alone, DBT+s2DM, FFDM+DBT, DBT alone, other protocols (CAD)&#10;&#10;Key papers - Conant et al. (2018) - Study - PROSPR, FFDM alone, FFDM+DBT&#10;&#10;Key papers - Rose &amp; Shisler (2018) - Study - 31 US Sites, FFDM alone, FFDM+DBT&#10;&#10;Key papers - Bahl et al. (2019) - No study - FFDM alone, FFDM+DBT&#10;&#10;Key papers - Dang et al. (2019) - No study - FFDM alone, FFDM+DBT&#10;&#10;Key papers - Fuiji et al. (2018) - No study - FFDM alone, FFDM+DBT&#10;&#10;Key papers - Honig et al. (2019) - Study- 4 US sites - FFDM alone, FFDM+DBT&#10;&#10;Key papers - Wasan et al. (2019) - No study - FFDM alone, FFDM+DBT&#10;&#10;Key papers - Ambinder et al. (2018) - No study - DBT+s2DM, FFDM+DBT&#10;&#10;Key papers - Simon et al. (2019) - No study - DBT+s2DM, FFDM+DBT&#10;&#10;Key papers - Johnson et al. (2019); Zackrisson et al. (2018) - Study - Malmö, FFDM alone, DBTMLO&#10;&#10;Key papers - Miglioretti at al. (2019) - No study - FFDM alone, DBT alone&#10;&#10;Key papers - Chae et al. (2019) - No study - DBT alone, other protocols (DBT+CAD)&#10;&#10;Key papers - Choi et al. (2019) - No study - FFDM alone, DBT+s2DM FFDM+DBT, s2DM alone&#10;&#10;Key papers - Wahab et al. (2018) - No study - FFDM alone, S2dm alone&#10;"/>
      </w:tblPr>
      <w:tblGrid>
        <w:gridCol w:w="1950"/>
        <w:gridCol w:w="1168"/>
        <w:gridCol w:w="849"/>
        <w:gridCol w:w="850"/>
        <w:gridCol w:w="850"/>
        <w:gridCol w:w="849"/>
        <w:gridCol w:w="850"/>
        <w:gridCol w:w="850"/>
        <w:gridCol w:w="850"/>
      </w:tblGrid>
      <w:tr w:rsidR="00B524B8" w:rsidRPr="007165E8" w14:paraId="7B29FB5D" w14:textId="77777777" w:rsidTr="006D7719">
        <w:trPr>
          <w:cnfStyle w:val="100000000000" w:firstRow="1" w:lastRow="0" w:firstColumn="0" w:lastColumn="0" w:oddVBand="0" w:evenVBand="0" w:oddHBand="0" w:evenHBand="0" w:firstRowFirstColumn="0" w:firstRowLastColumn="0" w:lastRowFirstColumn="0" w:lastRowLastColumn="0"/>
          <w:trHeight w:val="300"/>
        </w:trPr>
        <w:tc>
          <w:tcPr>
            <w:tcW w:w="1075" w:type="pct"/>
            <w:noWrap/>
            <w:hideMark/>
          </w:tcPr>
          <w:p w14:paraId="3A4805BA" w14:textId="77777777" w:rsidR="00FC09B7" w:rsidRPr="007165E8" w:rsidRDefault="00FC09B7" w:rsidP="005866B2">
            <w:pPr>
              <w:jc w:val="center"/>
              <w:rPr>
                <w:rFonts w:ascii="Calibri" w:eastAsia="Times New Roman" w:hAnsi="Calibri" w:cs="Calibri"/>
                <w:sz w:val="18"/>
                <w:szCs w:val="18"/>
                <w:lang w:eastAsia="en-NZ"/>
              </w:rPr>
            </w:pPr>
            <w:r w:rsidRPr="007165E8">
              <w:rPr>
                <w:rFonts w:ascii="Calibri" w:eastAsia="Times New Roman" w:hAnsi="Calibri" w:cs="Calibri"/>
                <w:sz w:val="18"/>
                <w:szCs w:val="18"/>
                <w:lang w:eastAsia="en-NZ"/>
              </w:rPr>
              <w:t>Key papers</w:t>
            </w:r>
          </w:p>
        </w:tc>
        <w:tc>
          <w:tcPr>
            <w:tcW w:w="644" w:type="pct"/>
            <w:noWrap/>
            <w:hideMark/>
          </w:tcPr>
          <w:p w14:paraId="7810755A" w14:textId="77777777" w:rsidR="00FC09B7" w:rsidRPr="007165E8" w:rsidRDefault="00FC09B7" w:rsidP="005866B2">
            <w:pPr>
              <w:jc w:val="center"/>
              <w:rPr>
                <w:rFonts w:ascii="Calibri" w:eastAsia="Times New Roman" w:hAnsi="Calibri" w:cs="Calibri"/>
                <w:sz w:val="18"/>
                <w:szCs w:val="18"/>
                <w:lang w:eastAsia="en-NZ"/>
              </w:rPr>
            </w:pPr>
            <w:r w:rsidRPr="007165E8">
              <w:rPr>
                <w:rFonts w:ascii="Calibri" w:eastAsia="Times New Roman" w:hAnsi="Calibri" w:cs="Calibri"/>
                <w:sz w:val="18"/>
                <w:szCs w:val="18"/>
                <w:lang w:eastAsia="en-NZ"/>
              </w:rPr>
              <w:t>Study</w:t>
            </w:r>
          </w:p>
        </w:tc>
        <w:tc>
          <w:tcPr>
            <w:tcW w:w="468" w:type="pct"/>
            <w:noWrap/>
            <w:hideMark/>
          </w:tcPr>
          <w:p w14:paraId="2A72F429" w14:textId="77777777" w:rsidR="00FC09B7" w:rsidRPr="007165E8" w:rsidRDefault="00FC09B7" w:rsidP="005866B2">
            <w:pPr>
              <w:jc w:val="center"/>
              <w:rPr>
                <w:rFonts w:ascii="Calibri" w:eastAsia="Times New Roman" w:hAnsi="Calibri" w:cs="Calibri"/>
                <w:sz w:val="18"/>
                <w:szCs w:val="18"/>
                <w:lang w:eastAsia="en-NZ"/>
              </w:rPr>
            </w:pPr>
            <w:r w:rsidRPr="007165E8">
              <w:rPr>
                <w:rFonts w:ascii="Calibri" w:eastAsia="Times New Roman" w:hAnsi="Calibri" w:cs="Calibri"/>
                <w:sz w:val="18"/>
                <w:szCs w:val="18"/>
                <w:lang w:eastAsia="en-NZ"/>
              </w:rPr>
              <w:t>FFDM alone</w:t>
            </w:r>
          </w:p>
        </w:tc>
        <w:tc>
          <w:tcPr>
            <w:tcW w:w="469" w:type="pct"/>
            <w:noWrap/>
            <w:hideMark/>
          </w:tcPr>
          <w:p w14:paraId="170D831E" w14:textId="77777777" w:rsidR="00FC09B7" w:rsidRPr="007165E8" w:rsidRDefault="00FC09B7" w:rsidP="005866B2">
            <w:pPr>
              <w:jc w:val="center"/>
              <w:rPr>
                <w:rFonts w:ascii="Calibri" w:eastAsia="Times New Roman" w:hAnsi="Calibri" w:cs="Calibri"/>
                <w:b w:val="0"/>
                <w:bCs/>
                <w:sz w:val="18"/>
                <w:szCs w:val="18"/>
                <w:lang w:eastAsia="en-NZ"/>
              </w:rPr>
            </w:pPr>
            <w:r w:rsidRPr="007165E8">
              <w:rPr>
                <w:rFonts w:ascii="Calibri" w:eastAsia="Times New Roman" w:hAnsi="Calibri" w:cs="Calibri"/>
                <w:sz w:val="18"/>
                <w:szCs w:val="18"/>
                <w:lang w:eastAsia="en-NZ"/>
              </w:rPr>
              <w:t>DBT+</w:t>
            </w:r>
          </w:p>
          <w:p w14:paraId="7C6BCE8A" w14:textId="1A7EE80F" w:rsidR="00FC09B7" w:rsidRPr="007165E8" w:rsidRDefault="00176980" w:rsidP="005866B2">
            <w:pPr>
              <w:jc w:val="center"/>
              <w:rPr>
                <w:rFonts w:ascii="Calibri" w:eastAsia="Times New Roman" w:hAnsi="Calibri" w:cs="Calibri"/>
                <w:sz w:val="18"/>
                <w:szCs w:val="18"/>
                <w:lang w:eastAsia="en-NZ"/>
              </w:rPr>
            </w:pPr>
            <w:r>
              <w:rPr>
                <w:rFonts w:ascii="Calibri" w:eastAsia="Times New Roman" w:hAnsi="Calibri" w:cs="Calibri"/>
                <w:sz w:val="18"/>
                <w:szCs w:val="18"/>
                <w:lang w:eastAsia="en-NZ"/>
              </w:rPr>
              <w:t>s2DM</w:t>
            </w:r>
          </w:p>
        </w:tc>
        <w:tc>
          <w:tcPr>
            <w:tcW w:w="469" w:type="pct"/>
            <w:noWrap/>
            <w:hideMark/>
          </w:tcPr>
          <w:p w14:paraId="2C7709A0" w14:textId="77777777" w:rsidR="009A2A2D" w:rsidRDefault="00FC09B7" w:rsidP="005866B2">
            <w:pPr>
              <w:jc w:val="center"/>
              <w:rPr>
                <w:rFonts w:ascii="Calibri" w:eastAsia="Times New Roman" w:hAnsi="Calibri" w:cs="Calibri"/>
                <w:b w:val="0"/>
                <w:sz w:val="18"/>
                <w:szCs w:val="18"/>
                <w:lang w:eastAsia="en-NZ"/>
              </w:rPr>
            </w:pPr>
            <w:r w:rsidRPr="007165E8">
              <w:rPr>
                <w:rFonts w:ascii="Calibri" w:eastAsia="Times New Roman" w:hAnsi="Calibri" w:cs="Calibri"/>
                <w:sz w:val="18"/>
                <w:szCs w:val="18"/>
                <w:lang w:eastAsia="en-NZ"/>
              </w:rPr>
              <w:t>FFDM+</w:t>
            </w:r>
          </w:p>
          <w:p w14:paraId="4EDF909F" w14:textId="2838F761" w:rsidR="00FC09B7" w:rsidRPr="007165E8" w:rsidRDefault="00FC09B7" w:rsidP="005866B2">
            <w:pPr>
              <w:jc w:val="center"/>
              <w:rPr>
                <w:rFonts w:ascii="Calibri" w:eastAsia="Times New Roman" w:hAnsi="Calibri" w:cs="Calibri"/>
                <w:sz w:val="18"/>
                <w:szCs w:val="18"/>
                <w:lang w:eastAsia="en-NZ"/>
              </w:rPr>
            </w:pPr>
            <w:r w:rsidRPr="007165E8">
              <w:rPr>
                <w:rFonts w:ascii="Calibri" w:eastAsia="Times New Roman" w:hAnsi="Calibri" w:cs="Calibri"/>
                <w:sz w:val="18"/>
                <w:szCs w:val="18"/>
                <w:lang w:eastAsia="en-NZ"/>
              </w:rPr>
              <w:t>DBT</w:t>
            </w:r>
          </w:p>
        </w:tc>
        <w:tc>
          <w:tcPr>
            <w:tcW w:w="468" w:type="pct"/>
            <w:noWrap/>
            <w:hideMark/>
          </w:tcPr>
          <w:p w14:paraId="71BC13C7" w14:textId="77777777" w:rsidR="00FC09B7" w:rsidRPr="007165E8" w:rsidRDefault="00FC09B7" w:rsidP="005866B2">
            <w:pPr>
              <w:jc w:val="center"/>
              <w:rPr>
                <w:rFonts w:ascii="Calibri" w:eastAsia="Times New Roman" w:hAnsi="Calibri" w:cs="Calibri"/>
                <w:sz w:val="18"/>
                <w:szCs w:val="18"/>
                <w:lang w:eastAsia="en-NZ"/>
              </w:rPr>
            </w:pPr>
            <w:r w:rsidRPr="007165E8">
              <w:rPr>
                <w:rFonts w:ascii="Calibri" w:eastAsia="Times New Roman" w:hAnsi="Calibri" w:cs="Calibri"/>
                <w:sz w:val="18"/>
                <w:szCs w:val="18"/>
                <w:lang w:eastAsia="en-NZ"/>
              </w:rPr>
              <w:t>DBT</w:t>
            </w:r>
            <w:r w:rsidRPr="007165E8">
              <w:rPr>
                <w:rFonts w:ascii="Calibri" w:eastAsia="Times New Roman" w:hAnsi="Calibri" w:cs="Calibri"/>
                <w:sz w:val="18"/>
                <w:szCs w:val="18"/>
                <w:vertAlign w:val="subscript"/>
                <w:lang w:eastAsia="en-NZ"/>
              </w:rPr>
              <w:t>MLO</w:t>
            </w:r>
          </w:p>
        </w:tc>
        <w:tc>
          <w:tcPr>
            <w:tcW w:w="469" w:type="pct"/>
          </w:tcPr>
          <w:p w14:paraId="5C2A31D1" w14:textId="42D1B597" w:rsidR="00FC09B7" w:rsidRPr="007165E8" w:rsidRDefault="00176980" w:rsidP="005866B2">
            <w:pPr>
              <w:jc w:val="center"/>
              <w:rPr>
                <w:rFonts w:ascii="Calibri" w:eastAsia="Times New Roman" w:hAnsi="Calibri" w:cs="Calibri"/>
                <w:sz w:val="18"/>
                <w:szCs w:val="18"/>
                <w:lang w:eastAsia="en-NZ"/>
              </w:rPr>
            </w:pPr>
            <w:r>
              <w:rPr>
                <w:rFonts w:ascii="Calibri" w:eastAsia="Times New Roman" w:hAnsi="Calibri" w:cs="Calibri"/>
                <w:sz w:val="18"/>
                <w:szCs w:val="18"/>
                <w:lang w:eastAsia="en-NZ"/>
              </w:rPr>
              <w:t>s2DM</w:t>
            </w:r>
            <w:r w:rsidR="00FC09B7">
              <w:rPr>
                <w:rFonts w:ascii="Calibri" w:eastAsia="Times New Roman" w:hAnsi="Calibri" w:cs="Calibri"/>
                <w:sz w:val="18"/>
                <w:szCs w:val="18"/>
                <w:lang w:eastAsia="en-NZ"/>
              </w:rPr>
              <w:t xml:space="preserve"> alone</w:t>
            </w:r>
          </w:p>
        </w:tc>
        <w:tc>
          <w:tcPr>
            <w:tcW w:w="469" w:type="pct"/>
            <w:noWrap/>
            <w:hideMark/>
          </w:tcPr>
          <w:p w14:paraId="574FA856" w14:textId="7B0078E0" w:rsidR="00FC09B7" w:rsidRPr="007165E8" w:rsidRDefault="00FC09B7" w:rsidP="005866B2">
            <w:pPr>
              <w:jc w:val="center"/>
              <w:rPr>
                <w:rFonts w:ascii="Calibri" w:eastAsia="Times New Roman" w:hAnsi="Calibri" w:cs="Calibri"/>
                <w:sz w:val="18"/>
                <w:szCs w:val="18"/>
                <w:lang w:eastAsia="en-NZ"/>
              </w:rPr>
            </w:pPr>
            <w:r w:rsidRPr="007165E8">
              <w:rPr>
                <w:rFonts w:ascii="Calibri" w:eastAsia="Times New Roman" w:hAnsi="Calibri" w:cs="Calibri"/>
                <w:sz w:val="18"/>
                <w:szCs w:val="18"/>
                <w:lang w:eastAsia="en-NZ"/>
              </w:rPr>
              <w:t>DBT alone</w:t>
            </w:r>
          </w:p>
        </w:tc>
        <w:tc>
          <w:tcPr>
            <w:tcW w:w="469" w:type="pct"/>
            <w:noWrap/>
            <w:hideMark/>
          </w:tcPr>
          <w:p w14:paraId="25F9CC93" w14:textId="77777777" w:rsidR="00FC09B7" w:rsidRPr="007165E8" w:rsidRDefault="00FC09B7" w:rsidP="005866B2">
            <w:pPr>
              <w:jc w:val="center"/>
              <w:rPr>
                <w:rFonts w:ascii="Calibri" w:eastAsia="Times New Roman" w:hAnsi="Calibri" w:cs="Calibri"/>
                <w:sz w:val="18"/>
                <w:szCs w:val="18"/>
                <w:lang w:eastAsia="en-NZ"/>
              </w:rPr>
            </w:pPr>
            <w:r w:rsidRPr="007165E8">
              <w:rPr>
                <w:rFonts w:ascii="Calibri" w:eastAsia="Times New Roman" w:hAnsi="Calibri" w:cs="Calibri"/>
                <w:sz w:val="18"/>
                <w:szCs w:val="18"/>
                <w:lang w:eastAsia="en-NZ"/>
              </w:rPr>
              <w:t>Other protocols</w:t>
            </w:r>
          </w:p>
        </w:tc>
      </w:tr>
      <w:tr w:rsidR="00B524B8" w:rsidRPr="00CF4990" w14:paraId="2F572165" w14:textId="77777777" w:rsidTr="006D7719">
        <w:trPr>
          <w:trHeight w:val="300"/>
        </w:trPr>
        <w:tc>
          <w:tcPr>
            <w:tcW w:w="1075" w:type="pct"/>
            <w:noWrap/>
            <w:hideMark/>
          </w:tcPr>
          <w:p w14:paraId="149D286E" w14:textId="77777777" w:rsidR="00FC09B7" w:rsidRPr="00CF4990" w:rsidRDefault="00FC09B7" w:rsidP="005866B2">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Aase</w:t>
            </w:r>
            <w:r>
              <w:rPr>
                <w:rFonts w:ascii="Calibri" w:eastAsia="Times New Roman" w:hAnsi="Calibri" w:cs="Calibri"/>
                <w:color w:val="000000"/>
                <w:sz w:val="18"/>
                <w:szCs w:val="18"/>
                <w:lang w:eastAsia="en-NZ"/>
              </w:rPr>
              <w:t xml:space="preserve"> at al. (</w:t>
            </w:r>
            <w:r w:rsidRPr="00CF4990">
              <w:rPr>
                <w:rFonts w:ascii="Calibri" w:eastAsia="Times New Roman" w:hAnsi="Calibri" w:cs="Calibri"/>
                <w:color w:val="000000"/>
                <w:sz w:val="18"/>
                <w:szCs w:val="18"/>
                <w:lang w:eastAsia="en-NZ"/>
              </w:rPr>
              <w:t>2019</w:t>
            </w:r>
            <w:r>
              <w:rPr>
                <w:rFonts w:ascii="Calibri" w:eastAsia="Times New Roman" w:hAnsi="Calibri" w:cs="Calibri"/>
                <w:color w:val="000000"/>
                <w:sz w:val="18"/>
                <w:szCs w:val="18"/>
                <w:lang w:eastAsia="en-NZ"/>
              </w:rPr>
              <w:t>);</w:t>
            </w:r>
            <w:r w:rsidRPr="00CF4990">
              <w:rPr>
                <w:rFonts w:ascii="Calibri" w:eastAsia="Times New Roman" w:hAnsi="Calibri" w:cs="Calibri"/>
                <w:sz w:val="18"/>
                <w:szCs w:val="18"/>
                <w:lang w:eastAsia="en-NZ"/>
              </w:rPr>
              <w:t xml:space="preserve"> Hofvind et al</w:t>
            </w:r>
            <w:r>
              <w:rPr>
                <w:rFonts w:ascii="Calibri" w:eastAsia="Times New Roman" w:hAnsi="Calibri" w:cs="Calibri"/>
                <w:sz w:val="18"/>
                <w:szCs w:val="18"/>
                <w:lang w:eastAsia="en-NZ"/>
              </w:rPr>
              <w:t>.</w:t>
            </w:r>
            <w:r w:rsidRPr="00CF4990">
              <w:rPr>
                <w:rFonts w:ascii="Calibri" w:eastAsia="Times New Roman" w:hAnsi="Calibri" w:cs="Calibri"/>
                <w:sz w:val="18"/>
                <w:szCs w:val="18"/>
                <w:lang w:eastAsia="en-NZ"/>
              </w:rPr>
              <w:t xml:space="preserve"> (2019)</w:t>
            </w:r>
            <w:r>
              <w:rPr>
                <w:rFonts w:ascii="Calibri" w:eastAsia="Times New Roman" w:hAnsi="Calibri" w:cs="Calibri"/>
                <w:sz w:val="18"/>
                <w:szCs w:val="18"/>
                <w:lang w:eastAsia="en-NZ"/>
              </w:rPr>
              <w:t xml:space="preserve">; </w:t>
            </w:r>
            <w:r w:rsidRPr="00CF4990">
              <w:rPr>
                <w:rFonts w:ascii="Calibri" w:eastAsia="Times New Roman" w:hAnsi="Calibri" w:cs="Calibri"/>
                <w:sz w:val="18"/>
                <w:szCs w:val="18"/>
                <w:lang w:eastAsia="en-NZ"/>
              </w:rPr>
              <w:t>Moger et al</w:t>
            </w:r>
            <w:r>
              <w:rPr>
                <w:rFonts w:ascii="Calibri" w:eastAsia="Times New Roman" w:hAnsi="Calibri" w:cs="Calibri"/>
                <w:sz w:val="18"/>
                <w:szCs w:val="18"/>
                <w:lang w:eastAsia="en-NZ"/>
              </w:rPr>
              <w:t>.</w:t>
            </w:r>
            <w:r w:rsidRPr="00CF4990">
              <w:rPr>
                <w:rFonts w:ascii="Calibri" w:eastAsia="Times New Roman" w:hAnsi="Calibri" w:cs="Calibri"/>
                <w:sz w:val="18"/>
                <w:szCs w:val="18"/>
                <w:lang w:eastAsia="en-NZ"/>
              </w:rPr>
              <w:t xml:space="preserve"> (2019)</w:t>
            </w:r>
          </w:p>
        </w:tc>
        <w:tc>
          <w:tcPr>
            <w:tcW w:w="644" w:type="pct"/>
            <w:noWrap/>
            <w:hideMark/>
          </w:tcPr>
          <w:p w14:paraId="6C24D15C" w14:textId="77777777" w:rsidR="00FC09B7" w:rsidRPr="00CF4990" w:rsidRDefault="00FC09B7" w:rsidP="005866B2">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To-Be</w:t>
            </w:r>
            <w:r>
              <w:rPr>
                <w:rFonts w:ascii="Calibri" w:eastAsia="Times New Roman" w:hAnsi="Calibri" w:cs="Calibri"/>
                <w:color w:val="000000"/>
                <w:sz w:val="18"/>
                <w:szCs w:val="18"/>
                <w:lang w:eastAsia="en-NZ"/>
              </w:rPr>
              <w:t>-1</w:t>
            </w:r>
          </w:p>
        </w:tc>
        <w:tc>
          <w:tcPr>
            <w:tcW w:w="468" w:type="pct"/>
            <w:noWrap/>
            <w:hideMark/>
          </w:tcPr>
          <w:p w14:paraId="5B80A89C" w14:textId="77777777" w:rsidR="00FC09B7" w:rsidRPr="00FC09B7" w:rsidRDefault="00FC09B7" w:rsidP="005866B2">
            <w:pPr>
              <w:jc w:val="center"/>
              <w:rPr>
                <w:rFonts w:ascii="Wingdings 2" w:eastAsia="Times New Roman" w:hAnsi="Wingdings 2" w:cs="Calibri"/>
                <w:b/>
                <w:bCs/>
                <w:color w:val="000000"/>
                <w:sz w:val="22"/>
                <w:lang w:eastAsia="en-NZ"/>
              </w:rPr>
            </w:pPr>
            <w:r w:rsidRPr="00FC09B7">
              <w:rPr>
                <w:rFonts w:ascii="Wingdings 2" w:eastAsia="Times New Roman" w:hAnsi="Wingdings 2" w:cs="Calibri"/>
                <w:b/>
                <w:bCs/>
                <w:color w:val="000000"/>
                <w:sz w:val="22"/>
                <w:lang w:eastAsia="en-NZ"/>
              </w:rPr>
              <w:t></w:t>
            </w:r>
          </w:p>
        </w:tc>
        <w:tc>
          <w:tcPr>
            <w:tcW w:w="469" w:type="pct"/>
            <w:noWrap/>
            <w:hideMark/>
          </w:tcPr>
          <w:p w14:paraId="71D161FA" w14:textId="77777777" w:rsidR="00FC09B7" w:rsidRPr="00FC09B7" w:rsidRDefault="00FC09B7" w:rsidP="005866B2">
            <w:pPr>
              <w:jc w:val="center"/>
              <w:rPr>
                <w:rFonts w:ascii="Wingdings 2" w:eastAsia="Times New Roman" w:hAnsi="Wingdings 2" w:cs="Calibri"/>
                <w:b/>
                <w:bCs/>
                <w:color w:val="000000"/>
                <w:sz w:val="22"/>
                <w:lang w:eastAsia="en-NZ"/>
              </w:rPr>
            </w:pPr>
            <w:r w:rsidRPr="00FC09B7">
              <w:rPr>
                <w:rFonts w:ascii="Wingdings 2" w:eastAsia="Times New Roman" w:hAnsi="Wingdings 2" w:cs="Calibri"/>
                <w:b/>
                <w:bCs/>
                <w:color w:val="000000"/>
                <w:sz w:val="22"/>
                <w:lang w:eastAsia="en-NZ"/>
              </w:rPr>
              <w:t></w:t>
            </w:r>
          </w:p>
        </w:tc>
        <w:tc>
          <w:tcPr>
            <w:tcW w:w="469" w:type="pct"/>
            <w:noWrap/>
            <w:hideMark/>
          </w:tcPr>
          <w:p w14:paraId="08A8B6F3"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8" w:type="pct"/>
            <w:noWrap/>
            <w:hideMark/>
          </w:tcPr>
          <w:p w14:paraId="4B7F36F5"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tcPr>
          <w:p w14:paraId="1F51D5EC"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6A6C350F" w14:textId="59C61649"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543C7B68" w14:textId="77777777" w:rsidR="00FC09B7" w:rsidRPr="00CF4990" w:rsidRDefault="00FC09B7" w:rsidP="005866B2">
            <w:pPr>
              <w:jc w:val="center"/>
              <w:rPr>
                <w:rFonts w:ascii="Calibri" w:eastAsia="Times New Roman" w:hAnsi="Calibri" w:cs="Calibri"/>
                <w:color w:val="000000"/>
                <w:sz w:val="18"/>
                <w:szCs w:val="18"/>
                <w:lang w:eastAsia="en-NZ"/>
              </w:rPr>
            </w:pPr>
          </w:p>
        </w:tc>
      </w:tr>
      <w:tr w:rsidR="00B524B8" w:rsidRPr="00CF4990" w14:paraId="63B31DC6" w14:textId="77777777" w:rsidTr="006D7719">
        <w:trPr>
          <w:trHeight w:val="300"/>
        </w:trPr>
        <w:tc>
          <w:tcPr>
            <w:tcW w:w="1075" w:type="pct"/>
            <w:noWrap/>
            <w:hideMark/>
          </w:tcPr>
          <w:p w14:paraId="3CA8E6A6" w14:textId="21A40182" w:rsidR="00FC09B7" w:rsidRPr="00CF4990" w:rsidRDefault="00FC09B7" w:rsidP="005866B2">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Bernardi et al</w:t>
            </w:r>
            <w:r>
              <w:rPr>
                <w:rFonts w:ascii="Calibri" w:eastAsia="Times New Roman" w:hAnsi="Calibri" w:cs="Calibri"/>
                <w:color w:val="000000"/>
                <w:sz w:val="18"/>
                <w:szCs w:val="18"/>
                <w:lang w:eastAsia="en-NZ"/>
              </w:rPr>
              <w:t>.</w:t>
            </w:r>
            <w:r w:rsidRPr="00CF4990">
              <w:rPr>
                <w:rFonts w:ascii="Calibri" w:eastAsia="Times New Roman" w:hAnsi="Calibri" w:cs="Calibri"/>
                <w:color w:val="000000"/>
                <w:sz w:val="18"/>
                <w:szCs w:val="18"/>
                <w:lang w:eastAsia="en-NZ"/>
              </w:rPr>
              <w:t xml:space="preserve"> (2018)</w:t>
            </w:r>
            <w:r>
              <w:rPr>
                <w:rFonts w:ascii="Calibri" w:eastAsia="Times New Roman" w:hAnsi="Calibri" w:cs="Calibri"/>
                <w:color w:val="000000"/>
                <w:sz w:val="18"/>
                <w:szCs w:val="18"/>
                <w:lang w:eastAsia="en-NZ"/>
              </w:rPr>
              <w:t>; Gennaro et al. (2018)</w:t>
            </w:r>
          </w:p>
        </w:tc>
        <w:tc>
          <w:tcPr>
            <w:tcW w:w="644" w:type="pct"/>
            <w:noWrap/>
            <w:hideMark/>
          </w:tcPr>
          <w:p w14:paraId="36A548AB" w14:textId="77777777" w:rsidR="00FC09B7" w:rsidRPr="00CF4990" w:rsidRDefault="00FC09B7" w:rsidP="005866B2">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STORM</w:t>
            </w:r>
            <w:r>
              <w:rPr>
                <w:rFonts w:ascii="Calibri" w:eastAsia="Times New Roman" w:hAnsi="Calibri" w:cs="Calibri"/>
                <w:color w:val="000000"/>
                <w:sz w:val="18"/>
                <w:szCs w:val="18"/>
                <w:lang w:eastAsia="en-NZ"/>
              </w:rPr>
              <w:t>-</w:t>
            </w:r>
            <w:r w:rsidRPr="00CF4990">
              <w:rPr>
                <w:rFonts w:ascii="Calibri" w:eastAsia="Times New Roman" w:hAnsi="Calibri" w:cs="Calibri"/>
                <w:color w:val="000000"/>
                <w:sz w:val="18"/>
                <w:szCs w:val="18"/>
                <w:lang w:eastAsia="en-NZ"/>
              </w:rPr>
              <w:t xml:space="preserve">2 </w:t>
            </w:r>
          </w:p>
        </w:tc>
        <w:tc>
          <w:tcPr>
            <w:tcW w:w="468" w:type="pct"/>
            <w:noWrap/>
            <w:hideMark/>
          </w:tcPr>
          <w:p w14:paraId="7DE1A434" w14:textId="77777777" w:rsidR="00FC09B7" w:rsidRPr="00FC09B7" w:rsidRDefault="00FC09B7" w:rsidP="005866B2">
            <w:pPr>
              <w:jc w:val="center"/>
              <w:rPr>
                <w:rFonts w:ascii="Wingdings 2" w:eastAsia="Times New Roman" w:hAnsi="Wingdings 2" w:cs="Calibri"/>
                <w:b/>
                <w:bCs/>
                <w:color w:val="000000"/>
                <w:sz w:val="22"/>
                <w:lang w:eastAsia="en-NZ"/>
              </w:rPr>
            </w:pPr>
            <w:r w:rsidRPr="00FC09B7">
              <w:rPr>
                <w:rFonts w:ascii="Wingdings 2" w:eastAsia="Times New Roman" w:hAnsi="Wingdings 2" w:cs="Calibri"/>
                <w:b/>
                <w:bCs/>
                <w:color w:val="000000"/>
                <w:sz w:val="22"/>
                <w:lang w:eastAsia="en-NZ"/>
              </w:rPr>
              <w:t></w:t>
            </w:r>
          </w:p>
        </w:tc>
        <w:tc>
          <w:tcPr>
            <w:tcW w:w="469" w:type="pct"/>
            <w:noWrap/>
            <w:hideMark/>
          </w:tcPr>
          <w:p w14:paraId="54656829" w14:textId="77777777" w:rsidR="00FC09B7" w:rsidRPr="00FC09B7" w:rsidRDefault="00FC09B7" w:rsidP="005866B2">
            <w:pPr>
              <w:jc w:val="center"/>
              <w:rPr>
                <w:rFonts w:ascii="Wingdings 2" w:eastAsia="Times New Roman" w:hAnsi="Wingdings 2" w:cs="Calibri"/>
                <w:b/>
                <w:bCs/>
                <w:color w:val="000000"/>
                <w:sz w:val="22"/>
                <w:lang w:eastAsia="en-NZ"/>
              </w:rPr>
            </w:pPr>
            <w:r w:rsidRPr="00FC09B7">
              <w:rPr>
                <w:rFonts w:ascii="Wingdings 2" w:eastAsia="Times New Roman" w:hAnsi="Wingdings 2" w:cs="Calibri"/>
                <w:b/>
                <w:bCs/>
                <w:color w:val="000000"/>
                <w:sz w:val="22"/>
                <w:lang w:eastAsia="en-NZ"/>
              </w:rPr>
              <w:t></w:t>
            </w:r>
          </w:p>
        </w:tc>
        <w:tc>
          <w:tcPr>
            <w:tcW w:w="469" w:type="pct"/>
            <w:noWrap/>
            <w:hideMark/>
          </w:tcPr>
          <w:p w14:paraId="5159BDBE" w14:textId="77777777" w:rsidR="00FC09B7" w:rsidRPr="00B524B8" w:rsidRDefault="00FC09B7" w:rsidP="005866B2">
            <w:pPr>
              <w:jc w:val="center"/>
              <w:rPr>
                <w:rFonts w:ascii="Wingdings 2" w:eastAsia="Times New Roman" w:hAnsi="Wingdings 2" w:cs="Calibri"/>
                <w:color w:val="000000"/>
                <w:sz w:val="16"/>
                <w:szCs w:val="16"/>
                <w:lang w:eastAsia="en-NZ"/>
              </w:rPr>
            </w:pPr>
            <w:r w:rsidRPr="00B524B8">
              <w:rPr>
                <w:rFonts w:ascii="Wingdings 2" w:eastAsia="Times New Roman" w:hAnsi="Wingdings 2" w:cs="Calibri"/>
                <w:color w:val="000000"/>
                <w:sz w:val="16"/>
                <w:szCs w:val="16"/>
                <w:lang w:eastAsia="en-NZ"/>
              </w:rPr>
              <w:t></w:t>
            </w:r>
          </w:p>
        </w:tc>
        <w:tc>
          <w:tcPr>
            <w:tcW w:w="468" w:type="pct"/>
            <w:noWrap/>
          </w:tcPr>
          <w:p w14:paraId="7AD0FB7C" w14:textId="779CEC0C" w:rsidR="00FC09B7" w:rsidRPr="00B524B8" w:rsidRDefault="00FC09B7" w:rsidP="005866B2">
            <w:pPr>
              <w:jc w:val="center"/>
              <w:rPr>
                <w:rFonts w:ascii="Calibri" w:eastAsia="Times New Roman" w:hAnsi="Calibri" w:cs="Calibri"/>
                <w:color w:val="000000"/>
                <w:sz w:val="16"/>
                <w:szCs w:val="16"/>
                <w:lang w:eastAsia="en-NZ"/>
              </w:rPr>
            </w:pPr>
          </w:p>
        </w:tc>
        <w:tc>
          <w:tcPr>
            <w:tcW w:w="469" w:type="pct"/>
          </w:tcPr>
          <w:p w14:paraId="0E63A752" w14:textId="191BEBE4" w:rsidR="00FC09B7" w:rsidRPr="00B524B8" w:rsidRDefault="00FC09B7" w:rsidP="005866B2">
            <w:pPr>
              <w:jc w:val="center"/>
              <w:rPr>
                <w:rFonts w:ascii="Calibri" w:eastAsia="Times New Roman" w:hAnsi="Calibri" w:cs="Calibri"/>
                <w:color w:val="000000"/>
                <w:sz w:val="16"/>
                <w:szCs w:val="16"/>
                <w:lang w:eastAsia="en-NZ"/>
              </w:rPr>
            </w:pPr>
            <w:r w:rsidRPr="00B524B8">
              <w:rPr>
                <w:rFonts w:ascii="Wingdings 2" w:eastAsia="Times New Roman" w:hAnsi="Wingdings 2" w:cs="Calibri"/>
                <w:color w:val="000000"/>
                <w:sz w:val="16"/>
                <w:szCs w:val="16"/>
                <w:lang w:eastAsia="en-NZ"/>
              </w:rPr>
              <w:t></w:t>
            </w:r>
          </w:p>
        </w:tc>
        <w:tc>
          <w:tcPr>
            <w:tcW w:w="469" w:type="pct"/>
            <w:noWrap/>
          </w:tcPr>
          <w:p w14:paraId="3E4CBF9B" w14:textId="21888BB0" w:rsidR="00FC09B7" w:rsidRPr="00A62A2E" w:rsidRDefault="00FC09B7" w:rsidP="005866B2">
            <w:pPr>
              <w:jc w:val="center"/>
              <w:rPr>
                <w:rFonts w:ascii="Calibri" w:eastAsia="Times New Roman" w:hAnsi="Calibri" w:cs="Calibri"/>
                <w:color w:val="000000"/>
                <w:sz w:val="14"/>
                <w:szCs w:val="14"/>
                <w:lang w:eastAsia="en-NZ"/>
              </w:rPr>
            </w:pPr>
          </w:p>
        </w:tc>
        <w:tc>
          <w:tcPr>
            <w:tcW w:w="469" w:type="pct"/>
            <w:noWrap/>
            <w:hideMark/>
          </w:tcPr>
          <w:p w14:paraId="215F6504" w14:textId="2C2C97CD" w:rsidR="00FC09B7" w:rsidRPr="00FC09B7" w:rsidRDefault="00FB66C8" w:rsidP="005866B2">
            <w:pPr>
              <w:jc w:val="center"/>
              <w:rPr>
                <w:rFonts w:ascii="Calibri" w:eastAsia="Times New Roman" w:hAnsi="Calibri" w:cs="Calibri"/>
                <w:color w:val="000000"/>
                <w:sz w:val="14"/>
                <w:szCs w:val="14"/>
                <w:lang w:eastAsia="en-NZ"/>
              </w:rPr>
            </w:pPr>
            <w:r>
              <w:rPr>
                <w:rFonts w:ascii="Calibri" w:eastAsia="Times New Roman" w:hAnsi="Calibri" w:cs="Calibri"/>
                <w:color w:val="000000"/>
                <w:sz w:val="14"/>
                <w:szCs w:val="14"/>
                <w:lang w:eastAsia="en-NZ"/>
              </w:rPr>
              <w:t>S</w:t>
            </w:r>
            <w:r w:rsidR="00FC09B7">
              <w:rPr>
                <w:rFonts w:ascii="Calibri" w:eastAsia="Times New Roman" w:hAnsi="Calibri" w:cs="Calibri"/>
                <w:color w:val="000000"/>
                <w:sz w:val="14"/>
                <w:szCs w:val="14"/>
                <w:lang w:eastAsia="en-NZ"/>
              </w:rPr>
              <w:t xml:space="preserve">ingle projections </w:t>
            </w:r>
          </w:p>
        </w:tc>
      </w:tr>
      <w:tr w:rsidR="00B524B8" w:rsidRPr="00CF4990" w14:paraId="4D505AEB" w14:textId="77777777" w:rsidTr="006D7719">
        <w:trPr>
          <w:trHeight w:val="300"/>
        </w:trPr>
        <w:tc>
          <w:tcPr>
            <w:tcW w:w="1075" w:type="pct"/>
            <w:noWrap/>
            <w:hideMark/>
          </w:tcPr>
          <w:p w14:paraId="698A0E2B" w14:textId="77777777" w:rsidR="00FC09B7" w:rsidRPr="00CF4990" w:rsidRDefault="00FC09B7" w:rsidP="005866B2">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Bernardi</w:t>
            </w:r>
            <w:r>
              <w:rPr>
                <w:rFonts w:ascii="Calibri" w:eastAsia="Times New Roman" w:hAnsi="Calibri" w:cs="Calibri"/>
                <w:color w:val="000000"/>
                <w:sz w:val="18"/>
                <w:szCs w:val="18"/>
                <w:lang w:eastAsia="en-NZ"/>
              </w:rPr>
              <w:t xml:space="preserve"> at al.</w:t>
            </w:r>
            <w:r w:rsidRPr="00CF4990">
              <w:rPr>
                <w:rFonts w:ascii="Calibri" w:eastAsia="Times New Roman" w:hAnsi="Calibri" w:cs="Calibri"/>
                <w:color w:val="000000"/>
                <w:sz w:val="18"/>
                <w:szCs w:val="18"/>
                <w:lang w:eastAsia="en-NZ"/>
              </w:rPr>
              <w:t xml:space="preserve"> (2019)</w:t>
            </w:r>
          </w:p>
        </w:tc>
        <w:tc>
          <w:tcPr>
            <w:tcW w:w="644" w:type="pct"/>
            <w:noWrap/>
            <w:hideMark/>
          </w:tcPr>
          <w:p w14:paraId="704E6E45" w14:textId="77777777" w:rsidR="00FC09B7" w:rsidRPr="00CF4990" w:rsidRDefault="00FC09B7" w:rsidP="005866B2">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xml:space="preserve">Trento </w:t>
            </w:r>
          </w:p>
        </w:tc>
        <w:tc>
          <w:tcPr>
            <w:tcW w:w="468" w:type="pct"/>
            <w:noWrap/>
            <w:hideMark/>
          </w:tcPr>
          <w:p w14:paraId="0BE9476E" w14:textId="77777777" w:rsidR="00FC09B7" w:rsidRPr="001076E3" w:rsidRDefault="00FC09B7" w:rsidP="005866B2">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hideMark/>
          </w:tcPr>
          <w:p w14:paraId="0F65EBE7" w14:textId="77777777" w:rsidR="00FC09B7" w:rsidRPr="001076E3" w:rsidRDefault="00FC09B7" w:rsidP="005866B2">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hideMark/>
          </w:tcPr>
          <w:p w14:paraId="5417C573"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8" w:type="pct"/>
            <w:noWrap/>
            <w:hideMark/>
          </w:tcPr>
          <w:p w14:paraId="2EFEA006"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tcPr>
          <w:p w14:paraId="22EE2B99"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794DD873" w14:textId="2016BA1A"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3A759E8D" w14:textId="77777777" w:rsidR="00FC09B7" w:rsidRPr="00CF4990" w:rsidRDefault="00FC09B7" w:rsidP="005866B2">
            <w:pPr>
              <w:jc w:val="center"/>
              <w:rPr>
                <w:rFonts w:ascii="Calibri" w:eastAsia="Times New Roman" w:hAnsi="Calibri" w:cs="Calibri"/>
                <w:color w:val="000000"/>
                <w:sz w:val="18"/>
                <w:szCs w:val="18"/>
                <w:lang w:eastAsia="en-NZ"/>
              </w:rPr>
            </w:pPr>
          </w:p>
        </w:tc>
      </w:tr>
      <w:tr w:rsidR="00B524B8" w:rsidRPr="00CF4990" w14:paraId="3347BA81" w14:textId="77777777" w:rsidTr="006D7719">
        <w:trPr>
          <w:trHeight w:val="300"/>
        </w:trPr>
        <w:tc>
          <w:tcPr>
            <w:tcW w:w="1075" w:type="pct"/>
            <w:noWrap/>
            <w:hideMark/>
          </w:tcPr>
          <w:p w14:paraId="1EBCBF17" w14:textId="77777777" w:rsidR="00FC09B7" w:rsidRPr="00CF4990" w:rsidRDefault="00FC09B7" w:rsidP="005866B2">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Caumo</w:t>
            </w:r>
            <w:r>
              <w:rPr>
                <w:rFonts w:ascii="Calibri" w:eastAsia="Times New Roman" w:hAnsi="Calibri" w:cs="Calibri"/>
                <w:color w:val="000000"/>
                <w:sz w:val="18"/>
                <w:szCs w:val="18"/>
                <w:lang w:eastAsia="en-NZ"/>
              </w:rPr>
              <w:t xml:space="preserve"> et al.</w:t>
            </w:r>
            <w:r w:rsidRPr="00CF4990">
              <w:rPr>
                <w:rFonts w:ascii="Calibri" w:eastAsia="Times New Roman" w:hAnsi="Calibri" w:cs="Calibri"/>
                <w:color w:val="000000"/>
                <w:sz w:val="18"/>
                <w:szCs w:val="18"/>
                <w:lang w:eastAsia="en-NZ"/>
              </w:rPr>
              <w:t xml:space="preserve"> (2018)</w:t>
            </w:r>
          </w:p>
        </w:tc>
        <w:tc>
          <w:tcPr>
            <w:tcW w:w="644" w:type="pct"/>
            <w:noWrap/>
            <w:hideMark/>
          </w:tcPr>
          <w:p w14:paraId="49FBA767" w14:textId="77777777" w:rsidR="00FC09B7" w:rsidRPr="00CF4990" w:rsidRDefault="00FC09B7" w:rsidP="005866B2">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xml:space="preserve">Verona </w:t>
            </w:r>
          </w:p>
        </w:tc>
        <w:tc>
          <w:tcPr>
            <w:tcW w:w="468" w:type="pct"/>
            <w:noWrap/>
            <w:hideMark/>
          </w:tcPr>
          <w:p w14:paraId="5651F049" w14:textId="77777777" w:rsidR="00FC09B7" w:rsidRPr="001076E3" w:rsidRDefault="00FC09B7" w:rsidP="005866B2">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hideMark/>
          </w:tcPr>
          <w:p w14:paraId="207C0081" w14:textId="77777777" w:rsidR="00FC09B7" w:rsidRPr="001076E3" w:rsidRDefault="00FC09B7" w:rsidP="005866B2">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hideMark/>
          </w:tcPr>
          <w:p w14:paraId="502C227D"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8" w:type="pct"/>
            <w:noWrap/>
            <w:hideMark/>
          </w:tcPr>
          <w:p w14:paraId="4833F624"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tcPr>
          <w:p w14:paraId="1B123530"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0C76B007" w14:textId="260B503F"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404BB411" w14:textId="77777777" w:rsidR="00FC09B7" w:rsidRPr="00CF4990" w:rsidRDefault="00FC09B7" w:rsidP="005866B2">
            <w:pPr>
              <w:jc w:val="center"/>
              <w:rPr>
                <w:rFonts w:ascii="Calibri" w:eastAsia="Times New Roman" w:hAnsi="Calibri" w:cs="Calibri"/>
                <w:color w:val="000000"/>
                <w:sz w:val="18"/>
                <w:szCs w:val="18"/>
                <w:lang w:eastAsia="en-NZ"/>
              </w:rPr>
            </w:pPr>
          </w:p>
        </w:tc>
      </w:tr>
      <w:tr w:rsidR="00B524B8" w:rsidRPr="00CF4990" w14:paraId="6E900237" w14:textId="77777777" w:rsidTr="006D7719">
        <w:trPr>
          <w:trHeight w:val="300"/>
        </w:trPr>
        <w:tc>
          <w:tcPr>
            <w:tcW w:w="1075" w:type="pct"/>
            <w:noWrap/>
            <w:hideMark/>
          </w:tcPr>
          <w:p w14:paraId="61CAC7E5" w14:textId="77777777" w:rsidR="00FC09B7" w:rsidRPr="00CF4990" w:rsidRDefault="00FC09B7" w:rsidP="005866B2">
            <w:pPr>
              <w:rPr>
                <w:rFonts w:ascii="Calibri" w:eastAsia="Times New Roman" w:hAnsi="Calibri" w:cs="Calibri"/>
                <w:b/>
                <w:bCs/>
                <w:sz w:val="18"/>
                <w:szCs w:val="18"/>
                <w:lang w:eastAsia="en-NZ"/>
              </w:rPr>
            </w:pPr>
            <w:r w:rsidRPr="00CF4990">
              <w:rPr>
                <w:rFonts w:ascii="Calibri" w:eastAsia="Times New Roman" w:hAnsi="Calibri" w:cs="Calibri"/>
                <w:sz w:val="18"/>
                <w:szCs w:val="18"/>
                <w:lang w:eastAsia="en-NZ"/>
              </w:rPr>
              <w:t>Houssami</w:t>
            </w:r>
            <w:r>
              <w:rPr>
                <w:rFonts w:ascii="Calibri" w:eastAsia="Times New Roman" w:hAnsi="Calibri" w:cs="Calibri"/>
                <w:sz w:val="18"/>
                <w:szCs w:val="18"/>
                <w:lang w:eastAsia="en-NZ"/>
              </w:rPr>
              <w:t xml:space="preserve"> et al.</w:t>
            </w:r>
            <w:r w:rsidRPr="00CF4990">
              <w:rPr>
                <w:rFonts w:ascii="Calibri" w:eastAsia="Times New Roman" w:hAnsi="Calibri" w:cs="Calibri"/>
                <w:sz w:val="18"/>
                <w:szCs w:val="18"/>
                <w:lang w:eastAsia="en-NZ"/>
              </w:rPr>
              <w:t xml:space="preserve"> </w:t>
            </w:r>
            <w:r>
              <w:rPr>
                <w:rFonts w:ascii="Calibri" w:eastAsia="Times New Roman" w:hAnsi="Calibri" w:cs="Calibri"/>
                <w:sz w:val="18"/>
                <w:szCs w:val="18"/>
                <w:lang w:eastAsia="en-NZ"/>
              </w:rPr>
              <w:t>(</w:t>
            </w:r>
            <w:r w:rsidRPr="00CF4990">
              <w:rPr>
                <w:rFonts w:ascii="Calibri" w:eastAsia="Times New Roman" w:hAnsi="Calibri" w:cs="Calibri"/>
                <w:sz w:val="18"/>
                <w:szCs w:val="18"/>
                <w:lang w:eastAsia="en-NZ"/>
              </w:rPr>
              <w:t>2019</w:t>
            </w:r>
            <w:r>
              <w:rPr>
                <w:rFonts w:ascii="Calibri" w:eastAsia="Times New Roman" w:hAnsi="Calibri" w:cs="Calibri"/>
                <w:sz w:val="18"/>
                <w:szCs w:val="18"/>
                <w:lang w:eastAsia="en-NZ"/>
              </w:rPr>
              <w:t>)</w:t>
            </w:r>
          </w:p>
        </w:tc>
        <w:tc>
          <w:tcPr>
            <w:tcW w:w="644" w:type="pct"/>
            <w:noWrap/>
            <w:hideMark/>
          </w:tcPr>
          <w:p w14:paraId="3B637EA6" w14:textId="77777777" w:rsidR="00FC09B7" w:rsidRPr="00CF4990" w:rsidRDefault="00FC09B7" w:rsidP="005866B2">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Maroondah</w:t>
            </w:r>
          </w:p>
        </w:tc>
        <w:tc>
          <w:tcPr>
            <w:tcW w:w="468" w:type="pct"/>
            <w:noWrap/>
            <w:hideMark/>
          </w:tcPr>
          <w:p w14:paraId="72FE73B4" w14:textId="77777777" w:rsidR="00FC09B7" w:rsidRPr="001076E3" w:rsidRDefault="00FC09B7" w:rsidP="005866B2">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hideMark/>
          </w:tcPr>
          <w:p w14:paraId="26A9B295" w14:textId="77777777" w:rsidR="00FC09B7" w:rsidRPr="001076E3" w:rsidRDefault="00FC09B7" w:rsidP="005866B2">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hideMark/>
          </w:tcPr>
          <w:p w14:paraId="5734D113"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8" w:type="pct"/>
            <w:noWrap/>
            <w:hideMark/>
          </w:tcPr>
          <w:p w14:paraId="2045A2AA"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tcPr>
          <w:p w14:paraId="2731DFB1"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2A7E28A7" w14:textId="248F4409"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44EA60CA" w14:textId="77777777" w:rsidR="00FC09B7" w:rsidRPr="00CF4990" w:rsidRDefault="00FC09B7" w:rsidP="005866B2">
            <w:pPr>
              <w:jc w:val="center"/>
              <w:rPr>
                <w:rFonts w:ascii="Calibri" w:eastAsia="Times New Roman" w:hAnsi="Calibri" w:cs="Calibri"/>
                <w:color w:val="000000"/>
                <w:sz w:val="18"/>
                <w:szCs w:val="18"/>
                <w:lang w:eastAsia="en-NZ"/>
              </w:rPr>
            </w:pPr>
          </w:p>
        </w:tc>
      </w:tr>
      <w:tr w:rsidR="00B524B8" w:rsidRPr="00CF4990" w14:paraId="6DA2185E" w14:textId="77777777" w:rsidTr="006D7719">
        <w:trPr>
          <w:trHeight w:val="300"/>
        </w:trPr>
        <w:tc>
          <w:tcPr>
            <w:tcW w:w="1075" w:type="pct"/>
            <w:noWrap/>
            <w:hideMark/>
          </w:tcPr>
          <w:p w14:paraId="25B1FA35" w14:textId="77777777" w:rsidR="00FC09B7" w:rsidRPr="00CF4990" w:rsidRDefault="00FC09B7" w:rsidP="005866B2">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Romero Mart</w:t>
            </w:r>
            <w:r>
              <w:rPr>
                <w:rFonts w:ascii="Calibri" w:eastAsia="Times New Roman" w:hAnsi="Calibri" w:cs="Calibri"/>
                <w:color w:val="000000"/>
                <w:sz w:val="18"/>
                <w:szCs w:val="18"/>
                <w:lang w:eastAsia="en-NZ"/>
              </w:rPr>
              <w:t>í</w:t>
            </w:r>
            <w:r w:rsidRPr="00CF4990">
              <w:rPr>
                <w:rFonts w:ascii="Calibri" w:eastAsia="Times New Roman" w:hAnsi="Calibri" w:cs="Calibri"/>
                <w:color w:val="000000"/>
                <w:sz w:val="18"/>
                <w:szCs w:val="18"/>
                <w:lang w:eastAsia="en-NZ"/>
              </w:rPr>
              <w:t>n et al</w:t>
            </w:r>
            <w:r>
              <w:rPr>
                <w:rFonts w:ascii="Calibri" w:eastAsia="Times New Roman" w:hAnsi="Calibri" w:cs="Calibri"/>
                <w:color w:val="000000"/>
                <w:sz w:val="18"/>
                <w:szCs w:val="18"/>
                <w:lang w:eastAsia="en-NZ"/>
              </w:rPr>
              <w:t>.</w:t>
            </w:r>
            <w:r w:rsidRPr="00CF4990">
              <w:rPr>
                <w:rFonts w:ascii="Calibri" w:eastAsia="Times New Roman" w:hAnsi="Calibri" w:cs="Calibri"/>
                <w:color w:val="000000"/>
                <w:sz w:val="18"/>
                <w:szCs w:val="18"/>
                <w:lang w:eastAsia="en-NZ"/>
              </w:rPr>
              <w:t xml:space="preserve"> (2018)</w:t>
            </w:r>
          </w:p>
        </w:tc>
        <w:tc>
          <w:tcPr>
            <w:tcW w:w="644" w:type="pct"/>
            <w:noWrap/>
            <w:hideMark/>
          </w:tcPr>
          <w:p w14:paraId="37D89168" w14:textId="77777777" w:rsidR="00FC09B7" w:rsidRPr="00CF4990" w:rsidRDefault="00FC09B7" w:rsidP="005866B2">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xml:space="preserve">Cordoba </w:t>
            </w:r>
          </w:p>
        </w:tc>
        <w:tc>
          <w:tcPr>
            <w:tcW w:w="468" w:type="pct"/>
            <w:noWrap/>
            <w:hideMark/>
          </w:tcPr>
          <w:p w14:paraId="0A4F0792" w14:textId="77777777" w:rsidR="00FC09B7" w:rsidRPr="001076E3" w:rsidRDefault="00FC09B7" w:rsidP="005866B2">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hideMark/>
          </w:tcPr>
          <w:p w14:paraId="14E215C7" w14:textId="6863A0E0" w:rsidR="00FC09B7" w:rsidRPr="001076E3" w:rsidRDefault="001076E3" w:rsidP="005866B2">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hideMark/>
          </w:tcPr>
          <w:p w14:paraId="406A2D70" w14:textId="4BC48B3D" w:rsidR="00FC09B7" w:rsidRPr="00CF4990" w:rsidRDefault="00FC09B7" w:rsidP="005866B2">
            <w:pPr>
              <w:jc w:val="center"/>
              <w:rPr>
                <w:rFonts w:ascii="Calibri" w:eastAsia="Times New Roman" w:hAnsi="Calibri" w:cs="Calibri"/>
                <w:color w:val="000000"/>
                <w:sz w:val="18"/>
                <w:szCs w:val="18"/>
                <w:lang w:eastAsia="en-NZ"/>
              </w:rPr>
            </w:pPr>
          </w:p>
        </w:tc>
        <w:tc>
          <w:tcPr>
            <w:tcW w:w="468" w:type="pct"/>
            <w:noWrap/>
            <w:hideMark/>
          </w:tcPr>
          <w:p w14:paraId="445DF9BA"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tcPr>
          <w:p w14:paraId="484BBAAF"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64423ED1" w14:textId="3F5F5BA6"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5C70C77E" w14:textId="113518E8" w:rsidR="00FC09B7" w:rsidRPr="001076E3" w:rsidRDefault="001076E3" w:rsidP="001076E3">
            <w:pPr>
              <w:jc w:val="center"/>
              <w:rPr>
                <w:rFonts w:ascii="Calibri" w:eastAsia="Times New Roman" w:hAnsi="Calibri" w:cs="Calibri"/>
                <w:color w:val="000000"/>
                <w:sz w:val="14"/>
                <w:szCs w:val="14"/>
                <w:lang w:eastAsia="en-NZ"/>
              </w:rPr>
            </w:pPr>
            <w:r>
              <w:rPr>
                <w:rFonts w:ascii="Calibri" w:eastAsia="Times New Roman" w:hAnsi="Calibri" w:cs="Calibri"/>
                <w:color w:val="000000"/>
                <w:sz w:val="14"/>
                <w:szCs w:val="14"/>
                <w:lang w:eastAsia="en-NZ"/>
              </w:rPr>
              <w:t>FFDM+</w:t>
            </w:r>
            <w:r w:rsidR="00176980">
              <w:rPr>
                <w:rFonts w:ascii="Calibri" w:eastAsia="Times New Roman" w:hAnsi="Calibri" w:cs="Calibri"/>
                <w:color w:val="000000"/>
                <w:sz w:val="14"/>
                <w:szCs w:val="14"/>
                <w:lang w:eastAsia="en-NZ"/>
              </w:rPr>
              <w:t>s2DM</w:t>
            </w:r>
            <w:r>
              <w:rPr>
                <w:rFonts w:ascii="Calibri" w:eastAsia="Times New Roman" w:hAnsi="Calibri" w:cs="Calibri"/>
                <w:color w:val="000000"/>
                <w:sz w:val="14"/>
                <w:szCs w:val="14"/>
                <w:lang w:eastAsia="en-NZ"/>
              </w:rPr>
              <w:t>+DBT</w:t>
            </w:r>
          </w:p>
        </w:tc>
      </w:tr>
      <w:tr w:rsidR="00B524B8" w:rsidRPr="00CF4990" w14:paraId="238A2FD3" w14:textId="77777777" w:rsidTr="006D7719">
        <w:trPr>
          <w:trHeight w:val="300"/>
        </w:trPr>
        <w:tc>
          <w:tcPr>
            <w:tcW w:w="1075" w:type="pct"/>
            <w:noWrap/>
            <w:hideMark/>
          </w:tcPr>
          <w:p w14:paraId="7E8DC80E" w14:textId="77777777" w:rsidR="00FC09B7" w:rsidRPr="00CF4990" w:rsidRDefault="00FC09B7" w:rsidP="005866B2">
            <w:pPr>
              <w:rPr>
                <w:rFonts w:ascii="Calibri" w:eastAsia="Times New Roman" w:hAnsi="Calibri" w:cs="Calibri"/>
                <w:b/>
                <w:bCs/>
                <w:sz w:val="18"/>
                <w:szCs w:val="18"/>
                <w:lang w:eastAsia="en-NZ"/>
              </w:rPr>
            </w:pPr>
            <w:r w:rsidRPr="00CF4990">
              <w:rPr>
                <w:rFonts w:ascii="Calibri" w:eastAsia="Times New Roman" w:hAnsi="Calibri" w:cs="Calibri"/>
                <w:sz w:val="18"/>
                <w:szCs w:val="18"/>
                <w:lang w:eastAsia="en-NZ"/>
              </w:rPr>
              <w:t>Hofvind</w:t>
            </w:r>
            <w:r>
              <w:rPr>
                <w:rFonts w:ascii="Calibri" w:eastAsia="Times New Roman" w:hAnsi="Calibri" w:cs="Calibri"/>
                <w:sz w:val="18"/>
                <w:szCs w:val="18"/>
                <w:lang w:eastAsia="en-NZ"/>
              </w:rPr>
              <w:t xml:space="preserve"> et al. (</w:t>
            </w:r>
            <w:r w:rsidRPr="00CF4990">
              <w:rPr>
                <w:rFonts w:ascii="Calibri" w:eastAsia="Times New Roman" w:hAnsi="Calibri" w:cs="Calibri"/>
                <w:sz w:val="18"/>
                <w:szCs w:val="18"/>
                <w:lang w:eastAsia="en-NZ"/>
              </w:rPr>
              <w:t>2018</w:t>
            </w:r>
            <w:r>
              <w:rPr>
                <w:rFonts w:ascii="Calibri" w:eastAsia="Times New Roman" w:hAnsi="Calibri" w:cs="Calibri"/>
                <w:sz w:val="18"/>
                <w:szCs w:val="18"/>
                <w:lang w:eastAsia="en-NZ"/>
              </w:rPr>
              <w:t>)</w:t>
            </w:r>
          </w:p>
        </w:tc>
        <w:tc>
          <w:tcPr>
            <w:tcW w:w="644" w:type="pct"/>
            <w:noWrap/>
            <w:hideMark/>
          </w:tcPr>
          <w:p w14:paraId="2040AF4F" w14:textId="5025E081" w:rsidR="00FC09B7" w:rsidRPr="00CF4990" w:rsidRDefault="00FC09B7" w:rsidP="005866B2">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Norway</w:t>
            </w:r>
            <w:r w:rsidR="00FB66C8">
              <w:rPr>
                <w:rFonts w:ascii="Calibri" w:eastAsia="Times New Roman" w:hAnsi="Calibri" w:cs="Calibri"/>
                <w:color w:val="000000"/>
                <w:sz w:val="18"/>
                <w:szCs w:val="18"/>
                <w:lang w:eastAsia="en-NZ"/>
              </w:rPr>
              <w:t xml:space="preserve"> BSP</w:t>
            </w:r>
          </w:p>
        </w:tc>
        <w:tc>
          <w:tcPr>
            <w:tcW w:w="468" w:type="pct"/>
            <w:noWrap/>
            <w:hideMark/>
          </w:tcPr>
          <w:p w14:paraId="6C9224AA" w14:textId="77777777" w:rsidR="00FC09B7" w:rsidRPr="00B524B8" w:rsidRDefault="00FC09B7" w:rsidP="005866B2">
            <w:pPr>
              <w:jc w:val="center"/>
              <w:rPr>
                <w:rFonts w:ascii="Wingdings 2" w:eastAsia="Times New Roman" w:hAnsi="Wingdings 2" w:cs="Calibri"/>
                <w:b/>
                <w:bCs/>
                <w:color w:val="000000"/>
                <w:sz w:val="22"/>
                <w:lang w:eastAsia="en-NZ"/>
              </w:rPr>
            </w:pPr>
            <w:r w:rsidRPr="00B524B8">
              <w:rPr>
                <w:rFonts w:ascii="Wingdings 2" w:eastAsia="Times New Roman" w:hAnsi="Wingdings 2" w:cs="Calibri"/>
                <w:b/>
                <w:bCs/>
                <w:color w:val="000000"/>
                <w:sz w:val="22"/>
                <w:lang w:eastAsia="en-NZ"/>
              </w:rPr>
              <w:t></w:t>
            </w:r>
          </w:p>
        </w:tc>
        <w:tc>
          <w:tcPr>
            <w:tcW w:w="469" w:type="pct"/>
            <w:noWrap/>
            <w:hideMark/>
          </w:tcPr>
          <w:p w14:paraId="3D958C16" w14:textId="77777777" w:rsidR="00FC09B7" w:rsidRPr="00B524B8" w:rsidRDefault="00FC09B7" w:rsidP="005866B2">
            <w:pPr>
              <w:jc w:val="center"/>
              <w:rPr>
                <w:rFonts w:ascii="Wingdings 2" w:eastAsia="Times New Roman" w:hAnsi="Wingdings 2" w:cs="Calibri"/>
                <w:b/>
                <w:bCs/>
                <w:color w:val="000000"/>
                <w:sz w:val="22"/>
                <w:lang w:eastAsia="en-NZ"/>
              </w:rPr>
            </w:pPr>
            <w:r w:rsidRPr="00B524B8">
              <w:rPr>
                <w:rFonts w:ascii="Wingdings 2" w:eastAsia="Times New Roman" w:hAnsi="Wingdings 2" w:cs="Calibri"/>
                <w:b/>
                <w:bCs/>
                <w:color w:val="000000"/>
                <w:sz w:val="22"/>
                <w:lang w:eastAsia="en-NZ"/>
              </w:rPr>
              <w:t></w:t>
            </w:r>
          </w:p>
        </w:tc>
        <w:tc>
          <w:tcPr>
            <w:tcW w:w="469" w:type="pct"/>
            <w:noWrap/>
            <w:hideMark/>
          </w:tcPr>
          <w:p w14:paraId="2D2C0B6C"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8" w:type="pct"/>
            <w:noWrap/>
            <w:hideMark/>
          </w:tcPr>
          <w:p w14:paraId="0DBF0980"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tcPr>
          <w:p w14:paraId="355AF707" w14:textId="77777777"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74DC301D" w14:textId="1C459B13" w:rsidR="00FC09B7" w:rsidRPr="00CF4990" w:rsidRDefault="00FC09B7" w:rsidP="005866B2">
            <w:pPr>
              <w:jc w:val="center"/>
              <w:rPr>
                <w:rFonts w:ascii="Calibri" w:eastAsia="Times New Roman" w:hAnsi="Calibri" w:cs="Calibri"/>
                <w:color w:val="000000"/>
                <w:sz w:val="18"/>
                <w:szCs w:val="18"/>
                <w:lang w:eastAsia="en-NZ"/>
              </w:rPr>
            </w:pPr>
          </w:p>
        </w:tc>
        <w:tc>
          <w:tcPr>
            <w:tcW w:w="469" w:type="pct"/>
            <w:noWrap/>
            <w:hideMark/>
          </w:tcPr>
          <w:p w14:paraId="3E2EC6B7" w14:textId="77777777" w:rsidR="00FC09B7" w:rsidRPr="00CF4990" w:rsidRDefault="00FC09B7" w:rsidP="005866B2">
            <w:pPr>
              <w:jc w:val="center"/>
              <w:rPr>
                <w:rFonts w:ascii="Calibri" w:eastAsia="Times New Roman" w:hAnsi="Calibri" w:cs="Calibri"/>
                <w:color w:val="000000"/>
                <w:sz w:val="18"/>
                <w:szCs w:val="18"/>
                <w:lang w:eastAsia="en-NZ"/>
              </w:rPr>
            </w:pPr>
          </w:p>
        </w:tc>
      </w:tr>
      <w:tr w:rsidR="00B524B8" w:rsidRPr="00CF4990" w14:paraId="6F2CA430" w14:textId="77777777" w:rsidTr="006D7719">
        <w:trPr>
          <w:trHeight w:val="300"/>
        </w:trPr>
        <w:tc>
          <w:tcPr>
            <w:tcW w:w="1075" w:type="pct"/>
            <w:noWrap/>
            <w:hideMark/>
          </w:tcPr>
          <w:p w14:paraId="07598739" w14:textId="3682EFEE" w:rsidR="00B524B8" w:rsidRPr="00CF4990" w:rsidRDefault="00B524B8" w:rsidP="00B524B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Hovda et al</w:t>
            </w:r>
            <w:r w:rsidR="00176980">
              <w:rPr>
                <w:rFonts w:ascii="Calibri" w:eastAsia="Times New Roman" w:hAnsi="Calibri" w:cs="Calibri"/>
                <w:color w:val="000000"/>
                <w:sz w:val="18"/>
                <w:szCs w:val="18"/>
                <w:lang w:eastAsia="en-NZ"/>
              </w:rPr>
              <w:t>.</w:t>
            </w:r>
            <w:r w:rsidRPr="00CF4990">
              <w:rPr>
                <w:rFonts w:ascii="Calibri" w:eastAsia="Times New Roman" w:hAnsi="Calibri" w:cs="Calibri"/>
                <w:color w:val="000000"/>
                <w:sz w:val="18"/>
                <w:szCs w:val="18"/>
                <w:lang w:eastAsia="en-NZ"/>
              </w:rPr>
              <w:t xml:space="preserve"> (2019)</w:t>
            </w:r>
          </w:p>
        </w:tc>
        <w:tc>
          <w:tcPr>
            <w:tcW w:w="644" w:type="pct"/>
            <w:noWrap/>
            <w:hideMark/>
          </w:tcPr>
          <w:p w14:paraId="10A559D2" w14:textId="4CDFD9B7" w:rsidR="00B524B8" w:rsidRPr="00CF4990" w:rsidRDefault="00FB66C8" w:rsidP="00B524B8">
            <w:pPr>
              <w:rPr>
                <w:rFonts w:ascii="Calibri" w:eastAsia="Times New Roman" w:hAnsi="Calibri" w:cs="Calibri"/>
                <w:color w:val="000000"/>
                <w:sz w:val="18"/>
                <w:szCs w:val="18"/>
                <w:lang w:eastAsia="en-NZ"/>
              </w:rPr>
            </w:pPr>
            <w:r>
              <w:rPr>
                <w:rFonts w:ascii="Calibri" w:eastAsia="Times New Roman" w:hAnsi="Calibri" w:cs="Calibri"/>
                <w:color w:val="000000"/>
                <w:sz w:val="18"/>
                <w:szCs w:val="18"/>
                <w:lang w:eastAsia="en-NZ"/>
              </w:rPr>
              <w:t>Norway BSP</w:t>
            </w:r>
          </w:p>
        </w:tc>
        <w:tc>
          <w:tcPr>
            <w:tcW w:w="468" w:type="pct"/>
            <w:noWrap/>
            <w:hideMark/>
          </w:tcPr>
          <w:p w14:paraId="32738509" w14:textId="77777777" w:rsidR="00B524B8" w:rsidRPr="00B524B8" w:rsidRDefault="00B524B8" w:rsidP="00B524B8">
            <w:pPr>
              <w:jc w:val="center"/>
              <w:rPr>
                <w:rFonts w:ascii="Wingdings 2" w:eastAsia="Times New Roman" w:hAnsi="Wingdings 2" w:cs="Calibri"/>
                <w:b/>
                <w:bCs/>
                <w:color w:val="000000"/>
                <w:sz w:val="22"/>
                <w:lang w:eastAsia="en-NZ"/>
              </w:rPr>
            </w:pPr>
            <w:r w:rsidRPr="00B524B8">
              <w:rPr>
                <w:rFonts w:ascii="Wingdings 2" w:eastAsia="Times New Roman" w:hAnsi="Wingdings 2" w:cs="Calibri"/>
                <w:b/>
                <w:bCs/>
                <w:color w:val="000000"/>
                <w:sz w:val="22"/>
                <w:lang w:eastAsia="en-NZ"/>
              </w:rPr>
              <w:t></w:t>
            </w:r>
          </w:p>
        </w:tc>
        <w:tc>
          <w:tcPr>
            <w:tcW w:w="469" w:type="pct"/>
            <w:noWrap/>
            <w:hideMark/>
          </w:tcPr>
          <w:p w14:paraId="14C38982" w14:textId="77777777" w:rsidR="00B524B8" w:rsidRPr="00B524B8" w:rsidRDefault="00B524B8" w:rsidP="00B524B8">
            <w:pPr>
              <w:jc w:val="center"/>
              <w:rPr>
                <w:rFonts w:ascii="Wingdings 2" w:eastAsia="Times New Roman" w:hAnsi="Wingdings 2" w:cs="Calibri"/>
                <w:b/>
                <w:bCs/>
                <w:color w:val="000000"/>
                <w:sz w:val="22"/>
                <w:lang w:eastAsia="en-NZ"/>
              </w:rPr>
            </w:pPr>
            <w:r w:rsidRPr="00B524B8">
              <w:rPr>
                <w:rFonts w:ascii="Wingdings 2" w:eastAsia="Times New Roman" w:hAnsi="Wingdings 2" w:cs="Calibri"/>
                <w:b/>
                <w:bCs/>
                <w:color w:val="000000"/>
                <w:sz w:val="22"/>
                <w:lang w:eastAsia="en-NZ"/>
              </w:rPr>
              <w:t></w:t>
            </w:r>
          </w:p>
        </w:tc>
        <w:tc>
          <w:tcPr>
            <w:tcW w:w="469" w:type="pct"/>
            <w:noWrap/>
            <w:hideMark/>
          </w:tcPr>
          <w:p w14:paraId="2C7EEE89" w14:textId="509E8C4B" w:rsidR="00B524B8" w:rsidRPr="00CF4990" w:rsidRDefault="00B524B8" w:rsidP="00B524B8">
            <w:pPr>
              <w:jc w:val="center"/>
              <w:rPr>
                <w:rFonts w:ascii="Calibri" w:eastAsia="Times New Roman" w:hAnsi="Calibri" w:cs="Calibri"/>
                <w:color w:val="000000"/>
                <w:sz w:val="18"/>
                <w:szCs w:val="18"/>
                <w:lang w:eastAsia="en-NZ"/>
              </w:rPr>
            </w:pPr>
            <w:r w:rsidRPr="00B524B8">
              <w:rPr>
                <w:rFonts w:ascii="Wingdings 2" w:eastAsia="Times New Roman" w:hAnsi="Wingdings 2" w:cs="Calibri"/>
                <w:b/>
                <w:bCs/>
                <w:color w:val="000000"/>
                <w:sz w:val="22"/>
                <w:lang w:eastAsia="en-NZ"/>
              </w:rPr>
              <w:t></w:t>
            </w:r>
          </w:p>
        </w:tc>
        <w:tc>
          <w:tcPr>
            <w:tcW w:w="468" w:type="pct"/>
            <w:noWrap/>
            <w:hideMark/>
          </w:tcPr>
          <w:p w14:paraId="1C91BAFD" w14:textId="77777777" w:rsidR="00B524B8" w:rsidRPr="00CF4990" w:rsidRDefault="00B524B8" w:rsidP="00B524B8">
            <w:pPr>
              <w:jc w:val="center"/>
              <w:rPr>
                <w:rFonts w:ascii="Calibri" w:eastAsia="Times New Roman" w:hAnsi="Calibri" w:cs="Calibri"/>
                <w:color w:val="000000"/>
                <w:sz w:val="18"/>
                <w:szCs w:val="18"/>
                <w:lang w:eastAsia="en-NZ"/>
              </w:rPr>
            </w:pPr>
          </w:p>
        </w:tc>
        <w:tc>
          <w:tcPr>
            <w:tcW w:w="469" w:type="pct"/>
          </w:tcPr>
          <w:p w14:paraId="53FF0AB0" w14:textId="77777777" w:rsidR="00B524B8" w:rsidRPr="00CF4990" w:rsidRDefault="00B524B8" w:rsidP="00B524B8">
            <w:pPr>
              <w:jc w:val="center"/>
              <w:rPr>
                <w:rFonts w:ascii="Wingdings 2" w:eastAsia="Times New Roman" w:hAnsi="Wingdings 2" w:cs="Calibri"/>
                <w:color w:val="000000"/>
                <w:sz w:val="18"/>
                <w:szCs w:val="18"/>
                <w:lang w:eastAsia="en-NZ"/>
              </w:rPr>
            </w:pPr>
          </w:p>
        </w:tc>
        <w:tc>
          <w:tcPr>
            <w:tcW w:w="469" w:type="pct"/>
            <w:noWrap/>
            <w:hideMark/>
          </w:tcPr>
          <w:p w14:paraId="1DBF3EC0" w14:textId="6D78F4A8" w:rsidR="00B524B8" w:rsidRPr="00CF4990" w:rsidRDefault="00B524B8" w:rsidP="00B524B8">
            <w:pPr>
              <w:rPr>
                <w:rFonts w:ascii="Wingdings 2" w:eastAsia="Times New Roman" w:hAnsi="Wingdings 2" w:cs="Calibri"/>
                <w:color w:val="000000"/>
                <w:sz w:val="18"/>
                <w:szCs w:val="18"/>
                <w:lang w:eastAsia="en-NZ"/>
              </w:rPr>
            </w:pPr>
          </w:p>
        </w:tc>
        <w:tc>
          <w:tcPr>
            <w:tcW w:w="469" w:type="pct"/>
            <w:noWrap/>
            <w:hideMark/>
          </w:tcPr>
          <w:p w14:paraId="4CD70020" w14:textId="77777777" w:rsidR="00B524B8" w:rsidRPr="00CF4990" w:rsidRDefault="00B524B8" w:rsidP="00B524B8">
            <w:pPr>
              <w:jc w:val="center"/>
              <w:rPr>
                <w:rFonts w:ascii="Calibri" w:eastAsia="Times New Roman" w:hAnsi="Calibri" w:cs="Calibri"/>
                <w:color w:val="000000"/>
                <w:sz w:val="18"/>
                <w:szCs w:val="18"/>
                <w:lang w:eastAsia="en-NZ"/>
              </w:rPr>
            </w:pPr>
          </w:p>
        </w:tc>
      </w:tr>
      <w:tr w:rsidR="00FB66C8" w:rsidRPr="00CF4990" w14:paraId="3B665C66" w14:textId="77777777" w:rsidTr="006D7719">
        <w:trPr>
          <w:trHeight w:val="300"/>
        </w:trPr>
        <w:tc>
          <w:tcPr>
            <w:tcW w:w="1075" w:type="pct"/>
            <w:noWrap/>
          </w:tcPr>
          <w:p w14:paraId="30BC4386" w14:textId="2DAA3C06" w:rsidR="00FB66C8" w:rsidRPr="00CF4990" w:rsidRDefault="00FB66C8" w:rsidP="00FB66C8">
            <w:pPr>
              <w:rPr>
                <w:rFonts w:ascii="Calibri" w:eastAsia="Times New Roman" w:hAnsi="Calibri" w:cs="Calibri"/>
                <w:color w:val="000000"/>
                <w:sz w:val="18"/>
                <w:szCs w:val="18"/>
                <w:lang w:eastAsia="en-NZ"/>
              </w:rPr>
            </w:pPr>
            <w:r>
              <w:rPr>
                <w:rFonts w:ascii="Calibri" w:eastAsia="Times New Roman" w:hAnsi="Calibri" w:cs="Calibri"/>
                <w:color w:val="000000"/>
                <w:sz w:val="18"/>
                <w:szCs w:val="18"/>
                <w:lang w:eastAsia="en-NZ"/>
              </w:rPr>
              <w:t>Lai et al. (2018)</w:t>
            </w:r>
          </w:p>
        </w:tc>
        <w:tc>
          <w:tcPr>
            <w:tcW w:w="644" w:type="pct"/>
            <w:noWrap/>
          </w:tcPr>
          <w:p w14:paraId="41773F00" w14:textId="77777777" w:rsidR="00FB66C8" w:rsidRPr="00CF4990" w:rsidRDefault="00FB66C8" w:rsidP="00FB66C8">
            <w:pPr>
              <w:rPr>
                <w:rFonts w:ascii="Calibri" w:eastAsia="Times New Roman" w:hAnsi="Calibri" w:cs="Calibri"/>
                <w:color w:val="000000"/>
                <w:sz w:val="18"/>
                <w:szCs w:val="18"/>
                <w:lang w:eastAsia="en-NZ"/>
              </w:rPr>
            </w:pPr>
          </w:p>
        </w:tc>
        <w:tc>
          <w:tcPr>
            <w:tcW w:w="468" w:type="pct"/>
            <w:noWrap/>
          </w:tcPr>
          <w:p w14:paraId="16B8BC3E" w14:textId="1C751202" w:rsidR="00FB66C8" w:rsidRPr="00B524B8" w:rsidRDefault="00FB66C8" w:rsidP="00FB66C8">
            <w:pPr>
              <w:jc w:val="center"/>
              <w:rPr>
                <w:rFonts w:ascii="Wingdings 2" w:eastAsia="Times New Roman" w:hAnsi="Wingdings 2" w:cs="Calibri"/>
                <w:b/>
                <w:bCs/>
                <w:color w:val="000000"/>
                <w:lang w:eastAsia="en-NZ"/>
              </w:rPr>
            </w:pPr>
            <w:r w:rsidRPr="00B524B8">
              <w:rPr>
                <w:rFonts w:ascii="Wingdings 2" w:eastAsia="Times New Roman" w:hAnsi="Wingdings 2" w:cs="Calibri"/>
                <w:b/>
                <w:bCs/>
                <w:color w:val="000000"/>
                <w:sz w:val="22"/>
                <w:lang w:eastAsia="en-NZ"/>
              </w:rPr>
              <w:t></w:t>
            </w:r>
          </w:p>
        </w:tc>
        <w:tc>
          <w:tcPr>
            <w:tcW w:w="469" w:type="pct"/>
            <w:noWrap/>
          </w:tcPr>
          <w:p w14:paraId="481A56D0" w14:textId="52408555" w:rsidR="00FB66C8" w:rsidRPr="00B524B8" w:rsidRDefault="00FB66C8" w:rsidP="00FB66C8">
            <w:pPr>
              <w:jc w:val="center"/>
              <w:rPr>
                <w:rFonts w:ascii="Wingdings 2" w:eastAsia="Times New Roman" w:hAnsi="Wingdings 2" w:cs="Calibri"/>
                <w:b/>
                <w:bCs/>
                <w:color w:val="000000"/>
                <w:lang w:eastAsia="en-NZ"/>
              </w:rPr>
            </w:pPr>
            <w:r w:rsidRPr="00B524B8">
              <w:rPr>
                <w:rFonts w:ascii="Wingdings 2" w:eastAsia="Times New Roman" w:hAnsi="Wingdings 2" w:cs="Calibri"/>
                <w:b/>
                <w:bCs/>
                <w:color w:val="000000"/>
                <w:sz w:val="22"/>
                <w:lang w:eastAsia="en-NZ"/>
              </w:rPr>
              <w:t></w:t>
            </w:r>
          </w:p>
        </w:tc>
        <w:tc>
          <w:tcPr>
            <w:tcW w:w="469" w:type="pct"/>
            <w:noWrap/>
          </w:tcPr>
          <w:p w14:paraId="35813D8F" w14:textId="77777777" w:rsidR="00FB66C8" w:rsidRPr="00B524B8" w:rsidRDefault="00FB66C8" w:rsidP="00FB66C8">
            <w:pPr>
              <w:jc w:val="center"/>
              <w:rPr>
                <w:rFonts w:ascii="Wingdings 2" w:eastAsia="Times New Roman" w:hAnsi="Wingdings 2" w:cs="Calibri"/>
                <w:b/>
                <w:bCs/>
                <w:color w:val="000000"/>
                <w:lang w:eastAsia="en-NZ"/>
              </w:rPr>
            </w:pPr>
          </w:p>
        </w:tc>
        <w:tc>
          <w:tcPr>
            <w:tcW w:w="468" w:type="pct"/>
            <w:noWrap/>
          </w:tcPr>
          <w:p w14:paraId="3A23622E"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7A7A4045" w14:textId="77777777" w:rsidR="00FB66C8" w:rsidRPr="00CF4990" w:rsidRDefault="00FB66C8" w:rsidP="00FB66C8">
            <w:pPr>
              <w:jc w:val="center"/>
              <w:rPr>
                <w:rFonts w:ascii="Wingdings 2" w:eastAsia="Times New Roman" w:hAnsi="Wingdings 2" w:cs="Calibri"/>
                <w:color w:val="000000"/>
                <w:sz w:val="18"/>
                <w:szCs w:val="18"/>
                <w:lang w:eastAsia="en-NZ"/>
              </w:rPr>
            </w:pPr>
          </w:p>
        </w:tc>
        <w:tc>
          <w:tcPr>
            <w:tcW w:w="469" w:type="pct"/>
            <w:noWrap/>
          </w:tcPr>
          <w:p w14:paraId="3F0094CC" w14:textId="77777777" w:rsidR="00FB66C8" w:rsidRPr="00CF4990" w:rsidRDefault="00FB66C8" w:rsidP="00FB66C8">
            <w:pPr>
              <w:rPr>
                <w:rFonts w:ascii="Wingdings 2" w:eastAsia="Times New Roman" w:hAnsi="Wingdings 2" w:cs="Calibri"/>
                <w:color w:val="000000"/>
                <w:sz w:val="18"/>
                <w:szCs w:val="18"/>
                <w:lang w:eastAsia="en-NZ"/>
              </w:rPr>
            </w:pPr>
          </w:p>
        </w:tc>
        <w:tc>
          <w:tcPr>
            <w:tcW w:w="469" w:type="pct"/>
            <w:noWrap/>
          </w:tcPr>
          <w:p w14:paraId="14592829"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05472A63" w14:textId="77777777" w:rsidTr="006D7719">
        <w:trPr>
          <w:trHeight w:val="300"/>
        </w:trPr>
        <w:tc>
          <w:tcPr>
            <w:tcW w:w="1075" w:type="pct"/>
            <w:noWrap/>
            <w:hideMark/>
          </w:tcPr>
          <w:p w14:paraId="1EA3BA1A"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Pattacini et al</w:t>
            </w:r>
            <w:r>
              <w:rPr>
                <w:rFonts w:ascii="Calibri" w:eastAsia="Times New Roman" w:hAnsi="Calibri" w:cs="Calibri"/>
                <w:color w:val="000000"/>
                <w:sz w:val="18"/>
                <w:szCs w:val="18"/>
                <w:lang w:eastAsia="en-NZ"/>
              </w:rPr>
              <w:t>.</w:t>
            </w:r>
            <w:r w:rsidRPr="00CF4990">
              <w:rPr>
                <w:rFonts w:ascii="Calibri" w:eastAsia="Times New Roman" w:hAnsi="Calibri" w:cs="Calibri"/>
                <w:color w:val="000000"/>
                <w:sz w:val="18"/>
                <w:szCs w:val="18"/>
                <w:lang w:eastAsia="en-NZ"/>
              </w:rPr>
              <w:t xml:space="preserve"> (2018)</w:t>
            </w:r>
          </w:p>
        </w:tc>
        <w:tc>
          <w:tcPr>
            <w:tcW w:w="644" w:type="pct"/>
            <w:noWrap/>
            <w:hideMark/>
          </w:tcPr>
          <w:p w14:paraId="0A274A3F" w14:textId="77777777"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Reggio Emilia</w:t>
            </w:r>
          </w:p>
        </w:tc>
        <w:tc>
          <w:tcPr>
            <w:tcW w:w="468" w:type="pct"/>
            <w:noWrap/>
            <w:hideMark/>
          </w:tcPr>
          <w:p w14:paraId="2057FB5A"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9" w:type="pct"/>
            <w:noWrap/>
            <w:hideMark/>
          </w:tcPr>
          <w:p w14:paraId="6A526277" w14:textId="77777777" w:rsidR="00FB66C8" w:rsidRPr="00B76E92" w:rsidRDefault="00FB66C8" w:rsidP="00FB66C8">
            <w:pPr>
              <w:jc w:val="center"/>
              <w:rPr>
                <w:rFonts w:ascii="Calibri" w:eastAsia="Times New Roman" w:hAnsi="Calibri" w:cs="Calibri"/>
                <w:b/>
                <w:bCs/>
                <w:color w:val="000000"/>
                <w:sz w:val="22"/>
                <w:lang w:eastAsia="en-NZ"/>
              </w:rPr>
            </w:pPr>
          </w:p>
        </w:tc>
        <w:tc>
          <w:tcPr>
            <w:tcW w:w="469" w:type="pct"/>
            <w:noWrap/>
            <w:hideMark/>
          </w:tcPr>
          <w:p w14:paraId="759866F7"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8" w:type="pct"/>
            <w:noWrap/>
            <w:hideMark/>
          </w:tcPr>
          <w:p w14:paraId="72B2F59B"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00419ECB"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56854075" w14:textId="7A49E776"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510699CD"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01F0D2CB" w14:textId="77777777" w:rsidTr="006D7719">
        <w:trPr>
          <w:trHeight w:val="300"/>
        </w:trPr>
        <w:tc>
          <w:tcPr>
            <w:tcW w:w="1075" w:type="pct"/>
            <w:noWrap/>
          </w:tcPr>
          <w:p w14:paraId="4FAD6C69" w14:textId="252DB6DF" w:rsidR="00FB66C8" w:rsidRPr="00CF4990" w:rsidRDefault="00FB66C8" w:rsidP="00FB66C8">
            <w:pPr>
              <w:rPr>
                <w:rFonts w:ascii="Calibri" w:eastAsia="Times New Roman" w:hAnsi="Calibri" w:cs="Calibri"/>
                <w:color w:val="000000"/>
                <w:sz w:val="18"/>
                <w:szCs w:val="18"/>
                <w:lang w:eastAsia="en-NZ"/>
              </w:rPr>
            </w:pPr>
            <w:r>
              <w:rPr>
                <w:rFonts w:ascii="Calibri" w:eastAsia="Times New Roman" w:hAnsi="Calibri" w:cs="Calibri"/>
                <w:color w:val="000000"/>
                <w:sz w:val="18"/>
                <w:szCs w:val="18"/>
                <w:lang w:eastAsia="en-NZ"/>
              </w:rPr>
              <w:t>Houssami et al. (2018)</w:t>
            </w:r>
          </w:p>
        </w:tc>
        <w:tc>
          <w:tcPr>
            <w:tcW w:w="644" w:type="pct"/>
            <w:noWrap/>
          </w:tcPr>
          <w:p w14:paraId="4B24D61B" w14:textId="5765F3E6" w:rsidR="00FB66C8" w:rsidRPr="00CF4990" w:rsidRDefault="00FB66C8" w:rsidP="00FB66C8">
            <w:pPr>
              <w:rPr>
                <w:rFonts w:ascii="Calibri" w:eastAsia="Times New Roman" w:hAnsi="Calibri" w:cs="Calibri"/>
                <w:color w:val="000000"/>
                <w:sz w:val="18"/>
                <w:szCs w:val="18"/>
                <w:lang w:eastAsia="en-NZ"/>
              </w:rPr>
            </w:pPr>
            <w:r>
              <w:rPr>
                <w:rFonts w:ascii="Calibri" w:eastAsia="Times New Roman" w:hAnsi="Calibri" w:cs="Calibri"/>
                <w:color w:val="000000"/>
                <w:sz w:val="18"/>
                <w:szCs w:val="18"/>
                <w:lang w:eastAsia="en-NZ"/>
              </w:rPr>
              <w:t>STORM</w:t>
            </w:r>
          </w:p>
        </w:tc>
        <w:tc>
          <w:tcPr>
            <w:tcW w:w="468" w:type="pct"/>
            <w:noWrap/>
          </w:tcPr>
          <w:p w14:paraId="5F369B1B" w14:textId="5083B6FB" w:rsidR="00FB66C8" w:rsidRPr="001076E3" w:rsidRDefault="00FB66C8" w:rsidP="00FB66C8">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9" w:type="pct"/>
            <w:noWrap/>
          </w:tcPr>
          <w:p w14:paraId="4CE937B8" w14:textId="77777777" w:rsidR="00FB66C8" w:rsidRPr="001076E3" w:rsidRDefault="00FB66C8" w:rsidP="00FB66C8">
            <w:pPr>
              <w:jc w:val="center"/>
              <w:rPr>
                <w:rFonts w:ascii="Calibri" w:eastAsia="Times New Roman" w:hAnsi="Calibri" w:cs="Calibri"/>
                <w:b/>
                <w:bCs/>
                <w:color w:val="000000"/>
                <w:sz w:val="22"/>
                <w:lang w:eastAsia="en-NZ"/>
              </w:rPr>
            </w:pPr>
          </w:p>
        </w:tc>
        <w:tc>
          <w:tcPr>
            <w:tcW w:w="469" w:type="pct"/>
            <w:noWrap/>
          </w:tcPr>
          <w:p w14:paraId="2A0B70AD" w14:textId="680F94DF" w:rsidR="00FB66C8" w:rsidRPr="001076E3" w:rsidRDefault="00FB66C8" w:rsidP="00FB66C8">
            <w:pPr>
              <w:jc w:val="center"/>
              <w:rPr>
                <w:rFonts w:ascii="Wingdings 2" w:eastAsia="Times New Roman" w:hAnsi="Wingdings 2" w:cs="Calibri"/>
                <w:b/>
                <w:bCs/>
                <w:color w:val="000000"/>
                <w:sz w:val="22"/>
                <w:lang w:eastAsia="en-NZ"/>
              </w:rPr>
            </w:pPr>
            <w:r w:rsidRPr="001076E3">
              <w:rPr>
                <w:rFonts w:ascii="Wingdings 2" w:eastAsia="Times New Roman" w:hAnsi="Wingdings 2" w:cs="Calibri"/>
                <w:b/>
                <w:bCs/>
                <w:color w:val="000000"/>
                <w:sz w:val="22"/>
                <w:lang w:eastAsia="en-NZ"/>
              </w:rPr>
              <w:t></w:t>
            </w:r>
          </w:p>
        </w:tc>
        <w:tc>
          <w:tcPr>
            <w:tcW w:w="468" w:type="pct"/>
            <w:noWrap/>
          </w:tcPr>
          <w:p w14:paraId="13EE66BB"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3BE7CB28"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tcPr>
          <w:p w14:paraId="4669925A"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tcPr>
          <w:p w14:paraId="5B2051D9"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3BD7C63B" w14:textId="77777777" w:rsidTr="006D7719">
        <w:trPr>
          <w:trHeight w:val="300"/>
        </w:trPr>
        <w:tc>
          <w:tcPr>
            <w:tcW w:w="1075" w:type="pct"/>
            <w:noWrap/>
            <w:hideMark/>
          </w:tcPr>
          <w:p w14:paraId="1631D46F"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Skaane</w:t>
            </w:r>
            <w:r>
              <w:rPr>
                <w:rFonts w:ascii="Calibri" w:eastAsia="Times New Roman" w:hAnsi="Calibri" w:cs="Calibri"/>
                <w:color w:val="000000"/>
                <w:sz w:val="18"/>
                <w:szCs w:val="18"/>
                <w:lang w:eastAsia="en-NZ"/>
              </w:rPr>
              <w:t xml:space="preserve"> et al.</w:t>
            </w:r>
            <w:r w:rsidRPr="00CF4990">
              <w:rPr>
                <w:rFonts w:ascii="Calibri" w:eastAsia="Times New Roman" w:hAnsi="Calibri" w:cs="Calibri"/>
                <w:color w:val="000000"/>
                <w:sz w:val="18"/>
                <w:szCs w:val="18"/>
                <w:lang w:eastAsia="en-NZ"/>
              </w:rPr>
              <w:t xml:space="preserve"> (2019)</w:t>
            </w:r>
            <w:r>
              <w:rPr>
                <w:rFonts w:ascii="Calibri" w:eastAsia="Times New Roman" w:hAnsi="Calibri" w:cs="Calibri"/>
                <w:color w:val="000000"/>
                <w:sz w:val="18"/>
                <w:szCs w:val="18"/>
                <w:lang w:eastAsia="en-NZ"/>
              </w:rPr>
              <w:t>; Østerås et al. (2018); Skaane et al. (2018)</w:t>
            </w:r>
          </w:p>
        </w:tc>
        <w:tc>
          <w:tcPr>
            <w:tcW w:w="644" w:type="pct"/>
            <w:noWrap/>
            <w:hideMark/>
          </w:tcPr>
          <w:p w14:paraId="10AF7035" w14:textId="16C93A36" w:rsidR="00FB66C8" w:rsidRPr="00CF4990" w:rsidRDefault="00285D7E" w:rsidP="00FB66C8">
            <w:pPr>
              <w:rPr>
                <w:rFonts w:ascii="Calibri" w:eastAsia="Times New Roman" w:hAnsi="Calibri" w:cs="Calibri"/>
                <w:color w:val="000000"/>
                <w:sz w:val="18"/>
                <w:szCs w:val="18"/>
                <w:lang w:eastAsia="en-NZ"/>
              </w:rPr>
            </w:pPr>
            <w:r>
              <w:rPr>
                <w:rFonts w:ascii="Calibri" w:eastAsia="Times New Roman" w:hAnsi="Calibri" w:cs="Calibri"/>
                <w:color w:val="000000"/>
                <w:sz w:val="18"/>
                <w:szCs w:val="18"/>
                <w:lang w:eastAsia="en-NZ"/>
              </w:rPr>
              <w:t>OTS</w:t>
            </w:r>
            <w:r w:rsidR="00FB66C8" w:rsidRPr="00CF4990">
              <w:rPr>
                <w:rFonts w:ascii="Calibri" w:eastAsia="Times New Roman" w:hAnsi="Calibri" w:cs="Calibri"/>
                <w:color w:val="000000"/>
                <w:sz w:val="18"/>
                <w:szCs w:val="18"/>
                <w:lang w:eastAsia="en-NZ"/>
              </w:rPr>
              <w:t xml:space="preserve"> </w:t>
            </w:r>
          </w:p>
        </w:tc>
        <w:tc>
          <w:tcPr>
            <w:tcW w:w="468" w:type="pct"/>
            <w:noWrap/>
            <w:hideMark/>
          </w:tcPr>
          <w:p w14:paraId="3570587A"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9" w:type="pct"/>
            <w:noWrap/>
            <w:hideMark/>
          </w:tcPr>
          <w:p w14:paraId="31FF1524"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9" w:type="pct"/>
            <w:noWrap/>
            <w:hideMark/>
          </w:tcPr>
          <w:p w14:paraId="21DAD13C"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8" w:type="pct"/>
            <w:noWrap/>
            <w:hideMark/>
          </w:tcPr>
          <w:p w14:paraId="6299A564"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68DD9DDC" w14:textId="77777777" w:rsidR="00FB66C8" w:rsidRPr="00CF4990" w:rsidRDefault="00FB66C8" w:rsidP="00FB66C8">
            <w:pPr>
              <w:jc w:val="center"/>
              <w:rPr>
                <w:rFonts w:ascii="Wingdings 2" w:eastAsia="Times New Roman" w:hAnsi="Wingdings 2" w:cs="Calibri"/>
                <w:color w:val="000000"/>
                <w:sz w:val="18"/>
                <w:szCs w:val="18"/>
                <w:lang w:eastAsia="en-NZ"/>
              </w:rPr>
            </w:pPr>
          </w:p>
        </w:tc>
        <w:tc>
          <w:tcPr>
            <w:tcW w:w="469" w:type="pct"/>
            <w:noWrap/>
            <w:hideMark/>
          </w:tcPr>
          <w:p w14:paraId="3B6AC8D1" w14:textId="70758E36" w:rsidR="00FB66C8" w:rsidRPr="00CF4990" w:rsidRDefault="00FB66C8" w:rsidP="00FB66C8">
            <w:pPr>
              <w:jc w:val="center"/>
              <w:rPr>
                <w:rFonts w:ascii="Calibri" w:eastAsia="Times New Roman" w:hAnsi="Calibri" w:cs="Calibri"/>
                <w:color w:val="000000"/>
                <w:sz w:val="18"/>
                <w:szCs w:val="18"/>
                <w:lang w:eastAsia="en-NZ"/>
              </w:rPr>
            </w:pPr>
            <w:r w:rsidRPr="00CF4990">
              <w:rPr>
                <w:rFonts w:ascii="Wingdings 2" w:eastAsia="Times New Roman" w:hAnsi="Wingdings 2" w:cs="Calibri"/>
                <w:color w:val="000000"/>
                <w:sz w:val="18"/>
                <w:szCs w:val="18"/>
                <w:lang w:eastAsia="en-NZ"/>
              </w:rPr>
              <w:t></w:t>
            </w:r>
          </w:p>
        </w:tc>
        <w:tc>
          <w:tcPr>
            <w:tcW w:w="469" w:type="pct"/>
            <w:noWrap/>
            <w:hideMark/>
          </w:tcPr>
          <w:p w14:paraId="5F31897D" w14:textId="77777777" w:rsidR="00FB66C8" w:rsidRDefault="00FB66C8" w:rsidP="00FB66C8">
            <w:pPr>
              <w:jc w:val="center"/>
              <w:rPr>
                <w:rFonts w:ascii="Calibri" w:eastAsia="Times New Roman" w:hAnsi="Calibri" w:cs="Calibri"/>
                <w:color w:val="000000"/>
                <w:sz w:val="14"/>
                <w:szCs w:val="14"/>
                <w:lang w:eastAsia="en-NZ"/>
              </w:rPr>
            </w:pPr>
            <w:r w:rsidRPr="00B76E92">
              <w:rPr>
                <w:rFonts w:ascii="Calibri" w:eastAsia="Times New Roman" w:hAnsi="Calibri" w:cs="Calibri"/>
                <w:color w:val="000000"/>
                <w:sz w:val="14"/>
                <w:szCs w:val="14"/>
                <w:lang w:eastAsia="en-NZ"/>
              </w:rPr>
              <w:t>CAD</w:t>
            </w:r>
          </w:p>
          <w:p w14:paraId="2C35C0BE" w14:textId="77777777" w:rsidR="00FB66C8" w:rsidRDefault="00FB66C8" w:rsidP="00FB66C8">
            <w:pPr>
              <w:rPr>
                <w:rFonts w:ascii="Calibri" w:eastAsia="Times New Roman" w:hAnsi="Calibri" w:cs="Calibri"/>
                <w:color w:val="000000"/>
                <w:sz w:val="14"/>
                <w:szCs w:val="14"/>
                <w:lang w:eastAsia="en-NZ"/>
              </w:rPr>
            </w:pPr>
          </w:p>
          <w:p w14:paraId="3F4AE5BA" w14:textId="77777777" w:rsidR="00FB66C8" w:rsidRDefault="00FB66C8" w:rsidP="00FB66C8">
            <w:pPr>
              <w:rPr>
                <w:rFonts w:ascii="Calibri" w:eastAsia="Times New Roman" w:hAnsi="Calibri" w:cs="Calibri"/>
                <w:color w:val="000000"/>
                <w:sz w:val="14"/>
                <w:szCs w:val="14"/>
                <w:lang w:eastAsia="en-NZ"/>
              </w:rPr>
            </w:pPr>
          </w:p>
          <w:p w14:paraId="0AA6CB74" w14:textId="25300C0C" w:rsidR="00FB66C8" w:rsidRPr="00FB66C8" w:rsidRDefault="00FB66C8" w:rsidP="00FB66C8">
            <w:pPr>
              <w:rPr>
                <w:rFonts w:ascii="Calibri" w:eastAsia="Times New Roman" w:hAnsi="Calibri" w:cs="Calibri"/>
                <w:sz w:val="14"/>
                <w:szCs w:val="14"/>
                <w:lang w:eastAsia="en-NZ"/>
              </w:rPr>
            </w:pPr>
          </w:p>
        </w:tc>
      </w:tr>
      <w:tr w:rsidR="00FB66C8" w:rsidRPr="00CF4990" w14:paraId="6F2F9A8B" w14:textId="77777777" w:rsidTr="006D7719">
        <w:trPr>
          <w:trHeight w:val="300"/>
        </w:trPr>
        <w:tc>
          <w:tcPr>
            <w:tcW w:w="1075" w:type="pct"/>
            <w:noWrap/>
            <w:hideMark/>
          </w:tcPr>
          <w:p w14:paraId="5FDC9BE6"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Conant</w:t>
            </w:r>
            <w:r>
              <w:rPr>
                <w:rFonts w:ascii="Calibri" w:eastAsia="Times New Roman" w:hAnsi="Calibri" w:cs="Calibri"/>
                <w:color w:val="000000"/>
                <w:sz w:val="18"/>
                <w:szCs w:val="18"/>
                <w:lang w:eastAsia="en-NZ"/>
              </w:rPr>
              <w:t xml:space="preserve"> et al.</w:t>
            </w:r>
            <w:r w:rsidRPr="00CF4990">
              <w:rPr>
                <w:rFonts w:ascii="Calibri" w:eastAsia="Times New Roman" w:hAnsi="Calibri" w:cs="Calibri"/>
                <w:color w:val="000000"/>
                <w:sz w:val="18"/>
                <w:szCs w:val="18"/>
                <w:lang w:eastAsia="en-NZ"/>
              </w:rPr>
              <w:t xml:space="preserve"> (2018)</w:t>
            </w:r>
          </w:p>
        </w:tc>
        <w:tc>
          <w:tcPr>
            <w:tcW w:w="644" w:type="pct"/>
            <w:noWrap/>
            <w:hideMark/>
          </w:tcPr>
          <w:p w14:paraId="2D55B7EC" w14:textId="77777777"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xml:space="preserve">PROSPR </w:t>
            </w:r>
          </w:p>
        </w:tc>
        <w:tc>
          <w:tcPr>
            <w:tcW w:w="468" w:type="pct"/>
            <w:noWrap/>
            <w:hideMark/>
          </w:tcPr>
          <w:p w14:paraId="4C7DABC1"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9" w:type="pct"/>
            <w:noWrap/>
            <w:hideMark/>
          </w:tcPr>
          <w:p w14:paraId="0C32EED9" w14:textId="77777777" w:rsidR="00FB66C8" w:rsidRPr="00B76E92" w:rsidRDefault="00FB66C8" w:rsidP="00FB66C8">
            <w:pPr>
              <w:jc w:val="center"/>
              <w:rPr>
                <w:rFonts w:ascii="Calibri" w:eastAsia="Times New Roman" w:hAnsi="Calibri" w:cs="Calibri"/>
                <w:b/>
                <w:bCs/>
                <w:color w:val="000000"/>
                <w:sz w:val="22"/>
                <w:lang w:eastAsia="en-NZ"/>
              </w:rPr>
            </w:pPr>
          </w:p>
        </w:tc>
        <w:tc>
          <w:tcPr>
            <w:tcW w:w="469" w:type="pct"/>
            <w:noWrap/>
            <w:hideMark/>
          </w:tcPr>
          <w:p w14:paraId="1901A53F"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8" w:type="pct"/>
            <w:noWrap/>
            <w:hideMark/>
          </w:tcPr>
          <w:p w14:paraId="6F2D0E04"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6075DD37"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2E7FAF22" w14:textId="18FDECE5"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736E729B"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3B88ADEE" w14:textId="77777777" w:rsidTr="006D7719">
        <w:trPr>
          <w:trHeight w:val="300"/>
        </w:trPr>
        <w:tc>
          <w:tcPr>
            <w:tcW w:w="1075" w:type="pct"/>
            <w:noWrap/>
            <w:hideMark/>
          </w:tcPr>
          <w:p w14:paraId="1048B89D"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Rose &amp; Shisler (2018)</w:t>
            </w:r>
          </w:p>
        </w:tc>
        <w:tc>
          <w:tcPr>
            <w:tcW w:w="644" w:type="pct"/>
            <w:noWrap/>
            <w:hideMark/>
          </w:tcPr>
          <w:p w14:paraId="50DF2B16" w14:textId="02883D22"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w:t>
            </w:r>
            <w:r>
              <w:rPr>
                <w:rFonts w:ascii="Calibri" w:eastAsia="Times New Roman" w:hAnsi="Calibri" w:cs="Calibri"/>
                <w:color w:val="000000"/>
                <w:sz w:val="18"/>
                <w:szCs w:val="18"/>
                <w:lang w:eastAsia="en-NZ"/>
              </w:rPr>
              <w:t>31 US sites</w:t>
            </w:r>
          </w:p>
        </w:tc>
        <w:tc>
          <w:tcPr>
            <w:tcW w:w="468" w:type="pct"/>
            <w:noWrap/>
            <w:hideMark/>
          </w:tcPr>
          <w:p w14:paraId="1C84D2D8"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9" w:type="pct"/>
            <w:noWrap/>
            <w:hideMark/>
          </w:tcPr>
          <w:p w14:paraId="2E9978DE" w14:textId="77777777" w:rsidR="00FB66C8" w:rsidRPr="00B76E92" w:rsidRDefault="00FB66C8" w:rsidP="00FB66C8">
            <w:pPr>
              <w:jc w:val="center"/>
              <w:rPr>
                <w:rFonts w:ascii="Calibri" w:eastAsia="Times New Roman" w:hAnsi="Calibri" w:cs="Calibri"/>
                <w:b/>
                <w:bCs/>
                <w:color w:val="000000"/>
                <w:sz w:val="22"/>
                <w:lang w:eastAsia="en-NZ"/>
              </w:rPr>
            </w:pPr>
          </w:p>
        </w:tc>
        <w:tc>
          <w:tcPr>
            <w:tcW w:w="469" w:type="pct"/>
            <w:noWrap/>
            <w:hideMark/>
          </w:tcPr>
          <w:p w14:paraId="50BEB2AA"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8" w:type="pct"/>
            <w:noWrap/>
            <w:hideMark/>
          </w:tcPr>
          <w:p w14:paraId="3ED911AE"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36E7AA7B"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28880599" w14:textId="24B46086"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054B79B4"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3636C69E" w14:textId="77777777" w:rsidTr="006D7719">
        <w:trPr>
          <w:trHeight w:val="300"/>
        </w:trPr>
        <w:tc>
          <w:tcPr>
            <w:tcW w:w="1075" w:type="pct"/>
            <w:noWrap/>
            <w:hideMark/>
          </w:tcPr>
          <w:p w14:paraId="05855E81"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Bahl</w:t>
            </w:r>
            <w:r>
              <w:rPr>
                <w:rFonts w:ascii="Calibri" w:eastAsia="Times New Roman" w:hAnsi="Calibri" w:cs="Calibri"/>
                <w:color w:val="000000"/>
                <w:sz w:val="18"/>
                <w:szCs w:val="18"/>
                <w:lang w:eastAsia="en-NZ"/>
              </w:rPr>
              <w:t xml:space="preserve"> et al.</w:t>
            </w:r>
            <w:r w:rsidRPr="00CF4990">
              <w:rPr>
                <w:rFonts w:ascii="Calibri" w:eastAsia="Times New Roman" w:hAnsi="Calibri" w:cs="Calibri"/>
                <w:color w:val="000000"/>
                <w:sz w:val="18"/>
                <w:szCs w:val="18"/>
                <w:lang w:eastAsia="en-NZ"/>
              </w:rPr>
              <w:t xml:space="preserve"> (2019)</w:t>
            </w:r>
          </w:p>
        </w:tc>
        <w:tc>
          <w:tcPr>
            <w:tcW w:w="644" w:type="pct"/>
            <w:noWrap/>
            <w:hideMark/>
          </w:tcPr>
          <w:p w14:paraId="68872293" w14:textId="77777777"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w:t>
            </w:r>
          </w:p>
        </w:tc>
        <w:tc>
          <w:tcPr>
            <w:tcW w:w="468" w:type="pct"/>
            <w:noWrap/>
            <w:hideMark/>
          </w:tcPr>
          <w:p w14:paraId="23464595"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9" w:type="pct"/>
            <w:noWrap/>
            <w:hideMark/>
          </w:tcPr>
          <w:p w14:paraId="59E83959" w14:textId="77777777" w:rsidR="00FB66C8" w:rsidRPr="00B76E92" w:rsidRDefault="00FB66C8" w:rsidP="00FB66C8">
            <w:pPr>
              <w:jc w:val="center"/>
              <w:rPr>
                <w:rFonts w:ascii="Calibri" w:eastAsia="Times New Roman" w:hAnsi="Calibri" w:cs="Calibri"/>
                <w:b/>
                <w:bCs/>
                <w:color w:val="000000"/>
                <w:sz w:val="22"/>
                <w:lang w:eastAsia="en-NZ"/>
              </w:rPr>
            </w:pPr>
          </w:p>
        </w:tc>
        <w:tc>
          <w:tcPr>
            <w:tcW w:w="469" w:type="pct"/>
            <w:noWrap/>
            <w:hideMark/>
          </w:tcPr>
          <w:p w14:paraId="3CECEB77"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8" w:type="pct"/>
            <w:noWrap/>
            <w:hideMark/>
          </w:tcPr>
          <w:p w14:paraId="68120FCA"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113BEEE5"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17F4B73D" w14:textId="7083F431"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2226667E"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63CFCB79" w14:textId="77777777" w:rsidTr="006D7719">
        <w:trPr>
          <w:trHeight w:val="300"/>
        </w:trPr>
        <w:tc>
          <w:tcPr>
            <w:tcW w:w="1075" w:type="pct"/>
            <w:noWrap/>
            <w:hideMark/>
          </w:tcPr>
          <w:p w14:paraId="6E6E62E1"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Dang</w:t>
            </w:r>
            <w:r>
              <w:rPr>
                <w:rFonts w:ascii="Calibri" w:eastAsia="Times New Roman" w:hAnsi="Calibri" w:cs="Calibri"/>
                <w:color w:val="000000"/>
                <w:sz w:val="18"/>
                <w:szCs w:val="18"/>
                <w:lang w:eastAsia="en-NZ"/>
              </w:rPr>
              <w:t xml:space="preserve"> et al.</w:t>
            </w:r>
            <w:r w:rsidRPr="00CF4990">
              <w:rPr>
                <w:rFonts w:ascii="Calibri" w:eastAsia="Times New Roman" w:hAnsi="Calibri" w:cs="Calibri"/>
                <w:color w:val="000000"/>
                <w:sz w:val="18"/>
                <w:szCs w:val="18"/>
                <w:lang w:eastAsia="en-NZ"/>
              </w:rPr>
              <w:t xml:space="preserve"> (2019)</w:t>
            </w:r>
          </w:p>
        </w:tc>
        <w:tc>
          <w:tcPr>
            <w:tcW w:w="644" w:type="pct"/>
            <w:noWrap/>
            <w:hideMark/>
          </w:tcPr>
          <w:p w14:paraId="1BD43685" w14:textId="77777777"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w:t>
            </w:r>
          </w:p>
        </w:tc>
        <w:tc>
          <w:tcPr>
            <w:tcW w:w="468" w:type="pct"/>
            <w:noWrap/>
            <w:hideMark/>
          </w:tcPr>
          <w:p w14:paraId="373C4BA2"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9" w:type="pct"/>
            <w:noWrap/>
            <w:hideMark/>
          </w:tcPr>
          <w:p w14:paraId="1F2E4BFD" w14:textId="77777777" w:rsidR="00FB66C8" w:rsidRPr="00B76E92" w:rsidRDefault="00FB66C8" w:rsidP="00FB66C8">
            <w:pPr>
              <w:jc w:val="center"/>
              <w:rPr>
                <w:rFonts w:ascii="Wingdings 2" w:eastAsia="Times New Roman" w:hAnsi="Wingdings 2" w:cs="Calibri"/>
                <w:b/>
                <w:bCs/>
                <w:color w:val="000000"/>
                <w:sz w:val="22"/>
                <w:lang w:eastAsia="en-NZ"/>
              </w:rPr>
            </w:pPr>
          </w:p>
        </w:tc>
        <w:tc>
          <w:tcPr>
            <w:tcW w:w="469" w:type="pct"/>
            <w:noWrap/>
            <w:hideMark/>
          </w:tcPr>
          <w:p w14:paraId="4E25DCFC"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8" w:type="pct"/>
            <w:noWrap/>
            <w:hideMark/>
          </w:tcPr>
          <w:p w14:paraId="1D9B929B"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4E96C3CB"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7453FCBA" w14:textId="43487AAB"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55136328"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1C667558" w14:textId="77777777" w:rsidTr="006D7719">
        <w:trPr>
          <w:trHeight w:val="300"/>
        </w:trPr>
        <w:tc>
          <w:tcPr>
            <w:tcW w:w="1075" w:type="pct"/>
            <w:noWrap/>
          </w:tcPr>
          <w:p w14:paraId="35BDC7E9" w14:textId="77777777" w:rsidR="00FB66C8" w:rsidRPr="00D80C7B" w:rsidRDefault="00FB66C8" w:rsidP="00FB66C8">
            <w:pPr>
              <w:rPr>
                <w:rFonts w:ascii="Calibri" w:eastAsia="Times New Roman" w:hAnsi="Calibri" w:cs="Calibri"/>
                <w:b/>
                <w:bCs/>
                <w:color w:val="000000"/>
                <w:sz w:val="18"/>
                <w:szCs w:val="18"/>
                <w:lang w:eastAsia="en-NZ"/>
              </w:rPr>
            </w:pPr>
            <w:r w:rsidRPr="00D80C7B">
              <w:rPr>
                <w:rFonts w:ascii="Calibri" w:eastAsia="Times New Roman" w:hAnsi="Calibri" w:cs="Calibri"/>
                <w:color w:val="000000"/>
                <w:sz w:val="18"/>
                <w:szCs w:val="18"/>
                <w:lang w:eastAsia="en-NZ"/>
              </w:rPr>
              <w:t xml:space="preserve">Fuiji et al. (2018) </w:t>
            </w:r>
          </w:p>
        </w:tc>
        <w:tc>
          <w:tcPr>
            <w:tcW w:w="644" w:type="pct"/>
            <w:noWrap/>
          </w:tcPr>
          <w:p w14:paraId="4CAAFF26" w14:textId="77777777" w:rsidR="00FB66C8" w:rsidRPr="00CF4990" w:rsidRDefault="00FB66C8" w:rsidP="00FB66C8">
            <w:pPr>
              <w:rPr>
                <w:rFonts w:ascii="Calibri" w:eastAsia="Times New Roman" w:hAnsi="Calibri" w:cs="Calibri"/>
                <w:color w:val="000000"/>
                <w:sz w:val="18"/>
                <w:szCs w:val="18"/>
                <w:lang w:eastAsia="en-NZ"/>
              </w:rPr>
            </w:pPr>
          </w:p>
        </w:tc>
        <w:tc>
          <w:tcPr>
            <w:tcW w:w="468" w:type="pct"/>
            <w:noWrap/>
          </w:tcPr>
          <w:p w14:paraId="570B35E9" w14:textId="77777777" w:rsidR="00FB66C8" w:rsidRPr="00B76E92" w:rsidRDefault="00FB66C8" w:rsidP="00FB66C8">
            <w:pPr>
              <w:jc w:val="center"/>
              <w:rPr>
                <w:rFonts w:ascii="Wingdings 2" w:eastAsia="Times New Roman" w:hAnsi="Wingdings 2"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9" w:type="pct"/>
            <w:noWrap/>
          </w:tcPr>
          <w:p w14:paraId="64201511" w14:textId="77777777" w:rsidR="00FB66C8" w:rsidRPr="00B76E92" w:rsidRDefault="00FB66C8" w:rsidP="00FB66C8">
            <w:pPr>
              <w:jc w:val="center"/>
              <w:rPr>
                <w:rFonts w:ascii="Wingdings 2" w:eastAsia="Times New Roman" w:hAnsi="Wingdings 2" w:cs="Calibri"/>
                <w:b/>
                <w:bCs/>
                <w:color w:val="000000"/>
                <w:sz w:val="22"/>
                <w:lang w:eastAsia="en-NZ"/>
              </w:rPr>
            </w:pPr>
          </w:p>
        </w:tc>
        <w:tc>
          <w:tcPr>
            <w:tcW w:w="469" w:type="pct"/>
            <w:noWrap/>
          </w:tcPr>
          <w:p w14:paraId="3DD51CD2" w14:textId="77777777" w:rsidR="00FB66C8" w:rsidRPr="00B76E92" w:rsidRDefault="00FB66C8" w:rsidP="00FB66C8">
            <w:pPr>
              <w:jc w:val="center"/>
              <w:rPr>
                <w:rFonts w:ascii="Calibri" w:eastAsia="Times New Roman" w:hAnsi="Calibri" w:cs="Calibri"/>
                <w:b/>
                <w:bCs/>
                <w:color w:val="000000"/>
                <w:sz w:val="22"/>
                <w:lang w:eastAsia="en-NZ"/>
              </w:rPr>
            </w:pPr>
            <w:r w:rsidRPr="00B76E92">
              <w:rPr>
                <w:rFonts w:ascii="Wingdings 2" w:eastAsia="Times New Roman" w:hAnsi="Wingdings 2" w:cs="Calibri"/>
                <w:b/>
                <w:bCs/>
                <w:color w:val="000000"/>
                <w:sz w:val="22"/>
                <w:lang w:eastAsia="en-NZ"/>
              </w:rPr>
              <w:t></w:t>
            </w:r>
          </w:p>
        </w:tc>
        <w:tc>
          <w:tcPr>
            <w:tcW w:w="468" w:type="pct"/>
            <w:noWrap/>
          </w:tcPr>
          <w:p w14:paraId="33BF707E"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655E38F0"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tcPr>
          <w:p w14:paraId="524B6132" w14:textId="08E21C24"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tcPr>
          <w:p w14:paraId="30DCA9AF"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3B805118" w14:textId="77777777" w:rsidTr="006D7719">
        <w:trPr>
          <w:trHeight w:val="300"/>
        </w:trPr>
        <w:tc>
          <w:tcPr>
            <w:tcW w:w="1075" w:type="pct"/>
            <w:noWrap/>
            <w:hideMark/>
          </w:tcPr>
          <w:p w14:paraId="21B0717C"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Honig</w:t>
            </w:r>
            <w:r>
              <w:rPr>
                <w:rFonts w:ascii="Calibri" w:eastAsia="Times New Roman" w:hAnsi="Calibri" w:cs="Calibri"/>
                <w:color w:val="000000"/>
                <w:sz w:val="18"/>
                <w:szCs w:val="18"/>
                <w:lang w:eastAsia="en-NZ"/>
              </w:rPr>
              <w:t xml:space="preserve"> et al. </w:t>
            </w:r>
            <w:r w:rsidRPr="00CF4990">
              <w:rPr>
                <w:rFonts w:ascii="Calibri" w:eastAsia="Times New Roman" w:hAnsi="Calibri" w:cs="Calibri"/>
                <w:color w:val="000000"/>
                <w:sz w:val="18"/>
                <w:szCs w:val="18"/>
                <w:lang w:eastAsia="en-NZ"/>
              </w:rPr>
              <w:t>(2019)</w:t>
            </w:r>
          </w:p>
        </w:tc>
        <w:tc>
          <w:tcPr>
            <w:tcW w:w="644" w:type="pct"/>
            <w:noWrap/>
            <w:hideMark/>
          </w:tcPr>
          <w:p w14:paraId="08FE6496" w14:textId="795046E5"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w:t>
            </w:r>
            <w:r>
              <w:rPr>
                <w:rFonts w:ascii="Calibri" w:eastAsia="Times New Roman" w:hAnsi="Calibri" w:cs="Calibri"/>
                <w:color w:val="000000"/>
                <w:sz w:val="18"/>
                <w:szCs w:val="18"/>
                <w:lang w:eastAsia="en-NZ"/>
              </w:rPr>
              <w:t>4 US sites</w:t>
            </w:r>
          </w:p>
        </w:tc>
        <w:tc>
          <w:tcPr>
            <w:tcW w:w="468" w:type="pct"/>
            <w:noWrap/>
            <w:hideMark/>
          </w:tcPr>
          <w:p w14:paraId="22658D5C" w14:textId="4151E6F0" w:rsidR="00FB66C8" w:rsidRPr="00CF4990" w:rsidRDefault="00FB66C8" w:rsidP="00FB66C8">
            <w:pPr>
              <w:jc w:val="center"/>
              <w:rPr>
                <w:rFonts w:ascii="Calibri" w:eastAsia="Times New Roman" w:hAnsi="Calibri" w:cs="Calibri"/>
                <w:color w:val="000000"/>
                <w:sz w:val="18"/>
                <w:szCs w:val="18"/>
                <w:lang w:eastAsia="en-NZ"/>
              </w:rPr>
            </w:pPr>
            <w:r w:rsidRPr="00B76E92">
              <w:rPr>
                <w:rFonts w:ascii="Wingdings 2" w:eastAsia="Times New Roman" w:hAnsi="Wingdings 2" w:cs="Calibri"/>
                <w:b/>
                <w:bCs/>
                <w:color w:val="000000"/>
                <w:sz w:val="22"/>
                <w:lang w:eastAsia="en-NZ"/>
              </w:rPr>
              <w:t></w:t>
            </w:r>
          </w:p>
        </w:tc>
        <w:tc>
          <w:tcPr>
            <w:tcW w:w="469" w:type="pct"/>
            <w:noWrap/>
            <w:hideMark/>
          </w:tcPr>
          <w:p w14:paraId="2CECC51C" w14:textId="7E156EE8" w:rsidR="00FB66C8" w:rsidRPr="00CF4990" w:rsidRDefault="00FB66C8" w:rsidP="00FB66C8">
            <w:pPr>
              <w:jc w:val="center"/>
              <w:rPr>
                <w:rFonts w:ascii="Wingdings 2" w:eastAsia="Times New Roman" w:hAnsi="Wingdings 2" w:cs="Calibri"/>
                <w:color w:val="000000"/>
                <w:sz w:val="18"/>
                <w:szCs w:val="18"/>
                <w:lang w:eastAsia="en-NZ"/>
              </w:rPr>
            </w:pPr>
          </w:p>
        </w:tc>
        <w:tc>
          <w:tcPr>
            <w:tcW w:w="469" w:type="pct"/>
            <w:noWrap/>
            <w:hideMark/>
          </w:tcPr>
          <w:p w14:paraId="12528FFA" w14:textId="774D0556" w:rsidR="00FB66C8" w:rsidRPr="00CF4990" w:rsidRDefault="00FB66C8" w:rsidP="00FB66C8">
            <w:pPr>
              <w:jc w:val="center"/>
              <w:rPr>
                <w:rFonts w:ascii="Wingdings 2" w:eastAsia="Times New Roman" w:hAnsi="Wingdings 2" w:cs="Calibri"/>
                <w:color w:val="000000"/>
                <w:sz w:val="18"/>
                <w:szCs w:val="18"/>
                <w:lang w:eastAsia="en-NZ"/>
              </w:rPr>
            </w:pPr>
            <w:r w:rsidRPr="00B76E92">
              <w:rPr>
                <w:rFonts w:ascii="Wingdings 2" w:eastAsia="Times New Roman" w:hAnsi="Wingdings 2" w:cs="Calibri"/>
                <w:b/>
                <w:bCs/>
                <w:color w:val="000000"/>
                <w:sz w:val="22"/>
                <w:lang w:eastAsia="en-NZ"/>
              </w:rPr>
              <w:t></w:t>
            </w:r>
          </w:p>
        </w:tc>
        <w:tc>
          <w:tcPr>
            <w:tcW w:w="468" w:type="pct"/>
            <w:noWrap/>
            <w:hideMark/>
          </w:tcPr>
          <w:p w14:paraId="046A2445"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2CC51951"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76FE1240" w14:textId="6ABB414D"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0C0F2162"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54CED74A" w14:textId="77777777" w:rsidTr="006D7719">
        <w:trPr>
          <w:trHeight w:val="300"/>
        </w:trPr>
        <w:tc>
          <w:tcPr>
            <w:tcW w:w="1075" w:type="pct"/>
            <w:noWrap/>
          </w:tcPr>
          <w:p w14:paraId="1B9A285E" w14:textId="41E35CDD" w:rsidR="00FB66C8" w:rsidRPr="00CF4990" w:rsidRDefault="00FB66C8" w:rsidP="00FB66C8">
            <w:pPr>
              <w:rPr>
                <w:rFonts w:ascii="Calibri" w:eastAsia="Times New Roman" w:hAnsi="Calibri" w:cs="Calibri"/>
                <w:color w:val="000000"/>
                <w:sz w:val="18"/>
                <w:szCs w:val="18"/>
                <w:lang w:eastAsia="en-NZ"/>
              </w:rPr>
            </w:pPr>
            <w:r>
              <w:rPr>
                <w:rFonts w:ascii="Calibri" w:eastAsia="Times New Roman" w:hAnsi="Calibri" w:cs="Calibri"/>
                <w:color w:val="000000"/>
                <w:sz w:val="18"/>
                <w:szCs w:val="18"/>
                <w:lang w:eastAsia="en-NZ"/>
              </w:rPr>
              <w:t>Wasan et al. (2018)</w:t>
            </w:r>
          </w:p>
        </w:tc>
        <w:tc>
          <w:tcPr>
            <w:tcW w:w="644" w:type="pct"/>
            <w:noWrap/>
          </w:tcPr>
          <w:p w14:paraId="040B572C" w14:textId="77777777" w:rsidR="00FB66C8" w:rsidRPr="00CF4990" w:rsidRDefault="00FB66C8" w:rsidP="00FB66C8">
            <w:pPr>
              <w:rPr>
                <w:rFonts w:ascii="Calibri" w:eastAsia="Times New Roman" w:hAnsi="Calibri" w:cs="Calibri"/>
                <w:color w:val="000000"/>
                <w:sz w:val="18"/>
                <w:szCs w:val="18"/>
                <w:lang w:eastAsia="en-NZ"/>
              </w:rPr>
            </w:pPr>
          </w:p>
        </w:tc>
        <w:tc>
          <w:tcPr>
            <w:tcW w:w="468" w:type="pct"/>
            <w:noWrap/>
          </w:tcPr>
          <w:p w14:paraId="421BEF3A" w14:textId="08B29E6B" w:rsidR="00FB66C8" w:rsidRPr="00B76E92" w:rsidRDefault="00FB66C8" w:rsidP="00FB66C8">
            <w:pPr>
              <w:jc w:val="center"/>
              <w:rPr>
                <w:rFonts w:ascii="Wingdings 2" w:eastAsia="Times New Roman" w:hAnsi="Wingdings 2" w:cs="Calibri"/>
                <w:b/>
                <w:bCs/>
                <w:color w:val="000000"/>
                <w:lang w:eastAsia="en-NZ"/>
              </w:rPr>
            </w:pPr>
            <w:r w:rsidRPr="00B76E92">
              <w:rPr>
                <w:rFonts w:ascii="Wingdings 2" w:eastAsia="Times New Roman" w:hAnsi="Wingdings 2" w:cs="Calibri"/>
                <w:b/>
                <w:bCs/>
                <w:color w:val="000000"/>
                <w:sz w:val="22"/>
                <w:lang w:eastAsia="en-NZ"/>
              </w:rPr>
              <w:t></w:t>
            </w:r>
          </w:p>
        </w:tc>
        <w:tc>
          <w:tcPr>
            <w:tcW w:w="469" w:type="pct"/>
            <w:noWrap/>
          </w:tcPr>
          <w:p w14:paraId="44B55F68" w14:textId="77777777" w:rsidR="00FB66C8" w:rsidRPr="00CF4990" w:rsidRDefault="00FB66C8" w:rsidP="00FB66C8">
            <w:pPr>
              <w:jc w:val="center"/>
              <w:rPr>
                <w:rFonts w:ascii="Wingdings 2" w:eastAsia="Times New Roman" w:hAnsi="Wingdings 2" w:cs="Calibri"/>
                <w:color w:val="000000"/>
                <w:sz w:val="18"/>
                <w:szCs w:val="18"/>
                <w:lang w:eastAsia="en-NZ"/>
              </w:rPr>
            </w:pPr>
          </w:p>
        </w:tc>
        <w:tc>
          <w:tcPr>
            <w:tcW w:w="469" w:type="pct"/>
            <w:noWrap/>
          </w:tcPr>
          <w:p w14:paraId="7D1A02BA" w14:textId="477436E1" w:rsidR="00FB66C8" w:rsidRPr="00B76E92" w:rsidRDefault="00FB66C8" w:rsidP="00FB66C8">
            <w:pPr>
              <w:jc w:val="center"/>
              <w:rPr>
                <w:rFonts w:ascii="Wingdings 2" w:eastAsia="Times New Roman" w:hAnsi="Wingdings 2" w:cs="Calibri"/>
                <w:b/>
                <w:bCs/>
                <w:color w:val="000000"/>
                <w:lang w:eastAsia="en-NZ"/>
              </w:rPr>
            </w:pPr>
            <w:r w:rsidRPr="00B76E92">
              <w:rPr>
                <w:rFonts w:ascii="Wingdings 2" w:eastAsia="Times New Roman" w:hAnsi="Wingdings 2" w:cs="Calibri"/>
                <w:b/>
                <w:bCs/>
                <w:color w:val="000000"/>
                <w:sz w:val="22"/>
                <w:lang w:eastAsia="en-NZ"/>
              </w:rPr>
              <w:t></w:t>
            </w:r>
          </w:p>
        </w:tc>
        <w:tc>
          <w:tcPr>
            <w:tcW w:w="468" w:type="pct"/>
            <w:noWrap/>
          </w:tcPr>
          <w:p w14:paraId="69E793A0"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74175D47"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tcPr>
          <w:p w14:paraId="3F626C2C"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tcPr>
          <w:p w14:paraId="3DDCA5BB"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040D8619" w14:textId="77777777" w:rsidTr="006D7719">
        <w:trPr>
          <w:trHeight w:val="300"/>
        </w:trPr>
        <w:tc>
          <w:tcPr>
            <w:tcW w:w="1075" w:type="pct"/>
            <w:noWrap/>
          </w:tcPr>
          <w:p w14:paraId="54AC0CAB" w14:textId="77777777" w:rsidR="00FB66C8" w:rsidRPr="00CF4990" w:rsidRDefault="00FB66C8" w:rsidP="00FB66C8">
            <w:pPr>
              <w:rPr>
                <w:rFonts w:ascii="Calibri" w:eastAsia="Times New Roman" w:hAnsi="Calibri" w:cs="Calibri"/>
                <w:color w:val="000000"/>
                <w:sz w:val="18"/>
                <w:szCs w:val="18"/>
                <w:lang w:eastAsia="en-NZ"/>
              </w:rPr>
            </w:pPr>
            <w:r>
              <w:rPr>
                <w:rFonts w:ascii="Calibri" w:eastAsia="Times New Roman" w:hAnsi="Calibri" w:cs="Calibri"/>
                <w:color w:val="000000"/>
                <w:sz w:val="18"/>
                <w:szCs w:val="18"/>
                <w:lang w:eastAsia="en-NZ"/>
              </w:rPr>
              <w:t>Ambinder et al. (2018)</w:t>
            </w:r>
          </w:p>
        </w:tc>
        <w:tc>
          <w:tcPr>
            <w:tcW w:w="644" w:type="pct"/>
            <w:noWrap/>
          </w:tcPr>
          <w:p w14:paraId="676EE338" w14:textId="77777777" w:rsidR="00FB66C8" w:rsidRPr="00CF4990" w:rsidRDefault="00FB66C8" w:rsidP="00FB66C8">
            <w:pPr>
              <w:rPr>
                <w:rFonts w:ascii="Calibri" w:eastAsia="Times New Roman" w:hAnsi="Calibri" w:cs="Calibri"/>
                <w:color w:val="000000"/>
                <w:sz w:val="18"/>
                <w:szCs w:val="18"/>
                <w:lang w:eastAsia="en-NZ"/>
              </w:rPr>
            </w:pPr>
          </w:p>
        </w:tc>
        <w:tc>
          <w:tcPr>
            <w:tcW w:w="468" w:type="pct"/>
            <w:noWrap/>
          </w:tcPr>
          <w:p w14:paraId="240FD926" w14:textId="77777777" w:rsidR="00FB66C8" w:rsidRPr="00FB66C8" w:rsidRDefault="00FB66C8" w:rsidP="00FB66C8">
            <w:pPr>
              <w:jc w:val="center"/>
              <w:rPr>
                <w:rFonts w:ascii="Wingdings 2" w:eastAsia="Times New Roman" w:hAnsi="Wingdings 2" w:cs="Calibri"/>
                <w:b/>
                <w:bCs/>
                <w:color w:val="000000"/>
                <w:lang w:eastAsia="en-NZ"/>
              </w:rPr>
            </w:pPr>
          </w:p>
        </w:tc>
        <w:tc>
          <w:tcPr>
            <w:tcW w:w="469" w:type="pct"/>
            <w:noWrap/>
          </w:tcPr>
          <w:p w14:paraId="0F0A5FAC" w14:textId="77777777" w:rsidR="00FB66C8" w:rsidRPr="00FB66C8" w:rsidRDefault="00FB66C8" w:rsidP="00FB66C8">
            <w:pPr>
              <w:jc w:val="center"/>
              <w:rPr>
                <w:rFonts w:ascii="Calibri" w:eastAsia="Times New Roman" w:hAnsi="Calibri" w:cs="Calibri"/>
                <w:b/>
                <w:bCs/>
                <w:color w:val="000000"/>
                <w:lang w:eastAsia="en-NZ"/>
              </w:rPr>
            </w:pPr>
            <w:r w:rsidRPr="00FB66C8">
              <w:rPr>
                <w:rFonts w:ascii="Wingdings 2" w:eastAsia="Times New Roman" w:hAnsi="Wingdings 2" w:cs="Calibri"/>
                <w:b/>
                <w:bCs/>
                <w:color w:val="000000"/>
                <w:sz w:val="22"/>
                <w:lang w:eastAsia="en-NZ"/>
              </w:rPr>
              <w:t></w:t>
            </w:r>
          </w:p>
        </w:tc>
        <w:tc>
          <w:tcPr>
            <w:tcW w:w="469" w:type="pct"/>
            <w:noWrap/>
          </w:tcPr>
          <w:p w14:paraId="1C050D4C" w14:textId="77777777" w:rsidR="00FB66C8" w:rsidRPr="00FB66C8" w:rsidRDefault="00FB66C8" w:rsidP="00FB66C8">
            <w:pPr>
              <w:jc w:val="center"/>
              <w:rPr>
                <w:rFonts w:ascii="Calibri" w:eastAsia="Times New Roman" w:hAnsi="Calibri" w:cs="Calibri"/>
                <w:b/>
                <w:bCs/>
                <w:color w:val="000000"/>
                <w:lang w:eastAsia="en-NZ"/>
              </w:rPr>
            </w:pPr>
            <w:r w:rsidRPr="00FB66C8">
              <w:rPr>
                <w:rFonts w:ascii="Wingdings 2" w:eastAsia="Times New Roman" w:hAnsi="Wingdings 2" w:cs="Calibri"/>
                <w:b/>
                <w:bCs/>
                <w:color w:val="000000"/>
                <w:sz w:val="22"/>
                <w:lang w:eastAsia="en-NZ"/>
              </w:rPr>
              <w:t></w:t>
            </w:r>
          </w:p>
        </w:tc>
        <w:tc>
          <w:tcPr>
            <w:tcW w:w="468" w:type="pct"/>
            <w:noWrap/>
          </w:tcPr>
          <w:p w14:paraId="08DBDEDA" w14:textId="77777777" w:rsidR="00FB66C8" w:rsidRPr="00FB66C8" w:rsidRDefault="00FB66C8" w:rsidP="00FB66C8">
            <w:pPr>
              <w:jc w:val="center"/>
              <w:rPr>
                <w:rFonts w:ascii="Wingdings 2" w:eastAsia="Times New Roman" w:hAnsi="Wingdings 2" w:cs="Calibri"/>
                <w:b/>
                <w:bCs/>
                <w:color w:val="000000"/>
                <w:lang w:eastAsia="en-NZ"/>
              </w:rPr>
            </w:pPr>
          </w:p>
        </w:tc>
        <w:tc>
          <w:tcPr>
            <w:tcW w:w="469" w:type="pct"/>
          </w:tcPr>
          <w:p w14:paraId="7600F42F" w14:textId="77777777" w:rsidR="00FB66C8" w:rsidRPr="00CF4990" w:rsidRDefault="00FB66C8" w:rsidP="00FB66C8">
            <w:pPr>
              <w:jc w:val="center"/>
              <w:rPr>
                <w:rFonts w:ascii="Wingdings 2" w:eastAsia="Times New Roman" w:hAnsi="Wingdings 2" w:cs="Calibri"/>
                <w:color w:val="000000"/>
                <w:sz w:val="18"/>
                <w:szCs w:val="18"/>
                <w:lang w:eastAsia="en-NZ"/>
              </w:rPr>
            </w:pPr>
          </w:p>
        </w:tc>
        <w:tc>
          <w:tcPr>
            <w:tcW w:w="469" w:type="pct"/>
            <w:noWrap/>
          </w:tcPr>
          <w:p w14:paraId="1DA4A89C" w14:textId="77777777" w:rsidR="00FB66C8" w:rsidRPr="00CF4990" w:rsidRDefault="00FB66C8" w:rsidP="00FB66C8">
            <w:pPr>
              <w:jc w:val="center"/>
              <w:rPr>
                <w:rFonts w:ascii="Wingdings 2" w:eastAsia="Times New Roman" w:hAnsi="Wingdings 2" w:cs="Calibri"/>
                <w:color w:val="000000"/>
                <w:sz w:val="18"/>
                <w:szCs w:val="18"/>
                <w:lang w:eastAsia="en-NZ"/>
              </w:rPr>
            </w:pPr>
          </w:p>
        </w:tc>
        <w:tc>
          <w:tcPr>
            <w:tcW w:w="469" w:type="pct"/>
            <w:noWrap/>
          </w:tcPr>
          <w:p w14:paraId="50E53420"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14FD5F70" w14:textId="77777777" w:rsidTr="006D7719">
        <w:trPr>
          <w:trHeight w:val="300"/>
        </w:trPr>
        <w:tc>
          <w:tcPr>
            <w:tcW w:w="1075" w:type="pct"/>
            <w:noWrap/>
            <w:hideMark/>
          </w:tcPr>
          <w:p w14:paraId="44B3CACD"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Simon</w:t>
            </w:r>
            <w:r>
              <w:rPr>
                <w:rFonts w:ascii="Calibri" w:eastAsia="Times New Roman" w:hAnsi="Calibri" w:cs="Calibri"/>
                <w:color w:val="000000"/>
                <w:sz w:val="18"/>
                <w:szCs w:val="18"/>
                <w:lang w:eastAsia="en-NZ"/>
              </w:rPr>
              <w:t xml:space="preserve"> et al. (</w:t>
            </w:r>
            <w:r w:rsidRPr="00CF4990">
              <w:rPr>
                <w:rFonts w:ascii="Calibri" w:eastAsia="Times New Roman" w:hAnsi="Calibri" w:cs="Calibri"/>
                <w:color w:val="000000"/>
                <w:sz w:val="18"/>
                <w:szCs w:val="18"/>
                <w:lang w:eastAsia="en-NZ"/>
              </w:rPr>
              <w:t>2019</w:t>
            </w:r>
            <w:r>
              <w:rPr>
                <w:rFonts w:ascii="Calibri" w:eastAsia="Times New Roman" w:hAnsi="Calibri" w:cs="Calibri"/>
                <w:color w:val="000000"/>
                <w:sz w:val="18"/>
                <w:szCs w:val="18"/>
                <w:lang w:eastAsia="en-NZ"/>
              </w:rPr>
              <w:t>)</w:t>
            </w:r>
          </w:p>
        </w:tc>
        <w:tc>
          <w:tcPr>
            <w:tcW w:w="644" w:type="pct"/>
            <w:noWrap/>
            <w:hideMark/>
          </w:tcPr>
          <w:p w14:paraId="40780672" w14:textId="77777777"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w:t>
            </w:r>
          </w:p>
        </w:tc>
        <w:tc>
          <w:tcPr>
            <w:tcW w:w="468" w:type="pct"/>
            <w:noWrap/>
            <w:hideMark/>
          </w:tcPr>
          <w:p w14:paraId="579C1370"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19A2893B" w14:textId="77777777" w:rsidR="00FB66C8" w:rsidRPr="00FB66C8" w:rsidRDefault="00FB66C8" w:rsidP="00FB66C8">
            <w:pPr>
              <w:jc w:val="center"/>
              <w:rPr>
                <w:rFonts w:ascii="Wingdings 2" w:eastAsia="Times New Roman" w:hAnsi="Wingdings 2" w:cs="Calibri"/>
                <w:b/>
                <w:bCs/>
                <w:color w:val="000000"/>
                <w:sz w:val="22"/>
                <w:lang w:eastAsia="en-NZ"/>
              </w:rPr>
            </w:pPr>
            <w:r w:rsidRPr="00FB66C8">
              <w:rPr>
                <w:rFonts w:ascii="Wingdings 2" w:eastAsia="Times New Roman" w:hAnsi="Wingdings 2" w:cs="Calibri"/>
                <w:b/>
                <w:bCs/>
                <w:color w:val="000000"/>
                <w:sz w:val="22"/>
                <w:lang w:eastAsia="en-NZ"/>
              </w:rPr>
              <w:t></w:t>
            </w:r>
          </w:p>
        </w:tc>
        <w:tc>
          <w:tcPr>
            <w:tcW w:w="469" w:type="pct"/>
            <w:noWrap/>
            <w:hideMark/>
          </w:tcPr>
          <w:p w14:paraId="0B77523C" w14:textId="77777777" w:rsidR="00FB66C8" w:rsidRPr="00FB66C8" w:rsidRDefault="00FB66C8" w:rsidP="00FB66C8">
            <w:pPr>
              <w:jc w:val="center"/>
              <w:rPr>
                <w:rFonts w:ascii="Wingdings 2" w:eastAsia="Times New Roman" w:hAnsi="Wingdings 2" w:cs="Calibri"/>
                <w:b/>
                <w:bCs/>
                <w:color w:val="000000"/>
                <w:sz w:val="22"/>
                <w:lang w:eastAsia="en-NZ"/>
              </w:rPr>
            </w:pPr>
            <w:r w:rsidRPr="00FB66C8">
              <w:rPr>
                <w:rFonts w:ascii="Wingdings 2" w:eastAsia="Times New Roman" w:hAnsi="Wingdings 2" w:cs="Calibri"/>
                <w:b/>
                <w:bCs/>
                <w:color w:val="000000"/>
                <w:sz w:val="22"/>
                <w:lang w:eastAsia="en-NZ"/>
              </w:rPr>
              <w:t></w:t>
            </w:r>
          </w:p>
        </w:tc>
        <w:tc>
          <w:tcPr>
            <w:tcW w:w="468" w:type="pct"/>
            <w:noWrap/>
            <w:hideMark/>
          </w:tcPr>
          <w:p w14:paraId="7B9A8B4E"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tcPr>
          <w:p w14:paraId="753D026E" w14:textId="77777777"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72DF226C" w14:textId="2068F2F2" w:rsidR="00FB66C8" w:rsidRPr="00CF4990" w:rsidRDefault="00FB66C8" w:rsidP="00FB66C8">
            <w:pPr>
              <w:jc w:val="center"/>
              <w:rPr>
                <w:rFonts w:ascii="Calibri" w:eastAsia="Times New Roman" w:hAnsi="Calibri" w:cs="Calibri"/>
                <w:color w:val="000000"/>
                <w:sz w:val="18"/>
                <w:szCs w:val="18"/>
                <w:lang w:eastAsia="en-NZ"/>
              </w:rPr>
            </w:pPr>
          </w:p>
        </w:tc>
        <w:tc>
          <w:tcPr>
            <w:tcW w:w="469" w:type="pct"/>
            <w:noWrap/>
            <w:hideMark/>
          </w:tcPr>
          <w:p w14:paraId="7538896F"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0201AC0D" w14:textId="77777777" w:rsidTr="006D7719">
        <w:trPr>
          <w:trHeight w:val="300"/>
        </w:trPr>
        <w:tc>
          <w:tcPr>
            <w:tcW w:w="1075" w:type="pct"/>
            <w:noWrap/>
            <w:hideMark/>
          </w:tcPr>
          <w:p w14:paraId="574305C1" w14:textId="09173E59"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Johnson</w:t>
            </w:r>
            <w:r>
              <w:rPr>
                <w:rFonts w:ascii="Calibri" w:eastAsia="Times New Roman" w:hAnsi="Calibri" w:cs="Calibri"/>
                <w:color w:val="000000"/>
                <w:sz w:val="18"/>
                <w:szCs w:val="18"/>
                <w:lang w:eastAsia="en-NZ"/>
              </w:rPr>
              <w:t xml:space="preserve"> et al.</w:t>
            </w:r>
            <w:r w:rsidRPr="00CF4990">
              <w:rPr>
                <w:rFonts w:ascii="Calibri" w:eastAsia="Times New Roman" w:hAnsi="Calibri" w:cs="Calibri"/>
                <w:color w:val="000000"/>
                <w:sz w:val="18"/>
                <w:szCs w:val="18"/>
                <w:lang w:eastAsia="en-NZ"/>
              </w:rPr>
              <w:t xml:space="preserve"> (2019)</w:t>
            </w:r>
            <w:r>
              <w:rPr>
                <w:rFonts w:ascii="Calibri" w:eastAsia="Times New Roman" w:hAnsi="Calibri" w:cs="Calibri"/>
                <w:color w:val="000000"/>
                <w:sz w:val="18"/>
                <w:szCs w:val="18"/>
                <w:lang w:eastAsia="en-NZ"/>
              </w:rPr>
              <w:t>; Zackrisson et al. (2018)</w:t>
            </w:r>
          </w:p>
        </w:tc>
        <w:tc>
          <w:tcPr>
            <w:tcW w:w="644" w:type="pct"/>
            <w:noWrap/>
            <w:hideMark/>
          </w:tcPr>
          <w:p w14:paraId="4140B48D" w14:textId="77777777"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xml:space="preserve">Malmö </w:t>
            </w:r>
          </w:p>
        </w:tc>
        <w:tc>
          <w:tcPr>
            <w:tcW w:w="468" w:type="pct"/>
            <w:noWrap/>
            <w:hideMark/>
          </w:tcPr>
          <w:p w14:paraId="6A5B4D3A" w14:textId="77777777" w:rsidR="00FB66C8" w:rsidRPr="00FB66C8" w:rsidRDefault="00FB66C8" w:rsidP="00FB66C8">
            <w:pPr>
              <w:jc w:val="center"/>
              <w:rPr>
                <w:rFonts w:ascii="Wingdings 2" w:eastAsia="Times New Roman" w:hAnsi="Wingdings 2" w:cs="Calibri"/>
                <w:b/>
                <w:bCs/>
                <w:color w:val="000000"/>
                <w:sz w:val="22"/>
                <w:lang w:eastAsia="en-NZ"/>
              </w:rPr>
            </w:pPr>
            <w:r w:rsidRPr="00FB66C8">
              <w:rPr>
                <w:rFonts w:ascii="Wingdings 2" w:eastAsia="Times New Roman" w:hAnsi="Wingdings 2" w:cs="Calibri"/>
                <w:b/>
                <w:bCs/>
                <w:color w:val="000000"/>
                <w:sz w:val="22"/>
                <w:lang w:eastAsia="en-NZ"/>
              </w:rPr>
              <w:t></w:t>
            </w:r>
          </w:p>
        </w:tc>
        <w:tc>
          <w:tcPr>
            <w:tcW w:w="469" w:type="pct"/>
            <w:noWrap/>
            <w:hideMark/>
          </w:tcPr>
          <w:p w14:paraId="4BAE9943" w14:textId="77777777" w:rsidR="00FB66C8" w:rsidRPr="00FB66C8" w:rsidRDefault="00FB66C8" w:rsidP="00FB66C8">
            <w:pPr>
              <w:jc w:val="center"/>
              <w:rPr>
                <w:rFonts w:ascii="Calibri" w:eastAsia="Times New Roman" w:hAnsi="Calibri" w:cs="Calibri"/>
                <w:b/>
                <w:bCs/>
                <w:color w:val="000000"/>
                <w:sz w:val="22"/>
                <w:lang w:eastAsia="en-NZ"/>
              </w:rPr>
            </w:pPr>
          </w:p>
        </w:tc>
        <w:tc>
          <w:tcPr>
            <w:tcW w:w="469" w:type="pct"/>
            <w:noWrap/>
            <w:hideMark/>
          </w:tcPr>
          <w:p w14:paraId="043A8E76" w14:textId="77777777" w:rsidR="00FB66C8" w:rsidRPr="00FB66C8" w:rsidRDefault="00FB66C8" w:rsidP="00FB66C8">
            <w:pPr>
              <w:jc w:val="center"/>
              <w:rPr>
                <w:rFonts w:ascii="Calibri" w:eastAsia="Times New Roman" w:hAnsi="Calibri" w:cs="Calibri"/>
                <w:b/>
                <w:bCs/>
                <w:color w:val="000000"/>
                <w:sz w:val="22"/>
                <w:lang w:eastAsia="en-NZ"/>
              </w:rPr>
            </w:pPr>
          </w:p>
        </w:tc>
        <w:tc>
          <w:tcPr>
            <w:tcW w:w="468" w:type="pct"/>
            <w:noWrap/>
            <w:hideMark/>
          </w:tcPr>
          <w:p w14:paraId="557806A7" w14:textId="77777777" w:rsidR="00FB66C8" w:rsidRPr="00FB66C8" w:rsidRDefault="00FB66C8" w:rsidP="00FB66C8">
            <w:pPr>
              <w:jc w:val="center"/>
              <w:rPr>
                <w:rFonts w:ascii="Wingdings 2" w:eastAsia="Times New Roman" w:hAnsi="Wingdings 2" w:cs="Calibri"/>
                <w:b/>
                <w:bCs/>
                <w:color w:val="000000"/>
                <w:sz w:val="22"/>
                <w:lang w:eastAsia="en-NZ"/>
              </w:rPr>
            </w:pPr>
            <w:r w:rsidRPr="00FB66C8">
              <w:rPr>
                <w:rFonts w:ascii="Wingdings 2" w:eastAsia="Times New Roman" w:hAnsi="Wingdings 2" w:cs="Calibri"/>
                <w:b/>
                <w:bCs/>
                <w:color w:val="000000"/>
                <w:sz w:val="22"/>
                <w:lang w:eastAsia="en-NZ"/>
              </w:rPr>
              <w:t></w:t>
            </w:r>
          </w:p>
        </w:tc>
        <w:tc>
          <w:tcPr>
            <w:tcW w:w="469" w:type="pct"/>
          </w:tcPr>
          <w:p w14:paraId="69F0C23F" w14:textId="77777777" w:rsidR="00FB66C8" w:rsidRPr="00CF4990" w:rsidRDefault="00FB66C8" w:rsidP="00FB66C8">
            <w:pPr>
              <w:jc w:val="center"/>
              <w:rPr>
                <w:rFonts w:ascii="Wingdings 2" w:eastAsia="Times New Roman" w:hAnsi="Wingdings 2" w:cs="Calibri"/>
                <w:color w:val="000000"/>
                <w:sz w:val="18"/>
                <w:szCs w:val="18"/>
                <w:lang w:eastAsia="en-NZ"/>
              </w:rPr>
            </w:pPr>
          </w:p>
        </w:tc>
        <w:tc>
          <w:tcPr>
            <w:tcW w:w="469" w:type="pct"/>
            <w:noWrap/>
            <w:hideMark/>
          </w:tcPr>
          <w:p w14:paraId="78A420F0" w14:textId="409331F8" w:rsidR="00FB66C8" w:rsidRPr="00CF4990" w:rsidRDefault="00FB66C8" w:rsidP="00FB66C8">
            <w:pPr>
              <w:jc w:val="center"/>
              <w:rPr>
                <w:rFonts w:ascii="Wingdings 2" w:eastAsia="Times New Roman" w:hAnsi="Wingdings 2" w:cs="Calibri"/>
                <w:color w:val="000000"/>
                <w:sz w:val="18"/>
                <w:szCs w:val="18"/>
                <w:lang w:eastAsia="en-NZ"/>
              </w:rPr>
            </w:pPr>
          </w:p>
        </w:tc>
        <w:tc>
          <w:tcPr>
            <w:tcW w:w="469" w:type="pct"/>
            <w:noWrap/>
            <w:hideMark/>
          </w:tcPr>
          <w:p w14:paraId="4B908315"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21CE3459" w14:textId="77777777" w:rsidTr="006D7719">
        <w:trPr>
          <w:trHeight w:val="300"/>
        </w:trPr>
        <w:tc>
          <w:tcPr>
            <w:tcW w:w="1075" w:type="pct"/>
            <w:noWrap/>
            <w:hideMark/>
          </w:tcPr>
          <w:p w14:paraId="15322606" w14:textId="77777777" w:rsidR="00FB66C8" w:rsidRPr="00CF4990" w:rsidRDefault="00FB66C8" w:rsidP="00FB66C8">
            <w:pPr>
              <w:rPr>
                <w:rFonts w:ascii="Calibri" w:eastAsia="Times New Roman" w:hAnsi="Calibri" w:cs="Calibri"/>
                <w:b/>
                <w:bCs/>
                <w:color w:val="000000"/>
                <w:sz w:val="18"/>
                <w:szCs w:val="18"/>
                <w:lang w:eastAsia="en-NZ"/>
              </w:rPr>
            </w:pPr>
            <w:r w:rsidRPr="00CF4990">
              <w:rPr>
                <w:rFonts w:ascii="Calibri" w:eastAsia="Times New Roman" w:hAnsi="Calibri" w:cs="Calibri"/>
                <w:color w:val="000000"/>
                <w:sz w:val="18"/>
                <w:szCs w:val="18"/>
                <w:lang w:eastAsia="en-NZ"/>
              </w:rPr>
              <w:t xml:space="preserve">Miglioretti </w:t>
            </w:r>
            <w:r>
              <w:rPr>
                <w:rFonts w:ascii="Calibri" w:eastAsia="Times New Roman" w:hAnsi="Calibri" w:cs="Calibri"/>
                <w:color w:val="000000"/>
                <w:sz w:val="18"/>
                <w:szCs w:val="18"/>
                <w:lang w:eastAsia="en-NZ"/>
              </w:rPr>
              <w:t xml:space="preserve">at al. </w:t>
            </w:r>
            <w:r w:rsidRPr="00CF4990">
              <w:rPr>
                <w:rFonts w:ascii="Calibri" w:eastAsia="Times New Roman" w:hAnsi="Calibri" w:cs="Calibri"/>
                <w:color w:val="000000"/>
                <w:sz w:val="18"/>
                <w:szCs w:val="18"/>
                <w:lang w:eastAsia="en-NZ"/>
              </w:rPr>
              <w:t>(2019)</w:t>
            </w:r>
          </w:p>
        </w:tc>
        <w:tc>
          <w:tcPr>
            <w:tcW w:w="644" w:type="pct"/>
            <w:noWrap/>
            <w:hideMark/>
          </w:tcPr>
          <w:p w14:paraId="3FE9699B" w14:textId="77777777"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w:t>
            </w:r>
          </w:p>
        </w:tc>
        <w:tc>
          <w:tcPr>
            <w:tcW w:w="468" w:type="pct"/>
            <w:noWrap/>
            <w:hideMark/>
          </w:tcPr>
          <w:p w14:paraId="78853D57" w14:textId="77777777" w:rsidR="00FB66C8" w:rsidRPr="00FB66C8" w:rsidRDefault="00FB66C8" w:rsidP="00FB66C8">
            <w:pPr>
              <w:jc w:val="center"/>
              <w:rPr>
                <w:rFonts w:ascii="Wingdings 2" w:eastAsia="Times New Roman" w:hAnsi="Wingdings 2" w:cs="Calibri"/>
                <w:b/>
                <w:bCs/>
                <w:color w:val="000000"/>
                <w:sz w:val="22"/>
                <w:lang w:eastAsia="en-NZ"/>
              </w:rPr>
            </w:pPr>
            <w:r w:rsidRPr="00FB66C8">
              <w:rPr>
                <w:rFonts w:ascii="Wingdings 2" w:eastAsia="Times New Roman" w:hAnsi="Wingdings 2" w:cs="Calibri"/>
                <w:b/>
                <w:bCs/>
                <w:color w:val="000000"/>
                <w:sz w:val="22"/>
                <w:lang w:eastAsia="en-NZ"/>
              </w:rPr>
              <w:t></w:t>
            </w:r>
          </w:p>
        </w:tc>
        <w:tc>
          <w:tcPr>
            <w:tcW w:w="469" w:type="pct"/>
            <w:noWrap/>
            <w:hideMark/>
          </w:tcPr>
          <w:p w14:paraId="2A8F313C" w14:textId="77777777" w:rsidR="00FB66C8" w:rsidRPr="00FB66C8" w:rsidRDefault="00FB66C8" w:rsidP="00FB66C8">
            <w:pPr>
              <w:jc w:val="center"/>
              <w:rPr>
                <w:rFonts w:ascii="Calibri" w:eastAsia="Times New Roman" w:hAnsi="Calibri" w:cs="Calibri"/>
                <w:b/>
                <w:bCs/>
                <w:color w:val="000000"/>
                <w:sz w:val="22"/>
                <w:lang w:eastAsia="en-NZ"/>
              </w:rPr>
            </w:pPr>
          </w:p>
        </w:tc>
        <w:tc>
          <w:tcPr>
            <w:tcW w:w="469" w:type="pct"/>
            <w:noWrap/>
            <w:hideMark/>
          </w:tcPr>
          <w:p w14:paraId="5260A3BC" w14:textId="77777777" w:rsidR="00FB66C8" w:rsidRPr="00FB66C8" w:rsidRDefault="00FB66C8" w:rsidP="00FB66C8">
            <w:pPr>
              <w:jc w:val="center"/>
              <w:rPr>
                <w:rFonts w:ascii="Calibri" w:eastAsia="Times New Roman" w:hAnsi="Calibri" w:cs="Calibri"/>
                <w:b/>
                <w:bCs/>
                <w:color w:val="000000"/>
                <w:sz w:val="22"/>
                <w:lang w:eastAsia="en-NZ"/>
              </w:rPr>
            </w:pPr>
          </w:p>
        </w:tc>
        <w:tc>
          <w:tcPr>
            <w:tcW w:w="468" w:type="pct"/>
            <w:noWrap/>
            <w:hideMark/>
          </w:tcPr>
          <w:p w14:paraId="60765470" w14:textId="77777777" w:rsidR="00FB66C8" w:rsidRPr="00FB66C8" w:rsidRDefault="00FB66C8" w:rsidP="00FB66C8">
            <w:pPr>
              <w:jc w:val="center"/>
              <w:rPr>
                <w:rFonts w:ascii="Calibri" w:eastAsia="Times New Roman" w:hAnsi="Calibri" w:cs="Calibri"/>
                <w:b/>
                <w:bCs/>
                <w:color w:val="000000"/>
                <w:sz w:val="22"/>
                <w:lang w:eastAsia="en-NZ"/>
              </w:rPr>
            </w:pPr>
          </w:p>
        </w:tc>
        <w:tc>
          <w:tcPr>
            <w:tcW w:w="469" w:type="pct"/>
          </w:tcPr>
          <w:p w14:paraId="6D90F8F4" w14:textId="77777777" w:rsidR="00FB66C8" w:rsidRPr="00FB66C8" w:rsidRDefault="00FB66C8" w:rsidP="00FB66C8">
            <w:pPr>
              <w:jc w:val="center"/>
              <w:rPr>
                <w:rFonts w:ascii="Wingdings 2" w:eastAsia="Times New Roman" w:hAnsi="Wingdings 2" w:cs="Calibri"/>
                <w:b/>
                <w:bCs/>
                <w:color w:val="000000"/>
                <w:sz w:val="22"/>
                <w:lang w:eastAsia="en-NZ"/>
              </w:rPr>
            </w:pPr>
          </w:p>
        </w:tc>
        <w:tc>
          <w:tcPr>
            <w:tcW w:w="469" w:type="pct"/>
            <w:noWrap/>
            <w:hideMark/>
          </w:tcPr>
          <w:p w14:paraId="3692312B" w14:textId="5458CBD8" w:rsidR="00FB66C8" w:rsidRPr="00FB66C8" w:rsidRDefault="00FB66C8" w:rsidP="00FB66C8">
            <w:pPr>
              <w:jc w:val="center"/>
              <w:rPr>
                <w:rFonts w:ascii="Wingdings 2" w:eastAsia="Times New Roman" w:hAnsi="Wingdings 2" w:cs="Calibri"/>
                <w:b/>
                <w:bCs/>
                <w:color w:val="000000"/>
                <w:sz w:val="22"/>
                <w:lang w:eastAsia="en-NZ"/>
              </w:rPr>
            </w:pPr>
            <w:r w:rsidRPr="00FB66C8">
              <w:rPr>
                <w:rFonts w:ascii="Wingdings 2" w:eastAsia="Times New Roman" w:hAnsi="Wingdings 2" w:cs="Calibri"/>
                <w:b/>
                <w:bCs/>
                <w:color w:val="000000"/>
                <w:sz w:val="22"/>
                <w:lang w:eastAsia="en-NZ"/>
              </w:rPr>
              <w:t></w:t>
            </w:r>
          </w:p>
        </w:tc>
        <w:tc>
          <w:tcPr>
            <w:tcW w:w="469" w:type="pct"/>
            <w:noWrap/>
            <w:hideMark/>
          </w:tcPr>
          <w:p w14:paraId="2175085A" w14:textId="77777777" w:rsidR="00FB66C8" w:rsidRPr="00CF4990" w:rsidRDefault="00FB66C8" w:rsidP="00FB66C8">
            <w:pPr>
              <w:jc w:val="center"/>
              <w:rPr>
                <w:rFonts w:ascii="Calibri" w:eastAsia="Times New Roman" w:hAnsi="Calibri" w:cs="Calibri"/>
                <w:color w:val="000000"/>
                <w:sz w:val="18"/>
                <w:szCs w:val="18"/>
                <w:lang w:eastAsia="en-NZ"/>
              </w:rPr>
            </w:pPr>
          </w:p>
        </w:tc>
      </w:tr>
      <w:tr w:rsidR="00FB66C8" w:rsidRPr="00CF4990" w14:paraId="2AE75512" w14:textId="77777777" w:rsidTr="006D7719">
        <w:trPr>
          <w:trHeight w:val="300"/>
        </w:trPr>
        <w:tc>
          <w:tcPr>
            <w:tcW w:w="1075" w:type="pct"/>
            <w:noWrap/>
            <w:hideMark/>
          </w:tcPr>
          <w:p w14:paraId="7EBAF107" w14:textId="74499C68" w:rsidR="00FB66C8" w:rsidRPr="00CF4990" w:rsidRDefault="00FB66C8" w:rsidP="00FB66C8">
            <w:pPr>
              <w:rPr>
                <w:rFonts w:ascii="Calibri" w:eastAsia="Times New Roman" w:hAnsi="Calibri" w:cs="Calibri"/>
                <w:b/>
                <w:bCs/>
                <w:sz w:val="18"/>
                <w:szCs w:val="18"/>
                <w:lang w:eastAsia="en-NZ"/>
              </w:rPr>
            </w:pPr>
            <w:r w:rsidRPr="00CF4990">
              <w:rPr>
                <w:rFonts w:ascii="Calibri" w:eastAsia="Times New Roman" w:hAnsi="Calibri" w:cs="Calibri"/>
                <w:sz w:val="18"/>
                <w:szCs w:val="18"/>
                <w:lang w:eastAsia="en-NZ"/>
              </w:rPr>
              <w:t>Chae et al</w:t>
            </w:r>
            <w:r w:rsidR="00176980">
              <w:rPr>
                <w:rFonts w:ascii="Calibri" w:eastAsia="Times New Roman" w:hAnsi="Calibri" w:cs="Calibri"/>
                <w:sz w:val="18"/>
                <w:szCs w:val="18"/>
                <w:lang w:eastAsia="en-NZ"/>
              </w:rPr>
              <w:t>.</w:t>
            </w:r>
            <w:r>
              <w:rPr>
                <w:rFonts w:ascii="Calibri" w:eastAsia="Times New Roman" w:hAnsi="Calibri" w:cs="Calibri"/>
                <w:sz w:val="18"/>
                <w:szCs w:val="18"/>
                <w:lang w:eastAsia="en-NZ"/>
              </w:rPr>
              <w:t xml:space="preserve"> </w:t>
            </w:r>
            <w:r w:rsidRPr="00CF4990">
              <w:rPr>
                <w:rFonts w:ascii="Calibri" w:eastAsia="Times New Roman" w:hAnsi="Calibri" w:cs="Calibri"/>
                <w:sz w:val="18"/>
                <w:szCs w:val="18"/>
                <w:lang w:eastAsia="en-NZ"/>
              </w:rPr>
              <w:t>(2019)</w:t>
            </w:r>
          </w:p>
        </w:tc>
        <w:tc>
          <w:tcPr>
            <w:tcW w:w="644" w:type="pct"/>
            <w:noWrap/>
            <w:hideMark/>
          </w:tcPr>
          <w:p w14:paraId="64BD8A4F" w14:textId="77777777" w:rsidR="00FB66C8" w:rsidRPr="00CF4990" w:rsidRDefault="00FB66C8" w:rsidP="00FB66C8">
            <w:pPr>
              <w:rPr>
                <w:rFonts w:ascii="Calibri" w:eastAsia="Times New Roman" w:hAnsi="Calibri" w:cs="Calibri"/>
                <w:color w:val="000000"/>
                <w:sz w:val="18"/>
                <w:szCs w:val="18"/>
                <w:lang w:eastAsia="en-NZ"/>
              </w:rPr>
            </w:pPr>
            <w:r w:rsidRPr="00CF4990">
              <w:rPr>
                <w:rFonts w:ascii="Calibri" w:eastAsia="Times New Roman" w:hAnsi="Calibri" w:cs="Calibri"/>
                <w:color w:val="000000"/>
                <w:sz w:val="18"/>
                <w:szCs w:val="18"/>
                <w:lang w:eastAsia="en-NZ"/>
              </w:rPr>
              <w:t> </w:t>
            </w:r>
          </w:p>
        </w:tc>
        <w:tc>
          <w:tcPr>
            <w:tcW w:w="468" w:type="pct"/>
            <w:noWrap/>
            <w:hideMark/>
          </w:tcPr>
          <w:p w14:paraId="566FE0C6" w14:textId="77777777" w:rsidR="00FB66C8" w:rsidRPr="00FB66C8" w:rsidRDefault="00FB66C8" w:rsidP="00FB66C8">
            <w:pPr>
              <w:jc w:val="center"/>
              <w:rPr>
                <w:rFonts w:ascii="Calibri" w:eastAsia="Times New Roman" w:hAnsi="Calibri" w:cs="Calibri"/>
                <w:b/>
                <w:bCs/>
                <w:color w:val="000000"/>
                <w:sz w:val="22"/>
                <w:lang w:eastAsia="en-NZ"/>
              </w:rPr>
            </w:pPr>
          </w:p>
        </w:tc>
        <w:tc>
          <w:tcPr>
            <w:tcW w:w="469" w:type="pct"/>
            <w:noWrap/>
            <w:hideMark/>
          </w:tcPr>
          <w:p w14:paraId="1D0EF13C" w14:textId="77777777" w:rsidR="00FB66C8" w:rsidRPr="00FB66C8" w:rsidRDefault="00FB66C8" w:rsidP="00FB66C8">
            <w:pPr>
              <w:jc w:val="center"/>
              <w:rPr>
                <w:rFonts w:ascii="Calibri" w:eastAsia="Times New Roman" w:hAnsi="Calibri" w:cs="Calibri"/>
                <w:b/>
                <w:bCs/>
                <w:color w:val="000000"/>
                <w:sz w:val="22"/>
                <w:lang w:eastAsia="en-NZ"/>
              </w:rPr>
            </w:pPr>
          </w:p>
        </w:tc>
        <w:tc>
          <w:tcPr>
            <w:tcW w:w="469" w:type="pct"/>
            <w:noWrap/>
            <w:hideMark/>
          </w:tcPr>
          <w:p w14:paraId="61495473" w14:textId="77777777" w:rsidR="00FB66C8" w:rsidRPr="00FB66C8" w:rsidRDefault="00FB66C8" w:rsidP="00FB66C8">
            <w:pPr>
              <w:jc w:val="center"/>
              <w:rPr>
                <w:rFonts w:ascii="Calibri" w:eastAsia="Times New Roman" w:hAnsi="Calibri" w:cs="Calibri"/>
                <w:b/>
                <w:bCs/>
                <w:color w:val="000000"/>
                <w:sz w:val="22"/>
                <w:lang w:eastAsia="en-NZ"/>
              </w:rPr>
            </w:pPr>
          </w:p>
        </w:tc>
        <w:tc>
          <w:tcPr>
            <w:tcW w:w="468" w:type="pct"/>
            <w:noWrap/>
            <w:hideMark/>
          </w:tcPr>
          <w:p w14:paraId="5539AED2" w14:textId="77777777" w:rsidR="00FB66C8" w:rsidRPr="00FB66C8" w:rsidRDefault="00FB66C8" w:rsidP="00FB66C8">
            <w:pPr>
              <w:jc w:val="center"/>
              <w:rPr>
                <w:rFonts w:ascii="Calibri" w:eastAsia="Times New Roman" w:hAnsi="Calibri" w:cs="Calibri"/>
                <w:b/>
                <w:bCs/>
                <w:color w:val="000000"/>
                <w:sz w:val="22"/>
                <w:lang w:eastAsia="en-NZ"/>
              </w:rPr>
            </w:pPr>
          </w:p>
        </w:tc>
        <w:tc>
          <w:tcPr>
            <w:tcW w:w="469" w:type="pct"/>
          </w:tcPr>
          <w:p w14:paraId="6C3A267E" w14:textId="77777777" w:rsidR="00FB66C8" w:rsidRPr="00FB66C8" w:rsidRDefault="00FB66C8" w:rsidP="00FB66C8">
            <w:pPr>
              <w:jc w:val="center"/>
              <w:rPr>
                <w:rFonts w:ascii="Wingdings 2" w:eastAsia="Times New Roman" w:hAnsi="Wingdings 2" w:cs="Calibri"/>
                <w:b/>
                <w:bCs/>
                <w:color w:val="000000"/>
                <w:sz w:val="22"/>
                <w:lang w:eastAsia="en-NZ"/>
              </w:rPr>
            </w:pPr>
          </w:p>
        </w:tc>
        <w:tc>
          <w:tcPr>
            <w:tcW w:w="469" w:type="pct"/>
            <w:noWrap/>
            <w:hideMark/>
          </w:tcPr>
          <w:p w14:paraId="20F48F79" w14:textId="6DABA086" w:rsidR="00FB66C8" w:rsidRPr="00FB66C8" w:rsidRDefault="00FB66C8" w:rsidP="00FB66C8">
            <w:pPr>
              <w:jc w:val="center"/>
              <w:rPr>
                <w:rFonts w:ascii="Wingdings 2" w:eastAsia="Times New Roman" w:hAnsi="Wingdings 2" w:cs="Calibri"/>
                <w:b/>
                <w:bCs/>
                <w:color w:val="000000"/>
                <w:sz w:val="22"/>
                <w:lang w:eastAsia="en-NZ"/>
              </w:rPr>
            </w:pPr>
            <w:r w:rsidRPr="00FB66C8">
              <w:rPr>
                <w:rFonts w:ascii="Wingdings 2" w:eastAsia="Times New Roman" w:hAnsi="Wingdings 2" w:cs="Calibri"/>
                <w:b/>
                <w:bCs/>
                <w:color w:val="000000"/>
                <w:sz w:val="22"/>
                <w:lang w:eastAsia="en-NZ"/>
              </w:rPr>
              <w:t></w:t>
            </w:r>
          </w:p>
        </w:tc>
        <w:tc>
          <w:tcPr>
            <w:tcW w:w="469" w:type="pct"/>
            <w:noWrap/>
            <w:hideMark/>
          </w:tcPr>
          <w:p w14:paraId="6130DEFC" w14:textId="77777777" w:rsidR="00FB66C8" w:rsidRPr="00FB66C8" w:rsidRDefault="00FB66C8" w:rsidP="00FB66C8">
            <w:pPr>
              <w:jc w:val="center"/>
              <w:rPr>
                <w:rFonts w:ascii="Calibri" w:eastAsia="Times New Roman" w:hAnsi="Calibri" w:cs="Calibri"/>
                <w:color w:val="000000"/>
                <w:sz w:val="14"/>
                <w:szCs w:val="14"/>
                <w:lang w:eastAsia="en-NZ"/>
              </w:rPr>
            </w:pPr>
            <w:r w:rsidRPr="00FB66C8">
              <w:rPr>
                <w:rFonts w:ascii="Calibri" w:eastAsia="Times New Roman" w:hAnsi="Calibri" w:cs="Calibri"/>
                <w:color w:val="000000"/>
                <w:sz w:val="14"/>
                <w:szCs w:val="14"/>
                <w:lang w:eastAsia="en-NZ"/>
              </w:rPr>
              <w:t>DBT+CAD</w:t>
            </w:r>
          </w:p>
        </w:tc>
      </w:tr>
      <w:tr w:rsidR="00FB66C8" w:rsidRPr="00CF4990" w14:paraId="347FBAE0" w14:textId="77777777" w:rsidTr="006D7719">
        <w:trPr>
          <w:trHeight w:val="300"/>
        </w:trPr>
        <w:tc>
          <w:tcPr>
            <w:tcW w:w="1075" w:type="pct"/>
            <w:noWrap/>
          </w:tcPr>
          <w:p w14:paraId="309872D5" w14:textId="538CEB03" w:rsidR="00FB66C8" w:rsidRPr="00CF4990" w:rsidRDefault="00FB66C8" w:rsidP="00FB66C8">
            <w:pPr>
              <w:rPr>
                <w:rFonts w:ascii="Calibri" w:eastAsia="Times New Roman" w:hAnsi="Calibri" w:cs="Calibri"/>
                <w:sz w:val="18"/>
                <w:szCs w:val="18"/>
                <w:lang w:eastAsia="en-NZ"/>
              </w:rPr>
            </w:pPr>
            <w:r>
              <w:rPr>
                <w:rFonts w:ascii="Calibri" w:eastAsia="Times New Roman" w:hAnsi="Calibri" w:cs="Calibri"/>
                <w:sz w:val="18"/>
                <w:szCs w:val="18"/>
                <w:lang w:eastAsia="en-NZ"/>
              </w:rPr>
              <w:t>Choi et al. (2019)</w:t>
            </w:r>
          </w:p>
        </w:tc>
        <w:tc>
          <w:tcPr>
            <w:tcW w:w="644" w:type="pct"/>
            <w:noWrap/>
          </w:tcPr>
          <w:p w14:paraId="637A350F" w14:textId="77777777" w:rsidR="00FB66C8" w:rsidRPr="00CF4990" w:rsidRDefault="00FB66C8" w:rsidP="00FB66C8">
            <w:pPr>
              <w:rPr>
                <w:rFonts w:ascii="Calibri" w:eastAsia="Times New Roman" w:hAnsi="Calibri" w:cs="Calibri"/>
                <w:color w:val="000000"/>
                <w:sz w:val="18"/>
                <w:szCs w:val="18"/>
                <w:lang w:eastAsia="en-NZ"/>
              </w:rPr>
            </w:pPr>
          </w:p>
        </w:tc>
        <w:tc>
          <w:tcPr>
            <w:tcW w:w="468" w:type="pct"/>
            <w:noWrap/>
          </w:tcPr>
          <w:p w14:paraId="62527EED" w14:textId="5F535B74" w:rsidR="00FB66C8" w:rsidRPr="00FB66C8" w:rsidRDefault="00FB66C8" w:rsidP="00FB66C8">
            <w:pPr>
              <w:jc w:val="center"/>
              <w:rPr>
                <w:rFonts w:ascii="Calibri" w:eastAsia="Times New Roman" w:hAnsi="Calibri" w:cs="Calibri"/>
                <w:b/>
                <w:bCs/>
                <w:color w:val="000000"/>
                <w:lang w:eastAsia="en-NZ"/>
              </w:rPr>
            </w:pPr>
            <w:r w:rsidRPr="00FB66C8">
              <w:rPr>
                <w:rFonts w:ascii="Wingdings 2" w:eastAsia="Times New Roman" w:hAnsi="Wingdings 2" w:cs="Calibri"/>
                <w:b/>
                <w:bCs/>
                <w:color w:val="000000"/>
                <w:sz w:val="22"/>
                <w:lang w:eastAsia="en-NZ"/>
              </w:rPr>
              <w:t></w:t>
            </w:r>
          </w:p>
        </w:tc>
        <w:tc>
          <w:tcPr>
            <w:tcW w:w="469" w:type="pct"/>
            <w:noWrap/>
          </w:tcPr>
          <w:p w14:paraId="11DC3B51" w14:textId="1BE86C07" w:rsidR="00FB66C8" w:rsidRPr="00FB66C8" w:rsidRDefault="00FB66C8" w:rsidP="00FB66C8">
            <w:pPr>
              <w:jc w:val="center"/>
              <w:rPr>
                <w:rFonts w:ascii="Calibri" w:eastAsia="Times New Roman" w:hAnsi="Calibri" w:cs="Calibri"/>
                <w:b/>
                <w:bCs/>
                <w:color w:val="000000"/>
                <w:lang w:eastAsia="en-NZ"/>
              </w:rPr>
            </w:pPr>
            <w:r w:rsidRPr="00FB66C8">
              <w:rPr>
                <w:rFonts w:ascii="Wingdings 2" w:eastAsia="Times New Roman" w:hAnsi="Wingdings 2" w:cs="Calibri"/>
                <w:b/>
                <w:bCs/>
                <w:color w:val="000000"/>
                <w:sz w:val="22"/>
                <w:lang w:eastAsia="en-NZ"/>
              </w:rPr>
              <w:t></w:t>
            </w:r>
          </w:p>
        </w:tc>
        <w:tc>
          <w:tcPr>
            <w:tcW w:w="469" w:type="pct"/>
            <w:noWrap/>
          </w:tcPr>
          <w:p w14:paraId="48DC5782" w14:textId="3E84F7D3" w:rsidR="00FB66C8" w:rsidRPr="00FB66C8" w:rsidRDefault="00FB66C8" w:rsidP="00FB66C8">
            <w:pPr>
              <w:jc w:val="center"/>
              <w:rPr>
                <w:rFonts w:ascii="Calibri" w:eastAsia="Times New Roman" w:hAnsi="Calibri" w:cs="Calibri"/>
                <w:b/>
                <w:bCs/>
                <w:color w:val="000000"/>
                <w:lang w:eastAsia="en-NZ"/>
              </w:rPr>
            </w:pPr>
            <w:r w:rsidRPr="00FB66C8">
              <w:rPr>
                <w:rFonts w:ascii="Wingdings 2" w:eastAsia="Times New Roman" w:hAnsi="Wingdings 2" w:cs="Calibri"/>
                <w:b/>
                <w:bCs/>
                <w:color w:val="000000"/>
                <w:sz w:val="22"/>
                <w:lang w:eastAsia="en-NZ"/>
              </w:rPr>
              <w:t></w:t>
            </w:r>
          </w:p>
        </w:tc>
        <w:tc>
          <w:tcPr>
            <w:tcW w:w="468" w:type="pct"/>
            <w:noWrap/>
          </w:tcPr>
          <w:p w14:paraId="48160233" w14:textId="77777777" w:rsidR="00FB66C8" w:rsidRPr="00FB66C8" w:rsidRDefault="00FB66C8" w:rsidP="00FB66C8">
            <w:pPr>
              <w:jc w:val="center"/>
              <w:rPr>
                <w:rFonts w:ascii="Calibri" w:eastAsia="Times New Roman" w:hAnsi="Calibri" w:cs="Calibri"/>
                <w:b/>
                <w:bCs/>
                <w:color w:val="000000"/>
                <w:lang w:eastAsia="en-NZ"/>
              </w:rPr>
            </w:pPr>
          </w:p>
        </w:tc>
        <w:tc>
          <w:tcPr>
            <w:tcW w:w="469" w:type="pct"/>
          </w:tcPr>
          <w:p w14:paraId="0F5F2E8E" w14:textId="137735B0" w:rsidR="00FB66C8" w:rsidRPr="00FB66C8" w:rsidRDefault="00FB66C8" w:rsidP="00FB66C8">
            <w:pPr>
              <w:jc w:val="center"/>
              <w:rPr>
                <w:rFonts w:ascii="Wingdings 2" w:eastAsia="Times New Roman" w:hAnsi="Wingdings 2" w:cs="Calibri"/>
                <w:b/>
                <w:bCs/>
                <w:color w:val="000000"/>
                <w:lang w:eastAsia="en-NZ"/>
              </w:rPr>
            </w:pPr>
            <w:r w:rsidRPr="00FB66C8">
              <w:rPr>
                <w:rFonts w:ascii="Wingdings 2" w:eastAsia="Times New Roman" w:hAnsi="Wingdings 2" w:cs="Calibri"/>
                <w:b/>
                <w:bCs/>
                <w:color w:val="000000"/>
                <w:sz w:val="22"/>
                <w:lang w:eastAsia="en-NZ"/>
              </w:rPr>
              <w:t></w:t>
            </w:r>
          </w:p>
        </w:tc>
        <w:tc>
          <w:tcPr>
            <w:tcW w:w="469" w:type="pct"/>
            <w:noWrap/>
          </w:tcPr>
          <w:p w14:paraId="5189B0C3" w14:textId="1BA1F3ED" w:rsidR="00FB66C8" w:rsidRPr="00FB66C8" w:rsidRDefault="00FB66C8" w:rsidP="00FB66C8">
            <w:pPr>
              <w:jc w:val="center"/>
              <w:rPr>
                <w:rFonts w:ascii="Wingdings 2" w:eastAsia="Times New Roman" w:hAnsi="Wingdings 2" w:cs="Calibri"/>
                <w:b/>
                <w:bCs/>
                <w:color w:val="000000"/>
                <w:lang w:eastAsia="en-NZ"/>
              </w:rPr>
            </w:pPr>
          </w:p>
        </w:tc>
        <w:tc>
          <w:tcPr>
            <w:tcW w:w="469" w:type="pct"/>
            <w:noWrap/>
          </w:tcPr>
          <w:p w14:paraId="2A4F0501" w14:textId="0E2424BC" w:rsidR="00FB66C8" w:rsidRPr="00FB66C8" w:rsidRDefault="00FB66C8" w:rsidP="00FB66C8">
            <w:pPr>
              <w:jc w:val="center"/>
              <w:rPr>
                <w:rFonts w:ascii="Calibri" w:eastAsia="Times New Roman" w:hAnsi="Calibri" w:cs="Calibri"/>
                <w:color w:val="000000"/>
                <w:sz w:val="14"/>
                <w:szCs w:val="14"/>
                <w:lang w:eastAsia="en-NZ"/>
              </w:rPr>
            </w:pPr>
          </w:p>
        </w:tc>
      </w:tr>
      <w:tr w:rsidR="00FB66C8" w:rsidRPr="00CF4990" w14:paraId="2696797F" w14:textId="77777777" w:rsidTr="006D7719">
        <w:trPr>
          <w:trHeight w:val="300"/>
        </w:trPr>
        <w:tc>
          <w:tcPr>
            <w:tcW w:w="1075" w:type="pct"/>
            <w:noWrap/>
          </w:tcPr>
          <w:p w14:paraId="7EDECBC5" w14:textId="592211C8" w:rsidR="00FB66C8" w:rsidRDefault="00FB66C8" w:rsidP="00FB66C8">
            <w:pPr>
              <w:rPr>
                <w:rFonts w:ascii="Calibri" w:eastAsia="Times New Roman" w:hAnsi="Calibri" w:cs="Calibri"/>
                <w:sz w:val="18"/>
                <w:szCs w:val="18"/>
                <w:lang w:eastAsia="en-NZ"/>
              </w:rPr>
            </w:pPr>
            <w:r>
              <w:rPr>
                <w:rFonts w:ascii="Calibri" w:eastAsia="Times New Roman" w:hAnsi="Calibri" w:cs="Calibri"/>
                <w:sz w:val="18"/>
                <w:szCs w:val="18"/>
                <w:lang w:eastAsia="en-NZ"/>
              </w:rPr>
              <w:t>Wahab et al. (2018)</w:t>
            </w:r>
          </w:p>
        </w:tc>
        <w:tc>
          <w:tcPr>
            <w:tcW w:w="644" w:type="pct"/>
            <w:noWrap/>
          </w:tcPr>
          <w:p w14:paraId="443C3422" w14:textId="77777777" w:rsidR="00FB66C8" w:rsidRPr="00CF4990" w:rsidRDefault="00FB66C8" w:rsidP="00FB66C8">
            <w:pPr>
              <w:rPr>
                <w:rFonts w:ascii="Calibri" w:eastAsia="Times New Roman" w:hAnsi="Calibri" w:cs="Calibri"/>
                <w:color w:val="000000"/>
                <w:sz w:val="18"/>
                <w:szCs w:val="18"/>
                <w:lang w:eastAsia="en-NZ"/>
              </w:rPr>
            </w:pPr>
          </w:p>
        </w:tc>
        <w:tc>
          <w:tcPr>
            <w:tcW w:w="468" w:type="pct"/>
            <w:noWrap/>
          </w:tcPr>
          <w:p w14:paraId="54A8E806" w14:textId="29203A8A" w:rsidR="00FB66C8" w:rsidRPr="00FB66C8" w:rsidRDefault="00FB66C8" w:rsidP="00FB66C8">
            <w:pPr>
              <w:jc w:val="center"/>
              <w:rPr>
                <w:rFonts w:ascii="Wingdings 2" w:eastAsia="Times New Roman" w:hAnsi="Wingdings 2" w:cs="Calibri"/>
                <w:b/>
                <w:bCs/>
                <w:color w:val="000000"/>
                <w:lang w:eastAsia="en-NZ"/>
              </w:rPr>
            </w:pPr>
            <w:r w:rsidRPr="00FB66C8">
              <w:rPr>
                <w:rFonts w:ascii="Wingdings 2" w:eastAsia="Times New Roman" w:hAnsi="Wingdings 2" w:cs="Calibri"/>
                <w:b/>
                <w:bCs/>
                <w:color w:val="000000"/>
                <w:sz w:val="22"/>
                <w:lang w:eastAsia="en-NZ"/>
              </w:rPr>
              <w:t></w:t>
            </w:r>
          </w:p>
        </w:tc>
        <w:tc>
          <w:tcPr>
            <w:tcW w:w="469" w:type="pct"/>
            <w:noWrap/>
          </w:tcPr>
          <w:p w14:paraId="6EDA08B1" w14:textId="77777777" w:rsidR="00FB66C8" w:rsidRPr="00FB66C8" w:rsidRDefault="00FB66C8" w:rsidP="00FB66C8">
            <w:pPr>
              <w:jc w:val="center"/>
              <w:rPr>
                <w:rFonts w:ascii="Wingdings 2" w:eastAsia="Times New Roman" w:hAnsi="Wingdings 2" w:cs="Calibri"/>
                <w:b/>
                <w:bCs/>
                <w:color w:val="000000"/>
                <w:lang w:eastAsia="en-NZ"/>
              </w:rPr>
            </w:pPr>
          </w:p>
        </w:tc>
        <w:tc>
          <w:tcPr>
            <w:tcW w:w="469" w:type="pct"/>
            <w:noWrap/>
          </w:tcPr>
          <w:p w14:paraId="3D8C5853" w14:textId="77777777" w:rsidR="00FB66C8" w:rsidRPr="00FB66C8" w:rsidRDefault="00FB66C8" w:rsidP="00FB66C8">
            <w:pPr>
              <w:jc w:val="center"/>
              <w:rPr>
                <w:rFonts w:ascii="Wingdings 2" w:eastAsia="Times New Roman" w:hAnsi="Wingdings 2" w:cs="Calibri"/>
                <w:b/>
                <w:bCs/>
                <w:color w:val="000000"/>
                <w:lang w:eastAsia="en-NZ"/>
              </w:rPr>
            </w:pPr>
          </w:p>
        </w:tc>
        <w:tc>
          <w:tcPr>
            <w:tcW w:w="468" w:type="pct"/>
            <w:noWrap/>
          </w:tcPr>
          <w:p w14:paraId="4C2542E4" w14:textId="77777777" w:rsidR="00FB66C8" w:rsidRPr="00FB66C8" w:rsidRDefault="00FB66C8" w:rsidP="00FB66C8">
            <w:pPr>
              <w:jc w:val="center"/>
              <w:rPr>
                <w:rFonts w:ascii="Calibri" w:eastAsia="Times New Roman" w:hAnsi="Calibri" w:cs="Calibri"/>
                <w:b/>
                <w:bCs/>
                <w:color w:val="000000"/>
                <w:lang w:eastAsia="en-NZ"/>
              </w:rPr>
            </w:pPr>
          </w:p>
        </w:tc>
        <w:tc>
          <w:tcPr>
            <w:tcW w:w="469" w:type="pct"/>
          </w:tcPr>
          <w:p w14:paraId="4C83FD65" w14:textId="5472879D" w:rsidR="00FB66C8" w:rsidRPr="00FB66C8" w:rsidRDefault="00FB66C8" w:rsidP="00FB66C8">
            <w:pPr>
              <w:jc w:val="center"/>
              <w:rPr>
                <w:rFonts w:ascii="Wingdings 2" w:eastAsia="Times New Roman" w:hAnsi="Wingdings 2" w:cs="Calibri"/>
                <w:b/>
                <w:bCs/>
                <w:color w:val="000000"/>
                <w:lang w:eastAsia="en-NZ"/>
              </w:rPr>
            </w:pPr>
            <w:r w:rsidRPr="00FB66C8">
              <w:rPr>
                <w:rFonts w:ascii="Wingdings 2" w:eastAsia="Times New Roman" w:hAnsi="Wingdings 2" w:cs="Calibri"/>
                <w:b/>
                <w:bCs/>
                <w:color w:val="000000"/>
                <w:sz w:val="22"/>
                <w:lang w:eastAsia="en-NZ"/>
              </w:rPr>
              <w:t></w:t>
            </w:r>
          </w:p>
        </w:tc>
        <w:tc>
          <w:tcPr>
            <w:tcW w:w="469" w:type="pct"/>
            <w:noWrap/>
          </w:tcPr>
          <w:p w14:paraId="7E9CD9FD" w14:textId="77777777" w:rsidR="00FB66C8" w:rsidRPr="00FB66C8" w:rsidRDefault="00FB66C8" w:rsidP="00FB66C8">
            <w:pPr>
              <w:jc w:val="center"/>
              <w:rPr>
                <w:rFonts w:ascii="Wingdings 2" w:eastAsia="Times New Roman" w:hAnsi="Wingdings 2" w:cs="Calibri"/>
                <w:b/>
                <w:bCs/>
                <w:color w:val="000000"/>
                <w:lang w:eastAsia="en-NZ"/>
              </w:rPr>
            </w:pPr>
          </w:p>
        </w:tc>
        <w:tc>
          <w:tcPr>
            <w:tcW w:w="469" w:type="pct"/>
            <w:noWrap/>
          </w:tcPr>
          <w:p w14:paraId="6263B7FE" w14:textId="77777777" w:rsidR="00FB66C8" w:rsidRPr="00FB66C8" w:rsidRDefault="00FB66C8" w:rsidP="00FB66C8">
            <w:pPr>
              <w:jc w:val="center"/>
              <w:rPr>
                <w:rFonts w:ascii="Calibri" w:eastAsia="Times New Roman" w:hAnsi="Calibri" w:cs="Calibri"/>
                <w:color w:val="000000"/>
                <w:sz w:val="14"/>
                <w:szCs w:val="14"/>
                <w:lang w:eastAsia="en-NZ"/>
              </w:rPr>
            </w:pPr>
          </w:p>
        </w:tc>
      </w:tr>
    </w:tbl>
    <w:p w14:paraId="26A76ECE" w14:textId="2C6F92BF" w:rsidR="00D718EE" w:rsidRDefault="00B63265" w:rsidP="00540052">
      <w:pPr>
        <w:pStyle w:val="NumberedHeading1"/>
      </w:pPr>
      <w:bookmarkStart w:id="150" w:name="_Toc43376275"/>
      <w:r>
        <w:lastRenderedPageBreak/>
        <w:t>effectiveness and safety of dbt as a screening tool</w:t>
      </w:r>
      <w:bookmarkEnd w:id="150"/>
    </w:p>
    <w:p w14:paraId="3F332E48" w14:textId="2CF6C81B" w:rsidR="00333478" w:rsidRDefault="00B63265" w:rsidP="00B63265">
      <w:pPr>
        <w:pStyle w:val="BodyText"/>
      </w:pPr>
      <w:r w:rsidRPr="00E44152">
        <w:t xml:space="preserve">We want to know, based </w:t>
      </w:r>
      <w:r w:rsidRPr="00DD06CE">
        <w:t xml:space="preserve">on current evidence, what role DBT could play in a modern breast cancer screening </w:t>
      </w:r>
      <w:r>
        <w:t>program</w:t>
      </w:r>
      <w:r w:rsidR="007E3389">
        <w:t xml:space="preserve"> (biennially screening for invited women aged 50-74 years, with double reading by trained radiologists)</w:t>
      </w:r>
      <w:r w:rsidRPr="00DD06CE">
        <w:t xml:space="preserve">. </w:t>
      </w:r>
      <w:r w:rsidR="00333478">
        <w:t xml:space="preserve">Specifically, we are interested in understanding </w:t>
      </w:r>
      <w:r w:rsidRPr="00DD06CE">
        <w:t xml:space="preserve">if DBT (either alone or integrated with other mammography) can safely detect breast cancers that are present (even if small or asymptomatic). </w:t>
      </w:r>
    </w:p>
    <w:p w14:paraId="2083A12E" w14:textId="34BD6CB7" w:rsidR="00B63265" w:rsidRPr="00E44152" w:rsidRDefault="00B63265" w:rsidP="00B63265">
      <w:pPr>
        <w:pStyle w:val="BodyText"/>
      </w:pPr>
      <w:r w:rsidRPr="00231C05">
        <w:rPr>
          <w:i/>
          <w:iCs/>
        </w:rPr>
        <w:t>Chapter 3</w:t>
      </w:r>
      <w:r>
        <w:t xml:space="preserve"> </w:t>
      </w:r>
      <w:r w:rsidRPr="00DD06CE">
        <w:t xml:space="preserve">investigates the effectiveness and safety of DBT in a screening environment. </w:t>
      </w:r>
      <w:r w:rsidRPr="00E44152">
        <w:t xml:space="preserve">The results are presented by the following </w:t>
      </w:r>
      <w:r>
        <w:t>clinical outcomes and performance metric</w:t>
      </w:r>
      <w:r w:rsidRPr="00E44152">
        <w:t xml:space="preserve">s: </w:t>
      </w:r>
    </w:p>
    <w:p w14:paraId="74CB27D7" w14:textId="4562C999" w:rsidR="00B63265" w:rsidRDefault="00EC105D" w:rsidP="007E3481">
      <w:pPr>
        <w:pStyle w:val="List-BulletLvl1"/>
        <w:numPr>
          <w:ilvl w:val="0"/>
          <w:numId w:val="6"/>
        </w:numPr>
      </w:pPr>
      <w:r w:rsidRPr="00E44152">
        <w:t>S</w:t>
      </w:r>
      <w:r w:rsidR="00B63265" w:rsidRPr="00E44152">
        <w:t>ensitivity</w:t>
      </w:r>
      <w:r>
        <w:t xml:space="preserve">: </w:t>
      </w:r>
      <w:r w:rsidR="00155E70">
        <w:t xml:space="preserve">overall </w:t>
      </w:r>
      <w:r w:rsidR="00CF2E1C">
        <w:t>cancer detection rate (CDR)</w:t>
      </w:r>
      <w:r w:rsidR="00B63265">
        <w:t xml:space="preserve">, </w:t>
      </w:r>
      <w:r w:rsidR="007E3389">
        <w:t>interval cancer rate and relative sensitivity</w:t>
      </w:r>
      <w:r>
        <w:t xml:space="preserve"> </w:t>
      </w:r>
      <w:r w:rsidR="00B773F2">
        <w:t xml:space="preserve">including </w:t>
      </w:r>
      <w:r w:rsidR="00B773F2" w:rsidRPr="00E44152">
        <w:t xml:space="preserve">the impact </w:t>
      </w:r>
      <w:r w:rsidR="00B773F2">
        <w:t xml:space="preserve">DBT may have on </w:t>
      </w:r>
      <w:r w:rsidR="00333478">
        <w:t xml:space="preserve">CDR for prevalent and incident screening or for sub-populations of women (i.e., </w:t>
      </w:r>
      <w:r w:rsidR="00B773F2" w:rsidRPr="00E44152">
        <w:t>women with heterogeneously dense or extremely dense breasts</w:t>
      </w:r>
      <w:r w:rsidR="00B773F2">
        <w:t xml:space="preserve"> or by age</w:t>
      </w:r>
      <w:r w:rsidR="00333478">
        <w:t>)</w:t>
      </w:r>
    </w:p>
    <w:p w14:paraId="64C210CE" w14:textId="285B88BC" w:rsidR="007E3389" w:rsidRDefault="00EC105D" w:rsidP="007E3481">
      <w:pPr>
        <w:pStyle w:val="List-BulletLvl1"/>
        <w:numPr>
          <w:ilvl w:val="0"/>
          <w:numId w:val="6"/>
        </w:numPr>
      </w:pPr>
      <w:r>
        <w:t>C</w:t>
      </w:r>
      <w:r w:rsidR="007E3389">
        <w:t>ancer type and histopathological characteristics</w:t>
      </w:r>
    </w:p>
    <w:p w14:paraId="5C0F9A7A" w14:textId="46BC3915" w:rsidR="002F08F0" w:rsidRPr="00E44152" w:rsidRDefault="00EC105D" w:rsidP="007E3481">
      <w:pPr>
        <w:pStyle w:val="List-BulletLvl1"/>
        <w:numPr>
          <w:ilvl w:val="0"/>
          <w:numId w:val="6"/>
        </w:numPr>
      </w:pPr>
      <w:r>
        <w:t>R</w:t>
      </w:r>
      <w:r w:rsidR="002F08F0">
        <w:t>adiological presentation</w:t>
      </w:r>
    </w:p>
    <w:p w14:paraId="79399E69" w14:textId="4C7C2C15" w:rsidR="00B63265" w:rsidRPr="00E44152" w:rsidRDefault="00EC105D" w:rsidP="007E3481">
      <w:pPr>
        <w:pStyle w:val="List-BulletLvl1"/>
        <w:numPr>
          <w:ilvl w:val="0"/>
          <w:numId w:val="6"/>
        </w:numPr>
      </w:pPr>
      <w:r>
        <w:t>S</w:t>
      </w:r>
      <w:r w:rsidR="00B63265" w:rsidRPr="00E44152">
        <w:t>pecificity</w:t>
      </w:r>
      <w:r>
        <w:t>:</w:t>
      </w:r>
      <w:r w:rsidR="00B63265" w:rsidRPr="00E44152">
        <w:t xml:space="preserve"> overall recall rate</w:t>
      </w:r>
      <w:r w:rsidR="007E3389">
        <w:t>,</w:t>
      </w:r>
      <w:r w:rsidR="00B63265" w:rsidRPr="00E44152">
        <w:t xml:space="preserve"> false positive </w:t>
      </w:r>
      <w:r w:rsidR="007E3389">
        <w:t xml:space="preserve">recall </w:t>
      </w:r>
      <w:r w:rsidR="00B63265" w:rsidRPr="00E44152">
        <w:t>rate</w:t>
      </w:r>
      <w:r w:rsidR="00DD4B07">
        <w:t>, relative specificity</w:t>
      </w:r>
      <w:r w:rsidR="007E3389">
        <w:t xml:space="preserve"> and PPV</w:t>
      </w:r>
      <w:r w:rsidR="00B63265" w:rsidRPr="00E44152">
        <w:t>)</w:t>
      </w:r>
      <w:r w:rsidR="00B773F2">
        <w:t>, and</w:t>
      </w:r>
    </w:p>
    <w:p w14:paraId="6FCED4B5" w14:textId="5E02396B" w:rsidR="00B63265" w:rsidRDefault="00EC105D" w:rsidP="007E3481">
      <w:pPr>
        <w:pStyle w:val="List-BulletLvl1"/>
        <w:numPr>
          <w:ilvl w:val="0"/>
          <w:numId w:val="6"/>
        </w:numPr>
      </w:pPr>
      <w:r>
        <w:t>S</w:t>
      </w:r>
      <w:r w:rsidR="00B63265" w:rsidRPr="00E44152">
        <w:t>afety (i.e., radiation dose).</w:t>
      </w:r>
    </w:p>
    <w:p w14:paraId="408A27DF" w14:textId="24910D1E" w:rsidR="00333478" w:rsidRDefault="00333478" w:rsidP="00333478">
      <w:pPr>
        <w:pStyle w:val="BodyText"/>
      </w:pPr>
      <w:r>
        <w:t>Most research focused on shorter-term performance measures like CDR, recall rate and cancer type rather than longer-term screening outcomes such as mortality reduction or a reduction in interval cancers. Uncertainty about the effectiveness of DBT as the primary test in a population-based screening program remains (and is likely to remain until larger long-term studies report results). That said, DBT+</w:t>
      </w:r>
      <w:r w:rsidR="00176980">
        <w:t>s2DM</w:t>
      </w:r>
      <w:r>
        <w:t xml:space="preserve"> has been implemented as the primary screening test in several European and American screening programs, with initial results reporting improvement in short-term outcomes for program sensitivity.</w:t>
      </w:r>
    </w:p>
    <w:p w14:paraId="28A2F7DF" w14:textId="6C35E780" w:rsidR="008C6618" w:rsidRDefault="008C6618" w:rsidP="00B63265">
      <w:pPr>
        <w:pStyle w:val="NumberedHeading2"/>
      </w:pPr>
      <w:bookmarkStart w:id="151" w:name="_Toc43376276"/>
      <w:r w:rsidRPr="008C6618">
        <w:t>Sensitivity</w:t>
      </w:r>
      <w:bookmarkEnd w:id="151"/>
      <w:r w:rsidRPr="008C6618">
        <w:t xml:space="preserve"> </w:t>
      </w:r>
    </w:p>
    <w:p w14:paraId="313F51DC" w14:textId="62C89D5F" w:rsidR="00155E70" w:rsidRDefault="000C0773" w:rsidP="00155E70">
      <w:pPr>
        <w:pStyle w:val="BodyText"/>
      </w:pPr>
      <w:r w:rsidRPr="00E44152">
        <w:t xml:space="preserve">Sensitivity (the proportion of asymptomatic breast cancers correctly identified by a screening test, or the true positive/negative rate) is an important dimension of an effective population-based breast screening program. </w:t>
      </w:r>
      <w:r>
        <w:t xml:space="preserve">Clinical outcomes </w:t>
      </w:r>
      <w:r w:rsidRPr="00E44152">
        <w:t xml:space="preserve">that can </w:t>
      </w:r>
      <w:r>
        <w:t xml:space="preserve">impact on </w:t>
      </w:r>
      <w:r w:rsidRPr="00E44152">
        <w:t xml:space="preserve">sensitivity are </w:t>
      </w:r>
      <w:r w:rsidR="00155E70">
        <w:t>overall CDR</w:t>
      </w:r>
      <w:r w:rsidR="00231C05">
        <w:t>,</w:t>
      </w:r>
      <w:r w:rsidR="00155E70">
        <w:t xml:space="preserve"> </w:t>
      </w:r>
      <w:r w:rsidRPr="00E44152">
        <w:t>interval cancer rate</w:t>
      </w:r>
      <w:r w:rsidR="00231C05">
        <w:t xml:space="preserve"> and relative sensitivity</w:t>
      </w:r>
      <w:r w:rsidR="00155E70">
        <w:t>. C</w:t>
      </w:r>
      <w:r w:rsidR="00CA3071">
        <w:t>ancer type</w:t>
      </w:r>
      <w:r w:rsidRPr="00E44152">
        <w:t xml:space="preserve"> and tumour characteristics at detection</w:t>
      </w:r>
      <w:r w:rsidR="00155E70">
        <w:t xml:space="preserve"> are also very important to understand whether clinically significant cancers are being detected (see </w:t>
      </w:r>
      <w:r w:rsidR="00155E70">
        <w:rPr>
          <w:i/>
          <w:iCs/>
        </w:rPr>
        <w:t>section 3.2</w:t>
      </w:r>
      <w:r w:rsidR="00155E70">
        <w:t>)</w:t>
      </w:r>
      <w:r w:rsidRPr="00E44152">
        <w:t xml:space="preserve">. </w:t>
      </w:r>
    </w:p>
    <w:p w14:paraId="455BC92A" w14:textId="02643873" w:rsidR="000C0773" w:rsidRDefault="00042E35" w:rsidP="00155E70">
      <w:pPr>
        <w:pStyle w:val="BodyText"/>
      </w:pPr>
      <w:r>
        <w:t>We want to know, based on current evidence, what role DBT plays on a modern breast-screening environment and which screening strategy (DBT</w:t>
      </w:r>
      <w:r w:rsidR="002F08F0">
        <w:t>+</w:t>
      </w:r>
      <w:r w:rsidR="00176980">
        <w:t>s2DM</w:t>
      </w:r>
      <w:r w:rsidR="002F08F0">
        <w:t xml:space="preserve">, FFDM+DBT </w:t>
      </w:r>
      <w:r>
        <w:t>or other imaging) is best able to detect the most clinically relevant</w:t>
      </w:r>
      <w:r w:rsidR="002F08F0">
        <w:t xml:space="preserve"> invasive</w:t>
      </w:r>
      <w:r>
        <w:t xml:space="preserve"> breast cancers and at an early stage/low grade.</w:t>
      </w:r>
      <w:r w:rsidR="000C0773" w:rsidRPr="00E44152">
        <w:t xml:space="preserve"> </w:t>
      </w:r>
      <w:r w:rsidR="00CF2E1C" w:rsidRPr="00CF2E1C">
        <w:rPr>
          <w:i/>
          <w:iCs/>
        </w:rPr>
        <w:t>Section 3.1</w:t>
      </w:r>
      <w:r w:rsidR="00CF2E1C">
        <w:t xml:space="preserve"> describes overall CDR, interval cancer detection and relative sensitivity.</w:t>
      </w:r>
    </w:p>
    <w:p w14:paraId="0D1949E8" w14:textId="7AE5E0CD" w:rsidR="00867836" w:rsidRDefault="00867836" w:rsidP="000C0773">
      <w:pPr>
        <w:pStyle w:val="NumberedHeading3"/>
      </w:pPr>
      <w:bookmarkStart w:id="152" w:name="_Toc43376277"/>
      <w:r>
        <w:t>Overall cancer detection rate</w:t>
      </w:r>
      <w:bookmarkEnd w:id="152"/>
    </w:p>
    <w:p w14:paraId="5FEE1BAC" w14:textId="057B6E2E" w:rsidR="00A235D7" w:rsidRPr="00A235D7" w:rsidRDefault="00A235D7" w:rsidP="00A235D7">
      <w:pPr>
        <w:pStyle w:val="BodyText"/>
      </w:pPr>
      <w:r>
        <w:t xml:space="preserve">Overall </w:t>
      </w:r>
      <w:r w:rsidR="005035A8">
        <w:t>CDR</w:t>
      </w:r>
      <w:r w:rsidR="00155E70">
        <w:t xml:space="preserve"> </w:t>
      </w:r>
      <w:r>
        <w:t>refers to the total number of cancers that can be identified using a specific imaging technique(s).</w:t>
      </w:r>
      <w:r w:rsidR="00352B45">
        <w:t xml:space="preserve"> It is a fundamental </w:t>
      </w:r>
      <w:r w:rsidR="00CA3071">
        <w:t xml:space="preserve">short-term outcome and marker </w:t>
      </w:r>
      <w:r w:rsidR="00352B45">
        <w:t>of a screening program’s effectiveness at detecting very small cancers that are not currently presenting symptomatically.</w:t>
      </w:r>
      <w:r w:rsidR="00CA3071">
        <w:t xml:space="preserve"> </w:t>
      </w:r>
      <w:r w:rsidR="00CA3071">
        <w:lastRenderedPageBreak/>
        <w:t xml:space="preserve">Information about whether DBT detects more invasive disease compared to DCIS (including information on invasive CDR) is discussed in </w:t>
      </w:r>
      <w:r w:rsidR="00CA3071" w:rsidRPr="00CA3071">
        <w:rPr>
          <w:i/>
          <w:iCs/>
        </w:rPr>
        <w:t xml:space="preserve">section </w:t>
      </w:r>
      <w:r w:rsidR="00155E70">
        <w:rPr>
          <w:i/>
          <w:iCs/>
        </w:rPr>
        <w:t>3.2</w:t>
      </w:r>
      <w:r w:rsidR="00CA3071">
        <w:t>.</w:t>
      </w:r>
    </w:p>
    <w:p w14:paraId="68B65EA8" w14:textId="6382CE36" w:rsidR="000C0773" w:rsidRDefault="000C0773" w:rsidP="000C0773">
      <w:pPr>
        <w:pStyle w:val="CV-Heading"/>
      </w:pPr>
      <w:r>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33AC8894" w14:textId="0BE2E104" w:rsidR="005D71B4" w:rsidRDefault="005D71B4" w:rsidP="000C0773">
      <w:pPr>
        <w:pStyle w:val="BodyText"/>
      </w:pPr>
      <w:r>
        <w:t xml:space="preserve">Most studies compared FFDM to </w:t>
      </w:r>
      <w:r w:rsidR="00A41257">
        <w:t>FFDM+DBT</w:t>
      </w:r>
      <w:r w:rsidR="00155E70">
        <w:t xml:space="preserve"> (i.e., adju</w:t>
      </w:r>
      <w:r w:rsidR="00FD0173">
        <w:t>n</w:t>
      </w:r>
      <w:r w:rsidR="00155E70">
        <w:t>ctive DBT)</w:t>
      </w:r>
      <w:r w:rsidR="00CA3071">
        <w:t>. R</w:t>
      </w:r>
      <w:r>
        <w:t xml:space="preserve">esults from studies reporting on </w:t>
      </w:r>
      <w:r w:rsidR="00A41257">
        <w:t>DBT+</w:t>
      </w:r>
      <w:r w:rsidR="00176980">
        <w:t>s2DM</w:t>
      </w:r>
      <w:r>
        <w:t xml:space="preserve"> compared to FFDM or </w:t>
      </w:r>
      <w:r w:rsidR="00A41257">
        <w:t>FFDM+DBT</w:t>
      </w:r>
      <w:r>
        <w:t xml:space="preserve"> were emerging</w:t>
      </w:r>
      <w:r w:rsidR="00CA3071">
        <w:t xml:space="preserve"> and other imaging combinations were being trialled to reduce radiation dose (i.e., DT</w:t>
      </w:r>
      <w:r w:rsidR="00CA3071">
        <w:rPr>
          <w:vertAlign w:val="subscript"/>
        </w:rPr>
        <w:t>MLO</w:t>
      </w:r>
      <w:r w:rsidR="00CA3071">
        <w:t>+DM</w:t>
      </w:r>
      <w:r w:rsidR="00CA3071">
        <w:rPr>
          <w:vertAlign w:val="subscript"/>
        </w:rPr>
        <w:t>CC</w:t>
      </w:r>
      <w:r w:rsidR="00CA3071" w:rsidRPr="00CA3071">
        <w:t>)</w:t>
      </w:r>
      <w:r w:rsidRPr="00CA3071">
        <w:t>.</w:t>
      </w:r>
      <w:r>
        <w:t xml:space="preserve"> </w:t>
      </w:r>
    </w:p>
    <w:p w14:paraId="74327AB3" w14:textId="13FC3F4C" w:rsidR="000C0773" w:rsidRDefault="000C0773" w:rsidP="000C0773">
      <w:pPr>
        <w:pStyle w:val="BodyText"/>
      </w:pPr>
      <w:r w:rsidRPr="00BE2E91">
        <w:t xml:space="preserve">There </w:t>
      </w:r>
      <w:r>
        <w:t>wa</w:t>
      </w:r>
      <w:r w:rsidRPr="00BE2E91">
        <w:t xml:space="preserve">s </w:t>
      </w:r>
      <w:r>
        <w:t>strong</w:t>
      </w:r>
      <w:r w:rsidRPr="00BE2E91">
        <w:t xml:space="preserve"> evidence that CDR increase</w:t>
      </w:r>
      <w:r>
        <w:t>d</w:t>
      </w:r>
      <w:r w:rsidRPr="00BE2E91">
        <w:t xml:space="preserve"> when using </w:t>
      </w:r>
      <w:r w:rsidR="00A41257">
        <w:t>FFDM+DBT</w:t>
      </w:r>
      <w:r>
        <w:t xml:space="preserve"> compared to FFDM alone</w:t>
      </w:r>
      <w:r w:rsidRPr="00BE2E91">
        <w:t xml:space="preserve">. </w:t>
      </w:r>
      <w:r w:rsidR="00FD0173" w:rsidRPr="00DD06CE">
        <w:t xml:space="preserve">All studies with adequate statistical power to detect small changes to </w:t>
      </w:r>
      <w:r w:rsidR="00FD0173">
        <w:t xml:space="preserve">CDR </w:t>
      </w:r>
      <w:r w:rsidR="00FD0173" w:rsidRPr="00DD06CE">
        <w:t xml:space="preserve">reported </w:t>
      </w:r>
      <w:r w:rsidR="00FD0173">
        <w:t xml:space="preserve">that use of DBT </w:t>
      </w:r>
      <w:r w:rsidR="00FD0173" w:rsidRPr="00DD06CE">
        <w:t>increased cancer detection</w:t>
      </w:r>
      <w:r w:rsidR="00FD0173">
        <w:t xml:space="preserve">. </w:t>
      </w:r>
      <w:r w:rsidR="00FD0173" w:rsidRPr="00BE2E91">
        <w:t>Increases were reported in a range of studies (including large prospective trials</w:t>
      </w:r>
      <w:r w:rsidR="00FD0173">
        <w:t xml:space="preserve"> with a paired design and set in European population-based screening programs</w:t>
      </w:r>
      <w:r w:rsidR="00FD0173" w:rsidRPr="00BE2E91">
        <w:t>)</w:t>
      </w:r>
      <w:r w:rsidR="00FD0173">
        <w:t>. Only one small early retrospective analysis did not report an increase in overall CDR</w:t>
      </w:r>
      <w:r w:rsidR="00FD0173" w:rsidRPr="00DD06CE">
        <w:t>.</w:t>
      </w:r>
      <w:r w:rsidR="00FD0173">
        <w:t xml:space="preserve"> </w:t>
      </w:r>
      <w:r w:rsidR="00CA3071">
        <w:t xml:space="preserve">While different results were achieved for </w:t>
      </w:r>
      <w:r w:rsidRPr="00BE2E91">
        <w:t>different combinations of screening strategy</w:t>
      </w:r>
      <w:r w:rsidR="00CA3071">
        <w:t>, t</w:t>
      </w:r>
      <w:r w:rsidRPr="00BE2E91">
        <w:t>he direction of effect is consistent across study design, setting and location</w:t>
      </w:r>
      <w:r>
        <w:t xml:space="preserve">. </w:t>
      </w:r>
      <w:r w:rsidRPr="00BE2E91">
        <w:t xml:space="preserve">There </w:t>
      </w:r>
      <w:r w:rsidR="00CA3071">
        <w:t>wa</w:t>
      </w:r>
      <w:r w:rsidRPr="00BE2E91">
        <w:t>s variance in effect</w:t>
      </w:r>
      <w:r w:rsidR="00C7354C">
        <w:t xml:space="preserve"> estimates</w:t>
      </w:r>
      <w:r w:rsidRPr="00BE2E91">
        <w:t xml:space="preserve">. </w:t>
      </w:r>
      <w:r w:rsidR="00A235D7" w:rsidRPr="00DD06CE">
        <w:t xml:space="preserve">Further, </w:t>
      </w:r>
      <w:r w:rsidR="00A235D7">
        <w:t xml:space="preserve">reported results for </w:t>
      </w:r>
      <w:r w:rsidR="00A41257">
        <w:t>DBT+</w:t>
      </w:r>
      <w:r w:rsidR="00176980">
        <w:t>s2DM</w:t>
      </w:r>
      <w:r w:rsidR="00A235D7" w:rsidRPr="00DD06CE">
        <w:t xml:space="preserve"> </w:t>
      </w:r>
      <w:r w:rsidR="00A235D7">
        <w:t xml:space="preserve">included CDR </w:t>
      </w:r>
      <w:r w:rsidR="00A235D7" w:rsidRPr="00DD06CE">
        <w:t xml:space="preserve">that </w:t>
      </w:r>
      <w:r w:rsidR="00A235D7">
        <w:t>we</w:t>
      </w:r>
      <w:r w:rsidR="00A235D7" w:rsidRPr="00DD06CE">
        <w:t xml:space="preserve">re at least as good as </w:t>
      </w:r>
      <w:r w:rsidR="00A41257">
        <w:t>FFDM+DBT</w:t>
      </w:r>
      <w:r w:rsidR="00A235D7" w:rsidRPr="00DD06CE">
        <w:t xml:space="preserve"> but </w:t>
      </w:r>
      <w:r w:rsidR="00A235D7">
        <w:t xml:space="preserve">this approach </w:t>
      </w:r>
      <w:r w:rsidR="00CA3071">
        <w:t xml:space="preserve">was </w:t>
      </w:r>
      <w:r w:rsidR="00A235D7" w:rsidRPr="00DD06CE">
        <w:t>deliver</w:t>
      </w:r>
      <w:r w:rsidR="00CA3071">
        <w:t>ed with</w:t>
      </w:r>
      <w:r w:rsidR="00A235D7" w:rsidRPr="00DD06CE">
        <w:t xml:space="preserve"> a reduced radiation dose. </w:t>
      </w:r>
      <w:r w:rsidR="00A41257">
        <w:t>DBT+</w:t>
      </w:r>
      <w:r w:rsidR="00176980">
        <w:t>s2DM</w:t>
      </w:r>
      <w:r w:rsidR="00A235D7" w:rsidRPr="00DD06CE">
        <w:t xml:space="preserve"> </w:t>
      </w:r>
      <w:r w:rsidR="00A235D7">
        <w:t>was identified as</w:t>
      </w:r>
      <w:r w:rsidR="00A235D7" w:rsidRPr="00DD06CE">
        <w:t xml:space="preserve"> a very promising approach.</w:t>
      </w:r>
    </w:p>
    <w:p w14:paraId="4F9A09E1" w14:textId="77777777" w:rsidR="000C0773" w:rsidRPr="00B36206" w:rsidRDefault="000C0773" w:rsidP="000C0773">
      <w:pPr>
        <w:pStyle w:val="BodyText"/>
        <w:rPr>
          <w:b/>
        </w:rPr>
      </w:pPr>
      <w:r>
        <w:rPr>
          <w:b/>
        </w:rPr>
        <w:t>CDR d</w:t>
      </w:r>
      <w:r w:rsidRPr="00B36206">
        <w:rPr>
          <w:b/>
        </w:rPr>
        <w:t>ata from</w:t>
      </w:r>
      <w:r>
        <w:rPr>
          <w:b/>
        </w:rPr>
        <w:t xml:space="preserve"> prospective trials</w:t>
      </w:r>
    </w:p>
    <w:p w14:paraId="6379E975" w14:textId="75743103" w:rsidR="000C0773" w:rsidRDefault="00A235D7" w:rsidP="000C0773">
      <w:pPr>
        <w:pStyle w:val="BodyText"/>
      </w:pPr>
      <w:r w:rsidRPr="00DD06CE">
        <w:t>Results from large</w:t>
      </w:r>
      <w:r>
        <w:t>, fully paired</w:t>
      </w:r>
      <w:r w:rsidRPr="00DD06CE">
        <w:t xml:space="preserve"> prospective trials</w:t>
      </w:r>
      <w:r>
        <w:t xml:space="preserve"> embedded in population screening programs</w:t>
      </w:r>
      <w:r w:rsidRPr="00DD06CE">
        <w:t xml:space="preserve"> consisten</w:t>
      </w:r>
      <w:r>
        <w:t>tly</w:t>
      </w:r>
      <w:r w:rsidRPr="00DD06CE">
        <w:t xml:space="preserve"> reported statistically significant incremental </w:t>
      </w:r>
      <w:r w:rsidR="00CA3071">
        <w:t>CDR</w:t>
      </w:r>
      <w:r w:rsidRPr="00DD06CE">
        <w:t xml:space="preserve"> of more than </w:t>
      </w:r>
      <w:r w:rsidR="00CA3071">
        <w:t>two</w:t>
      </w:r>
      <w:r w:rsidRPr="00DD06CE">
        <w:t xml:space="preserve"> per 1000 </w:t>
      </w:r>
      <w:r w:rsidR="00CA3071">
        <w:t xml:space="preserve">biennial </w:t>
      </w:r>
      <w:r w:rsidRPr="00DD06CE">
        <w:t xml:space="preserve">screening examinations. </w:t>
      </w:r>
      <w:r w:rsidR="000C0773" w:rsidRPr="00BE2E91">
        <w:t>Pooled analysis based on data from the S</w:t>
      </w:r>
      <w:r w:rsidR="00FD0173">
        <w:t xml:space="preserve">creening with </w:t>
      </w:r>
      <w:r w:rsidR="000C0773" w:rsidRPr="00BE2E91">
        <w:t>T</w:t>
      </w:r>
      <w:r w:rsidR="00FD0173">
        <w:t>omosynthesis or Regular Mammography (ST</w:t>
      </w:r>
      <w:r w:rsidR="000C0773" w:rsidRPr="00BE2E91">
        <w:t>ORM</w:t>
      </w:r>
      <w:r w:rsidR="00FD0173">
        <w:t>)</w:t>
      </w:r>
      <w:r w:rsidR="000C0773" w:rsidRPr="00BE2E91">
        <w:t xml:space="preserve"> and O</w:t>
      </w:r>
      <w:r w:rsidR="000C0773">
        <w:t xml:space="preserve">slo </w:t>
      </w:r>
      <w:r w:rsidR="000C0773" w:rsidRPr="00BE2E91">
        <w:t>T</w:t>
      </w:r>
      <w:r w:rsidR="000C0773">
        <w:t xml:space="preserve">omosynthesis in </w:t>
      </w:r>
      <w:r w:rsidR="000C0773" w:rsidRPr="00BE2E91">
        <w:t>S</w:t>
      </w:r>
      <w:r w:rsidR="000C0773">
        <w:t>creening</w:t>
      </w:r>
      <w:r w:rsidR="000C0773" w:rsidRPr="00BE2E91">
        <w:t xml:space="preserve"> </w:t>
      </w:r>
      <w:r w:rsidR="000C0773">
        <w:t xml:space="preserve">(OTS) </w:t>
      </w:r>
      <w:r w:rsidR="000C0773" w:rsidRPr="00BE2E91">
        <w:t>trials reported a statistically significant increase of 2.43 cancers detected per 1000 screening examinations compared to FFDM alone</w:t>
      </w:r>
      <w:r w:rsidR="000C0773">
        <w:t xml:space="preserve">. </w:t>
      </w:r>
      <w:r w:rsidR="000C0773" w:rsidRPr="00BE2E91">
        <w:t xml:space="preserve">The incremental CDR and invasive CDR </w:t>
      </w:r>
      <w:r w:rsidR="00CA3071">
        <w:t xml:space="preserve">were </w:t>
      </w:r>
      <w:r w:rsidR="000C0773" w:rsidRPr="00BE2E91">
        <w:t xml:space="preserve">similar for </w:t>
      </w:r>
      <w:r w:rsidR="00A41257">
        <w:t>FFDM+DBT</w:t>
      </w:r>
      <w:r w:rsidR="000C0773" w:rsidRPr="00BE2E91">
        <w:t xml:space="preserve"> and </w:t>
      </w:r>
      <w:r w:rsidR="00A41257">
        <w:t>DBT+</w:t>
      </w:r>
      <w:r w:rsidR="00176980">
        <w:t>s2DM</w:t>
      </w:r>
      <w:r w:rsidR="000C0773" w:rsidRPr="00BE2E91">
        <w:t xml:space="preserve">: either </w:t>
      </w:r>
      <w:r w:rsidR="00CA3071">
        <w:t xml:space="preserve">approach </w:t>
      </w:r>
      <w:r w:rsidR="000C0773" w:rsidRPr="00BE2E91">
        <w:t>detected significantly more cancers than FFDM alone. The Malmö trial reported a significant increase in CDR: 2.6 cancers detected per 1000 screening examinations</w:t>
      </w:r>
      <w:r w:rsidR="000C0773">
        <w:t xml:space="preserve"> using DBT</w:t>
      </w:r>
      <w:r w:rsidR="000C0773">
        <w:rPr>
          <w:vertAlign w:val="subscript"/>
        </w:rPr>
        <w:t>MLO</w:t>
      </w:r>
      <w:r w:rsidR="00CA3071" w:rsidRPr="00CA3071">
        <w:t>+DM</w:t>
      </w:r>
      <w:r w:rsidR="00CA3071">
        <w:rPr>
          <w:vertAlign w:val="subscript"/>
        </w:rPr>
        <w:t>CC</w:t>
      </w:r>
      <w:r w:rsidR="000C0773">
        <w:t xml:space="preserve"> compared to FFDM alone</w:t>
      </w:r>
      <w:r w:rsidR="000C0773" w:rsidRPr="00BE2E91">
        <w:t xml:space="preserve">. </w:t>
      </w:r>
    </w:p>
    <w:p w14:paraId="56FE1CD9" w14:textId="6F9C6820" w:rsidR="000C0773" w:rsidRDefault="00A41257" w:rsidP="000C0773">
      <w:pPr>
        <w:pStyle w:val="BodyText"/>
      </w:pPr>
      <w:r>
        <w:t>DBT+</w:t>
      </w:r>
      <w:r w:rsidR="00176980">
        <w:t>s2DM</w:t>
      </w:r>
      <w:r w:rsidR="000C0773" w:rsidRPr="00BE2E91">
        <w:t xml:space="preserve"> </w:t>
      </w:r>
      <w:r w:rsidR="000C0773">
        <w:t>also</w:t>
      </w:r>
      <w:r w:rsidR="000C0773" w:rsidRPr="00BE2E91">
        <w:t xml:space="preserve"> perform</w:t>
      </w:r>
      <w:r w:rsidR="000C0773">
        <w:t>ed</w:t>
      </w:r>
      <w:r w:rsidR="000C0773" w:rsidRPr="00BE2E91">
        <w:t xml:space="preserve"> better</w:t>
      </w:r>
      <w:r w:rsidR="000C0773">
        <w:t xml:space="preserve">, detecting </w:t>
      </w:r>
      <w:r w:rsidR="000C0773" w:rsidRPr="00BE2E91">
        <w:t>8.8 cancers per 1000 screening examinations compared to 6.3</w:t>
      </w:r>
      <w:r w:rsidR="000C0773">
        <w:t xml:space="preserve"> with FFDM alone</w:t>
      </w:r>
      <w:r w:rsidR="000C0773" w:rsidRPr="00BE2E91">
        <w:t xml:space="preserve">. </w:t>
      </w:r>
      <w:r w:rsidR="00CA3071">
        <w:t>C</w:t>
      </w:r>
      <w:r w:rsidR="000C0773" w:rsidRPr="00BE2E91">
        <w:t xml:space="preserve">omparative CDR performance for </w:t>
      </w:r>
      <w:r>
        <w:t>DBT+</w:t>
      </w:r>
      <w:r w:rsidR="00176980">
        <w:t>s2DM</w:t>
      </w:r>
      <w:r w:rsidR="000C0773" w:rsidRPr="00BE2E91">
        <w:t xml:space="preserve"> compared to </w:t>
      </w:r>
      <w:r>
        <w:t>FFDM+DBT</w:t>
      </w:r>
      <w:r w:rsidR="000C0773" w:rsidRPr="00BE2E91">
        <w:t xml:space="preserve"> </w:t>
      </w:r>
      <w:r w:rsidR="000C0773">
        <w:t xml:space="preserve">was inconsistent but </w:t>
      </w:r>
      <w:r w:rsidR="000C0773" w:rsidRPr="00BE2E91">
        <w:t xml:space="preserve">the CDR is similar in both </w:t>
      </w:r>
      <w:r w:rsidR="000C0773" w:rsidRPr="00D86CAB">
        <w:t xml:space="preserve">screening </w:t>
      </w:r>
      <w:r w:rsidR="000C0773">
        <w:t>strategies</w:t>
      </w:r>
      <w:r w:rsidR="000C0773" w:rsidRPr="00BE2E91">
        <w:t xml:space="preserve"> </w:t>
      </w:r>
      <w:r w:rsidR="000C0773">
        <w:t>(</w:t>
      </w:r>
      <w:r w:rsidR="000C0773" w:rsidRPr="00BE2E91">
        <w:t xml:space="preserve">in </w:t>
      </w:r>
      <w:r w:rsidR="000C0773">
        <w:t xml:space="preserve">both </w:t>
      </w:r>
      <w:r w:rsidR="000C0773" w:rsidRPr="00BE2E91">
        <w:t xml:space="preserve">smaller </w:t>
      </w:r>
      <w:r w:rsidR="000C0773">
        <w:t xml:space="preserve">and larger </w:t>
      </w:r>
      <w:r w:rsidR="000C0773" w:rsidRPr="00BE2E91">
        <w:t>studies</w:t>
      </w:r>
      <w:r w:rsidR="000C0773">
        <w:t>)</w:t>
      </w:r>
      <w:r w:rsidR="000C0773" w:rsidRPr="00BE2E91">
        <w:t xml:space="preserve">. </w:t>
      </w:r>
    </w:p>
    <w:p w14:paraId="6DA58786" w14:textId="77777777" w:rsidR="000C0773" w:rsidRPr="00B36206" w:rsidRDefault="000C0773" w:rsidP="000C0773">
      <w:pPr>
        <w:pStyle w:val="BodyText"/>
        <w:rPr>
          <w:b/>
        </w:rPr>
      </w:pPr>
      <w:r>
        <w:rPr>
          <w:b/>
        </w:rPr>
        <w:t>CDR data from retrospective analysis or reader studies</w:t>
      </w:r>
    </w:p>
    <w:p w14:paraId="024CFF98" w14:textId="1F861E98" w:rsidR="000C0773" w:rsidRDefault="000C0773" w:rsidP="000C0773">
      <w:pPr>
        <w:pStyle w:val="BodyText"/>
      </w:pPr>
      <w:r w:rsidRPr="00BE2E91">
        <w:t>Data from retrospective studies showed a similar effect</w:t>
      </w:r>
      <w:r>
        <w:t xml:space="preserve"> (that is, CDR </w:t>
      </w:r>
      <w:r w:rsidR="00172DA2">
        <w:t xml:space="preserve">increased </w:t>
      </w:r>
      <w:r>
        <w:t xml:space="preserve">when DBT </w:t>
      </w:r>
      <w:r w:rsidR="00172DA2">
        <w:t xml:space="preserve">was </w:t>
      </w:r>
      <w:r>
        <w:t>used)</w:t>
      </w:r>
      <w:r w:rsidRPr="00BE2E91">
        <w:t xml:space="preserve"> but the increases were smaller</w:t>
      </w:r>
      <w:r>
        <w:t xml:space="preserve"> than those reported from the prospective trials. Statistically significant </w:t>
      </w:r>
      <w:r w:rsidRPr="00BE2E91">
        <w:t xml:space="preserve">CDR results from retrospective studies ranged from 1.6 to 1.9 </w:t>
      </w:r>
      <w:r>
        <w:t xml:space="preserve">cancers detected </w:t>
      </w:r>
      <w:r w:rsidRPr="00BE2E91">
        <w:t xml:space="preserve">per 1000 screening examinations. Reasons for the lower CDR in the retrospective studies </w:t>
      </w:r>
      <w:r w:rsidR="00CA3071">
        <w:t xml:space="preserve">most likely </w:t>
      </w:r>
      <w:r w:rsidRPr="00BE2E91">
        <w:t>relate</w:t>
      </w:r>
      <w:r w:rsidR="00CA3071">
        <w:t>d</w:t>
      </w:r>
      <w:r w:rsidRPr="00BE2E91">
        <w:t xml:space="preserve"> to difference</w:t>
      </w:r>
      <w:r>
        <w:t>s</w:t>
      </w:r>
      <w:r w:rsidRPr="00BE2E91">
        <w:t xml:space="preserve"> in reading strategy</w:t>
      </w:r>
      <w:r>
        <w:t xml:space="preserve"> (eg, </w:t>
      </w:r>
      <w:r w:rsidRPr="00BE2E91">
        <w:t xml:space="preserve">double reading </w:t>
      </w:r>
      <w:r>
        <w:t xml:space="preserve">compared to a </w:t>
      </w:r>
      <w:r w:rsidRPr="00BE2E91">
        <w:t>single reader approach</w:t>
      </w:r>
      <w:r w:rsidR="00CA3071">
        <w:t xml:space="preserve"> or to annual rather than biennial screening</w:t>
      </w:r>
      <w:r>
        <w:t xml:space="preserve">), </w:t>
      </w:r>
      <w:r w:rsidRPr="00BE2E91">
        <w:t>participant selection</w:t>
      </w:r>
      <w:r>
        <w:t xml:space="preserve">, </w:t>
      </w:r>
      <w:r w:rsidRPr="00BE2E91">
        <w:t>under-powering</w:t>
      </w:r>
      <w:r>
        <w:t xml:space="preserve"> </w:t>
      </w:r>
      <w:r w:rsidRPr="00BE2E91">
        <w:t xml:space="preserve">or other study design limitations. </w:t>
      </w:r>
    </w:p>
    <w:p w14:paraId="1F2B5849" w14:textId="482714A8" w:rsidR="00A235D7" w:rsidRDefault="00A235D7" w:rsidP="00A235D7">
      <w:pPr>
        <w:pStyle w:val="BodyText"/>
      </w:pPr>
      <w:r w:rsidRPr="00DD06CE">
        <w:t>Most of the studies investigating CDR</w:t>
      </w:r>
      <w:r>
        <w:t xml:space="preserve"> </w:t>
      </w:r>
      <w:r w:rsidRPr="00DD06CE">
        <w:t>ha</w:t>
      </w:r>
      <w:r>
        <w:t>d</w:t>
      </w:r>
      <w:r w:rsidRPr="00DD06CE">
        <w:t xml:space="preserve"> short time frames (</w:t>
      </w:r>
      <w:r w:rsidRPr="00DD06CE">
        <w:rPr>
          <w:u w:val="single"/>
        </w:rPr>
        <w:t>&lt;</w:t>
      </w:r>
      <w:r w:rsidRPr="00DD06CE">
        <w:t>24 months). Further research</w:t>
      </w:r>
      <w:r w:rsidR="00172DA2">
        <w:t xml:space="preserve"> i</w:t>
      </w:r>
      <w:r w:rsidR="00CA3071">
        <w:t xml:space="preserve">s </w:t>
      </w:r>
      <w:r w:rsidRPr="00DD06CE">
        <w:t>needed to determine the overall mortality</w:t>
      </w:r>
      <w:r>
        <w:t xml:space="preserve"> and treatment morbidity </w:t>
      </w:r>
      <w:r w:rsidRPr="00DD06CE">
        <w:t xml:space="preserve">benefit conferred by DBT as a screening strategy in a population-based screening environment (including further evidence </w:t>
      </w:r>
      <w:r w:rsidRPr="00DD06CE">
        <w:lastRenderedPageBreak/>
        <w:t>about</w:t>
      </w:r>
      <w:r w:rsidR="00172DA2">
        <w:t xml:space="preserve"> any changes in</w:t>
      </w:r>
      <w:r w:rsidRPr="00DD06CE">
        <w:t xml:space="preserve"> interval cancer rate) and if the improvement in </w:t>
      </w:r>
      <w:r>
        <w:t xml:space="preserve">CDR </w:t>
      </w:r>
      <w:r w:rsidRPr="00DD06CE">
        <w:t xml:space="preserve">provided by DBT (either with integrated </w:t>
      </w:r>
      <w:r w:rsidR="00176980">
        <w:t>s2DM</w:t>
      </w:r>
      <w:r w:rsidRPr="00DD06CE">
        <w:t xml:space="preserve"> or with FFDM) is sustained between first and subsequent (i.e., prevalent and incident) screening examinations.</w:t>
      </w:r>
    </w:p>
    <w:p w14:paraId="3E4C36EC" w14:textId="17F815D6" w:rsidR="00CA3071" w:rsidRDefault="00CA3071" w:rsidP="00A235D7">
      <w:pPr>
        <w:pStyle w:val="BodyText"/>
      </w:pPr>
      <w:r>
        <w:t>The previous GRADE assessment (below) reflected the strong evidence that FFDM+DBT increased CDR but that the evidence was still emerging for other imaging combinations.</w:t>
      </w:r>
    </w:p>
    <w:p w14:paraId="5EF60A83" w14:textId="21890C75" w:rsidR="000C0773" w:rsidRPr="006D27BA" w:rsidRDefault="000C0773" w:rsidP="000C0773">
      <w:pPr>
        <w:pStyle w:val="BodyText"/>
        <w:rPr>
          <w:b/>
          <w:bCs/>
        </w:rPr>
      </w:pPr>
      <w:r w:rsidRPr="006D27BA">
        <w:rPr>
          <w:b/>
          <w:bCs/>
        </w:rPr>
        <w:t>GRADE assessment</w:t>
      </w:r>
      <w:r w:rsidR="00EB0B43">
        <w:rPr>
          <w:b/>
          <w:bCs/>
        </w:rPr>
        <w:t xml:space="preserve">: cancer detection rate: </w:t>
      </w:r>
      <w:r w:rsidR="00A41257">
        <w:rPr>
          <w:b/>
          <w:bCs/>
        </w:rPr>
        <w:t>FFDM+DBT</w:t>
      </w:r>
      <w:r w:rsidR="00EB0B43">
        <w:rPr>
          <w:b/>
          <w:bCs/>
        </w:rPr>
        <w:t xml:space="preserve"> compared to FFDM alone</w:t>
      </w:r>
    </w:p>
    <w:tbl>
      <w:tblPr>
        <w:tblStyle w:val="ACGreen-BasicTable"/>
        <w:tblW w:w="9067" w:type="dxa"/>
        <w:tblLook w:val="04A0" w:firstRow="1" w:lastRow="0" w:firstColumn="1" w:lastColumn="0" w:noHBand="0" w:noVBand="1"/>
        <w:tblDescription w:val="The GRADE assessment for cancer detection rate: FFDM+DBT compared to FFDM alone had participants studies of 1,009,427 participants and 20 studies.&#10;The quality of evidence was strong.&#10;The overall results were pooled analysis of data from two prospective, fully paired studies embedded in population-based screening programs: FFDM+DBT increases CDR by 2.43 cancers per 1000 screening examinations. A third prospective, fully paired study also reported increased CDR of 2.2 cancers per 1000 screening examinations. Data from 15 other retrospective studies of different design and variable quality report increased incremental CDR (although few studies reported statistically significant results). &#10;"/>
      </w:tblPr>
      <w:tblGrid>
        <w:gridCol w:w="1701"/>
        <w:gridCol w:w="1134"/>
        <w:gridCol w:w="6232"/>
      </w:tblGrid>
      <w:tr w:rsidR="00EB0B43" w14:paraId="3A45676F" w14:textId="77777777" w:rsidTr="00EB0B43">
        <w:trPr>
          <w:cnfStyle w:val="100000000000" w:firstRow="1" w:lastRow="0" w:firstColumn="0" w:lastColumn="0" w:oddVBand="0" w:evenVBand="0" w:oddHBand="0" w:evenHBand="0" w:firstRowFirstColumn="0" w:firstRowLastColumn="0" w:lastRowFirstColumn="0" w:lastRowLastColumn="0"/>
        </w:trPr>
        <w:tc>
          <w:tcPr>
            <w:tcW w:w="1701" w:type="dxa"/>
          </w:tcPr>
          <w:p w14:paraId="74627A9F" w14:textId="77777777" w:rsidR="00EB0B43" w:rsidRPr="00BB08AB" w:rsidRDefault="00EB0B43" w:rsidP="00285D7E">
            <w:pPr>
              <w:rPr>
                <w:rFonts w:cstheme="majorHAnsi"/>
                <w:b w:val="0"/>
                <w:sz w:val="18"/>
                <w:szCs w:val="18"/>
              </w:rPr>
            </w:pPr>
            <w:r w:rsidRPr="00BB08AB">
              <w:rPr>
                <w:rFonts w:cstheme="majorHAnsi"/>
                <w:sz w:val="18"/>
                <w:szCs w:val="18"/>
              </w:rPr>
              <w:t xml:space="preserve">Participants </w:t>
            </w:r>
          </w:p>
          <w:p w14:paraId="0A0EC911" w14:textId="4F8F44DA" w:rsidR="00EB0B43" w:rsidRPr="00285D7E" w:rsidRDefault="00EB0B43" w:rsidP="00285D7E">
            <w:pPr>
              <w:rPr>
                <w:rFonts w:cstheme="majorHAnsi"/>
                <w:b w:val="0"/>
                <w:sz w:val="18"/>
                <w:szCs w:val="18"/>
              </w:rPr>
            </w:pPr>
            <w:r w:rsidRPr="00BB08AB">
              <w:rPr>
                <w:rFonts w:cstheme="majorHAnsi"/>
                <w:sz w:val="18"/>
                <w:szCs w:val="18"/>
              </w:rPr>
              <w:t>Studies</w:t>
            </w:r>
          </w:p>
        </w:tc>
        <w:tc>
          <w:tcPr>
            <w:tcW w:w="1134" w:type="dxa"/>
          </w:tcPr>
          <w:p w14:paraId="744450DD" w14:textId="77777777" w:rsidR="00EB0B43" w:rsidRDefault="00EB0B43" w:rsidP="00285D7E">
            <w:pPr>
              <w:pStyle w:val="BodyText"/>
              <w:spacing w:before="0" w:after="0"/>
              <w:jc w:val="left"/>
            </w:pPr>
            <w:r w:rsidRPr="00BB08AB">
              <w:rPr>
                <w:rFonts w:cstheme="majorHAnsi"/>
                <w:sz w:val="18"/>
                <w:szCs w:val="18"/>
              </w:rPr>
              <w:t xml:space="preserve">Quality of evidence </w:t>
            </w:r>
          </w:p>
        </w:tc>
        <w:tc>
          <w:tcPr>
            <w:tcW w:w="6232" w:type="dxa"/>
          </w:tcPr>
          <w:p w14:paraId="7BDF22C2" w14:textId="77777777" w:rsidR="00EB0B43" w:rsidRDefault="00EB0B43" w:rsidP="00285D7E">
            <w:pPr>
              <w:pStyle w:val="BodyText"/>
              <w:spacing w:before="0" w:after="0"/>
            </w:pPr>
            <w:r w:rsidRPr="00BB08AB">
              <w:rPr>
                <w:rFonts w:cstheme="majorHAnsi"/>
                <w:sz w:val="18"/>
                <w:szCs w:val="18"/>
              </w:rPr>
              <w:t xml:space="preserve">Overall results </w:t>
            </w:r>
          </w:p>
        </w:tc>
      </w:tr>
      <w:tr w:rsidR="00EB0B43" w14:paraId="2A266556" w14:textId="77777777" w:rsidTr="00EB0B43">
        <w:tc>
          <w:tcPr>
            <w:tcW w:w="1701" w:type="dxa"/>
          </w:tcPr>
          <w:p w14:paraId="7942C6B1" w14:textId="77777777" w:rsidR="00EB0B43" w:rsidRPr="00BB08AB" w:rsidRDefault="00EB0B43" w:rsidP="00236D7C">
            <w:pPr>
              <w:rPr>
                <w:rFonts w:cstheme="majorHAnsi"/>
                <w:sz w:val="18"/>
                <w:szCs w:val="18"/>
              </w:rPr>
            </w:pPr>
            <w:r w:rsidRPr="00BB08AB">
              <w:rPr>
                <w:rFonts w:cstheme="majorHAnsi"/>
                <w:sz w:val="18"/>
                <w:szCs w:val="18"/>
              </w:rPr>
              <w:t>1,009,427 participants</w:t>
            </w:r>
          </w:p>
          <w:p w14:paraId="11CD7721" w14:textId="77777777" w:rsidR="00EB0B43" w:rsidRDefault="00EB0B43" w:rsidP="00236D7C">
            <w:pPr>
              <w:pStyle w:val="BodyText"/>
              <w:spacing w:before="0" w:after="0"/>
            </w:pPr>
            <w:r w:rsidRPr="00BB08AB">
              <w:rPr>
                <w:rFonts w:cstheme="majorHAnsi"/>
                <w:sz w:val="18"/>
                <w:szCs w:val="18"/>
              </w:rPr>
              <w:t>20 studies</w:t>
            </w:r>
          </w:p>
        </w:tc>
        <w:tc>
          <w:tcPr>
            <w:tcW w:w="1134" w:type="dxa"/>
          </w:tcPr>
          <w:p w14:paraId="125FE629" w14:textId="77777777" w:rsidR="00EB0B43" w:rsidRPr="00BB08AB" w:rsidRDefault="00EB0B43" w:rsidP="00236D7C">
            <w:pPr>
              <w:rPr>
                <w:rFonts w:cstheme="majorHAnsi"/>
                <w:sz w:val="18"/>
                <w:szCs w:val="18"/>
              </w:rPr>
            </w:pPr>
            <w:r w:rsidRPr="00BB08AB">
              <w:rPr>
                <w:rFonts w:ascii="Cambria Math" w:hAnsi="Cambria Math" w:cs="Cambria Math"/>
                <w:sz w:val="18"/>
                <w:szCs w:val="18"/>
              </w:rPr>
              <w:t>⊕⊕⊕⊕</w:t>
            </w:r>
          </w:p>
          <w:p w14:paraId="040D7D14" w14:textId="77777777" w:rsidR="00EB0B43" w:rsidRDefault="00EB0B43" w:rsidP="00236D7C">
            <w:pPr>
              <w:pStyle w:val="BodyText"/>
              <w:spacing w:before="0" w:after="0"/>
            </w:pPr>
            <w:r w:rsidRPr="00BB08AB">
              <w:rPr>
                <w:rFonts w:cstheme="majorHAnsi"/>
                <w:sz w:val="18"/>
                <w:szCs w:val="18"/>
              </w:rPr>
              <w:t>Strong</w:t>
            </w:r>
          </w:p>
        </w:tc>
        <w:tc>
          <w:tcPr>
            <w:tcW w:w="6232" w:type="dxa"/>
          </w:tcPr>
          <w:p w14:paraId="14841500" w14:textId="29AE12A8" w:rsidR="00EB0B43" w:rsidRDefault="00EB0B43" w:rsidP="00236D7C">
            <w:pPr>
              <w:pStyle w:val="BodyText"/>
              <w:spacing w:before="0" w:after="0"/>
            </w:pPr>
            <w:r w:rsidRPr="00BB08AB">
              <w:rPr>
                <w:rFonts w:cstheme="majorHAnsi"/>
                <w:sz w:val="18"/>
                <w:szCs w:val="18"/>
              </w:rPr>
              <w:t xml:space="preserve">Pooled analysis of data from two prospective, fully paired studies embedded in population-based screening programs: </w:t>
            </w:r>
            <w:r w:rsidR="00A41257">
              <w:rPr>
                <w:rFonts w:cstheme="majorHAnsi"/>
                <w:sz w:val="18"/>
                <w:szCs w:val="18"/>
              </w:rPr>
              <w:t>FFDM+DBT</w:t>
            </w:r>
            <w:r w:rsidRPr="00BB08AB">
              <w:rPr>
                <w:rFonts w:cstheme="majorHAnsi"/>
                <w:sz w:val="18"/>
                <w:szCs w:val="18"/>
              </w:rPr>
              <w:t xml:space="preserve"> increases CDR by 2.43 cancers per 1000 screening examinations. A third prospective, fully paired study also reported increased CDR of 2.2 cancers per 1000 screening examinations. Data from 15 other retrospective studies of different design and variable quality report increased incremental CDR (although few studies reported statistically significant results).</w:t>
            </w:r>
          </w:p>
        </w:tc>
      </w:tr>
    </w:tbl>
    <w:p w14:paraId="751E9892" w14:textId="07BFD0EC" w:rsidR="00EB0B43" w:rsidRPr="006D27BA" w:rsidRDefault="00EB0B43" w:rsidP="00EB0B43">
      <w:pPr>
        <w:pStyle w:val="BodyText"/>
        <w:rPr>
          <w:b/>
          <w:bCs/>
        </w:rPr>
      </w:pPr>
      <w:r w:rsidRPr="006D27BA">
        <w:rPr>
          <w:b/>
          <w:bCs/>
        </w:rPr>
        <w:t>GRADE assessment</w:t>
      </w:r>
      <w:r>
        <w:rPr>
          <w:b/>
          <w:bCs/>
        </w:rPr>
        <w:t xml:space="preserve">: cancer detection rate: </w:t>
      </w:r>
      <w:r w:rsidR="00A41257">
        <w:rPr>
          <w:b/>
          <w:bCs/>
        </w:rPr>
        <w:t>DBT+</w:t>
      </w:r>
      <w:r w:rsidR="00176980">
        <w:rPr>
          <w:b/>
          <w:bCs/>
        </w:rPr>
        <w:t>s2DM</w:t>
      </w:r>
      <w:r>
        <w:rPr>
          <w:b/>
          <w:bCs/>
        </w:rPr>
        <w:t xml:space="preserve"> compared to</w:t>
      </w:r>
      <w:r w:rsidR="00FC6204">
        <w:rPr>
          <w:b/>
          <w:bCs/>
        </w:rPr>
        <w:t xml:space="preserve"> </w:t>
      </w:r>
      <w:r w:rsidR="00A41257">
        <w:rPr>
          <w:b/>
          <w:bCs/>
        </w:rPr>
        <w:t>FFDM+DBT</w:t>
      </w:r>
      <w:r w:rsidR="00FC6204">
        <w:rPr>
          <w:b/>
          <w:bCs/>
        </w:rPr>
        <w:t xml:space="preserve"> or</w:t>
      </w:r>
      <w:r>
        <w:rPr>
          <w:b/>
          <w:bCs/>
        </w:rPr>
        <w:t xml:space="preserve"> FFDM alone</w:t>
      </w:r>
    </w:p>
    <w:tbl>
      <w:tblPr>
        <w:tblStyle w:val="ACGreen-BasicTable"/>
        <w:tblW w:w="9067" w:type="dxa"/>
        <w:tblLook w:val="04A0" w:firstRow="1" w:lastRow="0" w:firstColumn="1" w:lastColumn="0" w:noHBand="0" w:noVBand="1"/>
        <w:tblDescription w:val="The GRADE assessment for cancer detection rate: DBT+s2DM compared to FFDM+DBT or FFDM alone had participants studies of 153,668 participants and five studies.&#10;The quality of evidence was low.&#10;The overall results were no systematic review or pooled analysis was available."/>
      </w:tblPr>
      <w:tblGrid>
        <w:gridCol w:w="1701"/>
        <w:gridCol w:w="1134"/>
        <w:gridCol w:w="6232"/>
      </w:tblGrid>
      <w:tr w:rsidR="00EB0B43" w14:paraId="557CCDA9" w14:textId="77777777" w:rsidTr="00EB0B43">
        <w:trPr>
          <w:cnfStyle w:val="100000000000" w:firstRow="1" w:lastRow="0" w:firstColumn="0" w:lastColumn="0" w:oddVBand="0" w:evenVBand="0" w:oddHBand="0" w:evenHBand="0" w:firstRowFirstColumn="0" w:firstRowLastColumn="0" w:lastRowFirstColumn="0" w:lastRowLastColumn="0"/>
        </w:trPr>
        <w:tc>
          <w:tcPr>
            <w:tcW w:w="1701" w:type="dxa"/>
          </w:tcPr>
          <w:p w14:paraId="598CAF9B" w14:textId="77777777" w:rsidR="00EB0B43" w:rsidRPr="00BB08AB" w:rsidRDefault="00EB0B43" w:rsidP="00236D7C">
            <w:pPr>
              <w:rPr>
                <w:rFonts w:cstheme="majorHAnsi"/>
                <w:b w:val="0"/>
                <w:sz w:val="18"/>
                <w:szCs w:val="18"/>
              </w:rPr>
            </w:pPr>
            <w:r w:rsidRPr="00BB08AB">
              <w:rPr>
                <w:rFonts w:cstheme="majorHAnsi"/>
                <w:sz w:val="18"/>
                <w:szCs w:val="18"/>
              </w:rPr>
              <w:t xml:space="preserve">Participants </w:t>
            </w:r>
          </w:p>
          <w:p w14:paraId="0FAE8FE7" w14:textId="675FEBFE" w:rsidR="00EB0B43" w:rsidRPr="00285D7E" w:rsidRDefault="00EB0B43" w:rsidP="00236D7C">
            <w:pPr>
              <w:rPr>
                <w:rFonts w:cstheme="majorHAnsi"/>
                <w:b w:val="0"/>
                <w:sz w:val="18"/>
                <w:szCs w:val="18"/>
              </w:rPr>
            </w:pPr>
            <w:r w:rsidRPr="00BB08AB">
              <w:rPr>
                <w:rFonts w:cstheme="majorHAnsi"/>
                <w:sz w:val="18"/>
                <w:szCs w:val="18"/>
              </w:rPr>
              <w:t>Studies</w:t>
            </w:r>
          </w:p>
        </w:tc>
        <w:tc>
          <w:tcPr>
            <w:tcW w:w="1134" w:type="dxa"/>
          </w:tcPr>
          <w:p w14:paraId="36D34AEA" w14:textId="77777777" w:rsidR="00EB0B43" w:rsidRPr="00BB08AB" w:rsidRDefault="00EB0B43" w:rsidP="00236D7C">
            <w:pPr>
              <w:rPr>
                <w:rFonts w:ascii="Cambria Math" w:hAnsi="Cambria Math" w:cs="Cambria Math"/>
                <w:sz w:val="18"/>
                <w:szCs w:val="18"/>
              </w:rPr>
            </w:pPr>
            <w:r w:rsidRPr="00BB08AB">
              <w:rPr>
                <w:rFonts w:cstheme="majorHAnsi"/>
                <w:sz w:val="18"/>
                <w:szCs w:val="18"/>
              </w:rPr>
              <w:t xml:space="preserve">Quality of evidence </w:t>
            </w:r>
          </w:p>
        </w:tc>
        <w:tc>
          <w:tcPr>
            <w:tcW w:w="6232" w:type="dxa"/>
          </w:tcPr>
          <w:p w14:paraId="62EDBD1C" w14:textId="77777777" w:rsidR="00EB0B43" w:rsidRPr="00BB08AB" w:rsidRDefault="00EB0B43" w:rsidP="00236D7C">
            <w:pPr>
              <w:pStyle w:val="BodyText"/>
              <w:rPr>
                <w:rFonts w:cstheme="majorHAnsi"/>
                <w:sz w:val="18"/>
                <w:szCs w:val="18"/>
              </w:rPr>
            </w:pPr>
            <w:r w:rsidRPr="00BB08AB">
              <w:rPr>
                <w:rFonts w:cstheme="majorHAnsi"/>
                <w:sz w:val="18"/>
                <w:szCs w:val="18"/>
              </w:rPr>
              <w:t xml:space="preserve">Overall results </w:t>
            </w:r>
          </w:p>
        </w:tc>
      </w:tr>
      <w:tr w:rsidR="00EB0B43" w14:paraId="1CF6746F" w14:textId="77777777" w:rsidTr="00EB0B43">
        <w:tc>
          <w:tcPr>
            <w:tcW w:w="1701" w:type="dxa"/>
          </w:tcPr>
          <w:p w14:paraId="01932F5F" w14:textId="77777777" w:rsidR="00EB0B43" w:rsidRPr="00BB08AB" w:rsidRDefault="00EB0B43" w:rsidP="00236D7C">
            <w:pPr>
              <w:rPr>
                <w:rFonts w:cstheme="majorHAnsi"/>
                <w:sz w:val="18"/>
                <w:szCs w:val="18"/>
              </w:rPr>
            </w:pPr>
            <w:r w:rsidRPr="00BB08AB">
              <w:rPr>
                <w:rFonts w:cstheme="majorHAnsi"/>
                <w:sz w:val="18"/>
                <w:szCs w:val="18"/>
              </w:rPr>
              <w:t>153,668 participants</w:t>
            </w:r>
          </w:p>
          <w:p w14:paraId="068D138D" w14:textId="77777777" w:rsidR="00EB0B43" w:rsidRPr="00BB08AB" w:rsidRDefault="00EB0B43" w:rsidP="00236D7C">
            <w:pPr>
              <w:rPr>
                <w:rFonts w:cstheme="majorHAnsi"/>
                <w:sz w:val="18"/>
                <w:szCs w:val="18"/>
              </w:rPr>
            </w:pPr>
            <w:r w:rsidRPr="00BB08AB">
              <w:rPr>
                <w:rFonts w:cstheme="majorHAnsi"/>
                <w:sz w:val="18"/>
                <w:szCs w:val="18"/>
              </w:rPr>
              <w:t>5 studies</w:t>
            </w:r>
          </w:p>
        </w:tc>
        <w:tc>
          <w:tcPr>
            <w:tcW w:w="1134" w:type="dxa"/>
          </w:tcPr>
          <w:p w14:paraId="6D33B900" w14:textId="77777777" w:rsidR="00EB0B43" w:rsidRPr="00BB08AB" w:rsidRDefault="00EB0B43" w:rsidP="00236D7C">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744D23D9" w14:textId="77777777" w:rsidR="00EB0B43" w:rsidRPr="00BB08AB" w:rsidRDefault="00EB0B43" w:rsidP="00236D7C">
            <w:pPr>
              <w:rPr>
                <w:rFonts w:cstheme="majorHAnsi"/>
                <w:sz w:val="18"/>
                <w:szCs w:val="18"/>
              </w:rPr>
            </w:pPr>
            <w:r w:rsidRPr="00BB08AB">
              <w:rPr>
                <w:rFonts w:cstheme="majorHAnsi"/>
                <w:sz w:val="18"/>
                <w:szCs w:val="18"/>
              </w:rPr>
              <w:t>Low</w:t>
            </w:r>
          </w:p>
        </w:tc>
        <w:tc>
          <w:tcPr>
            <w:tcW w:w="6232" w:type="dxa"/>
          </w:tcPr>
          <w:p w14:paraId="4E653D88" w14:textId="77777777" w:rsidR="00EB0B43" w:rsidRPr="00BB08AB" w:rsidRDefault="00EB0B43" w:rsidP="00236D7C">
            <w:pPr>
              <w:pStyle w:val="BodyText"/>
              <w:spacing w:before="0"/>
              <w:rPr>
                <w:rFonts w:cstheme="majorHAnsi"/>
                <w:sz w:val="18"/>
                <w:szCs w:val="18"/>
              </w:rPr>
            </w:pPr>
            <w:r w:rsidRPr="00BB08AB">
              <w:rPr>
                <w:rFonts w:cstheme="majorHAnsi"/>
                <w:sz w:val="18"/>
                <w:szCs w:val="18"/>
              </w:rPr>
              <w:t xml:space="preserve">No systematic review or pooled analysis was available. </w:t>
            </w:r>
          </w:p>
        </w:tc>
      </w:tr>
    </w:tbl>
    <w:p w14:paraId="4A493B9A" w14:textId="6EDB0490" w:rsidR="00EB0B43" w:rsidRPr="006D27BA" w:rsidRDefault="00EB0B43" w:rsidP="00EB0B43">
      <w:pPr>
        <w:pStyle w:val="BodyText"/>
        <w:rPr>
          <w:b/>
          <w:bCs/>
        </w:rPr>
      </w:pPr>
      <w:r w:rsidRPr="006D27BA">
        <w:rPr>
          <w:b/>
          <w:bCs/>
        </w:rPr>
        <w:t>GRADE assessment</w:t>
      </w:r>
      <w:r>
        <w:rPr>
          <w:b/>
          <w:bCs/>
        </w:rPr>
        <w:t>: cancer detection rate: DBT</w:t>
      </w:r>
      <w:r>
        <w:rPr>
          <w:b/>
          <w:bCs/>
          <w:vertAlign w:val="subscript"/>
        </w:rPr>
        <w:t>MLO</w:t>
      </w:r>
      <w:r w:rsidR="00E95926">
        <w:rPr>
          <w:b/>
          <w:bCs/>
          <w:vertAlign w:val="subscript"/>
        </w:rPr>
        <w:t xml:space="preserve"> </w:t>
      </w:r>
      <w:r w:rsidR="00E95926" w:rsidRPr="00E95926">
        <w:rPr>
          <w:b/>
          <w:bCs/>
        </w:rPr>
        <w:t>compared to</w:t>
      </w:r>
      <w:r w:rsidR="00E95926">
        <w:rPr>
          <w:b/>
          <w:bCs/>
          <w:vertAlign w:val="subscript"/>
        </w:rPr>
        <w:t xml:space="preserve"> </w:t>
      </w:r>
      <w:r w:rsidR="00E95926">
        <w:rPr>
          <w:b/>
          <w:bCs/>
        </w:rPr>
        <w:t>FFDM alone</w:t>
      </w:r>
    </w:p>
    <w:tbl>
      <w:tblPr>
        <w:tblStyle w:val="ACGreen-BasicTable"/>
        <w:tblW w:w="9067" w:type="dxa"/>
        <w:tblLook w:val="04A0" w:firstRow="1" w:lastRow="0" w:firstColumn="1" w:lastColumn="0" w:noHBand="0" w:noVBand="1"/>
        <w:tblDescription w:val="The GRADE assessment for cancer detection rate: DBTMLO compared to FFDM alone had participants studies of 7,681 participants and two studies.&#10;The quality of evidence was very low.&#10;The overall results were no systematic review or pooled analysis was available.&#10;"/>
      </w:tblPr>
      <w:tblGrid>
        <w:gridCol w:w="1701"/>
        <w:gridCol w:w="1134"/>
        <w:gridCol w:w="6232"/>
      </w:tblGrid>
      <w:tr w:rsidR="00EB0B43" w14:paraId="12DDDC61" w14:textId="77777777" w:rsidTr="00EB0B43">
        <w:trPr>
          <w:cnfStyle w:val="100000000000" w:firstRow="1" w:lastRow="0" w:firstColumn="0" w:lastColumn="0" w:oddVBand="0" w:evenVBand="0" w:oddHBand="0" w:evenHBand="0" w:firstRowFirstColumn="0" w:firstRowLastColumn="0" w:lastRowFirstColumn="0" w:lastRowLastColumn="0"/>
        </w:trPr>
        <w:tc>
          <w:tcPr>
            <w:tcW w:w="1701" w:type="dxa"/>
          </w:tcPr>
          <w:p w14:paraId="419F14A1" w14:textId="77777777" w:rsidR="00EB0B43" w:rsidRPr="00BB08AB" w:rsidRDefault="00EB0B43" w:rsidP="00236D7C">
            <w:pPr>
              <w:rPr>
                <w:rFonts w:cstheme="majorHAnsi"/>
                <w:b w:val="0"/>
                <w:sz w:val="18"/>
                <w:szCs w:val="18"/>
              </w:rPr>
            </w:pPr>
            <w:r w:rsidRPr="00BB08AB">
              <w:rPr>
                <w:rFonts w:cstheme="majorHAnsi"/>
                <w:sz w:val="18"/>
                <w:szCs w:val="18"/>
              </w:rPr>
              <w:t xml:space="preserve">Participants </w:t>
            </w:r>
          </w:p>
          <w:p w14:paraId="572F7B1E" w14:textId="5E36EB62" w:rsidR="00EB0B43" w:rsidRPr="00285D7E" w:rsidRDefault="00EB0B43" w:rsidP="00236D7C">
            <w:pPr>
              <w:rPr>
                <w:rFonts w:cstheme="majorHAnsi"/>
                <w:b w:val="0"/>
                <w:sz w:val="18"/>
                <w:szCs w:val="18"/>
              </w:rPr>
            </w:pPr>
            <w:r w:rsidRPr="00BB08AB">
              <w:rPr>
                <w:rFonts w:cstheme="majorHAnsi"/>
                <w:sz w:val="18"/>
                <w:szCs w:val="18"/>
              </w:rPr>
              <w:t>Studies</w:t>
            </w:r>
          </w:p>
        </w:tc>
        <w:tc>
          <w:tcPr>
            <w:tcW w:w="1134" w:type="dxa"/>
          </w:tcPr>
          <w:p w14:paraId="539323C3" w14:textId="77777777" w:rsidR="00EB0B43" w:rsidRPr="00BB08AB" w:rsidRDefault="00EB0B43" w:rsidP="00236D7C">
            <w:pPr>
              <w:rPr>
                <w:rFonts w:ascii="Cambria Math" w:hAnsi="Cambria Math" w:cs="Cambria Math"/>
                <w:sz w:val="18"/>
                <w:szCs w:val="18"/>
              </w:rPr>
            </w:pPr>
            <w:r w:rsidRPr="00BB08AB">
              <w:rPr>
                <w:rFonts w:cstheme="majorHAnsi"/>
                <w:sz w:val="18"/>
                <w:szCs w:val="18"/>
              </w:rPr>
              <w:t xml:space="preserve">Quality of evidence </w:t>
            </w:r>
          </w:p>
        </w:tc>
        <w:tc>
          <w:tcPr>
            <w:tcW w:w="6232" w:type="dxa"/>
          </w:tcPr>
          <w:p w14:paraId="4ECFBEF7" w14:textId="77777777" w:rsidR="00EB0B43" w:rsidRPr="00BB08AB" w:rsidRDefault="00EB0B43" w:rsidP="00236D7C">
            <w:pPr>
              <w:pStyle w:val="BodyText"/>
              <w:spacing w:before="0"/>
              <w:rPr>
                <w:rFonts w:cstheme="majorHAnsi"/>
                <w:sz w:val="18"/>
                <w:szCs w:val="18"/>
              </w:rPr>
            </w:pPr>
            <w:r w:rsidRPr="00BB08AB">
              <w:rPr>
                <w:rFonts w:cstheme="majorHAnsi"/>
                <w:sz w:val="18"/>
                <w:szCs w:val="18"/>
              </w:rPr>
              <w:t xml:space="preserve">Overall results </w:t>
            </w:r>
          </w:p>
        </w:tc>
      </w:tr>
      <w:tr w:rsidR="00EB0B43" w14:paraId="2C85E6A8" w14:textId="77777777" w:rsidTr="00EB0B43">
        <w:tc>
          <w:tcPr>
            <w:tcW w:w="1701" w:type="dxa"/>
          </w:tcPr>
          <w:p w14:paraId="3B04A9FD" w14:textId="77777777" w:rsidR="00EB0B43" w:rsidRPr="00BB08AB" w:rsidRDefault="00EB0B43" w:rsidP="00236D7C">
            <w:pPr>
              <w:rPr>
                <w:rFonts w:cstheme="majorHAnsi"/>
                <w:sz w:val="18"/>
                <w:szCs w:val="18"/>
              </w:rPr>
            </w:pPr>
            <w:r w:rsidRPr="00BB08AB">
              <w:rPr>
                <w:rFonts w:cstheme="majorHAnsi"/>
                <w:sz w:val="18"/>
                <w:szCs w:val="18"/>
              </w:rPr>
              <w:t>7,681</w:t>
            </w:r>
          </w:p>
          <w:p w14:paraId="3CFA1378" w14:textId="33EB10AD" w:rsidR="00EB0B43" w:rsidRPr="00BB08AB" w:rsidRDefault="00EB0B43" w:rsidP="00236D7C">
            <w:pPr>
              <w:rPr>
                <w:rFonts w:cstheme="majorHAnsi"/>
                <w:sz w:val="18"/>
                <w:szCs w:val="18"/>
              </w:rPr>
            </w:pPr>
            <w:r w:rsidRPr="00BB08AB">
              <w:rPr>
                <w:rFonts w:cstheme="majorHAnsi"/>
                <w:sz w:val="18"/>
                <w:szCs w:val="18"/>
              </w:rPr>
              <w:t>2</w:t>
            </w:r>
            <w:r w:rsidR="00EC105D">
              <w:rPr>
                <w:rFonts w:cstheme="majorHAnsi"/>
                <w:sz w:val="18"/>
                <w:szCs w:val="18"/>
              </w:rPr>
              <w:t xml:space="preserve"> studies</w:t>
            </w:r>
          </w:p>
        </w:tc>
        <w:tc>
          <w:tcPr>
            <w:tcW w:w="1134" w:type="dxa"/>
          </w:tcPr>
          <w:p w14:paraId="60C9C426" w14:textId="77777777" w:rsidR="00EB0B43" w:rsidRPr="00BB08AB" w:rsidRDefault="00EB0B43" w:rsidP="00236D7C">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3776D2AD" w14:textId="77777777" w:rsidR="00EB0B43" w:rsidRPr="00BB08AB" w:rsidRDefault="00EB0B43" w:rsidP="00236D7C">
            <w:pPr>
              <w:rPr>
                <w:rFonts w:ascii="Cambria Math" w:hAnsi="Cambria Math" w:cs="Cambria Math"/>
                <w:sz w:val="18"/>
                <w:szCs w:val="18"/>
              </w:rPr>
            </w:pPr>
            <w:r w:rsidRPr="00BB08AB">
              <w:rPr>
                <w:rFonts w:cstheme="majorHAnsi"/>
                <w:sz w:val="18"/>
                <w:szCs w:val="18"/>
              </w:rPr>
              <w:t>Very low</w:t>
            </w:r>
          </w:p>
        </w:tc>
        <w:tc>
          <w:tcPr>
            <w:tcW w:w="6232" w:type="dxa"/>
          </w:tcPr>
          <w:p w14:paraId="647D0DC3" w14:textId="77777777" w:rsidR="00EB0B43" w:rsidRPr="00BB08AB" w:rsidRDefault="00EB0B43" w:rsidP="00236D7C">
            <w:pPr>
              <w:pStyle w:val="BodyText"/>
              <w:spacing w:before="0"/>
              <w:rPr>
                <w:rFonts w:cstheme="majorHAnsi"/>
                <w:sz w:val="18"/>
                <w:szCs w:val="18"/>
              </w:rPr>
            </w:pPr>
            <w:r w:rsidRPr="00BB08AB">
              <w:rPr>
                <w:rFonts w:cstheme="majorHAnsi"/>
                <w:sz w:val="18"/>
                <w:szCs w:val="18"/>
              </w:rPr>
              <w:t xml:space="preserve">No systematic review or pooled analysis was available. </w:t>
            </w:r>
          </w:p>
        </w:tc>
      </w:tr>
    </w:tbl>
    <w:p w14:paraId="0F9005CD" w14:textId="73A26849" w:rsidR="00867836" w:rsidRDefault="00867836" w:rsidP="00867836">
      <w:pPr>
        <w:pStyle w:val="CV-Heading"/>
      </w:pPr>
      <w:r>
        <w:t>Updated findings</w:t>
      </w:r>
    </w:p>
    <w:p w14:paraId="61B861D5" w14:textId="74F18BA4" w:rsidR="004F6830" w:rsidRPr="00D95E51" w:rsidRDefault="000C0773" w:rsidP="004F6830">
      <w:pPr>
        <w:pStyle w:val="BodyText"/>
      </w:pPr>
      <w:r>
        <w:t xml:space="preserve">Literature published since 31 December 2017 reported on overall </w:t>
      </w:r>
      <w:r w:rsidR="004F6830">
        <w:t>CDR</w:t>
      </w:r>
      <w:r>
        <w:t>.</w:t>
      </w:r>
      <w:r w:rsidR="004F6830">
        <w:t xml:space="preserve"> </w:t>
      </w:r>
      <w:r w:rsidR="00CA3071">
        <w:t>It included new pooled analysis (completed on studies published to July 201</w:t>
      </w:r>
      <w:r w:rsidR="00623971">
        <w:t>7</w:t>
      </w:r>
      <w:r w:rsidR="00CA3071">
        <w:t xml:space="preserve">), results from the first </w:t>
      </w:r>
      <w:r w:rsidR="00EC105D">
        <w:t xml:space="preserve">RCT </w:t>
      </w:r>
      <w:r w:rsidR="00CA3071">
        <w:t>of DBT in a ‘live’ screening setting</w:t>
      </w:r>
      <w:r w:rsidR="00730982">
        <w:t xml:space="preserve"> (Hofvind et al., 2019)</w:t>
      </w:r>
      <w:r w:rsidR="00CA3071">
        <w:t>, final data from some of the large European trials including the</w:t>
      </w:r>
      <w:r w:rsidR="00730982">
        <w:t xml:space="preserve"> OTS and</w:t>
      </w:r>
      <w:r w:rsidR="00CA3071">
        <w:t xml:space="preserve"> Malmö trial</w:t>
      </w:r>
      <w:r w:rsidR="00730982">
        <w:t>s</w:t>
      </w:r>
      <w:r w:rsidR="00CA3071">
        <w:t xml:space="preserve"> and results from pilot evaluations in Europe and Australia. </w:t>
      </w:r>
      <w:r w:rsidR="00983D22">
        <w:t>There was a mix of single-site and multicentre studies.</w:t>
      </w:r>
      <w:r w:rsidR="00BF1F8B">
        <w:t xml:space="preserve"> </w:t>
      </w:r>
      <w:r w:rsidR="004F6830">
        <w:t xml:space="preserve">This section provides a brief update of study findings on </w:t>
      </w:r>
      <w:r w:rsidR="00CA3071">
        <w:t xml:space="preserve">overall </w:t>
      </w:r>
      <w:r w:rsidR="004F6830">
        <w:t>CDR</w:t>
      </w:r>
      <w:r w:rsidR="00CA3071">
        <w:t xml:space="preserve">. </w:t>
      </w:r>
      <w:r w:rsidR="004F6830">
        <w:t>Most of the studies reporting on CDR also describe</w:t>
      </w:r>
      <w:r w:rsidR="005A6858">
        <w:t>d</w:t>
      </w:r>
      <w:r w:rsidR="004F6830">
        <w:t xml:space="preserve"> the histological and pathological characteristics of cancers detected</w:t>
      </w:r>
      <w:r w:rsidR="005A2FA1">
        <w:t xml:space="preserve"> (including whether detected cancers were invasive or not)</w:t>
      </w:r>
      <w:r w:rsidR="004F6830">
        <w:t xml:space="preserve">. This information further develops our understanding of whether the additional cancers detected with DBT are clinically significant or </w:t>
      </w:r>
      <w:r w:rsidR="00EC105D">
        <w:t xml:space="preserve">whether they are </w:t>
      </w:r>
      <w:r w:rsidR="004F6830">
        <w:t xml:space="preserve">small, slow-growing </w:t>
      </w:r>
      <w:r w:rsidR="00EC105D">
        <w:t xml:space="preserve">invasive cancers </w:t>
      </w:r>
      <w:r w:rsidR="004F6830">
        <w:t xml:space="preserve">or </w:t>
      </w:r>
      <w:r w:rsidR="00EC105D">
        <w:t xml:space="preserve">ductal carcinoma in situ (DCIS) </w:t>
      </w:r>
      <w:r w:rsidR="004F6830">
        <w:t>for which prognosis is good even if detected at a later screening round</w:t>
      </w:r>
      <w:r w:rsidR="00EC105D">
        <w:t xml:space="preserve"> (</w:t>
      </w:r>
      <w:r w:rsidR="004F6830">
        <w:t>i.e., overdiagnosis). Information about the types of cancer detected</w:t>
      </w:r>
      <w:r w:rsidR="00CA3071">
        <w:t xml:space="preserve">, nodal status, grade and size </w:t>
      </w:r>
      <w:r w:rsidR="004F6830">
        <w:t xml:space="preserve">is provided in </w:t>
      </w:r>
      <w:r w:rsidR="004F6830">
        <w:rPr>
          <w:i/>
          <w:iCs/>
        </w:rPr>
        <w:t xml:space="preserve">section </w:t>
      </w:r>
      <w:r w:rsidR="00730982">
        <w:rPr>
          <w:i/>
          <w:iCs/>
        </w:rPr>
        <w:t>3.2</w:t>
      </w:r>
      <w:r w:rsidR="004F6830">
        <w:t>.</w:t>
      </w:r>
      <w:r w:rsidR="00D95E51">
        <w:t xml:space="preserve"> Information about CDR stratified by age, prevalent/incident screening round and breast density is provided in </w:t>
      </w:r>
      <w:r w:rsidR="00D95E51">
        <w:rPr>
          <w:i/>
          <w:iCs/>
        </w:rPr>
        <w:t xml:space="preserve">sections 1.3.2 </w:t>
      </w:r>
      <w:r w:rsidR="00D95E51">
        <w:t xml:space="preserve">to </w:t>
      </w:r>
      <w:r w:rsidR="00D95E51">
        <w:rPr>
          <w:i/>
          <w:iCs/>
        </w:rPr>
        <w:t>1.3.4</w:t>
      </w:r>
      <w:r w:rsidR="00D95E51">
        <w:t>.</w:t>
      </w:r>
    </w:p>
    <w:p w14:paraId="12BD777C" w14:textId="3A2F6AF3" w:rsidR="000C0773" w:rsidRDefault="000C0773" w:rsidP="000C0773">
      <w:pPr>
        <w:pStyle w:val="BodyText"/>
      </w:pPr>
      <w:r w:rsidRPr="00E44152">
        <w:lastRenderedPageBreak/>
        <w:t xml:space="preserve">Primary studies already incorporated into </w:t>
      </w:r>
      <w:r w:rsidR="00EC105D">
        <w:t xml:space="preserve">the </w:t>
      </w:r>
      <w:r w:rsidRPr="00E44152">
        <w:t xml:space="preserve">systematic reviews </w:t>
      </w:r>
      <w:r w:rsidR="00DF679F">
        <w:t xml:space="preserve">(Marinovich et al., 2018; Phi et al., 2018) </w:t>
      </w:r>
      <w:r w:rsidRPr="00E44152">
        <w:t xml:space="preserve">were </w:t>
      </w:r>
      <w:r w:rsidR="00DF679F">
        <w:t xml:space="preserve">generally published prior to 2018 and were </w:t>
      </w:r>
      <w:r w:rsidRPr="00E44152">
        <w:t xml:space="preserve">reviewed </w:t>
      </w:r>
      <w:r w:rsidR="00DF679F">
        <w:t xml:space="preserve">in </w:t>
      </w:r>
      <w:r w:rsidR="00DF679F">
        <w:rPr>
          <w:i/>
          <w:iCs/>
        </w:rPr>
        <w:t>Allen + Clarke</w:t>
      </w:r>
      <w:r w:rsidR="00DF679F">
        <w:t>’s previous literature reviews</w:t>
      </w:r>
      <w:r w:rsidR="00EF5533">
        <w:t xml:space="preserve"> on the role of DBT in screening and the assessment of screen-detected lesions</w:t>
      </w:r>
      <w:r w:rsidRPr="00E44152">
        <w:t xml:space="preserve">. Relevant data from </w:t>
      </w:r>
      <w:r w:rsidR="00DF679F">
        <w:t>other</w:t>
      </w:r>
      <w:r w:rsidRPr="00E44152">
        <w:t xml:space="preserve"> primary studies </w:t>
      </w:r>
      <w:r w:rsidR="00DF679F">
        <w:t xml:space="preserve">published since then </w:t>
      </w:r>
      <w:r w:rsidRPr="00E44152">
        <w:t>is included in evidence tables</w:t>
      </w:r>
      <w:r w:rsidR="006352B7">
        <w:t xml:space="preserve"> (see </w:t>
      </w:r>
      <w:r w:rsidR="006352B7">
        <w:rPr>
          <w:i/>
          <w:iCs/>
        </w:rPr>
        <w:t xml:space="preserve">Table </w:t>
      </w:r>
      <w:r w:rsidR="00EC105D">
        <w:rPr>
          <w:i/>
          <w:iCs/>
        </w:rPr>
        <w:t>9</w:t>
      </w:r>
      <w:r w:rsidR="006352B7">
        <w:rPr>
          <w:i/>
          <w:iCs/>
        </w:rPr>
        <w:t xml:space="preserve">a, </w:t>
      </w:r>
      <w:r w:rsidR="00EC105D">
        <w:rPr>
          <w:i/>
          <w:iCs/>
        </w:rPr>
        <w:t>9</w:t>
      </w:r>
      <w:r w:rsidR="006352B7">
        <w:rPr>
          <w:i/>
          <w:iCs/>
        </w:rPr>
        <w:t xml:space="preserve">b </w:t>
      </w:r>
      <w:r w:rsidR="006352B7" w:rsidRPr="006352B7">
        <w:t>and</w:t>
      </w:r>
      <w:r w:rsidR="006352B7">
        <w:rPr>
          <w:i/>
          <w:iCs/>
        </w:rPr>
        <w:t xml:space="preserve"> </w:t>
      </w:r>
      <w:r w:rsidR="00EC105D">
        <w:rPr>
          <w:i/>
          <w:iCs/>
        </w:rPr>
        <w:t>9</w:t>
      </w:r>
      <w:r w:rsidR="006352B7">
        <w:rPr>
          <w:i/>
          <w:iCs/>
        </w:rPr>
        <w:t>c</w:t>
      </w:r>
      <w:r w:rsidR="006352B7">
        <w:t>)</w:t>
      </w:r>
      <w:r w:rsidRPr="00E44152">
        <w:t>.</w:t>
      </w:r>
      <w:r>
        <w:t xml:space="preserve"> Included studies are listed </w:t>
      </w:r>
      <w:r w:rsidR="00623971">
        <w:t>below</w:t>
      </w:r>
      <w:r>
        <w:t>.</w:t>
      </w:r>
    </w:p>
    <w:p w14:paraId="0217D722" w14:textId="3422E767" w:rsidR="000C0773" w:rsidRDefault="000C0773" w:rsidP="000C0773">
      <w:pPr>
        <w:pStyle w:val="Heading3"/>
      </w:pPr>
      <w:r>
        <w:tab/>
      </w:r>
      <w:bookmarkStart w:id="153" w:name="_Toc27477573"/>
      <w:bookmarkStart w:id="154" w:name="_Toc27665706"/>
      <w:bookmarkStart w:id="155" w:name="_Toc27844482"/>
      <w:bookmarkStart w:id="156" w:name="_Toc27859612"/>
      <w:bookmarkStart w:id="157" w:name="_Toc27904727"/>
      <w:bookmarkStart w:id="158" w:name="_Toc43376278"/>
      <w:r>
        <w:t>Systematic review and literature review</w:t>
      </w:r>
      <w:bookmarkEnd w:id="153"/>
      <w:bookmarkEnd w:id="154"/>
      <w:bookmarkEnd w:id="155"/>
      <w:bookmarkEnd w:id="156"/>
      <w:bookmarkEnd w:id="157"/>
      <w:bookmarkEnd w:id="158"/>
    </w:p>
    <w:p w14:paraId="453A22DC" w14:textId="33A4BB93" w:rsidR="00EF5533" w:rsidRDefault="00A44B47" w:rsidP="00A44B47">
      <w:pPr>
        <w:pStyle w:val="BodyText"/>
        <w:ind w:left="720"/>
      </w:pPr>
      <w:r>
        <w:t>Two systematic reviews with pooled analysis</w:t>
      </w:r>
      <w:r w:rsidR="00EF5533">
        <w:t>:</w:t>
      </w:r>
      <w:r w:rsidR="00EF5533" w:rsidRPr="00EF5533">
        <w:t xml:space="preserve"> </w:t>
      </w:r>
      <w:r w:rsidR="00EF5533">
        <w:t>Marinovich et al., 2018; Phi et al., 2018</w:t>
      </w:r>
    </w:p>
    <w:p w14:paraId="3A141BC2" w14:textId="709F237F" w:rsidR="005035A8" w:rsidRDefault="00EF5533" w:rsidP="00A44B47">
      <w:pPr>
        <w:pStyle w:val="BodyText"/>
        <w:ind w:left="720"/>
      </w:pPr>
      <w:r>
        <w:t>T</w:t>
      </w:r>
      <w:r w:rsidR="00A44B47">
        <w:t>wo narrative literature reviews</w:t>
      </w:r>
      <w:r w:rsidR="005035A8">
        <w:t xml:space="preserve">: </w:t>
      </w:r>
      <w:r w:rsidR="00A44B47">
        <w:t>Chong et al., 2019; Li et al., 2018</w:t>
      </w:r>
    </w:p>
    <w:p w14:paraId="010873D0" w14:textId="653DCC25" w:rsidR="00816932" w:rsidRPr="005035A8" w:rsidRDefault="00816932" w:rsidP="00A44B47">
      <w:pPr>
        <w:pStyle w:val="BodyText"/>
        <w:ind w:left="720"/>
      </w:pPr>
      <w:r>
        <w:t>One editorial: Zackrisson, 2019</w:t>
      </w:r>
    </w:p>
    <w:p w14:paraId="2CE4AC08" w14:textId="4E034F32" w:rsidR="004F0D75" w:rsidRDefault="00853FEB" w:rsidP="005035A8">
      <w:pPr>
        <w:pStyle w:val="Heading3"/>
        <w:ind w:left="720"/>
      </w:pPr>
      <w:bookmarkStart w:id="159" w:name="_Toc27477574"/>
      <w:bookmarkStart w:id="160" w:name="_Toc27665707"/>
      <w:bookmarkStart w:id="161" w:name="_Toc27844483"/>
      <w:bookmarkStart w:id="162" w:name="_Toc27859613"/>
      <w:bookmarkStart w:id="163" w:name="_Toc27904728"/>
      <w:bookmarkStart w:id="164" w:name="_Toc43376279"/>
      <w:r>
        <w:t>Randomized</w:t>
      </w:r>
      <w:r w:rsidR="000C0773">
        <w:t xml:space="preserve"> controlled trial</w:t>
      </w:r>
      <w:r w:rsidR="00C7354C">
        <w:t>s</w:t>
      </w:r>
      <w:bookmarkEnd w:id="159"/>
      <w:bookmarkEnd w:id="160"/>
      <w:bookmarkEnd w:id="161"/>
      <w:bookmarkEnd w:id="162"/>
      <w:bookmarkEnd w:id="163"/>
      <w:bookmarkEnd w:id="164"/>
      <w:r w:rsidR="000C0773">
        <w:t xml:space="preserve"> </w:t>
      </w:r>
    </w:p>
    <w:p w14:paraId="1463C663" w14:textId="35309384" w:rsidR="00623971" w:rsidRDefault="00623971" w:rsidP="00623971">
      <w:pPr>
        <w:pStyle w:val="BodyText"/>
      </w:pPr>
      <w:r>
        <w:tab/>
        <w:t>One RCT</w:t>
      </w:r>
      <w:r w:rsidR="00816932">
        <w:t xml:space="preserve"> (</w:t>
      </w:r>
      <w:r w:rsidR="00F23A05">
        <w:t xml:space="preserve">one </w:t>
      </w:r>
      <w:r w:rsidR="00816932">
        <w:t>paper)</w:t>
      </w:r>
      <w:r>
        <w:t>: Hofvind et al., 201</w:t>
      </w:r>
      <w:r w:rsidR="00C7354C">
        <w:t>9</w:t>
      </w:r>
    </w:p>
    <w:p w14:paraId="1B839EFC" w14:textId="4C92E72C" w:rsidR="00C7354C" w:rsidRPr="00623971" w:rsidRDefault="00C7354C" w:rsidP="00816932">
      <w:pPr>
        <w:pStyle w:val="BodyText"/>
        <w:ind w:left="720"/>
      </w:pPr>
      <w:r>
        <w:t>One randomized study embedded in a population screening program: Pattacini et al., 2018</w:t>
      </w:r>
    </w:p>
    <w:p w14:paraId="5BA88017" w14:textId="77777777" w:rsidR="004F0D75" w:rsidRDefault="004F0D75" w:rsidP="004F0D75">
      <w:pPr>
        <w:pStyle w:val="Heading3"/>
        <w:ind w:left="720"/>
      </w:pPr>
      <w:bookmarkStart w:id="165" w:name="_Toc27477575"/>
      <w:bookmarkStart w:id="166" w:name="_Toc27665708"/>
      <w:bookmarkStart w:id="167" w:name="_Toc27844484"/>
      <w:bookmarkStart w:id="168" w:name="_Toc27859614"/>
      <w:bookmarkStart w:id="169" w:name="_Toc27904729"/>
      <w:bookmarkStart w:id="170" w:name="_Toc43376280"/>
      <w:r>
        <w:t>Prospective studies embedded in population screening programs</w:t>
      </w:r>
      <w:bookmarkEnd w:id="165"/>
      <w:bookmarkEnd w:id="166"/>
      <w:bookmarkEnd w:id="167"/>
      <w:bookmarkEnd w:id="168"/>
      <w:bookmarkEnd w:id="169"/>
      <w:bookmarkEnd w:id="170"/>
    </w:p>
    <w:p w14:paraId="411E0638" w14:textId="35AE25C3" w:rsidR="00816932" w:rsidRPr="00623971" w:rsidRDefault="00F23A05" w:rsidP="00816932">
      <w:pPr>
        <w:pStyle w:val="BodyText"/>
        <w:ind w:left="720"/>
      </w:pPr>
      <w:r>
        <w:t>Eight</w:t>
      </w:r>
      <w:r w:rsidR="005035A8">
        <w:t xml:space="preserve"> studies: </w:t>
      </w:r>
      <w:r w:rsidR="00816932">
        <w:t xml:space="preserve">Bernardi et al., 2019; Houssami et al., 2019; </w:t>
      </w:r>
      <w:r>
        <w:t xml:space="preserve">Skaane et al., 2019; </w:t>
      </w:r>
      <w:r w:rsidR="00816932">
        <w:t>Caumo et al., 2018;</w:t>
      </w:r>
      <w:r w:rsidR="00816932" w:rsidRPr="00816932">
        <w:t xml:space="preserve"> </w:t>
      </w:r>
      <w:r w:rsidR="00816932">
        <w:t>Hofvind et al., 2018; Romero Martín et al., 2018;</w:t>
      </w:r>
      <w:r>
        <w:t xml:space="preserve"> Skaane et al., 2018;</w:t>
      </w:r>
      <w:r w:rsidR="00816932">
        <w:t xml:space="preserve"> Zackrisson et al., 2018</w:t>
      </w:r>
    </w:p>
    <w:p w14:paraId="6383F189" w14:textId="0524156D" w:rsidR="000C0773" w:rsidRDefault="000C0773" w:rsidP="000C0773">
      <w:pPr>
        <w:pStyle w:val="Heading3"/>
        <w:ind w:firstLine="720"/>
      </w:pPr>
      <w:bookmarkStart w:id="171" w:name="_Toc27477576"/>
      <w:bookmarkStart w:id="172" w:name="_Toc27665709"/>
      <w:bookmarkStart w:id="173" w:name="_Toc27844485"/>
      <w:bookmarkStart w:id="174" w:name="_Toc27859615"/>
      <w:bookmarkStart w:id="175" w:name="_Toc27904730"/>
      <w:bookmarkStart w:id="176" w:name="_Toc43376281"/>
      <w:r>
        <w:t>Observational studies</w:t>
      </w:r>
      <w:bookmarkEnd w:id="171"/>
      <w:bookmarkEnd w:id="172"/>
      <w:bookmarkEnd w:id="173"/>
      <w:bookmarkEnd w:id="174"/>
      <w:bookmarkEnd w:id="175"/>
      <w:bookmarkEnd w:id="176"/>
    </w:p>
    <w:p w14:paraId="3256D8DD" w14:textId="642E455C" w:rsidR="000C0773" w:rsidRPr="000C0773" w:rsidRDefault="00B324F0" w:rsidP="00816932">
      <w:pPr>
        <w:pStyle w:val="BodyText"/>
        <w:ind w:left="720"/>
      </w:pPr>
      <w:r>
        <w:t>Seven</w:t>
      </w:r>
      <w:r w:rsidR="00EF5533">
        <w:t xml:space="preserve"> s</w:t>
      </w:r>
      <w:r w:rsidR="000C0773">
        <w:t>tudies with a retrospective design:</w:t>
      </w:r>
      <w:r w:rsidR="00816932">
        <w:t xml:space="preserve"> Bahl et al., 2019; Conant et al., 2019; Dang et al., 2019; Fuiji et al., 2019; Hovda et al., 2019; </w:t>
      </w:r>
      <w:r>
        <w:t xml:space="preserve">Ambinder et al., 2018; </w:t>
      </w:r>
      <w:r w:rsidR="00816932">
        <w:t>Rose &amp; Shisler 2018</w:t>
      </w:r>
    </w:p>
    <w:p w14:paraId="35AD35DE" w14:textId="77777777" w:rsidR="000942E7" w:rsidRDefault="000942E7" w:rsidP="000942E7">
      <w:pPr>
        <w:pStyle w:val="BodyText"/>
        <w:rPr>
          <w:b/>
          <w:bCs/>
        </w:rPr>
      </w:pPr>
    </w:p>
    <w:p w14:paraId="1DA60E27" w14:textId="0836B43D"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A235D7">
        <w:rPr>
          <w:b/>
          <w:bCs/>
        </w:rPr>
        <w:t>Summary of key findings published between 1 January 2018 and 31 December 2019</w:t>
      </w:r>
    </w:p>
    <w:p w14:paraId="0679B85A"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 xml:space="preserve">The findings add further depth to </w:t>
      </w:r>
      <w:r>
        <w:rPr>
          <w:i/>
          <w:iCs/>
        </w:rPr>
        <w:t>Allen + Clarke</w:t>
      </w:r>
      <w:r>
        <w:t>’s 2018 literature reviews but some mixed results were reported in the To-Be-1 RCT (the first large RCT of DBT). Pooled evidence from papers published before December 2017 (involving more than one million women) reported a statistically significant increase in CDR, with an incremental increase in detection of 1.6 cancers per 1000 screening examinations. Higher increases were reported in European population-based programs with similar policy settings to the BreastScreen Australia program (i.e., pooled analysis indicated 2.4 more cancers were detected when DBT was used).</w:t>
      </w:r>
    </w:p>
    <w:p w14:paraId="06A2016E"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 xml:space="preserve">Studies published since 1 January 2018 are generally consistent with the pooled analysis (that use of DBT significantly increases CDR and that DBT+s2DM is not inferior to FFDM+DBT or FFDM alone), with one important exception. The To-Be-1 RCT found no statistically significant increase in CDR with the use of DBT+s2DM. Possible explanations for this difference were that all previous images were available to readers, which may have favoured FFDM imaging (and which probably better reflects a ‘real world’ screening environment). There may be other study differences to which require further unpicking. That said, evidence is still strong that use of DBT increases cancer detection. </w:t>
      </w:r>
    </w:p>
    <w:p w14:paraId="101D9D4C"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CE21BC">
        <w:t xml:space="preserve">Increases </w:t>
      </w:r>
      <w:r>
        <w:t xml:space="preserve">in CDR were </w:t>
      </w:r>
      <w:r w:rsidRPr="00CE21BC">
        <w:t xml:space="preserve">reported in </w:t>
      </w:r>
      <w:r>
        <w:t xml:space="preserve">all other studies </w:t>
      </w:r>
      <w:r w:rsidRPr="00CE21BC">
        <w:t xml:space="preserve">(including large, </w:t>
      </w:r>
      <w:r>
        <w:t xml:space="preserve">ongoing </w:t>
      </w:r>
      <w:r w:rsidRPr="00CE21BC">
        <w:t>robust prospective trials</w:t>
      </w:r>
      <w:r>
        <w:t xml:space="preserve"> and robust retrospective analyses</w:t>
      </w:r>
      <w:r w:rsidRPr="00CE21BC">
        <w:t xml:space="preserve">) for different combinations of screening strategy </w:t>
      </w:r>
      <w:r w:rsidRPr="00CE21BC">
        <w:lastRenderedPageBreak/>
        <w:t xml:space="preserve">including </w:t>
      </w:r>
      <w:r>
        <w:t>FFDM+DBT</w:t>
      </w:r>
      <w:r w:rsidRPr="00CE21BC">
        <w:t xml:space="preserve">, </w:t>
      </w:r>
      <w:r>
        <w:t>DBT+s2DM</w:t>
      </w:r>
      <w:r w:rsidRPr="00CE21BC">
        <w:t xml:space="preserve">, and </w:t>
      </w:r>
      <w:r>
        <w:t>DBT</w:t>
      </w:r>
      <w:r w:rsidRPr="003509DB">
        <w:rPr>
          <w:vertAlign w:val="subscript"/>
        </w:rPr>
        <w:t>MLO</w:t>
      </w:r>
      <w:r w:rsidDel="00F30CDA">
        <w:t xml:space="preserve"> </w:t>
      </w:r>
      <w:r w:rsidRPr="00CE21BC">
        <w:t>compared to FFDM (the Malmö trial)</w:t>
      </w:r>
      <w:r>
        <w:t>. Evidence also suggests that DBT+s2DM is superior to FFDM alone for CDR and is not inferior to FFDM+DBT. For this reason, where screening programs have chosen to implement DBT, they have chosen DBT+s2DM rather than dual acquisition. Other imaging protocols were also explored (including DBT</w:t>
      </w:r>
      <w:r>
        <w:rPr>
          <w:vertAlign w:val="subscript"/>
        </w:rPr>
        <w:t>MLO</w:t>
      </w:r>
      <w:r>
        <w:t xml:space="preserve"> or single reading of DBT), again favouring the use of DBT in terms of increasing cancer detection.</w:t>
      </w:r>
    </w:p>
    <w:p w14:paraId="02553B64" w14:textId="5B283942" w:rsidR="000942E7" w:rsidRP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Evidence is also emerging that DBT increases CDR in women with more dense breasts and older women. Generally, evidence suggested that use of DBT results in increased CDR for all breast densities (i.e., all women) but some evidence is emerging that the increase may be greater for women whose breasts are more dense. While breast density is not reported in the BSA program, considering results of stratification analysis by density is useful in considering whether there are some population groups for whom DBT may be more beneficial.</w:t>
      </w:r>
    </w:p>
    <w:p w14:paraId="392E1408" w14:textId="4EA746D5" w:rsidR="00D05C0E" w:rsidRPr="00D05C0E" w:rsidRDefault="00D05C0E" w:rsidP="00D05C0E">
      <w:pPr>
        <w:pStyle w:val="BodyText-GREEN"/>
        <w:rPr>
          <w:b/>
          <w:bCs/>
        </w:rPr>
      </w:pPr>
      <w:r w:rsidRPr="00D05C0E">
        <w:rPr>
          <w:b/>
          <w:bCs/>
        </w:rPr>
        <w:t>Literature review</w:t>
      </w:r>
    </w:p>
    <w:p w14:paraId="66E7F46C" w14:textId="40DAEC75" w:rsidR="00D05C0E" w:rsidRPr="00590F45" w:rsidRDefault="00D05C0E" w:rsidP="00D05C0E">
      <w:pPr>
        <w:pStyle w:val="BodyText"/>
      </w:pPr>
      <w:r w:rsidRPr="00590F45">
        <w:t xml:space="preserve">Chong et al. (2019) completed a narrative literature review on DBT, reporting results on CDR. Again, the studies reported in Chong et al. reflect those discussed in </w:t>
      </w:r>
      <w:r w:rsidRPr="00590F45">
        <w:rPr>
          <w:i/>
          <w:iCs/>
        </w:rPr>
        <w:t>Allen + Clarke</w:t>
      </w:r>
      <w:r w:rsidRPr="00590F45">
        <w:t>’s 2018 literature review on the role of DBT in screening as well as three papers published since on the Verona pilot (Caumo et al., 2018), the BreastScreen Norway program (Hofvind et al., 2018)</w:t>
      </w:r>
      <w:r>
        <w:t xml:space="preserve"> (both DBT+</w:t>
      </w:r>
      <w:r w:rsidR="00176980">
        <w:t>s2DM</w:t>
      </w:r>
      <w:r>
        <w:t xml:space="preserve">), and </w:t>
      </w:r>
      <w:r w:rsidRPr="00590F45">
        <w:t>the Reggio Emilia pilot (Pattacini et al., 2018)</w:t>
      </w:r>
      <w:r>
        <w:t xml:space="preserve"> (FFDM+DBT)</w:t>
      </w:r>
      <w:r w:rsidRPr="00590F45">
        <w:t xml:space="preserve">. Chong et al. reported  results consistent with the  meta-analysis undertaken by Marinovich et al. (2018) and Phi et al. (2018): </w:t>
      </w:r>
      <w:r>
        <w:t>FFDM+DBT</w:t>
      </w:r>
      <w:r w:rsidRPr="00590F45">
        <w:t xml:space="preserve"> increases CDR compared to FFDM alone</w:t>
      </w:r>
      <w:r>
        <w:t>, with a range of 1.2 to 4.6 additional cancers detected reported</w:t>
      </w:r>
      <w:r w:rsidRPr="00590F45">
        <w:t xml:space="preserve">. For the </w:t>
      </w:r>
      <w:r>
        <w:t xml:space="preserve">prospective </w:t>
      </w:r>
      <w:r w:rsidRPr="00590F45">
        <w:t>European trials (paired design), CDR increased more (</w:t>
      </w:r>
      <w:r>
        <w:t>incremental CDR per 1000 screening examinations ranged from 1.9 to 4.1</w:t>
      </w:r>
      <w:r w:rsidRPr="00590F45">
        <w:t xml:space="preserve">) than for </w:t>
      </w:r>
      <w:r>
        <w:t>the retrospective American studies (incremental CDR per 1000 screening examinations ranged -0.8 to 1.9)</w:t>
      </w:r>
      <w:r w:rsidRPr="00590F45">
        <w:t>.</w:t>
      </w:r>
      <w:r>
        <w:t xml:space="preserve"> More information about the Verona, Reggio Emilia and Norway studies is provided in the following section.</w:t>
      </w:r>
    </w:p>
    <w:p w14:paraId="6DC01CDF" w14:textId="7D67E64F" w:rsidR="004F0D75" w:rsidRPr="003F134D" w:rsidRDefault="004F0D75" w:rsidP="003F134D">
      <w:pPr>
        <w:pStyle w:val="BodyText-GREEN"/>
        <w:rPr>
          <w:b/>
          <w:bCs/>
        </w:rPr>
      </w:pPr>
      <w:r w:rsidRPr="003F134D">
        <w:rPr>
          <w:b/>
          <w:bCs/>
        </w:rPr>
        <w:t>Systematic review</w:t>
      </w:r>
      <w:r w:rsidR="00D05C0E">
        <w:rPr>
          <w:b/>
          <w:bCs/>
        </w:rPr>
        <w:t>s</w:t>
      </w:r>
      <w:r w:rsidRPr="003F134D">
        <w:rPr>
          <w:b/>
          <w:bCs/>
        </w:rPr>
        <w:t xml:space="preserve"> </w:t>
      </w:r>
    </w:p>
    <w:p w14:paraId="2101B311" w14:textId="46557ACB" w:rsidR="00632F2A" w:rsidRDefault="00632F2A" w:rsidP="00632F2A">
      <w:pPr>
        <w:pStyle w:val="BodyText"/>
      </w:pPr>
      <w:r>
        <w:t xml:space="preserve">We identified two systematic reviews </w:t>
      </w:r>
      <w:r w:rsidR="003841CD">
        <w:t>with</w:t>
      </w:r>
      <w:r>
        <w:t xml:space="preserve"> </w:t>
      </w:r>
      <w:r w:rsidR="00623971">
        <w:t xml:space="preserve">pooled </w:t>
      </w:r>
      <w:r>
        <w:t xml:space="preserve">analysis of </w:t>
      </w:r>
      <w:r w:rsidR="00623971">
        <w:t xml:space="preserve">overall </w:t>
      </w:r>
      <w:r>
        <w:t xml:space="preserve">CDR (Marinovich et al., 2018; Phi et al., 2018) and two narrative literature reviews (Chong et al., 2019; Li et al., 2018). Results from </w:t>
      </w:r>
      <w:r w:rsidR="00623971">
        <w:t>the meta-analysis</w:t>
      </w:r>
      <w:r>
        <w:t xml:space="preserve"> reported consistent increases in CDR with the use of DBT as part of the screening test. Reported incremental CDR per 1000 screening examinations ranged between -0.8 </w:t>
      </w:r>
      <w:r w:rsidR="00EE78D1">
        <w:t xml:space="preserve">fewer cancers detected </w:t>
      </w:r>
      <w:r>
        <w:t>per 1000 screening examinations (</w:t>
      </w:r>
      <w:r w:rsidR="00EE78D1">
        <w:t xml:space="preserve">a non-significant result from </w:t>
      </w:r>
      <w:r>
        <w:t xml:space="preserve">an early study and the only study to report a lower CDR when DBT was used in the imaging protocol) to 3.9 cancers detected per 1000 screening examinations (a statistically significant result from the Verona pilot, </w:t>
      </w:r>
      <w:r>
        <w:rPr>
          <w:i/>
          <w:iCs/>
        </w:rPr>
        <w:t>p</w:t>
      </w:r>
      <w:r>
        <w:t xml:space="preserve">=.001). </w:t>
      </w:r>
    </w:p>
    <w:p w14:paraId="593F4A8C" w14:textId="06AC8379" w:rsidR="00632F2A" w:rsidRDefault="00445865" w:rsidP="00632F2A">
      <w:pPr>
        <w:pStyle w:val="BodyText"/>
      </w:pPr>
      <w:r>
        <w:t>P</w:t>
      </w:r>
      <w:r w:rsidR="00632F2A">
        <w:t>ooled analysis (Marinovich et al., 2018</w:t>
      </w:r>
      <w:r w:rsidR="00623971">
        <w:t>;</w:t>
      </w:r>
      <w:r w:rsidR="00632F2A">
        <w:t xml:space="preserve"> Phi et al., 2018) dr</w:t>
      </w:r>
      <w:r w:rsidR="00623971">
        <w:t>e</w:t>
      </w:r>
      <w:r w:rsidR="00632F2A">
        <w:t xml:space="preserve">w only on studies published prior to 31 December 2017. All the studies reported in these papers were reported in </w:t>
      </w:r>
      <w:r w:rsidR="00632F2A">
        <w:rPr>
          <w:i/>
          <w:iCs/>
        </w:rPr>
        <w:t>Allen + Clarke</w:t>
      </w:r>
      <w:r w:rsidR="00632F2A">
        <w:t xml:space="preserve">’s previous literature reviews. The Marinovich et al. and Phi et al. papers reported data from the paired trials </w:t>
      </w:r>
      <w:r>
        <w:t>in different ways</w:t>
      </w:r>
      <w:r w:rsidR="00EC105D">
        <w:t xml:space="preserve">. Data from the </w:t>
      </w:r>
      <w:r w:rsidR="00632F2A">
        <w:t>Malmö, STORM and STORM-2 trials</w:t>
      </w:r>
      <w:r>
        <w:rPr>
          <w:rStyle w:val="FootnoteReference"/>
        </w:rPr>
        <w:footnoteReference w:id="11"/>
      </w:r>
      <w:r w:rsidR="00632F2A">
        <w:t xml:space="preserve"> </w:t>
      </w:r>
      <w:r w:rsidR="00EC105D">
        <w:t xml:space="preserve">was reported </w:t>
      </w:r>
      <w:r w:rsidR="00632F2A">
        <w:t xml:space="preserve">separately from the retrospective American studies (which compared FFDM to </w:t>
      </w:r>
      <w:r w:rsidR="00A41257">
        <w:t>FFDM+DBT</w:t>
      </w:r>
      <w:r w:rsidR="00632F2A">
        <w:t xml:space="preserve">) but it is not clear in the method write-ups whether and how the different imaging protocols in the paired trials were accounted for in the pooled analysis (specific notes are provided below). </w:t>
      </w:r>
      <w:r w:rsidR="00632F2A">
        <w:lastRenderedPageBreak/>
        <w:t>Because of this, we report the results of each pooled analysis here rather than under the imaging protocol.</w:t>
      </w:r>
    </w:p>
    <w:p w14:paraId="4F575B5E" w14:textId="7B99D6AD" w:rsidR="00EB7F8B" w:rsidRDefault="00EB7F8B" w:rsidP="00EB7F8B">
      <w:pPr>
        <w:pStyle w:val="BodyText"/>
      </w:pPr>
      <w:r>
        <w:t xml:space="preserve">Marinovich et al. (2018) completed a meta-analysis of 17 studies comparing the role of DBT </w:t>
      </w:r>
      <w:r w:rsidR="00632F2A">
        <w:t xml:space="preserve">in cancer detection in </w:t>
      </w:r>
      <w:r>
        <w:t xml:space="preserve">asymptomatic women attending for breast-screening. Results were presented by a grouping based on paired or unpaired study design. Paired studies included the four main prospective European trials embedded in population-based screening programs published </w:t>
      </w:r>
      <w:r w:rsidR="00632F2A">
        <w:t>between 2009 and July 2017</w:t>
      </w:r>
      <w:r>
        <w:t xml:space="preserve"> (i.e., interim results from the Malmö trial and data from the OTS, STORM and STORM-2 trials). Unpaired studies included </w:t>
      </w:r>
      <w:r w:rsidR="00632F2A">
        <w:t xml:space="preserve">the main </w:t>
      </w:r>
      <w:r>
        <w:t xml:space="preserve">retrospective American studies. Different imaging protocols were included </w:t>
      </w:r>
      <w:r w:rsidR="00632F2A">
        <w:t>in the Malmö and STORM-2 trials</w:t>
      </w:r>
      <w:r w:rsidR="00632F2A">
        <w:rPr>
          <w:rStyle w:val="FootnoteReference"/>
        </w:rPr>
        <w:footnoteReference w:id="12"/>
      </w:r>
      <w:r w:rsidR="00632F2A">
        <w:t xml:space="preserve">, </w:t>
      </w:r>
      <w:r>
        <w:t xml:space="preserve">but </w:t>
      </w:r>
      <w:r w:rsidR="00632F2A">
        <w:t xml:space="preserve">all other </w:t>
      </w:r>
      <w:r>
        <w:t xml:space="preserve">studies compared </w:t>
      </w:r>
      <w:r w:rsidR="00A41257">
        <w:t>FFDM+DBT</w:t>
      </w:r>
      <w:r>
        <w:t xml:space="preserve"> to FFDM alone. </w:t>
      </w:r>
      <w:r w:rsidR="00C7354C">
        <w:t xml:space="preserve">Different reading protocols and screening intervals were also used. </w:t>
      </w:r>
      <w:r>
        <w:t>The total number of study participants was 1,009,790 (37,092 women in paired studies; 972,698 women in unpaired studies). Included studies reported on CDR and recall rate/false recall rate</w:t>
      </w:r>
      <w:r w:rsidR="00632F2A">
        <w:t xml:space="preserve"> and</w:t>
      </w:r>
      <w:r>
        <w:t xml:space="preserve"> were designed to enable comparison between FFDM and </w:t>
      </w:r>
      <w:r w:rsidR="00A41257">
        <w:t>FFDM+DBT</w:t>
      </w:r>
      <w:r>
        <w:t xml:space="preserve">. To complete the meta-analysis, Marinovich et al. used QUADAS-2 to undertake the quality assessment </w:t>
      </w:r>
      <w:r w:rsidR="00623971">
        <w:t xml:space="preserve">and reported </w:t>
      </w:r>
      <w:r>
        <w:t>a low risk of bias in the included studies</w:t>
      </w:r>
      <w:r w:rsidR="00C7354C">
        <w:t>; however, the included studies were also quite different in some fundamental ways (screening interval, screening intervention/comparator, etc.)</w:t>
      </w:r>
      <w:r>
        <w:t>.</w:t>
      </w:r>
      <w:r w:rsidRPr="00CD4021">
        <w:t xml:space="preserve"> </w:t>
      </w:r>
      <w:r>
        <w:t xml:space="preserve">No analysis by prevalent or incident screening was undertaken as this information was not available from the primary studies. No studies involving high-risk or symptomatic women or tomosynthesis in other settings were included. </w:t>
      </w:r>
    </w:p>
    <w:tbl>
      <w:tblPr>
        <w:tblStyle w:val="ACGreen-BandedTable"/>
        <w:tblpPr w:leftFromText="180" w:rightFromText="180" w:vertAnchor="text" w:horzAnchor="margin" w:tblpXSpec="right" w:tblpY="74"/>
        <w:tblOverlap w:val="never"/>
        <w:tblW w:w="3970" w:type="dxa"/>
        <w:tblLook w:val="04A0" w:firstRow="1" w:lastRow="0" w:firstColumn="1" w:lastColumn="0" w:noHBand="0" w:noVBand="1"/>
        <w:tblDescription w:val="The study design by Marinovich et al., 2018 about Meta-analysis including data from Malmö, OTS and STORM had results for overall CDR (95%CI) for:&#10;CDR for paired studies had: FFDM+DBT: 8.8 (7.4, 10.5), FFDM alone: 6.4 (5.2, 7.9) and Pooled increase for FFDM+DBT: 2.4 (1.9, 2.9)&#10;CDR for unpaired studies had: FFDM+DBT: 5.7, FFDM alone: 4.5, Pooled increase for FFDM+DBT: 1.1 (0.8, 1.5), Pooled incremental increase and FFDM+DBT: 1.6 (1.1, 2.0).&#10;&#10;The study design by Phi et al., 2018 about Systematic review with meta-analysis including data from Malmö and STORM had results for the overall CDR (95%CI) for CDR for paired studies had RR=1.52 (1.08, 2.12) and CDR for unpaired studies had RR=1.33 (1.2, 1.47).&#10;"/>
      </w:tblPr>
      <w:tblGrid>
        <w:gridCol w:w="1608"/>
        <w:gridCol w:w="2362"/>
      </w:tblGrid>
      <w:tr w:rsidR="00D738A5" w:rsidRPr="00D86CAB" w14:paraId="6A9EEE06" w14:textId="77777777" w:rsidTr="00D738A5">
        <w:trPr>
          <w:cnfStyle w:val="100000000000" w:firstRow="1" w:lastRow="0" w:firstColumn="0" w:lastColumn="0" w:oddVBand="0" w:evenVBand="0" w:oddHBand="0" w:evenHBand="0" w:firstRowFirstColumn="0" w:firstRowLastColumn="0" w:lastRowFirstColumn="0" w:lastRowLastColumn="0"/>
        </w:trPr>
        <w:tc>
          <w:tcPr>
            <w:tcW w:w="1608" w:type="dxa"/>
          </w:tcPr>
          <w:p w14:paraId="67851328" w14:textId="77777777" w:rsidR="00D738A5" w:rsidRPr="00D86CAB" w:rsidRDefault="00D738A5" w:rsidP="00D738A5">
            <w:pPr>
              <w:pStyle w:val="BodyText"/>
              <w:jc w:val="left"/>
              <w:rPr>
                <w:rFonts w:cstheme="majorHAnsi"/>
                <w:b/>
                <w:sz w:val="18"/>
                <w:szCs w:val="18"/>
              </w:rPr>
            </w:pPr>
            <w:bookmarkStart w:id="177" w:name="_Hlk506924173"/>
            <w:r w:rsidRPr="00D86CAB">
              <w:rPr>
                <w:rFonts w:cstheme="majorHAnsi"/>
                <w:b/>
                <w:sz w:val="18"/>
                <w:szCs w:val="18"/>
              </w:rPr>
              <w:t xml:space="preserve">Study </w:t>
            </w:r>
          </w:p>
          <w:p w14:paraId="773CC5E3" w14:textId="77777777" w:rsidR="00D738A5" w:rsidRPr="00D86CAB" w:rsidRDefault="00D738A5" w:rsidP="00D738A5">
            <w:pPr>
              <w:pStyle w:val="BodyText"/>
              <w:jc w:val="left"/>
              <w:rPr>
                <w:rFonts w:cstheme="majorHAnsi"/>
                <w:b/>
                <w:sz w:val="18"/>
                <w:szCs w:val="18"/>
              </w:rPr>
            </w:pPr>
            <w:r w:rsidRPr="00D86CAB">
              <w:rPr>
                <w:rFonts w:cstheme="majorHAnsi"/>
                <w:b/>
                <w:sz w:val="18"/>
                <w:szCs w:val="18"/>
              </w:rPr>
              <w:t xml:space="preserve">Design </w:t>
            </w:r>
          </w:p>
        </w:tc>
        <w:tc>
          <w:tcPr>
            <w:tcW w:w="2362" w:type="dxa"/>
          </w:tcPr>
          <w:p w14:paraId="718085EE" w14:textId="77777777" w:rsidR="00D738A5" w:rsidRPr="00D86CAB" w:rsidRDefault="00D738A5" w:rsidP="00D738A5">
            <w:pPr>
              <w:pStyle w:val="BodyText"/>
              <w:jc w:val="left"/>
              <w:rPr>
                <w:rFonts w:cstheme="majorHAnsi"/>
                <w:b/>
                <w:sz w:val="18"/>
                <w:szCs w:val="18"/>
              </w:rPr>
            </w:pPr>
            <w:r w:rsidRPr="00D86CAB">
              <w:rPr>
                <w:rFonts w:cstheme="majorHAnsi"/>
                <w:b/>
                <w:sz w:val="18"/>
                <w:szCs w:val="18"/>
              </w:rPr>
              <w:t xml:space="preserve">Results: </w:t>
            </w:r>
            <w:r>
              <w:rPr>
                <w:rFonts w:cstheme="majorHAnsi"/>
                <w:b/>
                <w:sz w:val="18"/>
                <w:szCs w:val="18"/>
              </w:rPr>
              <w:t xml:space="preserve">overall </w:t>
            </w:r>
            <w:r w:rsidRPr="00D86CAB">
              <w:rPr>
                <w:rFonts w:cstheme="majorHAnsi"/>
                <w:b/>
                <w:sz w:val="18"/>
                <w:szCs w:val="18"/>
              </w:rPr>
              <w:t>CDR</w:t>
            </w:r>
            <w:r>
              <w:rPr>
                <w:rFonts w:cstheme="majorHAnsi"/>
                <w:b/>
                <w:sz w:val="18"/>
                <w:szCs w:val="18"/>
              </w:rPr>
              <w:t xml:space="preserve"> </w:t>
            </w:r>
            <w:r w:rsidRPr="0034054F">
              <w:rPr>
                <w:rFonts w:cstheme="majorHAnsi"/>
                <w:bCs/>
                <w:sz w:val="18"/>
                <w:szCs w:val="18"/>
              </w:rPr>
              <w:t>(95%CI)</w:t>
            </w:r>
          </w:p>
        </w:tc>
      </w:tr>
      <w:tr w:rsidR="00D738A5" w:rsidRPr="00D86CAB" w14:paraId="0A60D4EA" w14:textId="77777777" w:rsidTr="00D738A5">
        <w:trPr>
          <w:trHeight w:val="17"/>
        </w:trPr>
        <w:tc>
          <w:tcPr>
            <w:tcW w:w="1608" w:type="dxa"/>
            <w:shd w:val="clear" w:color="auto" w:fill="FFFFFF" w:themeFill="background1"/>
          </w:tcPr>
          <w:p w14:paraId="6E1E520A" w14:textId="77777777" w:rsidR="00D738A5" w:rsidRPr="00D86CAB" w:rsidRDefault="00D738A5" w:rsidP="00D738A5">
            <w:pPr>
              <w:pStyle w:val="BodyText"/>
              <w:spacing w:before="0" w:after="0" w:line="240" w:lineRule="auto"/>
              <w:rPr>
                <w:rFonts w:cstheme="majorHAnsi"/>
                <w:b/>
                <w:sz w:val="18"/>
                <w:szCs w:val="18"/>
              </w:rPr>
            </w:pPr>
            <w:r>
              <w:rPr>
                <w:rFonts w:cstheme="majorHAnsi"/>
                <w:b/>
                <w:sz w:val="18"/>
                <w:szCs w:val="18"/>
              </w:rPr>
              <w:t xml:space="preserve">Marinovich </w:t>
            </w:r>
            <w:r w:rsidRPr="00D86CAB">
              <w:rPr>
                <w:rFonts w:cstheme="majorHAnsi"/>
                <w:b/>
                <w:sz w:val="18"/>
                <w:szCs w:val="18"/>
              </w:rPr>
              <w:t>et al., 201</w:t>
            </w:r>
            <w:r>
              <w:rPr>
                <w:rFonts w:cstheme="majorHAnsi"/>
                <w:b/>
                <w:sz w:val="18"/>
                <w:szCs w:val="18"/>
              </w:rPr>
              <w:t>8</w:t>
            </w:r>
          </w:p>
          <w:p w14:paraId="1C3E3F1F" w14:textId="77777777" w:rsidR="00D738A5" w:rsidRPr="00D86CAB" w:rsidRDefault="00D738A5" w:rsidP="00D738A5">
            <w:pPr>
              <w:pStyle w:val="BodyText"/>
              <w:spacing w:before="0" w:after="0" w:line="240" w:lineRule="auto"/>
              <w:jc w:val="left"/>
              <w:rPr>
                <w:rFonts w:cstheme="majorHAnsi"/>
                <w:sz w:val="18"/>
                <w:szCs w:val="18"/>
              </w:rPr>
            </w:pPr>
            <w:r>
              <w:rPr>
                <w:rFonts w:cstheme="majorHAnsi"/>
                <w:sz w:val="18"/>
                <w:szCs w:val="18"/>
              </w:rPr>
              <w:t>Meta-analysis including data from Malmö, OTS and STORM</w:t>
            </w:r>
          </w:p>
        </w:tc>
        <w:tc>
          <w:tcPr>
            <w:tcW w:w="2362" w:type="dxa"/>
            <w:shd w:val="clear" w:color="auto" w:fill="FFFFFF" w:themeFill="background1"/>
          </w:tcPr>
          <w:p w14:paraId="1B085AE9" w14:textId="77777777" w:rsidR="00D738A5" w:rsidRDefault="00D738A5" w:rsidP="00D738A5">
            <w:pPr>
              <w:pStyle w:val="BodyText"/>
              <w:spacing w:before="0" w:after="0" w:line="240" w:lineRule="auto"/>
              <w:rPr>
                <w:rFonts w:cstheme="majorHAnsi"/>
                <w:sz w:val="18"/>
                <w:szCs w:val="18"/>
              </w:rPr>
            </w:pPr>
            <w:r>
              <w:rPr>
                <w:rFonts w:cstheme="majorHAnsi"/>
                <w:sz w:val="18"/>
                <w:szCs w:val="18"/>
              </w:rPr>
              <w:t>CDR for paired studies:</w:t>
            </w:r>
          </w:p>
          <w:p w14:paraId="2A945D89" w14:textId="0EA7DE75" w:rsidR="00D738A5" w:rsidRDefault="00A41257"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FFDM+DBT</w:t>
            </w:r>
            <w:r w:rsidR="00D738A5">
              <w:rPr>
                <w:rFonts w:cstheme="majorHAnsi"/>
                <w:sz w:val="18"/>
                <w:szCs w:val="18"/>
              </w:rPr>
              <w:t>: 8.8 (7.4</w:t>
            </w:r>
            <w:r w:rsidR="004F6A90">
              <w:rPr>
                <w:rFonts w:cstheme="majorHAnsi"/>
                <w:sz w:val="18"/>
                <w:szCs w:val="18"/>
              </w:rPr>
              <w:t xml:space="preserve">, </w:t>
            </w:r>
            <w:r w:rsidR="00D738A5">
              <w:rPr>
                <w:rFonts w:cstheme="majorHAnsi"/>
                <w:sz w:val="18"/>
                <w:szCs w:val="18"/>
              </w:rPr>
              <w:t>10.5)</w:t>
            </w:r>
          </w:p>
          <w:p w14:paraId="18D50FC9" w14:textId="6400D2E7" w:rsidR="00D738A5" w:rsidRDefault="00D738A5"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FFDM alone: 6.4 (5.2</w:t>
            </w:r>
            <w:r w:rsidR="004F6A90">
              <w:rPr>
                <w:rFonts w:cstheme="majorHAnsi"/>
                <w:sz w:val="18"/>
                <w:szCs w:val="18"/>
              </w:rPr>
              <w:t xml:space="preserve">, </w:t>
            </w:r>
            <w:r>
              <w:rPr>
                <w:rFonts w:cstheme="majorHAnsi"/>
                <w:sz w:val="18"/>
                <w:szCs w:val="18"/>
              </w:rPr>
              <w:t>7.9)</w:t>
            </w:r>
          </w:p>
          <w:p w14:paraId="40CB62A5" w14:textId="1B2B379A" w:rsidR="00D738A5" w:rsidRDefault="00D738A5"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 xml:space="preserve">Pooled increase for </w:t>
            </w:r>
            <w:r w:rsidR="00A41257">
              <w:rPr>
                <w:rFonts w:cstheme="majorHAnsi"/>
                <w:sz w:val="18"/>
                <w:szCs w:val="18"/>
              </w:rPr>
              <w:t>FFDM+DBT</w:t>
            </w:r>
            <w:r>
              <w:rPr>
                <w:rFonts w:cstheme="majorHAnsi"/>
                <w:sz w:val="18"/>
                <w:szCs w:val="18"/>
              </w:rPr>
              <w:t>: 2.4 (1.9</w:t>
            </w:r>
            <w:r w:rsidR="004F6A90">
              <w:rPr>
                <w:rFonts w:cstheme="majorHAnsi"/>
                <w:sz w:val="18"/>
                <w:szCs w:val="18"/>
              </w:rPr>
              <w:t xml:space="preserve">, </w:t>
            </w:r>
            <w:r>
              <w:rPr>
                <w:rFonts w:cstheme="majorHAnsi"/>
                <w:sz w:val="18"/>
                <w:szCs w:val="18"/>
              </w:rPr>
              <w:t>2.9)</w:t>
            </w:r>
          </w:p>
          <w:p w14:paraId="55941880" w14:textId="77777777" w:rsidR="00D738A5" w:rsidRDefault="00D738A5" w:rsidP="00D738A5">
            <w:pPr>
              <w:pStyle w:val="BodyText"/>
              <w:spacing w:before="0" w:after="0" w:line="240" w:lineRule="auto"/>
              <w:rPr>
                <w:rFonts w:cstheme="majorHAnsi"/>
                <w:sz w:val="18"/>
                <w:szCs w:val="18"/>
              </w:rPr>
            </w:pPr>
            <w:r>
              <w:rPr>
                <w:rFonts w:cstheme="majorHAnsi"/>
                <w:sz w:val="18"/>
                <w:szCs w:val="18"/>
              </w:rPr>
              <w:t>CDR for unpaired studies:</w:t>
            </w:r>
          </w:p>
          <w:p w14:paraId="2D7CC80F" w14:textId="08A244CF" w:rsidR="00D738A5" w:rsidRDefault="00A41257"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FFDM+DBT</w:t>
            </w:r>
            <w:r w:rsidR="00D738A5">
              <w:rPr>
                <w:rFonts w:cstheme="majorHAnsi"/>
                <w:sz w:val="18"/>
                <w:szCs w:val="18"/>
              </w:rPr>
              <w:t>: 5.7</w:t>
            </w:r>
          </w:p>
          <w:p w14:paraId="2713ADF5" w14:textId="77777777" w:rsidR="00D738A5" w:rsidRDefault="00D738A5"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FFDM alone: 4.5</w:t>
            </w:r>
          </w:p>
          <w:p w14:paraId="390566EC" w14:textId="5268D7CA" w:rsidR="00D738A5" w:rsidRDefault="00D738A5"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 xml:space="preserve">Pooled increase for </w:t>
            </w:r>
            <w:r w:rsidR="00A41257">
              <w:rPr>
                <w:rFonts w:cstheme="majorHAnsi"/>
                <w:sz w:val="18"/>
                <w:szCs w:val="18"/>
              </w:rPr>
              <w:t>FFDM+DBT</w:t>
            </w:r>
            <w:r>
              <w:rPr>
                <w:rFonts w:cstheme="majorHAnsi"/>
                <w:sz w:val="18"/>
                <w:szCs w:val="18"/>
              </w:rPr>
              <w:t>: 1.1 (0.8</w:t>
            </w:r>
            <w:r w:rsidR="004F6A90">
              <w:rPr>
                <w:rFonts w:cstheme="majorHAnsi"/>
                <w:sz w:val="18"/>
                <w:szCs w:val="18"/>
              </w:rPr>
              <w:t xml:space="preserve">, </w:t>
            </w:r>
            <w:r>
              <w:rPr>
                <w:rFonts w:cstheme="majorHAnsi"/>
                <w:sz w:val="18"/>
                <w:szCs w:val="18"/>
              </w:rPr>
              <w:t>1.5)</w:t>
            </w:r>
          </w:p>
          <w:p w14:paraId="1F4A3A30" w14:textId="77777777" w:rsidR="00D738A5" w:rsidRDefault="00D738A5" w:rsidP="00D738A5">
            <w:pPr>
              <w:pStyle w:val="BodyText"/>
              <w:spacing w:before="0" w:after="0" w:line="240" w:lineRule="auto"/>
              <w:ind w:left="61"/>
              <w:rPr>
                <w:rFonts w:cstheme="majorHAnsi"/>
                <w:sz w:val="18"/>
                <w:szCs w:val="18"/>
              </w:rPr>
            </w:pPr>
            <w:r>
              <w:rPr>
                <w:rFonts w:cstheme="majorHAnsi"/>
                <w:sz w:val="18"/>
                <w:szCs w:val="18"/>
              </w:rPr>
              <w:t>Pooled incremental increase</w:t>
            </w:r>
          </w:p>
          <w:p w14:paraId="7DA6FDBA" w14:textId="0AF775A4" w:rsidR="00D738A5" w:rsidRPr="00F94560" w:rsidRDefault="00A41257"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FFDM+DBT</w:t>
            </w:r>
            <w:r w:rsidR="00D738A5">
              <w:rPr>
                <w:rFonts w:cstheme="majorHAnsi"/>
                <w:sz w:val="18"/>
                <w:szCs w:val="18"/>
              </w:rPr>
              <w:t>: 1.6 (1.1</w:t>
            </w:r>
            <w:r w:rsidR="004F6A90">
              <w:rPr>
                <w:rFonts w:cstheme="majorHAnsi"/>
                <w:sz w:val="18"/>
                <w:szCs w:val="18"/>
              </w:rPr>
              <w:t xml:space="preserve">, </w:t>
            </w:r>
            <w:r w:rsidR="00D738A5">
              <w:rPr>
                <w:rFonts w:cstheme="majorHAnsi"/>
                <w:sz w:val="18"/>
                <w:szCs w:val="18"/>
              </w:rPr>
              <w:t>2.0)</w:t>
            </w:r>
          </w:p>
        </w:tc>
      </w:tr>
      <w:tr w:rsidR="00D738A5" w:rsidRPr="00D86CAB" w14:paraId="2197D187" w14:textId="77777777" w:rsidTr="00D738A5">
        <w:trPr>
          <w:cnfStyle w:val="000000010000" w:firstRow="0" w:lastRow="0" w:firstColumn="0" w:lastColumn="0" w:oddVBand="0" w:evenVBand="0" w:oddHBand="0" w:evenHBand="1" w:firstRowFirstColumn="0" w:firstRowLastColumn="0" w:lastRowFirstColumn="0" w:lastRowLastColumn="0"/>
          <w:trHeight w:val="17"/>
        </w:trPr>
        <w:tc>
          <w:tcPr>
            <w:tcW w:w="1608" w:type="dxa"/>
            <w:shd w:val="clear" w:color="auto" w:fill="FFFFFF" w:themeFill="background1"/>
          </w:tcPr>
          <w:p w14:paraId="3FD4D0BA" w14:textId="77777777" w:rsidR="00D738A5" w:rsidRDefault="00D738A5" w:rsidP="00D738A5">
            <w:pPr>
              <w:pStyle w:val="BodyText"/>
              <w:spacing w:before="0" w:after="0" w:line="240" w:lineRule="auto"/>
              <w:rPr>
                <w:rFonts w:cstheme="majorHAnsi"/>
                <w:b/>
                <w:sz w:val="18"/>
                <w:szCs w:val="18"/>
              </w:rPr>
            </w:pPr>
            <w:r>
              <w:rPr>
                <w:rFonts w:cstheme="majorHAnsi"/>
                <w:b/>
                <w:sz w:val="18"/>
                <w:szCs w:val="18"/>
              </w:rPr>
              <w:t>Phi et al., 2018</w:t>
            </w:r>
          </w:p>
          <w:p w14:paraId="6258407E" w14:textId="77777777" w:rsidR="00D738A5" w:rsidRPr="003936DB" w:rsidRDefault="00D738A5" w:rsidP="00D738A5">
            <w:pPr>
              <w:pStyle w:val="BodyText"/>
              <w:spacing w:before="0" w:after="0" w:line="240" w:lineRule="auto"/>
              <w:rPr>
                <w:rFonts w:cstheme="majorHAnsi"/>
                <w:bCs/>
                <w:sz w:val="18"/>
                <w:szCs w:val="18"/>
              </w:rPr>
            </w:pPr>
            <w:r w:rsidRPr="003936DB">
              <w:rPr>
                <w:rFonts w:cstheme="majorHAnsi"/>
                <w:bCs/>
                <w:sz w:val="18"/>
                <w:szCs w:val="18"/>
              </w:rPr>
              <w:t>Systematic review</w:t>
            </w:r>
            <w:r>
              <w:rPr>
                <w:rFonts w:cstheme="majorHAnsi"/>
                <w:bCs/>
                <w:sz w:val="18"/>
                <w:szCs w:val="18"/>
              </w:rPr>
              <w:t xml:space="preserve"> with meta-analysis including data from </w:t>
            </w:r>
            <w:r>
              <w:rPr>
                <w:rFonts w:cstheme="majorHAnsi"/>
                <w:sz w:val="18"/>
                <w:szCs w:val="18"/>
              </w:rPr>
              <w:t xml:space="preserve"> Malmö and STORM</w:t>
            </w:r>
          </w:p>
        </w:tc>
        <w:tc>
          <w:tcPr>
            <w:tcW w:w="2362" w:type="dxa"/>
            <w:shd w:val="clear" w:color="auto" w:fill="FFFFFF" w:themeFill="background1"/>
          </w:tcPr>
          <w:p w14:paraId="6EAF0234" w14:textId="77777777" w:rsidR="00D738A5" w:rsidRDefault="00D738A5" w:rsidP="00D738A5">
            <w:pPr>
              <w:pStyle w:val="BodyText"/>
              <w:spacing w:before="0" w:after="0" w:line="240" w:lineRule="auto"/>
              <w:rPr>
                <w:rFonts w:cstheme="majorHAnsi"/>
                <w:sz w:val="18"/>
                <w:szCs w:val="18"/>
              </w:rPr>
            </w:pPr>
            <w:r>
              <w:rPr>
                <w:rFonts w:cstheme="majorHAnsi"/>
                <w:sz w:val="18"/>
                <w:szCs w:val="18"/>
              </w:rPr>
              <w:t>CDR for paired studies:</w:t>
            </w:r>
          </w:p>
          <w:p w14:paraId="4AF47C53" w14:textId="5E8BC61A" w:rsidR="00D738A5" w:rsidRDefault="00D738A5"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RR</w:t>
            </w:r>
            <w:r w:rsidR="00285D7E">
              <w:rPr>
                <w:rFonts w:cstheme="majorHAnsi"/>
                <w:sz w:val="18"/>
                <w:szCs w:val="18"/>
              </w:rPr>
              <w:t>=</w:t>
            </w:r>
            <w:r>
              <w:rPr>
                <w:rFonts w:cstheme="majorHAnsi"/>
                <w:sz w:val="18"/>
                <w:szCs w:val="18"/>
              </w:rPr>
              <w:t>1.52 (1.08</w:t>
            </w:r>
            <w:r w:rsidR="004F6A90">
              <w:rPr>
                <w:rFonts w:cstheme="majorHAnsi"/>
                <w:sz w:val="18"/>
                <w:szCs w:val="18"/>
              </w:rPr>
              <w:t xml:space="preserve">, </w:t>
            </w:r>
            <w:r>
              <w:rPr>
                <w:rFonts w:cstheme="majorHAnsi"/>
                <w:sz w:val="18"/>
                <w:szCs w:val="18"/>
              </w:rPr>
              <w:t>2.12)</w:t>
            </w:r>
          </w:p>
          <w:p w14:paraId="20526AAD" w14:textId="77777777" w:rsidR="00D738A5" w:rsidRDefault="00D738A5" w:rsidP="00D738A5">
            <w:pPr>
              <w:pStyle w:val="BodyText"/>
              <w:spacing w:before="0" w:after="0" w:line="240" w:lineRule="auto"/>
              <w:rPr>
                <w:rFonts w:cstheme="majorHAnsi"/>
                <w:sz w:val="18"/>
                <w:szCs w:val="18"/>
              </w:rPr>
            </w:pPr>
            <w:r>
              <w:rPr>
                <w:rFonts w:cstheme="majorHAnsi"/>
                <w:sz w:val="18"/>
                <w:szCs w:val="18"/>
              </w:rPr>
              <w:t>CDR for unpaired studies:</w:t>
            </w:r>
          </w:p>
          <w:p w14:paraId="14D31F41" w14:textId="7295C600" w:rsidR="00D738A5" w:rsidRDefault="00D738A5" w:rsidP="007E3481">
            <w:pPr>
              <w:pStyle w:val="BodyText"/>
              <w:numPr>
                <w:ilvl w:val="0"/>
                <w:numId w:val="12"/>
              </w:numPr>
              <w:spacing w:before="0" w:after="0" w:line="240" w:lineRule="auto"/>
              <w:ind w:left="203" w:hanging="142"/>
              <w:rPr>
                <w:rFonts w:cstheme="majorHAnsi"/>
                <w:sz w:val="18"/>
                <w:szCs w:val="18"/>
              </w:rPr>
            </w:pPr>
            <w:r>
              <w:rPr>
                <w:rFonts w:cstheme="majorHAnsi"/>
                <w:sz w:val="18"/>
                <w:szCs w:val="18"/>
              </w:rPr>
              <w:t>RR</w:t>
            </w:r>
            <w:r w:rsidR="00285D7E">
              <w:rPr>
                <w:rFonts w:cstheme="majorHAnsi"/>
                <w:sz w:val="18"/>
                <w:szCs w:val="18"/>
              </w:rPr>
              <w:t>=</w:t>
            </w:r>
            <w:r>
              <w:rPr>
                <w:rFonts w:cstheme="majorHAnsi"/>
                <w:sz w:val="18"/>
                <w:szCs w:val="18"/>
              </w:rPr>
              <w:t>1.33 (1.2</w:t>
            </w:r>
            <w:r w:rsidR="004F6A90">
              <w:rPr>
                <w:rFonts w:cstheme="majorHAnsi"/>
                <w:sz w:val="18"/>
                <w:szCs w:val="18"/>
              </w:rPr>
              <w:t xml:space="preserve">, </w:t>
            </w:r>
            <w:r>
              <w:rPr>
                <w:rFonts w:cstheme="majorHAnsi"/>
                <w:sz w:val="18"/>
                <w:szCs w:val="18"/>
              </w:rPr>
              <w:t>1.47)</w:t>
            </w:r>
          </w:p>
          <w:p w14:paraId="0262C121" w14:textId="77777777" w:rsidR="00D738A5" w:rsidRPr="003936DB" w:rsidRDefault="00D738A5" w:rsidP="00D738A5">
            <w:pPr>
              <w:pStyle w:val="BodyText"/>
              <w:spacing w:before="0" w:after="0" w:line="240" w:lineRule="auto"/>
              <w:ind w:left="203"/>
              <w:rPr>
                <w:rFonts w:cstheme="majorHAnsi"/>
                <w:sz w:val="18"/>
                <w:szCs w:val="18"/>
              </w:rPr>
            </w:pPr>
          </w:p>
        </w:tc>
      </w:tr>
    </w:tbl>
    <w:bookmarkEnd w:id="177"/>
    <w:p w14:paraId="309E06EB" w14:textId="416BE370" w:rsidR="00EB7F8B" w:rsidRDefault="00EB7F8B" w:rsidP="00EB7F8B">
      <w:pPr>
        <w:pStyle w:val="BodyText"/>
      </w:pPr>
      <w:r>
        <w:t xml:space="preserve">While results from </w:t>
      </w:r>
      <w:r w:rsidR="00D738A5">
        <w:t>Marinovich et al.’s</w:t>
      </w:r>
      <w:r>
        <w:t xml:space="preserve"> meta-analysis draw on data older than the inclusion criteria for the current literature review, it provide</w:t>
      </w:r>
      <w:r w:rsidR="00623971">
        <w:t>d</w:t>
      </w:r>
      <w:r>
        <w:t xml:space="preserve"> a helpful summary of the evidence as it stood shortly </w:t>
      </w:r>
      <w:r w:rsidR="00DF679F">
        <w:t>b</w:t>
      </w:r>
      <w:r>
        <w:t xml:space="preserve">efore </w:t>
      </w:r>
      <w:r>
        <w:rPr>
          <w:i/>
          <w:iCs/>
        </w:rPr>
        <w:t xml:space="preserve">Allen + Clarke </w:t>
      </w:r>
      <w:r>
        <w:t xml:space="preserve">completed its first literature </w:t>
      </w:r>
      <w:r w:rsidR="005A6858">
        <w:t xml:space="preserve">review </w:t>
      </w:r>
      <w:r>
        <w:t xml:space="preserve">on the role of DBT in screening (rather than describing advances in knowledge since 31 December 2017). For CDR, Marinovich et al.’s paper reached the same conclusion that </w:t>
      </w:r>
      <w:r>
        <w:rPr>
          <w:i/>
          <w:iCs/>
        </w:rPr>
        <w:t xml:space="preserve">Allen + Clarke </w:t>
      </w:r>
      <w:r>
        <w:t xml:space="preserve">did: </w:t>
      </w:r>
      <w:r w:rsidR="00A41257">
        <w:t>FFDM+DBT</w:t>
      </w:r>
      <w:r>
        <w:t xml:space="preserve"> detects more cancers than FFDM alone. Results </w:t>
      </w:r>
      <w:r w:rsidR="00623971">
        <w:t xml:space="preserve">were consistent between paired and </w:t>
      </w:r>
      <w:r>
        <w:t xml:space="preserve">unpaired studies </w:t>
      </w:r>
      <w:r w:rsidR="00623971">
        <w:t xml:space="preserve">although the effect </w:t>
      </w:r>
      <w:r w:rsidR="00C7354C">
        <w:t xml:space="preserve">estimates </w:t>
      </w:r>
      <w:r w:rsidR="00623971">
        <w:t xml:space="preserve">differed </w:t>
      </w:r>
      <w:r>
        <w:t>(see box</w:t>
      </w:r>
      <w:r w:rsidR="00623971">
        <w:t>, right</w:t>
      </w:r>
      <w:r>
        <w:t xml:space="preserve">). </w:t>
      </w:r>
      <w:r w:rsidR="00BA1DF8">
        <w:t xml:space="preserve">The pooled (paired/unpaired results) was an incremental increase in CDR of 1.6 cancers per 1000 screening exams. Differences between paired/unpaired data </w:t>
      </w:r>
      <w:r w:rsidR="00D738A5">
        <w:t xml:space="preserve">may reflect </w:t>
      </w:r>
      <w:r w:rsidR="00623971">
        <w:t xml:space="preserve">underpinning differences in the screening process (eg, single reading and an </w:t>
      </w:r>
      <w:r w:rsidR="00D738A5">
        <w:t xml:space="preserve">annual screening interval </w:t>
      </w:r>
      <w:r w:rsidR="00623971">
        <w:t xml:space="preserve">is used in most of the retrospective </w:t>
      </w:r>
      <w:r w:rsidR="00285D7E">
        <w:t>analysis,</w:t>
      </w:r>
      <w:r w:rsidR="00623971">
        <w:t xml:space="preserve"> but the paired trials used biennial screening and double reading)</w:t>
      </w:r>
      <w:r w:rsidR="00D738A5">
        <w:t>.</w:t>
      </w:r>
      <w:r w:rsidR="00623971">
        <w:t xml:space="preserve"> Marinovich et al.</w:t>
      </w:r>
      <w:r w:rsidR="00BA1DF8">
        <w:t>, noting these differences, proposed that DBT use may have a greater impact in biennial screening given the longer screening interval</w:t>
      </w:r>
      <w:r>
        <w:t xml:space="preserve">. </w:t>
      </w:r>
    </w:p>
    <w:p w14:paraId="397C3CE3" w14:textId="4B6714A1" w:rsidR="00EB7F8B" w:rsidRDefault="00EB7F8B" w:rsidP="00EB7F8B">
      <w:pPr>
        <w:pStyle w:val="BodyText"/>
        <w:rPr>
          <w:b/>
        </w:rPr>
      </w:pPr>
      <w:r>
        <w:lastRenderedPageBreak/>
        <w:t xml:space="preserve">Phi et al. (2018) completed a systematic review with meta-analysis to understand the relationship between DBT compared to FFDM for women with dense breasts. The authors identified 16 studies published between May 2007 and May 2017, </w:t>
      </w:r>
      <w:r w:rsidR="00574F89">
        <w:t>11</w:t>
      </w:r>
      <w:r>
        <w:t xml:space="preserve"> of which were set in a primary screening environment and reported on CDR. Most of these studies were completed in the United States (n=6) but papers from </w:t>
      </w:r>
      <w:r w:rsidR="00623971">
        <w:t xml:space="preserve">the </w:t>
      </w:r>
      <w:r>
        <w:t xml:space="preserve">STORM and Malmö </w:t>
      </w:r>
      <w:r w:rsidR="00623971">
        <w:t xml:space="preserve">trials </w:t>
      </w:r>
      <w:r>
        <w:t xml:space="preserve">were also included. All these papers were included in </w:t>
      </w:r>
      <w:r>
        <w:rPr>
          <w:i/>
          <w:iCs/>
        </w:rPr>
        <w:t>Allen + Clarke</w:t>
      </w:r>
      <w:r>
        <w:t>’s 2018 review on DBT in screening</w:t>
      </w:r>
      <w:r w:rsidR="00C7354C">
        <w:t xml:space="preserve"> and are subject to the same differences in study design, intervention/comparator and screening interval as described for Marinovich et al</w:t>
      </w:r>
      <w:r w:rsidR="00285D7E">
        <w:t>.</w:t>
      </w:r>
      <w:r w:rsidR="00C7354C">
        <w:t>’s study</w:t>
      </w:r>
      <w:r>
        <w:t xml:space="preserve">. </w:t>
      </w:r>
      <w:r w:rsidR="00C7354C">
        <w:t>Also, l</w:t>
      </w:r>
      <w:r>
        <w:t xml:space="preserve">ike Marinovich et al., Phi et al. reported that pooled CDR estimates from all studies was higher when DBT was compared to FFDM alone, but that CDR </w:t>
      </w:r>
      <w:r w:rsidR="00AE5990">
        <w:t xml:space="preserve">improved more </w:t>
      </w:r>
      <w:r>
        <w:t>in pooled data from the paired trials (Malmö and STORM data):</w:t>
      </w:r>
    </w:p>
    <w:p w14:paraId="6E38B04C" w14:textId="02B16F27" w:rsidR="00EB7F8B" w:rsidRDefault="00EB7F8B" w:rsidP="00EB7F8B">
      <w:pPr>
        <w:pStyle w:val="List-BulletLvl1"/>
        <w:rPr>
          <w:b/>
        </w:rPr>
      </w:pPr>
      <w:r>
        <w:t>For American studies (annual screening): RR</w:t>
      </w:r>
      <w:r w:rsidR="00285D7E">
        <w:t>=</w:t>
      </w:r>
      <w:r>
        <w:t>1.33 (95%CI</w:t>
      </w:r>
      <w:r w:rsidR="004F6A90">
        <w:t>:</w:t>
      </w:r>
      <w:r>
        <w:t xml:space="preserve"> 1.20</w:t>
      </w:r>
      <w:r w:rsidR="004F6A90">
        <w:t xml:space="preserve">, </w:t>
      </w:r>
      <w:r>
        <w:t>1.47).</w:t>
      </w:r>
    </w:p>
    <w:p w14:paraId="0FD039AA" w14:textId="21569422" w:rsidR="00EB7F8B" w:rsidRDefault="00EB7F8B" w:rsidP="00EB7F8B">
      <w:pPr>
        <w:pStyle w:val="List-BulletLvl1"/>
        <w:rPr>
          <w:b/>
        </w:rPr>
      </w:pPr>
      <w:r>
        <w:t>For paired European trials (biennial screening): RR</w:t>
      </w:r>
      <w:r w:rsidR="00285D7E">
        <w:t>=</w:t>
      </w:r>
      <w:r>
        <w:t>1.52 (95%CI</w:t>
      </w:r>
      <w:r w:rsidR="004F6A90">
        <w:t>:</w:t>
      </w:r>
      <w:r>
        <w:t xml:space="preserve"> 1.08</w:t>
      </w:r>
      <w:r w:rsidR="004F6A90">
        <w:t xml:space="preserve">, </w:t>
      </w:r>
      <w:r>
        <w:t>2.12).</w:t>
      </w:r>
    </w:p>
    <w:p w14:paraId="4240F185" w14:textId="77777777" w:rsidR="00EB7F8B" w:rsidRPr="00590F45" w:rsidRDefault="00EB7F8B" w:rsidP="00590F45">
      <w:pPr>
        <w:pStyle w:val="BodyText"/>
      </w:pPr>
      <w:r w:rsidRPr="00590F45">
        <w:t>No pooled CDR estimates by breast density were reported in Phi et al.’s paper.</w:t>
      </w:r>
    </w:p>
    <w:p w14:paraId="05BC719C" w14:textId="5E015A64" w:rsidR="00590F45" w:rsidRPr="00590F45" w:rsidRDefault="00DF679F" w:rsidP="00590F45">
      <w:pPr>
        <w:pStyle w:val="BodyText"/>
      </w:pPr>
      <w:r>
        <w:t xml:space="preserve">Pooled analysis </w:t>
      </w:r>
      <w:r w:rsidR="00590F45" w:rsidRPr="00590F45">
        <w:t>demonstrate</w:t>
      </w:r>
      <w:r>
        <w:t>d</w:t>
      </w:r>
      <w:r w:rsidR="00590F45" w:rsidRPr="00590F45">
        <w:t xml:space="preserve"> consistent evidence that DBT increases cancer detection, with a larger increase in CDR reported where the screening interval is longer </w:t>
      </w:r>
      <w:r w:rsidR="00B75559">
        <w:t xml:space="preserve">and where double reading is used </w:t>
      </w:r>
      <w:r w:rsidR="00590F45" w:rsidRPr="00590F45">
        <w:t xml:space="preserve">(i.e., a greater increase in CDR is seen in </w:t>
      </w:r>
      <w:r w:rsidR="00B75559">
        <w:t xml:space="preserve">double-read, </w:t>
      </w:r>
      <w:r w:rsidR="00590F45" w:rsidRPr="00590F45">
        <w:t>biennial screening compared to annual screening</w:t>
      </w:r>
      <w:r w:rsidR="00B75559">
        <w:t xml:space="preserve"> with single reading</w:t>
      </w:r>
      <w:r w:rsidR="00590F45" w:rsidRPr="00590F45">
        <w:t xml:space="preserve">). This is relevant to the BSA program, which uses </w:t>
      </w:r>
      <w:r w:rsidR="00B75559">
        <w:t xml:space="preserve">both double reading and offers </w:t>
      </w:r>
      <w:r w:rsidR="00590F45" w:rsidRPr="00590F45">
        <w:t>screening</w:t>
      </w:r>
      <w:r w:rsidR="00B75559">
        <w:t xml:space="preserve"> biennially</w:t>
      </w:r>
      <w:r w:rsidR="00590F45" w:rsidRPr="00590F45">
        <w:t>.</w:t>
      </w:r>
    </w:p>
    <w:p w14:paraId="428A031E" w14:textId="3E19ADF6" w:rsidR="00C10A22" w:rsidRDefault="00A41257" w:rsidP="00C10A22">
      <w:pPr>
        <w:pStyle w:val="Heading3-NOTinTOC"/>
      </w:pPr>
      <w:r>
        <w:t>DBT+</w:t>
      </w:r>
      <w:r w:rsidR="00176980">
        <w:t>s2DM</w:t>
      </w:r>
      <w:r w:rsidR="00C10A22">
        <w:t xml:space="preserve"> compared to FFDM </w:t>
      </w:r>
    </w:p>
    <w:p w14:paraId="7C30F8F3" w14:textId="28E7DF24" w:rsidR="005E1803" w:rsidRPr="006B5857" w:rsidRDefault="005D71B4" w:rsidP="00B75559">
      <w:pPr>
        <w:pStyle w:val="BodyText"/>
      </w:pPr>
      <w:r>
        <w:t>Having been identified as a promising approach, m</w:t>
      </w:r>
      <w:r w:rsidR="00C10A22">
        <w:t xml:space="preserve">ost of the studies </w:t>
      </w:r>
      <w:r w:rsidR="005E1803">
        <w:t xml:space="preserve">published since 31 December 2017 </w:t>
      </w:r>
      <w:r w:rsidR="00C10A22">
        <w:t>compare DBT+</w:t>
      </w:r>
      <w:r w:rsidR="00176980">
        <w:t>s2DM</w:t>
      </w:r>
      <w:r w:rsidR="00C10A22">
        <w:t xml:space="preserve"> to</w:t>
      </w:r>
      <w:r w:rsidR="00DF679F">
        <w:t xml:space="preserve"> </w:t>
      </w:r>
      <w:r w:rsidR="00C10A22">
        <w:t xml:space="preserve">FFDM alone, reflecting </w:t>
      </w:r>
      <w:r w:rsidR="005E1803">
        <w:t xml:space="preserve">practices designed to </w:t>
      </w:r>
      <w:r w:rsidR="00C10A22">
        <w:t xml:space="preserve">reduce the radiation dose associated with dual acquisition if </w:t>
      </w:r>
      <w:r w:rsidR="00A41257">
        <w:t>FFDM+DBT</w:t>
      </w:r>
      <w:r w:rsidR="005E1803">
        <w:t xml:space="preserve"> </w:t>
      </w:r>
      <w:r w:rsidR="00C10A22">
        <w:t xml:space="preserve">is used. </w:t>
      </w:r>
      <w:r w:rsidR="005E1803">
        <w:t xml:space="preserve">Studies included in </w:t>
      </w:r>
      <w:r w:rsidR="005E1803">
        <w:rPr>
          <w:i/>
          <w:iCs/>
        </w:rPr>
        <w:t>Allen + Clarke</w:t>
      </w:r>
      <w:r w:rsidR="005E1803">
        <w:t xml:space="preserve">’s previous literature reviews and the pooled analysis published since then (Marinovich et al., 2018; Phi et al., 2018) featured studies comparing FFDM to </w:t>
      </w:r>
      <w:r w:rsidR="00A41257">
        <w:t>FFDM+DBT</w:t>
      </w:r>
      <w:r w:rsidR="005E1803">
        <w:t>. Therefore, this new imaging protocol represents a shift to a different way of integrating DBT into a screening program.</w:t>
      </w:r>
      <w:r w:rsidR="006B5857">
        <w:t xml:space="preserve"> </w:t>
      </w:r>
    </w:p>
    <w:p w14:paraId="7830A461" w14:textId="6B5C712D" w:rsidR="00623971" w:rsidRPr="00A10444" w:rsidRDefault="00C71DD3" w:rsidP="008C2A7D">
      <w:pPr>
        <w:pStyle w:val="BodyText-GREEN"/>
        <w:rPr>
          <w:b/>
          <w:bCs/>
        </w:rPr>
      </w:pPr>
      <w:r>
        <w:rPr>
          <w:b/>
          <w:bCs/>
        </w:rPr>
        <w:t>RCT</w:t>
      </w:r>
    </w:p>
    <w:p w14:paraId="746E7F1B" w14:textId="0F998082" w:rsidR="00F04300" w:rsidRDefault="00F04300" w:rsidP="00331AD0">
      <w:pPr>
        <w:pStyle w:val="BodyText"/>
      </w:pPr>
      <w:r>
        <w:t xml:space="preserve">While there have been a number of fully paired studies set in population-based screening programs, the </w:t>
      </w:r>
      <w:r w:rsidR="00815FC2">
        <w:t>To-Be-1</w:t>
      </w:r>
      <w:r>
        <w:t xml:space="preserve"> trial is the first RCT in a screening program (the Norway BreastScreen program).</w:t>
      </w:r>
      <w:r w:rsidRPr="00CE06D7">
        <w:t xml:space="preserve"> </w:t>
      </w:r>
      <w:r w:rsidR="00E253D3">
        <w:t>Three</w:t>
      </w:r>
      <w:r>
        <w:t xml:space="preserve"> papers </w:t>
      </w:r>
      <w:r w:rsidR="00C163B5">
        <w:t xml:space="preserve">have </w:t>
      </w:r>
      <w:r w:rsidR="00623971">
        <w:t xml:space="preserve">been published on </w:t>
      </w:r>
      <w:r>
        <w:t xml:space="preserve">this RCT on </w:t>
      </w:r>
      <w:r w:rsidR="00623971">
        <w:t>the use of DBT</w:t>
      </w:r>
      <w:r w:rsidR="003841CD">
        <w:t>+</w:t>
      </w:r>
      <w:r w:rsidR="00176980">
        <w:t>s2DM</w:t>
      </w:r>
      <w:r w:rsidR="00623971">
        <w:t xml:space="preserve"> as a screening test</w:t>
      </w:r>
      <w:r w:rsidR="00C7354C">
        <w:t xml:space="preserve"> </w:t>
      </w:r>
      <w:r w:rsidR="00331AD0">
        <w:t>(</w:t>
      </w:r>
      <w:r w:rsidR="000C5381">
        <w:t xml:space="preserve">a main analysis by Hofvind et al., 2019; two sub-studies by </w:t>
      </w:r>
      <w:r w:rsidR="00C163B5">
        <w:t>Aase et al., 2019</w:t>
      </w:r>
      <w:r w:rsidR="000C5381">
        <w:t xml:space="preserve"> and </w:t>
      </w:r>
      <w:r w:rsidR="00C163B5">
        <w:t>Moger et al., 2019</w:t>
      </w:r>
      <w:r w:rsidR="00331AD0">
        <w:t>)</w:t>
      </w:r>
      <w:r w:rsidR="00623971">
        <w:t xml:space="preserve">. </w:t>
      </w:r>
    </w:p>
    <w:p w14:paraId="507B3190" w14:textId="66086BAA" w:rsidR="003841CD" w:rsidRDefault="00CE06D7" w:rsidP="00331AD0">
      <w:pPr>
        <w:pStyle w:val="BodyText"/>
      </w:pPr>
      <w:r>
        <w:t xml:space="preserve">The </w:t>
      </w:r>
      <w:r w:rsidR="00815FC2">
        <w:t>To-Be-1</w:t>
      </w:r>
      <w:r>
        <w:t xml:space="preserve"> RCT</w:t>
      </w:r>
      <w:r w:rsidR="00C7354C">
        <w:t xml:space="preserve"> aimed to assess the screening performance of DBT+</w:t>
      </w:r>
      <w:r w:rsidR="00176980">
        <w:t>s2DM</w:t>
      </w:r>
      <w:r>
        <w:t xml:space="preserve">. </w:t>
      </w:r>
      <w:r w:rsidR="00C7354C">
        <w:t>Study participants were women born between 1947 and 1966</w:t>
      </w:r>
      <w:r w:rsidR="00124A69">
        <w:t xml:space="preserve"> who attended for screening</w:t>
      </w:r>
      <w:r>
        <w:t>. A</w:t>
      </w:r>
      <w:r w:rsidR="00124A69">
        <w:t>bout 25</w:t>
      </w:r>
      <w:r>
        <w:t xml:space="preserve"> percent</w:t>
      </w:r>
      <w:r w:rsidR="00124A69">
        <w:t xml:space="preserve"> of possible participants did not attend and </w:t>
      </w:r>
      <w:r w:rsidR="000A2A82">
        <w:t xml:space="preserve">none of the papers </w:t>
      </w:r>
      <w:r w:rsidR="00124A69">
        <w:t>comment</w:t>
      </w:r>
      <w:r w:rsidR="000A2A82">
        <w:t>ed</w:t>
      </w:r>
      <w:r w:rsidR="00124A69">
        <w:t xml:space="preserve"> </w:t>
      </w:r>
      <w:r>
        <w:t>on how screening non-attendees differed from attendees</w:t>
      </w:r>
      <w:r w:rsidR="00124A69">
        <w:t xml:space="preserve">. </w:t>
      </w:r>
      <w:r>
        <w:t xml:space="preserve">Study participants </w:t>
      </w:r>
      <w:r w:rsidR="00C7354C">
        <w:t>were randomized to receive either DBT+</w:t>
      </w:r>
      <w:r w:rsidR="00176980">
        <w:t>s2DM</w:t>
      </w:r>
      <w:r w:rsidR="00124A69">
        <w:t xml:space="preserve"> (14,380 women)</w:t>
      </w:r>
      <w:r w:rsidR="00C7354C">
        <w:t xml:space="preserve"> or FFDM alone</w:t>
      </w:r>
      <w:r w:rsidR="00124A69">
        <w:t xml:space="preserve"> (14,369 women)</w:t>
      </w:r>
      <w:r>
        <w:t xml:space="preserve"> using purpose-built software</w:t>
      </w:r>
      <w:r w:rsidR="00C7354C">
        <w:t>.</w:t>
      </w:r>
      <w:r w:rsidR="009960C1">
        <w:t xml:space="preserve"> </w:t>
      </w:r>
      <w:r w:rsidR="00124A69">
        <w:t xml:space="preserve">Women with breast implants, breast symptoms or a previous history of breast cancer or metastatic melanoma were excluded. </w:t>
      </w:r>
      <w:r w:rsidR="00BE30E3">
        <w:t xml:space="preserve">Randomization occurred after consent to participate in the study was received but the intervention was not blinded. </w:t>
      </w:r>
      <w:r w:rsidR="009960C1">
        <w:t>Only one screening test was performed during the RCT</w:t>
      </w:r>
      <w:r w:rsidR="00331AD0">
        <w:t xml:space="preserve"> and each mammogram was double-read (independent, with consensus) with prior results </w:t>
      </w:r>
      <w:r w:rsidR="000D06FA">
        <w:t xml:space="preserve">for all mammograms completed in the prior 10 years (including of any diagnostic </w:t>
      </w:r>
      <w:r w:rsidR="00885A1C">
        <w:lastRenderedPageBreak/>
        <w:t>investigation</w:t>
      </w:r>
      <w:r w:rsidR="000D06FA">
        <w:t xml:space="preserve">) </w:t>
      </w:r>
      <w:r w:rsidR="00331AD0">
        <w:t>available to all readers</w:t>
      </w:r>
      <w:r w:rsidR="009960C1">
        <w:t xml:space="preserve">. </w:t>
      </w:r>
      <w:r w:rsidR="003841CD">
        <w:t xml:space="preserve">Reading order </w:t>
      </w:r>
      <w:r w:rsidR="00136FE5">
        <w:t>was standardized</w:t>
      </w:r>
      <w:r w:rsidR="00E265CE">
        <w:t xml:space="preserve"> (</w:t>
      </w:r>
      <w:r w:rsidR="00176980">
        <w:t>s2DM</w:t>
      </w:r>
      <w:r w:rsidR="00E265CE">
        <w:t xml:space="preserve"> image then DBT 10mm slabs then DBT 1mm slices in CC and MLO views)</w:t>
      </w:r>
      <w:r w:rsidR="00136FE5">
        <w:t>.</w:t>
      </w:r>
      <w:r w:rsidR="00BE30E3">
        <w:t xml:space="preserve"> </w:t>
      </w:r>
    </w:p>
    <w:p w14:paraId="7F478EF2" w14:textId="77777777" w:rsidR="00D05C0E" w:rsidRDefault="00D575C7" w:rsidP="00331AD0">
      <w:pPr>
        <w:pStyle w:val="BodyText"/>
      </w:pPr>
      <w:r>
        <w:t xml:space="preserve">A total of 182 cancers were detected. </w:t>
      </w:r>
      <w:r w:rsidR="00331AD0">
        <w:t xml:space="preserve">The </w:t>
      </w:r>
      <w:r w:rsidR="00815FC2">
        <w:t>To-Be-1</w:t>
      </w:r>
      <w:r w:rsidR="00331AD0">
        <w:t xml:space="preserve"> RCT </w:t>
      </w:r>
      <w:r w:rsidR="00623971">
        <w:t xml:space="preserve">reported different results from </w:t>
      </w:r>
      <w:r w:rsidR="00CE06D7">
        <w:t xml:space="preserve">previous paired studies, </w:t>
      </w:r>
      <w:r w:rsidR="00BE30E3">
        <w:t xml:space="preserve">almost all of </w:t>
      </w:r>
      <w:r w:rsidR="00CE06D7">
        <w:t>which reported incremental increases in CDR</w:t>
      </w:r>
      <w:r w:rsidR="005A6858">
        <w:t xml:space="preserve"> </w:t>
      </w:r>
      <w:r w:rsidR="00BE30E3">
        <w:t>(</w:t>
      </w:r>
      <w:r w:rsidR="00CE06D7">
        <w:t>two to three additional cancers</w:t>
      </w:r>
      <w:r w:rsidR="00BE30E3">
        <w:t xml:space="preserve"> per 1000 screening examinations)</w:t>
      </w:r>
      <w:r w:rsidR="00CE06D7">
        <w:t xml:space="preserve">. </w:t>
      </w:r>
    </w:p>
    <w:p w14:paraId="3ED77932" w14:textId="7743DF6F" w:rsidR="00AB5A2F" w:rsidRDefault="00CE06D7" w:rsidP="00331AD0">
      <w:pPr>
        <w:pStyle w:val="BodyText"/>
      </w:pPr>
      <w:r>
        <w:t>H</w:t>
      </w:r>
      <w:r w:rsidR="00623971">
        <w:t>ofvind et al. (201</w:t>
      </w:r>
      <w:r w:rsidR="00BE30E3">
        <w:t>9</w:t>
      </w:r>
      <w:r w:rsidR="00623971">
        <w:t>) found no statistically significant difference in overall CDR between the two study arms</w:t>
      </w:r>
      <w:r w:rsidR="00AB5A2F">
        <w:t>:</w:t>
      </w:r>
    </w:p>
    <w:p w14:paraId="2EAB4566" w14:textId="4AC0F007" w:rsidR="00D05DC6" w:rsidRDefault="00D575C7" w:rsidP="00D05DC6">
      <w:pPr>
        <w:pStyle w:val="Quote"/>
      </w:pPr>
      <w:r>
        <w:t>CDR for DBT+</w:t>
      </w:r>
      <w:r w:rsidR="00176980">
        <w:t>s2DM</w:t>
      </w:r>
      <w:r w:rsidR="00D05DC6">
        <w:t>:</w:t>
      </w:r>
      <w:r>
        <w:t xml:space="preserve"> 6.6 cancers detected per 1000 women screened </w:t>
      </w:r>
    </w:p>
    <w:p w14:paraId="4AB6DA09" w14:textId="096262DA" w:rsidR="00AB5A2F" w:rsidRDefault="00D05DC6" w:rsidP="00D05DC6">
      <w:pPr>
        <w:pStyle w:val="Quote"/>
      </w:pPr>
      <w:r>
        <w:t xml:space="preserve">CDR for FFDM: </w:t>
      </w:r>
      <w:r w:rsidR="00E91156">
        <w:t>6.1</w:t>
      </w:r>
      <w:r w:rsidR="00D575C7">
        <w:t xml:space="preserve"> per 1000 women screened</w:t>
      </w:r>
      <w:r w:rsidR="00645C4F">
        <w:t xml:space="preserve"> (RR=1.09; 95%CI: 0.82</w:t>
      </w:r>
      <w:r w:rsidR="004F6A90">
        <w:t xml:space="preserve">, </w:t>
      </w:r>
      <w:r w:rsidR="00645C4F">
        <w:t>1.46, p</w:t>
      </w:r>
      <w:r w:rsidR="00645C4F" w:rsidRPr="00645C4F">
        <w:t>=.56</w:t>
      </w:r>
      <w:r w:rsidR="00645C4F">
        <w:t>)</w:t>
      </w:r>
      <w:r w:rsidR="00C77C09">
        <w:t xml:space="preserve">. </w:t>
      </w:r>
    </w:p>
    <w:p w14:paraId="52560D7F" w14:textId="1A173E20" w:rsidR="00CE06D7" w:rsidRDefault="00645C4F" w:rsidP="00AB5A2F">
      <w:pPr>
        <w:pStyle w:val="BodyText"/>
      </w:pPr>
      <w:r>
        <w:t xml:space="preserve">Information about type of cancer detected in this RCT are discussed in </w:t>
      </w:r>
      <w:r>
        <w:rPr>
          <w:i/>
          <w:iCs/>
        </w:rPr>
        <w:t xml:space="preserve">section </w:t>
      </w:r>
      <w:r w:rsidR="00AB5A2F">
        <w:rPr>
          <w:i/>
          <w:iCs/>
        </w:rPr>
        <w:t>3.2</w:t>
      </w:r>
      <w:r>
        <w:t>.</w:t>
      </w:r>
      <w:r w:rsidR="00C77C09">
        <w:t xml:space="preserve"> </w:t>
      </w:r>
    </w:p>
    <w:p w14:paraId="5CB7CCAF" w14:textId="09FF19C3" w:rsidR="000D06FA" w:rsidRDefault="00E265CE" w:rsidP="00331AD0">
      <w:pPr>
        <w:pStyle w:val="BodyText"/>
      </w:pPr>
      <w:r>
        <w:t>The results for the FFDM imaging are consistent with other results reported for studies set in population-based screening programs; however, the CDR results for DBT+</w:t>
      </w:r>
      <w:r w:rsidR="00176980">
        <w:t>s2DM</w:t>
      </w:r>
      <w:r>
        <w:t xml:space="preserve"> are much lower than what has been reported in the double-read, biennial programs. </w:t>
      </w:r>
      <w:r w:rsidR="00C77C09">
        <w:t xml:space="preserve">Given that the results of this RCT </w:t>
      </w:r>
      <w:r w:rsidR="001D3A23">
        <w:t>we</w:t>
      </w:r>
      <w:r w:rsidR="00C77C09">
        <w:t xml:space="preserve">re inconsistent with </w:t>
      </w:r>
      <w:r w:rsidR="00CE06D7">
        <w:t xml:space="preserve">almost all </w:t>
      </w:r>
      <w:r w:rsidR="00C77C09">
        <w:t>previous study results</w:t>
      </w:r>
      <w:r w:rsidR="00CE06D7">
        <w:t xml:space="preserve"> on CDR</w:t>
      </w:r>
      <w:r w:rsidR="001D3A23">
        <w:t xml:space="preserve"> (including the paired studies)</w:t>
      </w:r>
      <w:r w:rsidR="00C77C09">
        <w:t xml:space="preserve">, Hofvind et al. </w:t>
      </w:r>
      <w:r w:rsidR="005A6858">
        <w:t xml:space="preserve">(2019) </w:t>
      </w:r>
      <w:r w:rsidR="00CE06D7">
        <w:t>and Zackrisson (2019) commented</w:t>
      </w:r>
      <w:r w:rsidR="00C77C09">
        <w:t xml:space="preserve"> on possible reasons</w:t>
      </w:r>
      <w:r w:rsidR="00CE06D7">
        <w:t xml:space="preserve"> for this result.</w:t>
      </w:r>
      <w:r w:rsidR="001D3A23">
        <w:t xml:space="preserve"> Hofvind et al. noted that a </w:t>
      </w:r>
      <w:r w:rsidR="00C77C09">
        <w:t>lower radiation dose used (</w:t>
      </w:r>
      <w:r w:rsidR="001D3A23">
        <w:t>mean glandular dose of 2.96mGy</w:t>
      </w:r>
      <w:r w:rsidR="003841CD">
        <w:t>)</w:t>
      </w:r>
      <w:r w:rsidR="00C77C09">
        <w:t xml:space="preserve"> may have affected adversely image quality on the DBT+</w:t>
      </w:r>
      <w:r w:rsidR="00176980">
        <w:t>s2DM</w:t>
      </w:r>
      <w:r w:rsidR="00C77C09">
        <w:t xml:space="preserve"> imaging</w:t>
      </w:r>
      <w:r w:rsidR="008A6F0B">
        <w:t xml:space="preserve"> (although this is a higher MGD compared to the MGD reported in other studies using DBT+</w:t>
      </w:r>
      <w:r w:rsidR="00176980">
        <w:t>s2DM</w:t>
      </w:r>
      <w:r w:rsidR="008A6F0B">
        <w:t>)</w:t>
      </w:r>
      <w:r w:rsidR="000D06FA">
        <w:t xml:space="preserve">. Other possible reasons for the difference in CDR (and other) results </w:t>
      </w:r>
      <w:r w:rsidR="003841CD">
        <w:t>proposed by Hofvind et al.</w:t>
      </w:r>
      <w:r w:rsidR="005A6858">
        <w:t xml:space="preserve"> (2019)</w:t>
      </w:r>
      <w:r w:rsidR="003841CD">
        <w:t xml:space="preserve"> </w:t>
      </w:r>
      <w:r w:rsidR="000D06FA">
        <w:t>included:</w:t>
      </w:r>
    </w:p>
    <w:p w14:paraId="45432AE3" w14:textId="4160608D" w:rsidR="000D06FA" w:rsidRDefault="00861534" w:rsidP="000D06FA">
      <w:pPr>
        <w:pStyle w:val="List-BulletLvl1"/>
      </w:pPr>
      <w:r>
        <w:t xml:space="preserve">reader training </w:t>
      </w:r>
      <w:r w:rsidR="000D06FA">
        <w:t>(DBT+</w:t>
      </w:r>
      <w:r w:rsidR="00176980">
        <w:t>s2DM</w:t>
      </w:r>
      <w:r w:rsidR="000D06FA">
        <w:t xml:space="preserve"> was a novel technique for some readers at the start of this RCT but no information on sensitivity by reader was provided</w:t>
      </w:r>
      <w:r w:rsidR="0022347A">
        <w:t xml:space="preserve"> and a learning effect was noted through a</w:t>
      </w:r>
      <w:r w:rsidR="00386DD1">
        <w:t>n</w:t>
      </w:r>
      <w:r w:rsidR="0022347A">
        <w:t xml:space="preserve"> increase in consensus</w:t>
      </w:r>
      <w:r w:rsidR="00386DD1">
        <w:t xml:space="preserve"> between readers over time with DB</w:t>
      </w:r>
      <w:r w:rsidR="003841CD">
        <w:t>T</w:t>
      </w:r>
      <w:r w:rsidR="00386DD1">
        <w:t>+</w:t>
      </w:r>
      <w:r w:rsidR="00176980">
        <w:t>s2DM</w:t>
      </w:r>
      <w:r w:rsidR="003841CD">
        <w:t xml:space="preserve">: presumably in other studies readers would have had a similar learning curve, see </w:t>
      </w:r>
      <w:r w:rsidR="003841CD" w:rsidRPr="003841CD">
        <w:rPr>
          <w:i/>
          <w:iCs/>
        </w:rPr>
        <w:t xml:space="preserve">section </w:t>
      </w:r>
      <w:r w:rsidR="00E45406">
        <w:rPr>
          <w:i/>
          <w:iCs/>
        </w:rPr>
        <w:t>4.2</w:t>
      </w:r>
      <w:r w:rsidR="000D06FA">
        <w:t>)</w:t>
      </w:r>
    </w:p>
    <w:p w14:paraId="170BDB3B" w14:textId="2D24D58B" w:rsidR="00136FE5" w:rsidRDefault="00861534" w:rsidP="000D06FA">
      <w:pPr>
        <w:pStyle w:val="List-BulletLvl1"/>
      </w:pPr>
      <w:r>
        <w:t xml:space="preserve">the availability of </w:t>
      </w:r>
      <w:r w:rsidR="00E265CE">
        <w:t xml:space="preserve">all </w:t>
      </w:r>
      <w:r>
        <w:t xml:space="preserve">prior mammograms in the </w:t>
      </w:r>
      <w:r w:rsidR="00815FC2">
        <w:t>To-Be-1</w:t>
      </w:r>
      <w:r>
        <w:t xml:space="preserve"> study (which may not have been available in all previous studies</w:t>
      </w:r>
      <w:r w:rsidR="00033F29">
        <w:t xml:space="preserve"> or which are not available for women attending for a prevalent screen</w:t>
      </w:r>
      <w:r>
        <w:t>)</w:t>
      </w:r>
      <w:r w:rsidR="00386DD1">
        <w:t>, which may have influenced readers’ decisions</w:t>
      </w:r>
      <w:r w:rsidR="00033F29">
        <w:t xml:space="preserve"> on FFDM</w:t>
      </w:r>
    </w:p>
    <w:p w14:paraId="6B98EEDC" w14:textId="06CBFA47" w:rsidR="00386DD1" w:rsidRDefault="0059033D" w:rsidP="000D06FA">
      <w:pPr>
        <w:pStyle w:val="List-BulletLvl1"/>
      </w:pPr>
      <w:r>
        <w:t xml:space="preserve">the potential influence of the reading protocol: </w:t>
      </w:r>
      <w:r w:rsidR="00136FE5">
        <w:t xml:space="preserve">reading of </w:t>
      </w:r>
      <w:r w:rsidR="00176980">
        <w:t>s2DM</w:t>
      </w:r>
      <w:r w:rsidR="00136FE5">
        <w:t xml:space="preserve"> images first or reviewing DBT slabs </w:t>
      </w:r>
      <w:r w:rsidR="00E265CE">
        <w:t>before</w:t>
      </w:r>
      <w:r w:rsidR="00136FE5">
        <w:t xml:space="preserve"> slices may have decreased sensitivity if potentially suspicious areas were not identified during slabbing </w:t>
      </w:r>
      <w:r w:rsidR="00E265CE">
        <w:t xml:space="preserve">and readers looked through the slices more quickly </w:t>
      </w:r>
      <w:r w:rsidR="00136FE5">
        <w:t>(Zackrisson, 2019)</w:t>
      </w:r>
      <w:r w:rsidR="00386DD1">
        <w:t xml:space="preserve">, </w:t>
      </w:r>
      <w:r w:rsidR="00136FE5">
        <w:t>or</w:t>
      </w:r>
    </w:p>
    <w:p w14:paraId="2273DF96" w14:textId="7EB7AA71" w:rsidR="00623971" w:rsidRDefault="00386DD1" w:rsidP="000D06FA">
      <w:pPr>
        <w:pStyle w:val="List-BulletLvl1"/>
      </w:pPr>
      <w:r>
        <w:t>another underlying study effect such as machinery used (</w:t>
      </w:r>
      <w:r w:rsidR="003841CD">
        <w:t>i.e., the machines were first generation</w:t>
      </w:r>
      <w:r w:rsidR="000B6706">
        <w:t xml:space="preserve"> GE units</w:t>
      </w:r>
      <w:r w:rsidR="00136FE5">
        <w:t>)</w:t>
      </w:r>
      <w:r w:rsidR="003841CD">
        <w:t xml:space="preserve"> </w:t>
      </w:r>
      <w:r>
        <w:t>or the underpowering of the study (</w:t>
      </w:r>
      <w:r w:rsidR="00136FE5">
        <w:t xml:space="preserve">Hofvind et al. </w:t>
      </w:r>
      <w:r>
        <w:t xml:space="preserve">noted that a </w:t>
      </w:r>
      <w:r w:rsidR="000B6706">
        <w:t xml:space="preserve">multi-centre </w:t>
      </w:r>
      <w:r>
        <w:t>sample of 400,000 women was needed in order to detect statistically significant differences)</w:t>
      </w:r>
      <w:r w:rsidR="00C77C09">
        <w:t>.</w:t>
      </w:r>
    </w:p>
    <w:p w14:paraId="26F55237" w14:textId="5CAB13F2" w:rsidR="00386DD1" w:rsidRPr="00645C4F" w:rsidRDefault="008652CD" w:rsidP="00386DD1">
      <w:pPr>
        <w:pStyle w:val="BodyText"/>
      </w:pPr>
      <w:r>
        <w:t>No information was provided about differences in CDR by prevalent/incident screening round</w:t>
      </w:r>
      <w:r w:rsidR="00136FE5">
        <w:t xml:space="preserve"> (and therefore the availability of prior mammogram images)</w:t>
      </w:r>
      <w:r>
        <w:t xml:space="preserve">. </w:t>
      </w:r>
      <w:r w:rsidR="00386DD1">
        <w:t>Given the study was underpowered, the results require careful interpretation</w:t>
      </w:r>
      <w:r w:rsidR="0088545A">
        <w:t xml:space="preserve">. </w:t>
      </w:r>
      <w:r w:rsidR="001626BA">
        <w:t xml:space="preserve">We conclude that </w:t>
      </w:r>
      <w:r w:rsidR="0088545A">
        <w:t>DBT+</w:t>
      </w:r>
      <w:r w:rsidR="00176980">
        <w:t>s2DM</w:t>
      </w:r>
      <w:r w:rsidR="0088545A">
        <w:t xml:space="preserve"> was as safe as FFDM but </w:t>
      </w:r>
      <w:r w:rsidR="001626BA">
        <w:t xml:space="preserve">Hofvind et al.’s </w:t>
      </w:r>
      <w:r w:rsidR="00136FE5">
        <w:t xml:space="preserve">results suggest that it </w:t>
      </w:r>
      <w:r w:rsidR="0088545A">
        <w:t>may not be a superior screening test</w:t>
      </w:r>
      <w:r w:rsidR="001626BA">
        <w:t>. F</w:t>
      </w:r>
      <w:r w:rsidR="00386DD1">
        <w:t xml:space="preserve">urther large RCTs are needed to confirm whether the CDR results presented in the </w:t>
      </w:r>
      <w:r w:rsidR="00815FC2">
        <w:t>To-Be-1</w:t>
      </w:r>
      <w:r w:rsidR="00386DD1">
        <w:t xml:space="preserve"> RCT can be replicated.</w:t>
      </w:r>
      <w:r>
        <w:t xml:space="preserve"> </w:t>
      </w:r>
    </w:p>
    <w:p w14:paraId="29E284A8" w14:textId="1DB72BE5" w:rsidR="00623971" w:rsidRPr="00F23A05" w:rsidRDefault="00D05C0E" w:rsidP="00F23A05">
      <w:pPr>
        <w:pStyle w:val="BodyText-GREEN"/>
        <w:rPr>
          <w:b/>
          <w:bCs/>
        </w:rPr>
      </w:pPr>
      <w:r>
        <w:br w:type="page"/>
      </w:r>
      <w:r w:rsidR="00623971" w:rsidRPr="00F23A05">
        <w:rPr>
          <w:b/>
          <w:bCs/>
        </w:rPr>
        <w:lastRenderedPageBreak/>
        <w:t>Prospective studies embedded in population-based screening programs</w:t>
      </w:r>
    </w:p>
    <w:p w14:paraId="44CE2BE7" w14:textId="037CE838" w:rsidR="002B1282" w:rsidRDefault="00273248" w:rsidP="001426BF">
      <w:pPr>
        <w:pStyle w:val="BodyText"/>
      </w:pPr>
      <w:r>
        <w:t>Since December 2017, the following pilot evaluations and trials comparing DBT+</w:t>
      </w:r>
      <w:r w:rsidR="00176980">
        <w:t>s2DM</w:t>
      </w:r>
      <w:r>
        <w:t xml:space="preserve"> to FFDM have been completed: </w:t>
      </w:r>
    </w:p>
    <w:p w14:paraId="3BE5E252" w14:textId="4FEAC97D" w:rsidR="002B1282" w:rsidRDefault="00273248" w:rsidP="002B1282">
      <w:pPr>
        <w:pStyle w:val="List-BulletLvl1"/>
      </w:pPr>
      <w:r>
        <w:t>Maroondah</w:t>
      </w:r>
      <w:r w:rsidR="000E20A7">
        <w:t xml:space="preserve"> (Australia)</w:t>
      </w:r>
      <w:r w:rsidR="002B1282">
        <w:t xml:space="preserve"> (Houssami et al., 2019)</w:t>
      </w:r>
    </w:p>
    <w:p w14:paraId="7D40985F" w14:textId="181B6652" w:rsidR="00B67CC4" w:rsidRDefault="00B67CC4" w:rsidP="002B1282">
      <w:pPr>
        <w:pStyle w:val="List-BulletLvl1"/>
      </w:pPr>
      <w:r>
        <w:t>OTS (Norway) (Skaane et al., 2019)</w:t>
      </w:r>
    </w:p>
    <w:p w14:paraId="3ABE1237" w14:textId="721987DD" w:rsidR="002B1282" w:rsidRDefault="002B1282" w:rsidP="002B1282">
      <w:pPr>
        <w:pStyle w:val="List-BulletLvl1"/>
      </w:pPr>
      <w:r>
        <w:t xml:space="preserve">Trento (Italy) (Bernardi et al., 2019) </w:t>
      </w:r>
    </w:p>
    <w:p w14:paraId="7123A906" w14:textId="77777777" w:rsidR="002B1282" w:rsidRDefault="002B1282" w:rsidP="002B1282">
      <w:pPr>
        <w:pStyle w:val="List-BulletLvl1"/>
      </w:pPr>
      <w:r>
        <w:t>Cordoba (Spain) (Romero Martín et al., 2018)</w:t>
      </w:r>
    </w:p>
    <w:p w14:paraId="7D65CAA9" w14:textId="663645B5" w:rsidR="002B1282" w:rsidRDefault="009D1E3F" w:rsidP="002B1282">
      <w:pPr>
        <w:pStyle w:val="List-BulletLvl1"/>
      </w:pPr>
      <w:r>
        <w:t xml:space="preserve">A three-centre prospective cohort study in the </w:t>
      </w:r>
      <w:r w:rsidR="002B1282">
        <w:t>Norway</w:t>
      </w:r>
      <w:r>
        <w:t xml:space="preserve"> BreastScreen Program </w:t>
      </w:r>
      <w:r w:rsidR="002B1282">
        <w:t>(Hofvind et al., 2018), and</w:t>
      </w:r>
    </w:p>
    <w:p w14:paraId="60CCC086" w14:textId="7DB6A6AC" w:rsidR="002B1282" w:rsidRDefault="00273248" w:rsidP="002B1282">
      <w:pPr>
        <w:pStyle w:val="List-BulletLvl1"/>
      </w:pPr>
      <w:r>
        <w:t>Verona</w:t>
      </w:r>
      <w:r w:rsidR="000E20A7">
        <w:t xml:space="preserve"> (Italy)</w:t>
      </w:r>
      <w:r w:rsidR="002B1282" w:rsidRPr="002B1282">
        <w:t xml:space="preserve"> </w:t>
      </w:r>
      <w:r w:rsidR="002B1282">
        <w:t>(Caumo et al., 2018)</w:t>
      </w:r>
      <w:r>
        <w:t xml:space="preserve">. </w:t>
      </w:r>
    </w:p>
    <w:p w14:paraId="55BD0181" w14:textId="1FD34A60" w:rsidR="001426BF" w:rsidRDefault="005E1803" w:rsidP="001426BF">
      <w:pPr>
        <w:pStyle w:val="BodyText"/>
      </w:pPr>
      <w:r>
        <w:t xml:space="preserve">Results </w:t>
      </w:r>
      <w:r w:rsidR="00C7354C">
        <w:t xml:space="preserve">from </w:t>
      </w:r>
      <w:r w:rsidR="00273248">
        <w:t xml:space="preserve">these </w:t>
      </w:r>
      <w:r w:rsidR="00C7354C">
        <w:t xml:space="preserve">prospective studies embedded in screening programs </w:t>
      </w:r>
      <w:r w:rsidR="00136FE5">
        <w:t xml:space="preserve">consistently </w:t>
      </w:r>
      <w:r w:rsidR="00344B87">
        <w:t>demonstrate</w:t>
      </w:r>
      <w:r w:rsidR="00C7354C">
        <w:t>d</w:t>
      </w:r>
      <w:r w:rsidR="00344B87">
        <w:t xml:space="preserve"> </w:t>
      </w:r>
      <w:r>
        <w:t xml:space="preserve">increased CDR for the DBT imaging protocol, which </w:t>
      </w:r>
      <w:r w:rsidR="00136FE5">
        <w:t xml:space="preserve">aligns </w:t>
      </w:r>
      <w:r>
        <w:t>with earlier findings</w:t>
      </w:r>
      <w:r w:rsidR="0088545A">
        <w:t xml:space="preserve"> but </w:t>
      </w:r>
      <w:r w:rsidR="00E265CE">
        <w:t xml:space="preserve">are </w:t>
      </w:r>
      <w:r w:rsidR="0088545A">
        <w:t xml:space="preserve">not consistent with </w:t>
      </w:r>
      <w:r w:rsidR="00815FC2">
        <w:t>To-Be-1</w:t>
      </w:r>
      <w:r w:rsidR="0088545A">
        <w:t xml:space="preserve"> RCT</w:t>
      </w:r>
      <w:r w:rsidR="000E20A7">
        <w:t xml:space="preserve"> data</w:t>
      </w:r>
      <w:r w:rsidR="002B1282">
        <w:t>.</w:t>
      </w:r>
      <w:r w:rsidR="00B03764">
        <w:t xml:space="preserve"> </w:t>
      </w:r>
      <w:r w:rsidR="000E20A7">
        <w:t>Effect estimates varied</w:t>
      </w:r>
      <w:r w:rsidR="00077E3D">
        <w:t xml:space="preserve"> from 8.67 to 9.8 cancers detected per 1000 screening exam</w:t>
      </w:r>
      <w:r w:rsidR="00C25BD1">
        <w:t>ination</w:t>
      </w:r>
      <w:r w:rsidR="00077E3D">
        <w:t>s with DBT+</w:t>
      </w:r>
      <w:r w:rsidR="00176980">
        <w:t>s2DM</w:t>
      </w:r>
      <w:r w:rsidR="00077E3D">
        <w:t xml:space="preserve"> compared to 5.41 to 6.6 cancers detected per 1000 screening exam</w:t>
      </w:r>
      <w:r w:rsidR="00C25BD1">
        <w:t>ination</w:t>
      </w:r>
      <w:r w:rsidR="00077E3D">
        <w:t>s with FFDM</w:t>
      </w:r>
      <w:r w:rsidR="000E20A7">
        <w:t>.</w:t>
      </w:r>
      <w:r w:rsidR="001426BF">
        <w:t xml:space="preserve"> </w:t>
      </w:r>
      <w:r w:rsidR="00040386">
        <w:t xml:space="preserve">Below are short summaries of the key study methodologies and findings from CDR. </w:t>
      </w:r>
      <w:r w:rsidR="00126857">
        <w:t>Each of these studies also described cancer type</w:t>
      </w:r>
      <w:r w:rsidR="00B52146">
        <w:t xml:space="preserve"> (invasive/DCIS)</w:t>
      </w:r>
      <w:r w:rsidR="00126857">
        <w:t xml:space="preserve"> and characteristics, which are discussed in </w:t>
      </w:r>
      <w:r w:rsidR="00126857">
        <w:rPr>
          <w:i/>
          <w:iCs/>
        </w:rPr>
        <w:t xml:space="preserve">section </w:t>
      </w:r>
      <w:r w:rsidR="002B1282">
        <w:rPr>
          <w:i/>
          <w:iCs/>
        </w:rPr>
        <w:t>3.2</w:t>
      </w:r>
      <w:r w:rsidR="00126857">
        <w:t xml:space="preserve">. </w:t>
      </w:r>
    </w:p>
    <w:p w14:paraId="291A4577" w14:textId="44B1F6C9" w:rsidR="00F43E91" w:rsidRDefault="00126857" w:rsidP="00126857">
      <w:pPr>
        <w:pStyle w:val="BodyText"/>
      </w:pPr>
      <w:r>
        <w:t>The Maroondah pilot trial (Houssami et al., 2019) provide</w:t>
      </w:r>
      <w:r w:rsidR="000E20A7">
        <w:t>d</w:t>
      </w:r>
      <w:r w:rsidR="00040386">
        <w:t xml:space="preserve"> the first</w:t>
      </w:r>
      <w:r>
        <w:t xml:space="preserve"> Australia-specific evidence regarding the use of DBT+</w:t>
      </w:r>
      <w:r w:rsidR="00176980">
        <w:t>s2DM</w:t>
      </w:r>
      <w:r>
        <w:t xml:space="preserve"> in the </w:t>
      </w:r>
      <w:r w:rsidR="00040386">
        <w:t>BSA</w:t>
      </w:r>
      <w:r>
        <w:t xml:space="preserve"> program. This pilot study, undertaken in the Maroondah BreastScreen service, included 10</w:t>
      </w:r>
      <w:r w:rsidR="000E20A7">
        <w:t>,</w:t>
      </w:r>
      <w:r>
        <w:t>146 women attending for screening: 4993 women had DBT+</w:t>
      </w:r>
      <w:r w:rsidR="00176980">
        <w:t>s2DM</w:t>
      </w:r>
      <w:r>
        <w:t>; 5153 women received screening with FFDM. Study participants were assigned to be screened by DBT+</w:t>
      </w:r>
      <w:r w:rsidR="00176980">
        <w:t>s2DM</w:t>
      </w:r>
      <w:r>
        <w:t xml:space="preserve"> or FFDM based on machine availability and booking schedule. A small number of study participants (n=38) attended for annual screening, all other women </w:t>
      </w:r>
      <w:r w:rsidR="000E20A7">
        <w:t xml:space="preserve">attended </w:t>
      </w:r>
      <w:r>
        <w:t xml:space="preserve">for biennial screening. </w:t>
      </w:r>
      <w:r w:rsidR="000E20A7">
        <w:t>M</w:t>
      </w:r>
      <w:r>
        <w:t>ore women attending for their first breast screen were screened with DBT+</w:t>
      </w:r>
      <w:r w:rsidR="00176980">
        <w:t>s2DM</w:t>
      </w:r>
      <w:r>
        <w:t xml:space="preserve"> (19.5%) compared to FFDM alone (6.8%). Women screened with DBT+</w:t>
      </w:r>
      <w:r w:rsidR="00176980">
        <w:t>s2DM</w:t>
      </w:r>
      <w:r>
        <w:t xml:space="preserve"> were also younger (58.0 years compared to 62.3 years). All images were double-read in line with the BSA National Accreditation Standards, with arbitration by a third reader in cases of disagreement between the first two readers. In the Maroondah trial, </w:t>
      </w:r>
      <w:r w:rsidR="000E20A7">
        <w:t>49 cancers were detected. DBT+</w:t>
      </w:r>
      <w:r w:rsidR="00176980">
        <w:t>s2DM</w:t>
      </w:r>
      <w:r w:rsidR="000E20A7">
        <w:t xml:space="preserve"> detected more cancers than FFDM: </w:t>
      </w:r>
    </w:p>
    <w:p w14:paraId="3571A60E" w14:textId="360EF1D0" w:rsidR="00F43E91" w:rsidRPr="00F43E91" w:rsidRDefault="00F43E91" w:rsidP="00F43E91">
      <w:pPr>
        <w:pStyle w:val="List-BulletLvl1"/>
        <w:rPr>
          <w:i/>
          <w:iCs/>
        </w:rPr>
      </w:pPr>
      <w:r>
        <w:t>DBT+</w:t>
      </w:r>
      <w:r w:rsidR="00176980">
        <w:t>s2DM</w:t>
      </w:r>
      <w:r>
        <w:t xml:space="preserve">: </w:t>
      </w:r>
      <w:r w:rsidR="00126857">
        <w:t>9.8</w:t>
      </w:r>
      <w:r>
        <w:t xml:space="preserve"> cancers per 1000 screening examinations</w:t>
      </w:r>
      <w:r w:rsidR="00126857">
        <w:t xml:space="preserve"> (95%CI: 7.2</w:t>
      </w:r>
      <w:r w:rsidR="004F6A90">
        <w:t xml:space="preserve">, </w:t>
      </w:r>
      <w:r w:rsidR="00126857">
        <w:t>13</w:t>
      </w:r>
      <w:r>
        <w:t>)</w:t>
      </w:r>
    </w:p>
    <w:p w14:paraId="6E62FF71" w14:textId="7E853016" w:rsidR="00F43E91" w:rsidRPr="00F43E91" w:rsidRDefault="00F43E91" w:rsidP="00F43E91">
      <w:pPr>
        <w:pStyle w:val="List-BulletLvl1"/>
        <w:rPr>
          <w:i/>
          <w:iCs/>
        </w:rPr>
      </w:pPr>
      <w:r>
        <w:t xml:space="preserve">FFDM: </w:t>
      </w:r>
      <w:r w:rsidR="00126857">
        <w:t>6.6 cancers per 1000 screen</w:t>
      </w:r>
      <w:r>
        <w:t>ing examinations</w:t>
      </w:r>
      <w:r w:rsidR="00126857">
        <w:t xml:space="preserve"> (</w:t>
      </w:r>
      <w:r>
        <w:t xml:space="preserve">95%CI: </w:t>
      </w:r>
      <w:r w:rsidR="00126857">
        <w:t>4.6</w:t>
      </w:r>
      <w:r w:rsidR="004F6A90">
        <w:t xml:space="preserve">, </w:t>
      </w:r>
      <w:r w:rsidR="00126857">
        <w:t>9.2</w:t>
      </w:r>
      <w:r>
        <w:t>), and</w:t>
      </w:r>
    </w:p>
    <w:p w14:paraId="2665EDC1" w14:textId="487DEDC0" w:rsidR="00F43E91" w:rsidRPr="00F43E91" w:rsidRDefault="00F43E91" w:rsidP="00F43E91">
      <w:pPr>
        <w:pStyle w:val="List-BulletLvl1"/>
        <w:rPr>
          <w:i/>
          <w:iCs/>
        </w:rPr>
      </w:pPr>
      <w:r>
        <w:t>E</w:t>
      </w:r>
      <w:r w:rsidR="000E20A7">
        <w:t>stimated difference in CDR</w:t>
      </w:r>
      <w:r>
        <w:t xml:space="preserve">: </w:t>
      </w:r>
      <w:r w:rsidR="000E20A7">
        <w:t xml:space="preserve">3.2 </w:t>
      </w:r>
      <w:r>
        <w:t>more cancers with DBT+</w:t>
      </w:r>
      <w:r w:rsidR="00176980">
        <w:t>s2DM</w:t>
      </w:r>
      <w:r>
        <w:t xml:space="preserve"> </w:t>
      </w:r>
      <w:r w:rsidR="000E20A7">
        <w:t>(95%CI:-.32</w:t>
      </w:r>
      <w:r w:rsidR="004F6A90">
        <w:t xml:space="preserve">, </w:t>
      </w:r>
      <w:r w:rsidR="000E20A7">
        <w:t xml:space="preserve">6.8). </w:t>
      </w:r>
    </w:p>
    <w:p w14:paraId="2C765DE3" w14:textId="5DC33F72" w:rsidR="00126857" w:rsidRPr="004152FC" w:rsidRDefault="000E20A7" w:rsidP="00F43E91">
      <w:pPr>
        <w:pStyle w:val="BodyText"/>
        <w:rPr>
          <w:i/>
          <w:iCs/>
        </w:rPr>
      </w:pPr>
      <w:r>
        <w:t>No statistical testing was completed (i.e., it is a</w:t>
      </w:r>
      <w:r w:rsidR="00077E3D">
        <w:t>n</w:t>
      </w:r>
      <w:r>
        <w:t xml:space="preserve"> estimate only).</w:t>
      </w:r>
    </w:p>
    <w:p w14:paraId="193C5CA6" w14:textId="3CD87747" w:rsidR="00F97E15" w:rsidRPr="00D025D1" w:rsidRDefault="00821BA3" w:rsidP="00821BA3">
      <w:pPr>
        <w:pStyle w:val="BodyText"/>
      </w:pPr>
      <w:r>
        <w:t xml:space="preserve">Both the Trento and Verona Screening Programs were STORM </w:t>
      </w:r>
      <w:r w:rsidR="00223D38">
        <w:t xml:space="preserve">trial </w:t>
      </w:r>
      <w:r>
        <w:t xml:space="preserve">sites. Following the completion of </w:t>
      </w:r>
      <w:r w:rsidR="00B944CC">
        <w:t>STORM</w:t>
      </w:r>
      <w:r>
        <w:t xml:space="preserve">, both </w:t>
      </w:r>
      <w:r w:rsidR="00B944CC">
        <w:t>screening p</w:t>
      </w:r>
      <w:r>
        <w:t xml:space="preserve">rograms </w:t>
      </w:r>
      <w:r w:rsidR="00F97E15">
        <w:t xml:space="preserve">adopted DBT as </w:t>
      </w:r>
      <w:r>
        <w:t xml:space="preserve">the </w:t>
      </w:r>
      <w:r w:rsidR="00F97E15">
        <w:t xml:space="preserve">screening test and evaluated </w:t>
      </w:r>
      <w:r w:rsidR="00B944CC">
        <w:t xml:space="preserve">its </w:t>
      </w:r>
      <w:r w:rsidR="00F97E15">
        <w:t>implementation in pilot evaluation</w:t>
      </w:r>
      <w:r>
        <w:t>s</w:t>
      </w:r>
      <w:r w:rsidR="00B944CC">
        <w:t xml:space="preserve"> by comparing results to historical cohorts</w:t>
      </w:r>
      <w:r w:rsidR="00F97E15">
        <w:t xml:space="preserve"> (Bernardi et al., 2019</w:t>
      </w:r>
      <w:r>
        <w:t>; Caumo et al., 2018</w:t>
      </w:r>
      <w:r w:rsidR="00F97E15">
        <w:t xml:space="preserve">). In </w:t>
      </w:r>
      <w:r>
        <w:t xml:space="preserve">the Trento </w:t>
      </w:r>
      <w:r w:rsidR="00F97E15">
        <w:t>study, women aged over 50 years participating in screening from 15</w:t>
      </w:r>
      <w:r>
        <w:t xml:space="preserve"> October 20</w:t>
      </w:r>
      <w:r w:rsidR="00F97E15">
        <w:t>14</w:t>
      </w:r>
      <w:r>
        <w:t xml:space="preserve"> and </w:t>
      </w:r>
      <w:r w:rsidR="00F97E15">
        <w:t>14</w:t>
      </w:r>
      <w:r>
        <w:t xml:space="preserve"> October 20</w:t>
      </w:r>
      <w:r w:rsidR="00F97E15">
        <w:t>16 were screened with DBT+</w:t>
      </w:r>
      <w:r w:rsidR="00176980">
        <w:t>s2DM</w:t>
      </w:r>
      <w:r>
        <w:t xml:space="preserve">. The </w:t>
      </w:r>
      <w:r w:rsidR="00F97E15">
        <w:t xml:space="preserve">results were compared with a historical cohort </w:t>
      </w:r>
      <w:r>
        <w:t xml:space="preserve">of women enrolled in the </w:t>
      </w:r>
      <w:r w:rsidR="00B944CC">
        <w:t>p</w:t>
      </w:r>
      <w:r>
        <w:t xml:space="preserve">rogram in </w:t>
      </w:r>
      <w:r w:rsidR="00F97E15">
        <w:t xml:space="preserve">the years </w:t>
      </w:r>
      <w:r>
        <w:t xml:space="preserve">immediately </w:t>
      </w:r>
      <w:r w:rsidR="00F97E15">
        <w:t xml:space="preserve">preceding the pilot. Women who </w:t>
      </w:r>
      <w:r>
        <w:t xml:space="preserve">had </w:t>
      </w:r>
      <w:r w:rsidR="00F97E15">
        <w:t xml:space="preserve">participated in STORM were excluded, resulting </w:t>
      </w:r>
      <w:r w:rsidR="00F97E15">
        <w:lastRenderedPageBreak/>
        <w:t>in 46</w:t>
      </w:r>
      <w:r>
        <w:t>,</w:t>
      </w:r>
      <w:r w:rsidR="00F97E15">
        <w:t>343 women receiving DBT+</w:t>
      </w:r>
      <w:r w:rsidR="00176980">
        <w:t>s2DM</w:t>
      </w:r>
      <w:r w:rsidR="00F97E15">
        <w:t xml:space="preserve"> compa</w:t>
      </w:r>
      <w:r>
        <w:t>r</w:t>
      </w:r>
      <w:r w:rsidR="00F97E15">
        <w:t xml:space="preserve">ed to a historical cohort of 37,436 women screened with FFDM. </w:t>
      </w:r>
      <w:r>
        <w:t>Following implementation, m</w:t>
      </w:r>
      <w:r w:rsidR="00F97E15">
        <w:t xml:space="preserve">ore </w:t>
      </w:r>
      <w:r>
        <w:t xml:space="preserve">cancers </w:t>
      </w:r>
      <w:r w:rsidR="00F97E15">
        <w:t xml:space="preserve">were </w:t>
      </w:r>
      <w:r>
        <w:t xml:space="preserve">detected </w:t>
      </w:r>
      <w:r w:rsidR="00F97E15">
        <w:t>with DBT+</w:t>
      </w:r>
      <w:r w:rsidR="00176980">
        <w:t>s2DM</w:t>
      </w:r>
      <w:r w:rsidR="00F97E15">
        <w:t xml:space="preserve"> compared to FFDM alone (8.67 per 1000 screening examinations compared to 5.48 per 1000 screening examinations). </w:t>
      </w:r>
    </w:p>
    <w:p w14:paraId="3BBB0819" w14:textId="1F63A92A" w:rsidR="00F97E15" w:rsidRPr="001B489A" w:rsidRDefault="00F97E15" w:rsidP="00F97E15">
      <w:pPr>
        <w:pStyle w:val="BodyText"/>
      </w:pPr>
      <w:r>
        <w:t xml:space="preserve">Like the </w:t>
      </w:r>
      <w:r w:rsidR="00DA27B3">
        <w:t>Trento evaluation</w:t>
      </w:r>
      <w:r>
        <w:t xml:space="preserve"> study, </w:t>
      </w:r>
      <w:r w:rsidR="00DA27B3">
        <w:t xml:space="preserve">the </w:t>
      </w:r>
      <w:r>
        <w:t xml:space="preserve">Verona </w:t>
      </w:r>
      <w:r w:rsidR="00A737E4">
        <w:t>prospective study investigated DBT+</w:t>
      </w:r>
      <w:r w:rsidR="00176980">
        <w:t>s2DM</w:t>
      </w:r>
      <w:r w:rsidR="00A737E4">
        <w:t xml:space="preserve"> in a screening program, comparing results to a historical cohort of women from the same program</w:t>
      </w:r>
      <w:r w:rsidR="00B52146">
        <w:t xml:space="preserve"> (Caumo et al., 2018)</w:t>
      </w:r>
      <w:r w:rsidR="00A737E4">
        <w:t>.</w:t>
      </w:r>
      <w:r w:rsidR="001040D9">
        <w:t xml:space="preserve"> Women who are high risk (eg, with a BRCA mutation) or a personal history of breast cancer do not participate in this program. </w:t>
      </w:r>
      <w:r w:rsidR="00AC3DF2">
        <w:t xml:space="preserve">Overall </w:t>
      </w:r>
      <w:r w:rsidR="001040D9">
        <w:t>CDR for DBT+</w:t>
      </w:r>
      <w:r w:rsidR="00176980">
        <w:t>s2DM</w:t>
      </w:r>
      <w:r w:rsidR="001040D9">
        <w:t xml:space="preserve"> was 9.3 cancers per 1000 screening exam</w:t>
      </w:r>
      <w:r w:rsidR="00AC3DF2">
        <w:t>ination</w:t>
      </w:r>
      <w:r w:rsidR="001040D9">
        <w:t>s compared to 5.41 cancers per 1000 screening exam</w:t>
      </w:r>
      <w:r w:rsidR="00AC3DF2">
        <w:t>ination</w:t>
      </w:r>
      <w:r w:rsidR="001040D9">
        <w:t>s for FFDM</w:t>
      </w:r>
      <w:r w:rsidR="00586832">
        <w:t xml:space="preserve"> (RR1.72; 95%CI: 1.30</w:t>
      </w:r>
      <w:r w:rsidR="004F6A90">
        <w:t xml:space="preserve">, </w:t>
      </w:r>
      <w:r w:rsidR="00586832">
        <w:t>2.29)</w:t>
      </w:r>
      <w:r w:rsidR="001040D9">
        <w:t>. These results are similar to the Trento and Maroondah studies.</w:t>
      </w:r>
    </w:p>
    <w:p w14:paraId="6AD2560F" w14:textId="7DC42EAB" w:rsidR="001426BF" w:rsidRDefault="00167427" w:rsidP="001426BF">
      <w:pPr>
        <w:pStyle w:val="BodyText"/>
      </w:pPr>
      <w:r>
        <w:t>Two prospective studies embedded in population-based screening programs have also assessed whether DBT+</w:t>
      </w:r>
      <w:r w:rsidR="00176980">
        <w:t>s2DM</w:t>
      </w:r>
      <w:r>
        <w:t xml:space="preserve"> is feasible as a screening test (compared to FFDM). </w:t>
      </w:r>
      <w:r w:rsidR="001426BF">
        <w:t>In the</w:t>
      </w:r>
      <w:r w:rsidR="00AC3DF2">
        <w:t>ir</w:t>
      </w:r>
      <w:r w:rsidR="001426BF">
        <w:t xml:space="preserve"> prospective transversal reading study set in the Cordoba Screening Program, Romero Martín et al. (2018) evaluated different reading strategies to determine whether single reading of DBT+</w:t>
      </w:r>
      <w:r w:rsidR="00176980">
        <w:t>s2DM</w:t>
      </w:r>
      <w:r w:rsidR="001426BF">
        <w:t xml:space="preserve"> was feasible as a screening test (i.e., if FFDM was not required</w:t>
      </w:r>
      <w:r w:rsidR="001076E3">
        <w:t xml:space="preserve"> at all</w:t>
      </w:r>
      <w:r w:rsidR="001426BF">
        <w:t xml:space="preserve">). </w:t>
      </w:r>
      <w:r w:rsidR="001076E3">
        <w:t xml:space="preserve">Four reading arms were completed (including two single FFDM read and one double FFDM read, </w:t>
      </w:r>
      <w:r w:rsidR="00BA73C8">
        <w:t xml:space="preserve">single reading of </w:t>
      </w:r>
      <w:r w:rsidR="001076E3">
        <w:t>DBT+</w:t>
      </w:r>
      <w:r w:rsidR="00176980">
        <w:t>s2DM</w:t>
      </w:r>
      <w:r w:rsidR="001076E3">
        <w:t xml:space="preserve"> and FFDM+</w:t>
      </w:r>
      <w:r w:rsidR="00176980">
        <w:t>s2DM</w:t>
      </w:r>
      <w:r w:rsidR="001076E3">
        <w:t>+DBT). We report only the results from the double reading of FFDM and DBT+</w:t>
      </w:r>
      <w:r w:rsidR="00176980">
        <w:t>s2DM</w:t>
      </w:r>
      <w:r w:rsidR="001076E3">
        <w:t xml:space="preserve"> arms.</w:t>
      </w:r>
      <w:r w:rsidR="00BA73C8">
        <w:t xml:space="preserve"> Romero Martín et al. reported s</w:t>
      </w:r>
      <w:r w:rsidR="001426BF">
        <w:t>tudy results for 16,068 screens</w:t>
      </w:r>
      <w:r w:rsidR="00BA73C8">
        <w:t xml:space="preserve">. CDR improved </w:t>
      </w:r>
      <w:r w:rsidR="001426BF">
        <w:t xml:space="preserve">with </w:t>
      </w:r>
      <w:r w:rsidR="00BA73C8">
        <w:t xml:space="preserve">a </w:t>
      </w:r>
      <w:r w:rsidR="001426BF">
        <w:t>single-read DBT+</w:t>
      </w:r>
      <w:r w:rsidR="00176980">
        <w:t>s2DM</w:t>
      </w:r>
      <w:r w:rsidR="001426BF">
        <w:t xml:space="preserve"> compared to double-read FFDM, with an incremental cancer detection of 12.6 percent</w:t>
      </w:r>
      <w:r w:rsidR="00AC3DF2">
        <w:t xml:space="preserve"> </w:t>
      </w:r>
      <w:r w:rsidR="00BA73C8">
        <w:t xml:space="preserve">favouring </w:t>
      </w:r>
      <w:r w:rsidR="00AC3DF2">
        <w:t>DBT+</w:t>
      </w:r>
      <w:r w:rsidR="00176980">
        <w:t>s2DM</w:t>
      </w:r>
      <w:r w:rsidR="00642C05">
        <w:t xml:space="preserve">. This </w:t>
      </w:r>
      <w:r w:rsidR="001426BF">
        <w:t>incremental improvement was lower than in other studies discussed in this section. This</w:t>
      </w:r>
      <w:r w:rsidR="00BA73C8">
        <w:t xml:space="preserve"> finding</w:t>
      </w:r>
      <w:r w:rsidR="001426BF">
        <w:t xml:space="preserve"> may relate to the single reading of the DBT+</w:t>
      </w:r>
      <w:r w:rsidR="00176980">
        <w:t>s2DM</w:t>
      </w:r>
      <w:r w:rsidR="001426BF">
        <w:t xml:space="preserve"> arm compared to double reading of FFDM but it also indicated that single reading of DBT+</w:t>
      </w:r>
      <w:r w:rsidR="00176980">
        <w:t>s2DM</w:t>
      </w:r>
      <w:r w:rsidR="001426BF">
        <w:t xml:space="preserve"> </w:t>
      </w:r>
      <w:r w:rsidR="0060277B">
        <w:t>may</w:t>
      </w:r>
      <w:r w:rsidR="00B67CC4">
        <w:t xml:space="preserve"> </w:t>
      </w:r>
      <w:r w:rsidR="001426BF">
        <w:t>not be inferior to double-read FFDM. In addition, there was no statistically significant increase in CDR between DBT+</w:t>
      </w:r>
      <w:r w:rsidR="00176980">
        <w:t>s2DM</w:t>
      </w:r>
      <w:r w:rsidR="001426BF">
        <w:t>+FFDM, indicating that DBT+</w:t>
      </w:r>
      <w:r w:rsidR="00176980">
        <w:t>s2DM</w:t>
      </w:r>
      <w:r w:rsidR="001426BF">
        <w:t xml:space="preserve"> may not require FFDM imaging in order to detect the same number of cancers (thus reducing overall reading time – see </w:t>
      </w:r>
      <w:r w:rsidR="001426BF">
        <w:rPr>
          <w:i/>
          <w:iCs/>
        </w:rPr>
        <w:t xml:space="preserve">section </w:t>
      </w:r>
      <w:r w:rsidR="00E45406">
        <w:rPr>
          <w:i/>
          <w:iCs/>
        </w:rPr>
        <w:t>4.3</w:t>
      </w:r>
      <w:r w:rsidR="001426BF">
        <w:rPr>
          <w:i/>
          <w:iCs/>
        </w:rPr>
        <w:t xml:space="preserve"> </w:t>
      </w:r>
      <w:r w:rsidR="001426BF" w:rsidRPr="001426BF">
        <w:t>for more</w:t>
      </w:r>
      <w:r w:rsidR="001426BF">
        <w:t xml:space="preserve"> results). </w:t>
      </w:r>
    </w:p>
    <w:p w14:paraId="20415858" w14:textId="6C44822D" w:rsidR="002B32AF" w:rsidRDefault="00A737E4" w:rsidP="00A102B2">
      <w:pPr>
        <w:pStyle w:val="BodyText"/>
      </w:pPr>
      <w:r>
        <w:t>Other studies also reported consistent results with these trials/evaluations</w:t>
      </w:r>
      <w:r w:rsidR="008466A8">
        <w:t>, including a prospective cohort study set in three Norwegian screening programs (Oslo, Vestfold and Vestre Viken)</w:t>
      </w:r>
      <w:r w:rsidR="00B03764">
        <w:t>, which reported a CDR of 9.4 cancers per 1000 screening examinations when DT+</w:t>
      </w:r>
      <w:r w:rsidR="00176980">
        <w:t>s2DM</w:t>
      </w:r>
      <w:r w:rsidR="00B03764">
        <w:t xml:space="preserve"> was used compared to 6.1 cancers per 1000 FFDM screening examinations </w:t>
      </w:r>
      <w:r w:rsidR="008466A8">
        <w:t>(Hofvind et al., 2018).</w:t>
      </w:r>
      <w:r>
        <w:t xml:space="preserve"> </w:t>
      </w:r>
    </w:p>
    <w:p w14:paraId="6B5D6B60" w14:textId="12FD01EC" w:rsidR="00F23A05" w:rsidRPr="00607766" w:rsidRDefault="00F23A05" w:rsidP="00F23A05">
      <w:pPr>
        <w:pStyle w:val="BodyText"/>
      </w:pPr>
      <w:r w:rsidRPr="00607766">
        <w:t>The OTS trial (described in the following subsection on FFDM+DBT compared to FFDM alone) reported final results in 2019 (Skaane et al., 2019). Skaane et al. observed that DBT+</w:t>
      </w:r>
      <w:r>
        <w:t xml:space="preserve">s2DM had similar short-term screening outcomes compared to FFDM+DBT (and that it is therefore not inferior). While this paper did not report on CDR, it reported on sensitivity: 69 percent (95%CI: 64.3, 76.2) for DBT+s2DM compared to 70.5 percent (95%CI: 63.1, 75.1, </w:t>
      </w:r>
      <w:r>
        <w:rPr>
          <w:i/>
          <w:iCs/>
        </w:rPr>
        <w:t>p</w:t>
      </w:r>
      <w:r w:rsidRPr="00B97408">
        <w:t>=.77</w:t>
      </w:r>
      <w:r>
        <w:t xml:space="preserve">) for FFDM+DBT (see </w:t>
      </w:r>
      <w:r>
        <w:rPr>
          <w:i/>
          <w:iCs/>
        </w:rPr>
        <w:t>section 3.1.</w:t>
      </w:r>
      <w:r w:rsidR="00B05A51">
        <w:rPr>
          <w:i/>
          <w:iCs/>
        </w:rPr>
        <w:t>6</w:t>
      </w:r>
      <w:r>
        <w:t xml:space="preserve"> for further discussion of this point).</w:t>
      </w:r>
    </w:p>
    <w:p w14:paraId="6E4FF6E7" w14:textId="7F24A105" w:rsidR="0083335C" w:rsidRDefault="00D05C0E" w:rsidP="0083335C">
      <w:pPr>
        <w:pStyle w:val="BodyText"/>
      </w:pPr>
      <w:r>
        <w:t>From the more robust data presented in this section, i</w:t>
      </w:r>
      <w:r w:rsidR="00547086">
        <w:t>t appears that DBT+</w:t>
      </w:r>
      <w:r w:rsidR="00176980">
        <w:t>s2DM</w:t>
      </w:r>
      <w:r w:rsidR="00547086">
        <w:t xml:space="preserve"> is not inferior to FFDM alone as a screening test and that </w:t>
      </w:r>
      <w:r w:rsidR="00176980">
        <w:t>s2DM</w:t>
      </w:r>
      <w:r w:rsidR="00547086">
        <w:t xml:space="preserve"> may perform as well as FFDM in the imaging protocol in terms of cancer detection.</w:t>
      </w:r>
      <w:r w:rsidR="002B32AF">
        <w:t xml:space="preserve"> </w:t>
      </w:r>
      <w:r w:rsidR="0083335C">
        <w:t>In addition, CDR is used as a measure of radiologist performance, with most radiologists improving CDR when using DBT+</w:t>
      </w:r>
      <w:r w:rsidR="00176980">
        <w:t>s2DM</w:t>
      </w:r>
      <w:r w:rsidR="0083335C">
        <w:t xml:space="preserve"> imaging. </w:t>
      </w:r>
    </w:p>
    <w:p w14:paraId="39CCFFDE" w14:textId="092C4AD7" w:rsidR="00B324F0" w:rsidRDefault="00B324F0" w:rsidP="00B324F0">
      <w:pPr>
        <w:pStyle w:val="BodyText-GREEN"/>
        <w:rPr>
          <w:b/>
          <w:bCs/>
        </w:rPr>
      </w:pPr>
      <w:r w:rsidRPr="00B324F0">
        <w:rPr>
          <w:b/>
          <w:bCs/>
        </w:rPr>
        <w:t>Retrospective analysis</w:t>
      </w:r>
    </w:p>
    <w:p w14:paraId="033FDF1E" w14:textId="740FEF97" w:rsidR="00B324F0" w:rsidRPr="00B324F0" w:rsidRDefault="00B324F0" w:rsidP="00B324F0">
      <w:pPr>
        <w:pStyle w:val="BodyText"/>
      </w:pPr>
      <w:r>
        <w:t>A small retrospective analysis of American data (7845 FFDM+DBT mammograms compared to 14,776 DBT+</w:t>
      </w:r>
      <w:r w:rsidR="00176980">
        <w:t>s2DM</w:t>
      </w:r>
      <w:r>
        <w:t xml:space="preserve"> mammograms) explored whether DBT+</w:t>
      </w:r>
      <w:r w:rsidR="00176980">
        <w:t>s2DM</w:t>
      </w:r>
      <w:r>
        <w:t xml:space="preserve"> was inferior to FFDM+DBT, </w:t>
      </w:r>
      <w:r>
        <w:lastRenderedPageBreak/>
        <w:t xml:space="preserve">reporting that there was no statistically significant difference between the two imaging protocols </w:t>
      </w:r>
      <w:r w:rsidR="00D05C0E">
        <w:t>(Ambinder et al., 2018).</w:t>
      </w:r>
    </w:p>
    <w:p w14:paraId="37433404" w14:textId="6F9B0397" w:rsidR="005A7581" w:rsidRDefault="005A7581" w:rsidP="005A7581">
      <w:pPr>
        <w:pStyle w:val="Heading3"/>
      </w:pPr>
      <w:bookmarkStart w:id="178" w:name="_Toc27477577"/>
      <w:bookmarkStart w:id="179" w:name="_Toc27665710"/>
      <w:bookmarkStart w:id="180" w:name="_Toc27844486"/>
      <w:bookmarkStart w:id="181" w:name="_Toc27859616"/>
      <w:bookmarkStart w:id="182" w:name="_Toc27904731"/>
      <w:bookmarkStart w:id="183" w:name="_Toc43376282"/>
      <w:r>
        <w:t>FFDM+DBT compared to FFDM alone</w:t>
      </w:r>
      <w:bookmarkEnd w:id="178"/>
      <w:bookmarkEnd w:id="179"/>
      <w:bookmarkEnd w:id="180"/>
      <w:bookmarkEnd w:id="181"/>
      <w:bookmarkEnd w:id="182"/>
      <w:bookmarkEnd w:id="183"/>
    </w:p>
    <w:p w14:paraId="52EC7E1F" w14:textId="769CCC9A" w:rsidR="00E91BF1" w:rsidRPr="00E91BF1" w:rsidRDefault="008742A1" w:rsidP="00E91BF1">
      <w:pPr>
        <w:pStyle w:val="BodyText"/>
      </w:pPr>
      <w:r>
        <w:t>F</w:t>
      </w:r>
      <w:r w:rsidR="00E91BF1">
        <w:t>ewer studies reported results comparing FFDM+DBT to FFDM alone compared to the number published in the last literature</w:t>
      </w:r>
      <w:r>
        <w:t xml:space="preserve"> review</w:t>
      </w:r>
      <w:r w:rsidR="00E91BF1">
        <w:t>, reflecting the change in imaging protocol used to reduce radiation dose (i.e., the research is shifting to DBT+</w:t>
      </w:r>
      <w:r w:rsidR="00176980">
        <w:t>s2DM</w:t>
      </w:r>
      <w:r w:rsidR="00E91BF1">
        <w:t xml:space="preserve"> to reflect practice). In addition, the only robust studies discussed in this section are the presentation of final results from the OTS trial and baseline data for half of the participants in the Reggio Emilia RCT.</w:t>
      </w:r>
    </w:p>
    <w:p w14:paraId="4A7A622B" w14:textId="77898B12" w:rsidR="00500032" w:rsidRDefault="00D05C0E" w:rsidP="005A7581">
      <w:pPr>
        <w:pStyle w:val="BodyText-GREEN"/>
        <w:rPr>
          <w:b/>
          <w:bCs/>
        </w:rPr>
      </w:pPr>
      <w:r>
        <w:rPr>
          <w:b/>
          <w:bCs/>
        </w:rPr>
        <w:t>RCT</w:t>
      </w:r>
    </w:p>
    <w:p w14:paraId="3582F50E" w14:textId="19934339" w:rsidR="00750ED0" w:rsidRPr="00D11A2B" w:rsidRDefault="00500032" w:rsidP="00D11A2B">
      <w:pPr>
        <w:pStyle w:val="BodyText"/>
      </w:pPr>
      <w:r>
        <w:t xml:space="preserve">Pattacini et al. (2018) reported a baseline interim analysis of </w:t>
      </w:r>
      <w:r w:rsidR="00ED7249">
        <w:t xml:space="preserve">the 19,560 </w:t>
      </w:r>
      <w:r>
        <w:t>women participating in the Reggio Emilia DBT RCT</w:t>
      </w:r>
      <w:r w:rsidR="00ED7249">
        <w:t>, an Italian two arm, test and treat trial</w:t>
      </w:r>
      <w:r>
        <w:t xml:space="preserve">. In this RCT, </w:t>
      </w:r>
      <w:r w:rsidR="00ED7249">
        <w:t>women are randomized to either the FFDM+DBT (9777 women) or FFDM arm (9783 women) for the first screening examination followed by a future biennial screening examination with FFDM only. Follow-up is for 4.5 years. Women cannot participate in the RCT i</w:t>
      </w:r>
      <w:r w:rsidR="00993466">
        <w:t>f</w:t>
      </w:r>
      <w:r w:rsidR="00ED7249">
        <w:t xml:space="preserve"> they have </w:t>
      </w:r>
      <w:r w:rsidR="00122808">
        <w:t xml:space="preserve">not participated in screening before, if they have </w:t>
      </w:r>
      <w:r w:rsidR="00ED7249">
        <w:t>a history of breast cancer, have previously had DBT, have very large breasts, have breast implants, are pregnant or are high risk for breast cancer. The recruitment rate for this study suggests that it is underpowered to detect interval cancers (one of the primary study outcomes).</w:t>
      </w:r>
      <w:r w:rsidR="00995D94">
        <w:t xml:space="preserve"> </w:t>
      </w:r>
      <w:r w:rsidR="00983C97">
        <w:t>The interim analysis included the CDR for FFDM+DBT (8.6 cancers per 1000 screening examinations) compared to 4.5 per 1000 screening examinations for FFDM alone (RR</w:t>
      </w:r>
      <w:r w:rsidR="00285D7E">
        <w:t>=</w:t>
      </w:r>
      <w:r w:rsidR="00983C97">
        <w:t>1.89; 95%CI: 1.31</w:t>
      </w:r>
      <w:r w:rsidR="004F6A90">
        <w:t xml:space="preserve">, </w:t>
      </w:r>
      <w:r w:rsidR="00983C97">
        <w:t xml:space="preserve">2.72). </w:t>
      </w:r>
      <w:r w:rsidR="00995D94">
        <w:t xml:space="preserve">Further specific information about this study is provided in </w:t>
      </w:r>
      <w:r w:rsidR="0060277B">
        <w:rPr>
          <w:i/>
          <w:iCs/>
        </w:rPr>
        <w:t>T</w:t>
      </w:r>
      <w:r w:rsidR="00995D94">
        <w:rPr>
          <w:i/>
          <w:iCs/>
        </w:rPr>
        <w:t xml:space="preserve">able </w:t>
      </w:r>
      <w:r w:rsidR="00EC105D">
        <w:rPr>
          <w:i/>
          <w:iCs/>
        </w:rPr>
        <w:t>9b</w:t>
      </w:r>
      <w:r w:rsidR="00995D94">
        <w:t>.</w:t>
      </w:r>
    </w:p>
    <w:p w14:paraId="282F4E4D" w14:textId="6B65A54A" w:rsidR="005A7581" w:rsidRPr="00623971" w:rsidRDefault="005A7581" w:rsidP="005A7581">
      <w:pPr>
        <w:pStyle w:val="BodyText-GREEN"/>
        <w:rPr>
          <w:b/>
          <w:bCs/>
        </w:rPr>
      </w:pPr>
      <w:r>
        <w:rPr>
          <w:b/>
          <w:bCs/>
        </w:rPr>
        <w:t>Prospective studies embedded in population-based screening programs</w:t>
      </w:r>
    </w:p>
    <w:p w14:paraId="16A4F1F8" w14:textId="6AC10968" w:rsidR="005B55DA" w:rsidRPr="005B55DA" w:rsidRDefault="00605724" w:rsidP="005A7581">
      <w:pPr>
        <w:pStyle w:val="BodyText"/>
      </w:pPr>
      <w:r>
        <w:t>Reporting on the OTS trial</w:t>
      </w:r>
      <w:r w:rsidR="00993466">
        <w:t xml:space="preserve"> (a fully paired study embedded in a population-based screening program involving results for 24,301 women)</w:t>
      </w:r>
      <w:r>
        <w:t xml:space="preserve">, Skaane et al. (2018) reported final results for the </w:t>
      </w:r>
      <w:r w:rsidR="00CA3F86">
        <w:t xml:space="preserve">FFDM+DBT </w:t>
      </w:r>
      <w:r>
        <w:t xml:space="preserve">arm </w:t>
      </w:r>
      <w:r w:rsidR="00CA3F86">
        <w:t>compared to FFDM alone</w:t>
      </w:r>
      <w:r w:rsidR="005B55DA">
        <w:t xml:space="preserve">. </w:t>
      </w:r>
      <w:r>
        <w:t xml:space="preserve">Skaane et al. </w:t>
      </w:r>
      <w:r w:rsidR="005B55DA">
        <w:t xml:space="preserve">reported statistically significant increased CDR with the use of </w:t>
      </w:r>
      <w:r w:rsidR="00CA3F86">
        <w:t>FFDM+</w:t>
      </w:r>
      <w:r w:rsidR="005B55DA">
        <w:t>DBT</w:t>
      </w:r>
      <w:r w:rsidR="00CA3F86">
        <w:t>, with incremental cancer detection of 3.0 cancers per 1000 screening examinations (95%CI: 1.7</w:t>
      </w:r>
      <w:r w:rsidR="004F6A90">
        <w:t xml:space="preserve">, </w:t>
      </w:r>
      <w:r w:rsidR="00CA3F86">
        <w:t xml:space="preserve">4.4, </w:t>
      </w:r>
      <w:r w:rsidR="00CA3F86">
        <w:rPr>
          <w:i/>
          <w:iCs/>
        </w:rPr>
        <w:t>p</w:t>
      </w:r>
      <w:r w:rsidR="00CA3F86">
        <w:t>&lt;.001)</w:t>
      </w:r>
      <w:r w:rsidR="00C11CCC">
        <w:t>. While the overall CDR was a little higher than other studies (9.3 cancers per 1000 screening examinations),</w:t>
      </w:r>
      <w:r w:rsidR="005B55DA">
        <w:t xml:space="preserve"> </w:t>
      </w:r>
      <w:r w:rsidR="00C11CCC">
        <w:t xml:space="preserve">increases are </w:t>
      </w:r>
      <w:r w:rsidR="005B55DA">
        <w:t>similar to those reported in the studies published before</w:t>
      </w:r>
      <w:r w:rsidR="00C11CCC">
        <w:t xml:space="preserve"> </w:t>
      </w:r>
      <w:r w:rsidR="005B55DA">
        <w:t>December 2017</w:t>
      </w:r>
      <w:r w:rsidR="00C11CCC">
        <w:t xml:space="preserve"> as well as some of the results achieved with DBT+</w:t>
      </w:r>
      <w:r w:rsidR="00176980">
        <w:t>s2DM</w:t>
      </w:r>
      <w:r w:rsidR="005B55DA">
        <w:t xml:space="preserve">. </w:t>
      </w:r>
    </w:p>
    <w:p w14:paraId="5FDA3CDA" w14:textId="7BE7CC89" w:rsidR="005A7581" w:rsidRPr="005A7581" w:rsidRDefault="005A7581" w:rsidP="005A7581">
      <w:pPr>
        <w:pStyle w:val="BodyText-GREEN"/>
        <w:rPr>
          <w:b/>
          <w:bCs/>
        </w:rPr>
      </w:pPr>
      <w:r>
        <w:rPr>
          <w:b/>
          <w:bCs/>
        </w:rPr>
        <w:t>Retrospective analysis</w:t>
      </w:r>
    </w:p>
    <w:p w14:paraId="54881FE6" w14:textId="77777777" w:rsidR="00B524B8" w:rsidRDefault="00750ED0" w:rsidP="005A7581">
      <w:pPr>
        <w:pStyle w:val="BodyText"/>
      </w:pPr>
      <w:r>
        <w:t xml:space="preserve">Hovda et al. (2019) completed a complex retrospective analysis of </w:t>
      </w:r>
      <w:r w:rsidR="00EC2B7C">
        <w:t xml:space="preserve">paired </w:t>
      </w:r>
      <w:r>
        <w:t xml:space="preserve">data from the Norway BreastScreen Program, comparing results from sequential rounds of screening with either FFDM followed by DBT or two rounds of DBT. </w:t>
      </w:r>
      <w:r w:rsidR="00B524B8">
        <w:t xml:space="preserve">Hovda et al. separated paired data into four groups based on the screening tests different groups of women had: </w:t>
      </w:r>
    </w:p>
    <w:p w14:paraId="4F828E73" w14:textId="550E08F5" w:rsidR="00B524B8" w:rsidRDefault="00B524B8" w:rsidP="00B524B8">
      <w:pPr>
        <w:pStyle w:val="List-BulletLvl1"/>
      </w:pPr>
      <w:r>
        <w:t>Group 1 women had two sequential FFDM screening examinations (n=10,502)</w:t>
      </w:r>
    </w:p>
    <w:p w14:paraId="045FFCA1" w14:textId="3E245003" w:rsidR="00B524B8" w:rsidRDefault="00B524B8" w:rsidP="00B524B8">
      <w:pPr>
        <w:pStyle w:val="List-BulletLvl1"/>
      </w:pPr>
      <w:r>
        <w:t>Group 2 women had a first FFDM screening examinations followed by FFDM+DBT or DBT+</w:t>
      </w:r>
      <w:r w:rsidR="00176980">
        <w:t>s2DM</w:t>
      </w:r>
      <w:r>
        <w:t xml:space="preserve"> (n=29,262)</w:t>
      </w:r>
    </w:p>
    <w:p w14:paraId="1CBB9033" w14:textId="338F14BC" w:rsidR="00B524B8" w:rsidRDefault="00B524B8" w:rsidP="00B524B8">
      <w:pPr>
        <w:pStyle w:val="List-BulletLvl1"/>
      </w:pPr>
      <w:r>
        <w:t>Group 3 women had FFDM+DBT then were screened with DBT+</w:t>
      </w:r>
      <w:r w:rsidR="00176980">
        <w:t>s2DM</w:t>
      </w:r>
      <w:r>
        <w:t xml:space="preserve"> (n=8799), and</w:t>
      </w:r>
    </w:p>
    <w:p w14:paraId="5739F934" w14:textId="183FFAAB" w:rsidR="00B524B8" w:rsidRDefault="00B524B8" w:rsidP="00B524B8">
      <w:pPr>
        <w:pStyle w:val="List-BulletLvl1"/>
      </w:pPr>
      <w:r>
        <w:t>Group 4 women had FFDM+DBT then FFDM or FFDM then DBT+</w:t>
      </w:r>
      <w:r w:rsidR="00176980">
        <w:t>s2DM</w:t>
      </w:r>
      <w:r>
        <w:t xml:space="preserve"> (n=20,631).</w:t>
      </w:r>
    </w:p>
    <w:p w14:paraId="3FB5CEE6" w14:textId="5A7392E4" w:rsidR="00750ED0" w:rsidRDefault="00750ED0" w:rsidP="005A7581">
      <w:pPr>
        <w:pStyle w:val="BodyText"/>
      </w:pPr>
      <w:r>
        <w:lastRenderedPageBreak/>
        <w:t xml:space="preserve">To ensure consistency with </w:t>
      </w:r>
      <w:r w:rsidR="00EC2B7C">
        <w:t xml:space="preserve">the BSA program, we report only on the results </w:t>
      </w:r>
      <w:r w:rsidR="00B524B8">
        <w:t>comparing</w:t>
      </w:r>
      <w:r w:rsidR="00EC2B7C">
        <w:t xml:space="preserve"> </w:t>
      </w:r>
      <w:r w:rsidR="00B524B8">
        <w:t>Group 1 and Group 2</w:t>
      </w:r>
      <w:r w:rsidR="00EC2B7C">
        <w:t>.</w:t>
      </w:r>
      <w:r w:rsidR="009A0021">
        <w:t xml:space="preserve"> Hovda et al. reported a statistically significant increase in CDR when DBT was used (9.9 cancers per 1000 screening examinations were detected in the DBT Group 2 arm compared to 4.6 per 1000 screening examinations when two consecutive FFDM examinations were performed, </w:t>
      </w:r>
      <w:r w:rsidR="009A0021">
        <w:rPr>
          <w:i/>
          <w:iCs/>
        </w:rPr>
        <w:t>p</w:t>
      </w:r>
      <w:r w:rsidR="009A0021">
        <w:t>=.001).</w:t>
      </w:r>
    </w:p>
    <w:p w14:paraId="783E6F91" w14:textId="7A80DD3B" w:rsidR="00BD571B" w:rsidRDefault="00BD571B" w:rsidP="005A7581">
      <w:pPr>
        <w:pStyle w:val="BodyText"/>
      </w:pPr>
      <w:r>
        <w:t>Conant et al.</w:t>
      </w:r>
      <w:r w:rsidR="00820628">
        <w:t xml:space="preserve"> (2019) completed a large, multi-site cohort study (50,971 DBT examinations; 129,369 FFDM examinations</w:t>
      </w:r>
      <w:r w:rsidR="00A710FE">
        <w:t xml:space="preserve"> on women aged 40</w:t>
      </w:r>
      <w:r w:rsidR="00285D7E">
        <w:t>-</w:t>
      </w:r>
      <w:r w:rsidR="00A710FE">
        <w:t>74 years</w:t>
      </w:r>
      <w:r w:rsidR="00820628">
        <w:t>) within the PROSPR consortium</w:t>
      </w:r>
      <w:r w:rsidR="00A710FE">
        <w:t xml:space="preserve"> to determine if short-term screening outcomes (like CDR and recall rates) varied by imaging, age and breast density</w:t>
      </w:r>
      <w:r w:rsidR="00820628">
        <w:t>.</w:t>
      </w:r>
      <w:r w:rsidR="00A710FE">
        <w:t xml:space="preserve"> Overall, data from the three centres indicated that DBT imaging resulted in higher CDR (OR 1.41</w:t>
      </w:r>
      <w:r w:rsidR="00176980">
        <w:t>;</w:t>
      </w:r>
      <w:r w:rsidR="00A710FE">
        <w:t xml:space="preserve"> 95%CI</w:t>
      </w:r>
      <w:r w:rsidR="004F6A90">
        <w:t>:</w:t>
      </w:r>
      <w:r w:rsidR="00A710FE">
        <w:t xml:space="preserve"> 1.05</w:t>
      </w:r>
      <w:r w:rsidR="004F6A90">
        <w:t xml:space="preserve">, </w:t>
      </w:r>
      <w:r w:rsidR="00A710FE">
        <w:t xml:space="preserve">1.89, </w:t>
      </w:r>
      <w:r w:rsidR="00A710FE">
        <w:rPr>
          <w:i/>
          <w:iCs/>
        </w:rPr>
        <w:t>p=</w:t>
      </w:r>
      <w:r w:rsidR="00A710FE">
        <w:t>.02).</w:t>
      </w:r>
      <w:r w:rsidR="0048688E">
        <w:t xml:space="preserve"> </w:t>
      </w:r>
      <w:r w:rsidR="004E2E97">
        <w:t xml:space="preserve">These differences were observed across all age groups and breast densities. </w:t>
      </w:r>
      <w:r w:rsidR="008B288D">
        <w:t>Specific d</w:t>
      </w:r>
      <w:r w:rsidR="0048688E">
        <w:t xml:space="preserve">ifferences in CDR reported by age group </w:t>
      </w:r>
      <w:r>
        <w:t>and breast density</w:t>
      </w:r>
      <w:r w:rsidR="00C85303">
        <w:t xml:space="preserve"> </w:t>
      </w:r>
      <w:r>
        <w:t xml:space="preserve">are discussed in further detail in </w:t>
      </w:r>
      <w:r w:rsidRPr="00BD571B">
        <w:rPr>
          <w:i/>
          <w:iCs/>
        </w:rPr>
        <w:t>section</w:t>
      </w:r>
      <w:r w:rsidR="008B288D">
        <w:rPr>
          <w:i/>
          <w:iCs/>
        </w:rPr>
        <w:t xml:space="preserve"> </w:t>
      </w:r>
      <w:r w:rsidR="00EC105D">
        <w:rPr>
          <w:i/>
          <w:iCs/>
        </w:rPr>
        <w:t>3.1.3</w:t>
      </w:r>
      <w:r>
        <w:t>.</w:t>
      </w:r>
    </w:p>
    <w:p w14:paraId="77B456BE" w14:textId="454A9178" w:rsidR="005B55DA" w:rsidRDefault="005A7581" w:rsidP="005A7581">
      <w:pPr>
        <w:pStyle w:val="BodyText"/>
      </w:pPr>
      <w:r>
        <w:t xml:space="preserve">We identified one American observational study (Fuiji et al., 2019) which reported no increase in CDR when DBT was used (compared to FFDM); however, the paper noted that several different imaging protocols were used during the study period </w:t>
      </w:r>
      <w:r w:rsidR="008466A8">
        <w:t xml:space="preserve">(i.e., </w:t>
      </w:r>
      <w:r>
        <w:t>FFDM alone</w:t>
      </w:r>
      <w:r w:rsidR="008466A8">
        <w:t>,</w:t>
      </w:r>
      <w:r>
        <w:t xml:space="preserve"> FFDM+DBT at the start of the study then DBT+</w:t>
      </w:r>
      <w:r w:rsidR="00176980">
        <w:t>s2DM</w:t>
      </w:r>
      <w:r>
        <w:t xml:space="preserve"> or FFDM+DBT+</w:t>
      </w:r>
      <w:r w:rsidR="00176980">
        <w:t>s2DM</w:t>
      </w:r>
      <w:r w:rsidR="008466A8">
        <w:t>)</w:t>
      </w:r>
      <w:r>
        <w:t xml:space="preserve">. Results analysis in the paper did not separate the data by imaging protocol and the authors did not identify this as a limitation, noting that the lack of an incremental increase in CDR with DBT could be due to a CDR </w:t>
      </w:r>
      <w:r w:rsidR="008466A8">
        <w:t xml:space="preserve">of </w:t>
      </w:r>
      <w:r>
        <w:t>5.0</w:t>
      </w:r>
      <w:r w:rsidR="008466A8">
        <w:t xml:space="preserve"> cancers</w:t>
      </w:r>
      <w:r>
        <w:t xml:space="preserve"> per 1000 screening examinations</w:t>
      </w:r>
      <w:r w:rsidR="008466A8">
        <w:t xml:space="preserve"> for FFDM, which is high for an annual, single reader program</w:t>
      </w:r>
      <w:r>
        <w:t>.</w:t>
      </w:r>
    </w:p>
    <w:p w14:paraId="30E1C41D" w14:textId="43F886E1" w:rsidR="00F23A05" w:rsidRDefault="00F23A05" w:rsidP="00F23A05">
      <w:pPr>
        <w:pStyle w:val="BodyText"/>
      </w:pPr>
      <w:r>
        <w:t>Three</w:t>
      </w:r>
      <w:r w:rsidR="005B55DA">
        <w:t xml:space="preserve"> other retrospective analys</w:t>
      </w:r>
      <w:r>
        <w:t xml:space="preserve">es (Bahl et al., 2019; Dang et al., 2019; and </w:t>
      </w:r>
      <w:r w:rsidR="005B55DA">
        <w:t>Rose &amp; Shisler</w:t>
      </w:r>
      <w:r>
        <w:t xml:space="preserve">, </w:t>
      </w:r>
      <w:r w:rsidR="005B55DA">
        <w:t>2018)</w:t>
      </w:r>
      <w:r>
        <w:t xml:space="preserve"> also reported on CDR. Dang et al. (2019) performed a matched retrospective cohort study comparing CDR for FFDM+DBT to FFDM alone. Most participants were aged under 50 years, and the cohort included 23,997 screening examinations (14,180 were FFDM, 9817 were FFDM+DBT). The focus of this study was to measure changes in CDR and by tumour type. The authors reported statistically significant increases in CDR when FFDM+DBT was used, increasing CDR by 1.9 per 1000 screening examinations (</w:t>
      </w:r>
      <w:r>
        <w:rPr>
          <w:i/>
          <w:iCs/>
        </w:rPr>
        <w:t>p=</w:t>
      </w:r>
      <w:r>
        <w:t>.01) (although the reported increases were not as large as reported in the European matched cohort studies):</w:t>
      </w:r>
    </w:p>
    <w:p w14:paraId="5296B838" w14:textId="78F1A60E" w:rsidR="00F23A05" w:rsidRDefault="00F23A05" w:rsidP="00F23A05">
      <w:pPr>
        <w:pStyle w:val="List-BulletLvl1"/>
      </w:pPr>
      <w:r>
        <w:t xml:space="preserve">FFDM+DBT: 3.7 per 1000 screening examinations </w:t>
      </w:r>
    </w:p>
    <w:p w14:paraId="241E4DD1" w14:textId="24A5BA7C" w:rsidR="00F23A05" w:rsidRDefault="00F23A05" w:rsidP="00F23A05">
      <w:pPr>
        <w:pStyle w:val="List-BulletLvl1"/>
      </w:pPr>
      <w:r>
        <w:t>FFDM alone 1.8 per 1000 screening examinations</w:t>
      </w:r>
    </w:p>
    <w:p w14:paraId="3D65D2E2" w14:textId="7A095C08" w:rsidR="005A7581" w:rsidRDefault="00F23A05" w:rsidP="00F23A05">
      <w:pPr>
        <w:pStyle w:val="BodyText"/>
      </w:pPr>
      <w:r>
        <w:t xml:space="preserve">Bahl et al. (2019) completed a review of consecutive mammograms (n=71,958) for women aged over 65 years prior to the integration of DBT into an American mammography clinic. They reported no statistically significant differences in CDR between the two imaging modalities for this sub-group of women, reporting that DBT was not inferior to FFDM. More information on this study is provided in </w:t>
      </w:r>
      <w:r>
        <w:rPr>
          <w:i/>
          <w:iCs/>
        </w:rPr>
        <w:t>section 1.3.</w:t>
      </w:r>
      <w:r w:rsidRPr="00F23A05">
        <w:rPr>
          <w:i/>
          <w:iCs/>
        </w:rPr>
        <w:t>4</w:t>
      </w:r>
      <w:r>
        <w:t xml:space="preserve">. </w:t>
      </w:r>
      <w:r w:rsidRPr="00F23A05">
        <w:t>Rose</w:t>
      </w:r>
      <w:r>
        <w:t xml:space="preserve"> &amp; Shisler’s analysis also focused on age and </w:t>
      </w:r>
      <w:r w:rsidR="005B55DA">
        <w:t>investigated the impact of DBT on CDR in women aged under 50 years. As seen in some of the data presented on</w:t>
      </w:r>
      <w:r w:rsidR="00E82879">
        <w:t xml:space="preserve"> </w:t>
      </w:r>
      <w:r w:rsidR="005B55DA">
        <w:t>DBT+</w:t>
      </w:r>
      <w:r w:rsidR="00176980">
        <w:t>s2DM</w:t>
      </w:r>
      <w:r w:rsidR="005B55DA">
        <w:t>, there is no consistent evidence describing this impact</w:t>
      </w:r>
      <w:r>
        <w:t xml:space="preserve"> as the increase in CDR was not significant (increasing from 1.9 per 1000 screening examinations to 2.6 with the use of DBT, </w:t>
      </w:r>
      <w:r w:rsidRPr="00F23A05">
        <w:rPr>
          <w:i/>
          <w:iCs/>
        </w:rPr>
        <w:t>p</w:t>
      </w:r>
      <w:r>
        <w:t>=.06).</w:t>
      </w:r>
      <w:r w:rsidR="005B55DA">
        <w:t xml:space="preserve"> </w:t>
      </w:r>
    </w:p>
    <w:p w14:paraId="795EE9F9" w14:textId="6BF1E7EF" w:rsidR="00A102B2" w:rsidRDefault="00A102B2" w:rsidP="00A102B2">
      <w:pPr>
        <w:pStyle w:val="Heading3"/>
      </w:pPr>
      <w:bookmarkStart w:id="184" w:name="_Toc27477578"/>
      <w:bookmarkStart w:id="185" w:name="_Toc27665711"/>
      <w:bookmarkStart w:id="186" w:name="_Toc27844487"/>
      <w:bookmarkStart w:id="187" w:name="_Toc27859617"/>
      <w:bookmarkStart w:id="188" w:name="_Toc27904732"/>
      <w:bookmarkStart w:id="189" w:name="_Toc43376283"/>
      <w:r>
        <w:t>DBT</w:t>
      </w:r>
      <w:r>
        <w:rPr>
          <w:vertAlign w:val="subscript"/>
        </w:rPr>
        <w:t>MLO</w:t>
      </w:r>
      <w:r>
        <w:t xml:space="preserve"> compared to FFDM</w:t>
      </w:r>
      <w:bookmarkEnd w:id="184"/>
      <w:bookmarkEnd w:id="185"/>
      <w:bookmarkEnd w:id="186"/>
      <w:bookmarkEnd w:id="187"/>
      <w:bookmarkEnd w:id="188"/>
      <w:bookmarkEnd w:id="189"/>
    </w:p>
    <w:p w14:paraId="4551CE2E" w14:textId="5AE508B5" w:rsidR="001C474B" w:rsidRDefault="00A102B2" w:rsidP="00B324F0">
      <w:pPr>
        <w:pStyle w:val="BodyText"/>
      </w:pPr>
      <w:r w:rsidRPr="00D86CAB">
        <w:t xml:space="preserve">The Malmö trial </w:t>
      </w:r>
      <w:r>
        <w:t xml:space="preserve">used </w:t>
      </w:r>
      <w:r w:rsidRPr="00D86CAB">
        <w:t xml:space="preserve">a different </w:t>
      </w:r>
      <w:r>
        <w:t>imaging protocol to reduce radiation dose, compression and reading time associated with FFDM+DBT (Zackrisson et al., 2018)</w:t>
      </w:r>
      <w:r w:rsidRPr="00D86CAB">
        <w:t xml:space="preserve">. Instead of </w:t>
      </w:r>
      <w:r>
        <w:t>FFDM+DBT</w:t>
      </w:r>
      <w:r w:rsidRPr="00D86CAB">
        <w:t xml:space="preserve"> or </w:t>
      </w:r>
      <w:r>
        <w:t>DBT+</w:t>
      </w:r>
      <w:r w:rsidR="00176980">
        <w:t>s2DM</w:t>
      </w:r>
      <w:r w:rsidRPr="00D86CAB">
        <w:t xml:space="preserve">, </w:t>
      </w:r>
      <w:r>
        <w:t>14,484 women</w:t>
      </w:r>
      <w:r w:rsidR="00D11A2B">
        <w:rPr>
          <w:rStyle w:val="FootnoteReference"/>
        </w:rPr>
        <w:t xml:space="preserve"> </w:t>
      </w:r>
      <w:r>
        <w:t xml:space="preserve">aged 40-76 years participating in the </w:t>
      </w:r>
      <w:r w:rsidRPr="00D86CAB">
        <w:t>Malmö trial</w:t>
      </w:r>
      <w:r>
        <w:t xml:space="preserve"> were screened </w:t>
      </w:r>
      <w:r w:rsidR="0060277B">
        <w:t xml:space="preserve">with </w:t>
      </w:r>
      <w:r w:rsidR="001C474B">
        <w:lastRenderedPageBreak/>
        <w:t xml:space="preserve">FFDM then </w:t>
      </w:r>
      <w:r>
        <w:t xml:space="preserve">with </w:t>
      </w:r>
      <w:r w:rsidR="001C474B">
        <w:t xml:space="preserve">wide-angle </w:t>
      </w:r>
      <w:r>
        <w:t>one-view DBT (DBT</w:t>
      </w:r>
      <w:r>
        <w:rPr>
          <w:vertAlign w:val="subscript"/>
        </w:rPr>
        <w:t>MLO</w:t>
      </w:r>
      <w:r>
        <w:t>).</w:t>
      </w:r>
      <w:r w:rsidR="001C474B">
        <w:t xml:space="preserve"> Previous mammograms were available to readers. Reading steps were:</w:t>
      </w:r>
    </w:p>
    <w:p w14:paraId="664DFA50" w14:textId="60A2EF3D" w:rsidR="001C474B" w:rsidRDefault="001C474B" w:rsidP="001C474B">
      <w:pPr>
        <w:pStyle w:val="List-BulletLvl1"/>
      </w:pPr>
      <w:r>
        <w:t>Current FFDM images then previous FFDM images if available then recording breast density (FFDM reading group), or</w:t>
      </w:r>
    </w:p>
    <w:p w14:paraId="5274BA39" w14:textId="3C33B920" w:rsidR="001C474B" w:rsidRDefault="001C474B" w:rsidP="001C474B">
      <w:pPr>
        <w:pStyle w:val="List-BulletLvl1"/>
      </w:pPr>
      <w:r>
        <w:t>DBT</w:t>
      </w:r>
      <w:r>
        <w:rPr>
          <w:vertAlign w:val="subscript"/>
        </w:rPr>
        <w:t>MLO</w:t>
      </w:r>
      <w:r>
        <w:t xml:space="preserve"> then DM</w:t>
      </w:r>
      <w:r>
        <w:rPr>
          <w:vertAlign w:val="subscript"/>
        </w:rPr>
        <w:t>CC</w:t>
      </w:r>
      <w:r>
        <w:t xml:space="preserve"> then</w:t>
      </w:r>
      <w:r w:rsidRPr="001C474B">
        <w:t xml:space="preserve"> </w:t>
      </w:r>
      <w:r>
        <w:t>previous FFDM images if available (DBT reading group).</w:t>
      </w:r>
    </w:p>
    <w:p w14:paraId="605352DB" w14:textId="1523F266" w:rsidR="00D05C0E" w:rsidRDefault="00A102B2" w:rsidP="00A102B2">
      <w:pPr>
        <w:pStyle w:val="BodyText"/>
      </w:pPr>
      <w:r>
        <w:t>A total of 21,691 women were invited to participate in the Malmö trial (</w:t>
      </w:r>
      <w:r w:rsidRPr="00F23A05">
        <w:t>68</w:t>
      </w:r>
      <w:r w:rsidR="00176980" w:rsidRPr="00F23A05">
        <w:t xml:space="preserve"> percent</w:t>
      </w:r>
      <w:r w:rsidRPr="00F23A05">
        <w:t xml:space="preserve"> uptake rate). The authors did not provide any information about the women who chose not to participate (noting only that they did not come to screening or chose to have FFDM only), ma</w:t>
      </w:r>
      <w:r>
        <w:t xml:space="preserve">king it difficult to determine the full applicability of trial results to the general population. All images were double-read (as per the Swedish Breast-screening Programme’s protocols, with a five-point rating used). Information about breast density was recorded using BIRADS categories. The follow-up period was either 18 months or 24 months depending on the woman’s age (with younger women followed-up at the earlier time). Interim results from this trial were presented in </w:t>
      </w:r>
      <w:r>
        <w:rPr>
          <w:i/>
          <w:iCs/>
        </w:rPr>
        <w:t>Allen + Clarke</w:t>
      </w:r>
      <w:r>
        <w:t xml:space="preserve">’s first literature review on screening. Final results (including CDR and interval cancer rates) are reported in this current literature review. </w:t>
      </w:r>
    </w:p>
    <w:p w14:paraId="4942F403" w14:textId="779E78D7" w:rsidR="00A102B2" w:rsidRDefault="00A102B2" w:rsidP="00A102B2">
      <w:pPr>
        <w:pStyle w:val="BodyText"/>
      </w:pPr>
      <w:r>
        <w:t xml:space="preserve">A total of 139 cancers were detected: </w:t>
      </w:r>
    </w:p>
    <w:p w14:paraId="2897E8FD" w14:textId="77777777" w:rsidR="00A102B2" w:rsidRDefault="00A102B2" w:rsidP="00A102B2">
      <w:pPr>
        <w:pStyle w:val="List-BulletLvl1"/>
      </w:pPr>
      <w:r>
        <w:t>89 cancers were detected with FFDM and DBT</w:t>
      </w:r>
      <w:r>
        <w:rPr>
          <w:vertAlign w:val="subscript"/>
        </w:rPr>
        <w:t>MLO</w:t>
      </w:r>
      <w:r>
        <w:t xml:space="preserve"> </w:t>
      </w:r>
    </w:p>
    <w:p w14:paraId="66D1F9D7" w14:textId="77777777" w:rsidR="00A102B2" w:rsidRPr="008204F4" w:rsidRDefault="00A102B2" w:rsidP="00A102B2">
      <w:pPr>
        <w:pStyle w:val="List-BulletLvl1"/>
      </w:pPr>
      <w:r>
        <w:t>42 cancers were only detected with</w:t>
      </w:r>
      <w:r w:rsidRPr="008204F4">
        <w:t xml:space="preserve"> </w:t>
      </w:r>
      <w:r>
        <w:t>DBT</w:t>
      </w:r>
      <w:r>
        <w:rPr>
          <w:vertAlign w:val="subscript"/>
        </w:rPr>
        <w:t>MLO</w:t>
      </w:r>
      <w:r w:rsidRPr="008204F4">
        <w:t>, and</w:t>
      </w:r>
    </w:p>
    <w:p w14:paraId="206A9555" w14:textId="328BF66F" w:rsidR="00A102B2" w:rsidRPr="008204F4" w:rsidRDefault="00A102B2" w:rsidP="00A102B2">
      <w:pPr>
        <w:pStyle w:val="List-BulletLvl1"/>
      </w:pPr>
      <w:r w:rsidRPr="008204F4">
        <w:t>Eight ca</w:t>
      </w:r>
      <w:r>
        <w:t xml:space="preserve">ncers were only detected with FFDM (but were identified on DBT imaging although not recalled for further assessment – see </w:t>
      </w:r>
      <w:r>
        <w:rPr>
          <w:i/>
          <w:iCs/>
        </w:rPr>
        <w:t xml:space="preserve">section </w:t>
      </w:r>
      <w:r w:rsidR="00E45406">
        <w:rPr>
          <w:i/>
          <w:iCs/>
        </w:rPr>
        <w:t>3.3</w:t>
      </w:r>
      <w:r>
        <w:t xml:space="preserve"> for further discussion on the radiologic presentation of these cancers).</w:t>
      </w:r>
    </w:p>
    <w:p w14:paraId="33EFAAC2" w14:textId="3C669C9D" w:rsidR="00A102B2" w:rsidRDefault="00A102B2" w:rsidP="00A102B2">
      <w:pPr>
        <w:pStyle w:val="BodyText"/>
      </w:pPr>
      <w:r>
        <w:t xml:space="preserve">The DBT </w:t>
      </w:r>
      <w:r w:rsidR="001C474B">
        <w:t xml:space="preserve">reading </w:t>
      </w:r>
      <w:r>
        <w:t xml:space="preserve">arm had a higher CDR: 8.7 cancers detected per 1000 screening examinations compared to 6.5 cancers detected for the FFDM </w:t>
      </w:r>
      <w:r w:rsidR="001C474B">
        <w:t xml:space="preserve">reading </w:t>
      </w:r>
      <w:r>
        <w:t>arm (</w:t>
      </w:r>
      <w:r w:rsidRPr="00580C48">
        <w:rPr>
          <w:i/>
          <w:iCs/>
        </w:rPr>
        <w:t>p</w:t>
      </w:r>
      <w:r>
        <w:t xml:space="preserve">=.0001). </w:t>
      </w:r>
      <w:r w:rsidR="00870CB9">
        <w:t xml:space="preserve">This resulted in a statistically significant incremental CDR of 2.2 cancers per 1000 screening examinations. </w:t>
      </w:r>
      <w:r w:rsidRPr="00D86CAB">
        <w:t xml:space="preserve">Although the screening strategy and DBT system used in this trial differs from other studies, </w:t>
      </w:r>
      <w:r>
        <w:t xml:space="preserve">final </w:t>
      </w:r>
      <w:r w:rsidRPr="00D86CAB">
        <w:t>results from the Malmö trial confirm the direction of effect for CDR seen in other studies</w:t>
      </w:r>
      <w:r>
        <w:t xml:space="preserve"> and suggest that there is evidence that </w:t>
      </w:r>
      <w:r w:rsidR="00D7726A">
        <w:t xml:space="preserve">different </w:t>
      </w:r>
      <w:r>
        <w:t xml:space="preserve">imaging protocols can </w:t>
      </w:r>
      <w:r w:rsidR="00D7726A">
        <w:t>deliver non-inferior performance compared to FFDM (although non-inferiority testing was not completed for this study).</w:t>
      </w:r>
      <w:r w:rsidRPr="00D86CAB">
        <w:t xml:space="preserve"> </w:t>
      </w:r>
    </w:p>
    <w:p w14:paraId="25A02184" w14:textId="77777777" w:rsidR="005B55DA" w:rsidRDefault="005B55DA" w:rsidP="005A7581">
      <w:pPr>
        <w:pStyle w:val="BodyText"/>
      </w:pPr>
    </w:p>
    <w:p w14:paraId="63399BF9" w14:textId="47BADC05" w:rsidR="005A7581" w:rsidRPr="005A7581" w:rsidRDefault="005A7581" w:rsidP="005A7581">
      <w:pPr>
        <w:sectPr w:rsidR="005A7581" w:rsidRPr="005A7581" w:rsidSect="00676B7A">
          <w:footerReference w:type="even" r:id="rId17"/>
          <w:footerReference w:type="default" r:id="rId18"/>
          <w:pgSz w:w="11907" w:h="16839" w:code="9"/>
          <w:pgMar w:top="1418" w:right="1418" w:bottom="1418" w:left="1418" w:header="964" w:footer="964" w:gutter="0"/>
          <w:cols w:space="708"/>
          <w:docGrid w:linePitch="360"/>
        </w:sectPr>
      </w:pPr>
    </w:p>
    <w:p w14:paraId="2616E4BD" w14:textId="56515F42" w:rsidR="00273248" w:rsidRDefault="00273248" w:rsidP="00273248">
      <w:pPr>
        <w:pStyle w:val="Caption"/>
      </w:pPr>
      <w:r>
        <w:lastRenderedPageBreak/>
        <w:t xml:space="preserve">Table </w:t>
      </w:r>
      <w:r w:rsidR="00EC105D">
        <w:t>9</w:t>
      </w:r>
      <w:r w:rsidR="003A634F">
        <w:t>a</w:t>
      </w:r>
      <w:r>
        <w:t>: DBT+</w:t>
      </w:r>
      <w:r w:rsidR="00176980">
        <w:t>s2DM</w:t>
      </w:r>
      <w:r>
        <w:t xml:space="preserve"> compared to FFDM alone: studies reporting on overall CDR and invasive CDR</w:t>
      </w:r>
    </w:p>
    <w:tbl>
      <w:tblPr>
        <w:tblW w:w="15452" w:type="dxa"/>
        <w:tblInd w:w="-856"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Description w:val="Table 9a shows DBT+s2dm compared to FFDM alone: studies reporting an overall CDR and invasive CDR. The RCT included the study by Hofvind et al. (2019), To-Be-1 (main analysis). The sample of 28,749 women aged 50-69 years participating in BreastScreen Norway (Bergen). For the DBT+s2DM had 14,380 participants and the FFDM alone had 14,369 participants. The study type was single sit RCT of one screening round, imaged on GE SenoClair with independent double reading (n=8 radiologists). The DBT+s2DM CDR per 1000 screening examinations (95%CI; p-value) was 6.6 (5.3, 7.9). The FFDM alone CDR per 1000 screening examinations (95%CI; p-value) was 6.1 (4.4, 7.3). The DBT+s2DM Invasive CDR per 1000 screening examinations (95%CI; p-value) was 5.6 (4.3, 6.8) for Invasive and 1.0 (0.5, 1.6) for DCIS. The FFDM alone Invasive CDR per 1000 screening examinations (95%CI; p=value) was 4.9 (3.8, 6.1; p=47) for invasive and 1.1 (0.6, 1.7; p=86). There was no data for the Incremental detection per 1000 screening examinations (95%CI). Prospective single site pilot trial embedded in a screening program (Maroondah) imaged on Hologic Selenia Dimensions 8000 (+/- C-view software) or Siemens Mammomat Inspiration with independent double reading (n=7 radiologists).&#10;&#10;For prospective studies embedded in population-based screening program, the study by Bernardi et al. (2019) Trento had a sample for DBT+s2DM of 46,343 participants in the Trento (Italy screening) program with the mean age of 57.9 years. For FFDM alone, a historical cohort of 37,436 participants, previously screened in the Trento program with a mean age of 57.9 years. The study type was prospective single site pilot evaluation following the implementation of DBT into the Trento screening program imaged with Hologic systems with independent double reading (n=8 radiologists). The DBT+ s2DM, CDR per 1000 screening examinations (95%CI; p-value) was 8.67. The FFDM alone, CDR per 1000 screening examinations (95%CI; p-value) was 5.48. The DBT+s2DM Invasive CDR per 1000 screening examinations (95%CI; p-value) was 352 cancers for invasive (#) and 50 DCIS (12.47% of cancers detected for DCIS. The FFDM alone Invasive CDR per 1000 screening examinations (95%CI; p=value) was 173 cancers for Invasive (#) and 33 DCIS (16.10% of cancers detected) for DCIS. The Incremental detection per 1000 screening examinations (95%CI) was RR=1.58 (1.34, 1.87).&#10;&#10;The study by Houssami et al (2019) Maroondah had a sample of 10,146 Australian women for the DBT+s2DM there were 4,993 women (5018 screening examinations, with a mean age of 58.0 years. The FFDM alone there were 5,153 women (5,166 screening examinations with a mean age of 62.3 years. The study type was Prospective single site pilot trial embedded in a screening program (Maroondah) imaged on Hologic Selenia Dimensions 8000 (+/- C-view software) or Siemens Mammomat Inspiration with independent double reading (n=7 radiologists). The DBT+ s2DM CDR per 1000 screening examinations (95%CI; p-value) was 9.8 (7.2, 13). The FFDM alone CDR per 1000 screening examinations (95%CI; p-value) was 6.6 (4.6, 9.2). The DBT+s2DM Invasive CDR per 1000 screening examinations (95%CI; p-value) had no CDR data but 40 invasive cancers and nine in-situ cancers detected. The FFDM alone Invasive CDR per 1000 screening examinations (95%CI; p=value) had no CDR data but 30 invasive cancers and four in-situ cancers detected. The Incremental detection per 1000 screening examinations (95%CI) was 3.2 (-0.32, 6.8) more cancers with DBT+s2DM.&#10;&#10;The study by Caumo et al. (2018) Verona had a sample of DBT+s2DM of 16,666 participants in the Verona screening program with a median age of 59.0 years. The FFDM historical cohort of 14,423 women previously screened in the Verona program had a median age of 58.0 years. The study type was a prospective single site pilot evaluation following the implementation of DBT into the Trento screening program imaged with Hologic systems with independent double reading (n=4 radiologists). The DBT+ s2DM CDR per 1000 screening examinations (95%CI; p-value) was 9.30. The FFDM alone CDR per 1000 screening examinations (95%CI; p-value) was 5.41. The DBT+s2DM Invasive CDR per 1000 screening examinations (95%CI; p-value) had 136 cancers for invasive (#) and 19 DCIS (12.3% of cancers detected) for DCIS(#). The FFDM alone Invasive CDR per 1000 screening examinations (95%CI; p=value) was 58 cancers Invasisve (#) and 20 DCIS (25.6% of cancers detected, p=.002). The Incremental detection  per 1000 screening examinations (95%CI) overall was RR=1.72 (1.30, 2.29).&#10;&#10;The study by Hofvind et al. (2018 Norway BSP had a sample for the DBT+s2DM of 37,185 attendees at an Oslo clinic (7,250 had a prevalent screen) with a mean age of 59.2 years For FFDM there were 61,742 attendees at the Vestfold or Vestre Viken clinics (9,517 had a prevalent screen) with a mean age of 59.4 years. The study type was a prospective, multi-site, population-based cohort study imaged on Hologic Dimensions, Siemens Mammomat Inspirations or GE SenoEssential units with independent double reading (n=24 radiologists). The DBT+ s2DM CDR per 1000 screening examinations (95%CI; p-value) was 9.4. The FFDM alone CDR per 1000 screening examinations (95%CI; p-value) was 6.1 (p&lt;.001).  The DBT+s2DM Invasive CDR per 1000 screening examinations (95%CI; p-value) had 348 total cancers, 7.6 invasive and 1.7 DCIS. The FFDM alone Invasive CDR per 1000 screening examinations (95%CI; p=value) had 379 total cancers. 5.8 (p&lt;.001) invasive and 0.8 (p&lt;.001) DCIS. The Incremental detection per 1000 screening examinations (95%CI) had no data but authors observed statistically significant increases. &#10;&#10;The study by Romero Mart et al. (2018) Cordoba had a sample of 16,067 women in Cordoba Screening Program (Spain), aged between 57 and 59 years undergoing FFDM+DBT with s2DM images. 3,341 women attending for prevalent screening, 12,727 for incident screening. The study type was prospective transversal reading study comparing single and double reading of FFDM, DBT+s2DM (single read) and FFDM+DBT+s2DM (single read), imaged on Hologic Dimensions unit; n=5 radiologists. The DBT+ s2DM CDR per 1000 screening examinations (95%CI; p-value was 5.4 (69 cancers detected: (18 only detected with this reading). The FFDM alone CDR per 1000 screening examinations (95%CI; p-value) was 4.7 (69 cancers detected, seven only detected with this reading). The DBT+s2DM Invasive CDR per 1000 screening examinations (95%CI; p-value) was 71 invasive cancers (no CDR prepared), 21 in-situ cancers (no CDR prepared). The FFDM alone Invasive CDR per 1000 screening examinations (95%CI; p=value) was 57 invasive cancers (no CDR prepared), (p=100) 19 in-situ cancers (no CDR prepared), (p=.774). The Incremental detection per 1000 screening examinations (95%CI) was 12.6% (7.2, 21.2; p=.043).&#10;&#10;For retrospective analysis had the study by Hovda et al. (2019) Norway BSP and the sample was 35,736 women with at least two consecutive screens in the Oslo BreastScreen Norway program. Groups included FFDM then FFDM (n=10,502) compared to FFDM then FFDM+DBT (n=8,365) plus FFSDM then DBT+s2DM (n=13,059) (total in DBT arm = 21424). The study type was a Retrospective paired analysis of screening round data (first round was negative at screening or assessment; second round could be negative or positive) using Hologic Dimensions and GE Senographe systems with independent double reading. The DBT+ s2DM CDR per 1000 screening examinations (95%CI; p-value) was 9.9. The FFDM alone CDR per 1000 screening examinations (95%CI; p-value) was 4.6 (p&lt;.001). The DBT+s2DM Invasive CDR per 1000 screening examinations (95%CI; p-value) was 8.4 Invasive and 1.6 DCIS. The FFDM alone Invasive CDR per 1000 screening examinations (95%CI; p=value) was 3.7 invasive and 0.9 (p=.001). There was no data for Incremental detection per 1000 screening examinations (95%CI)."/>
      </w:tblPr>
      <w:tblGrid>
        <w:gridCol w:w="1081"/>
        <w:gridCol w:w="2833"/>
        <w:gridCol w:w="2833"/>
        <w:gridCol w:w="1741"/>
        <w:gridCol w:w="1741"/>
        <w:gridCol w:w="1741"/>
        <w:gridCol w:w="1741"/>
        <w:gridCol w:w="1741"/>
      </w:tblGrid>
      <w:tr w:rsidR="00DE2F1E" w:rsidRPr="00E44152" w14:paraId="75037C92" w14:textId="77777777" w:rsidTr="00DE2F1E">
        <w:trPr>
          <w:trHeight w:val="1003"/>
          <w:tblHeader/>
        </w:trPr>
        <w:tc>
          <w:tcPr>
            <w:tcW w:w="1081" w:type="dxa"/>
            <w:shd w:val="clear" w:color="auto" w:fill="77B800" w:themeFill="background2"/>
          </w:tcPr>
          <w:p w14:paraId="5751EB25" w14:textId="77777777" w:rsidR="00DE2F1E" w:rsidRDefault="00DE2F1E" w:rsidP="004E1897">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b/>
                <w:color w:val="FFFFFF" w:themeColor="background1"/>
                <w:sz w:val="18"/>
                <w:szCs w:val="18"/>
              </w:rPr>
              <w:t>Study</w:t>
            </w:r>
          </w:p>
          <w:p w14:paraId="7CB6C507" w14:textId="77777777" w:rsidR="00DE2F1E" w:rsidRPr="00C22ADE" w:rsidRDefault="00DE2F1E" w:rsidP="004E1897">
            <w:pPr>
              <w:jc w:val="center"/>
            </w:pPr>
          </w:p>
        </w:tc>
        <w:tc>
          <w:tcPr>
            <w:tcW w:w="2833" w:type="dxa"/>
            <w:shd w:val="clear" w:color="auto" w:fill="77B800" w:themeFill="background2"/>
          </w:tcPr>
          <w:p w14:paraId="0AB18E8A" w14:textId="77777777" w:rsidR="00DE2F1E" w:rsidRPr="00C75EDC" w:rsidRDefault="00DE2F1E" w:rsidP="004E1897">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Sample</w:t>
            </w:r>
          </w:p>
        </w:tc>
        <w:tc>
          <w:tcPr>
            <w:tcW w:w="2833" w:type="dxa"/>
            <w:shd w:val="clear" w:color="auto" w:fill="77B800" w:themeFill="background2"/>
          </w:tcPr>
          <w:p w14:paraId="58B5F44F" w14:textId="77777777" w:rsidR="00DE2F1E" w:rsidRPr="00C75EDC" w:rsidRDefault="00DE2F1E" w:rsidP="004E1897">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Study type</w:t>
            </w:r>
          </w:p>
        </w:tc>
        <w:tc>
          <w:tcPr>
            <w:tcW w:w="1741" w:type="dxa"/>
            <w:shd w:val="clear" w:color="auto" w:fill="77B800" w:themeFill="background2"/>
          </w:tcPr>
          <w:p w14:paraId="576A7308" w14:textId="0D9A370E" w:rsidR="00DE2F1E" w:rsidRPr="00E44152" w:rsidRDefault="00DE2F1E" w:rsidP="004E1897">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DBT</w:t>
            </w:r>
            <w:r>
              <w:rPr>
                <w:rFonts w:asciiTheme="majorHAnsi" w:hAnsiTheme="majorHAnsi" w:cstheme="majorHAnsi"/>
                <w:b/>
                <w:color w:val="FFFFFF" w:themeColor="background1"/>
                <w:sz w:val="18"/>
                <w:szCs w:val="18"/>
              </w:rPr>
              <w:t xml:space="preserve">+ </w:t>
            </w:r>
            <w:r w:rsidR="00176980">
              <w:rPr>
                <w:rFonts w:asciiTheme="majorHAnsi" w:hAnsiTheme="majorHAnsi" w:cstheme="majorHAnsi"/>
                <w:b/>
                <w:color w:val="FFFFFF" w:themeColor="background1"/>
                <w:sz w:val="18"/>
                <w:szCs w:val="18"/>
              </w:rPr>
              <w:t>s2DM</w:t>
            </w:r>
          </w:p>
          <w:p w14:paraId="29CBEF2C" w14:textId="77777777" w:rsidR="00DE2F1E" w:rsidRPr="00E44152" w:rsidRDefault="00DE2F1E" w:rsidP="004E1897">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741" w:type="dxa"/>
            <w:shd w:val="clear" w:color="auto" w:fill="77B800" w:themeFill="background2"/>
          </w:tcPr>
          <w:p w14:paraId="161D408C" w14:textId="77777777" w:rsidR="00DE2F1E" w:rsidRPr="00E44152" w:rsidRDefault="00DE2F1E" w:rsidP="004E1897">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7B41EFAF" w14:textId="77777777" w:rsidR="00DE2F1E" w:rsidRPr="00E44152" w:rsidRDefault="00DE2F1E" w:rsidP="004E1897">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741" w:type="dxa"/>
            <w:shd w:val="clear" w:color="auto" w:fill="77B800" w:themeFill="background2"/>
          </w:tcPr>
          <w:p w14:paraId="2B94F417" w14:textId="36BF2B5A" w:rsidR="00DE2F1E" w:rsidRDefault="00DE2F1E" w:rsidP="004E1897">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DBT+</w:t>
            </w:r>
            <w:r w:rsidR="00176980">
              <w:rPr>
                <w:rFonts w:asciiTheme="majorHAnsi" w:hAnsiTheme="majorHAnsi" w:cstheme="majorHAnsi"/>
                <w:b/>
                <w:color w:val="FFFFFF" w:themeColor="background1"/>
                <w:sz w:val="18"/>
                <w:szCs w:val="18"/>
              </w:rPr>
              <w:t>s2DM</w:t>
            </w:r>
          </w:p>
          <w:p w14:paraId="0C64DA9E" w14:textId="77777777" w:rsidR="00DE2F1E" w:rsidRPr="00E44152" w:rsidRDefault="00DE2F1E" w:rsidP="004E1897">
            <w:pPr>
              <w:pStyle w:val="BodyText"/>
              <w:spacing w:before="0" w:after="0" w:line="240" w:lineRule="auto"/>
              <w:jc w:val="center"/>
              <w:rPr>
                <w:rFonts w:asciiTheme="majorHAnsi" w:hAnsiTheme="majorHAnsi" w:cstheme="majorHAnsi"/>
                <w:color w:val="FFFFFF" w:themeColor="background1"/>
                <w:sz w:val="16"/>
                <w:szCs w:val="16"/>
              </w:rPr>
            </w:pPr>
            <w:r w:rsidRPr="00E44152">
              <w:rPr>
                <w:rFonts w:asciiTheme="majorHAnsi" w:hAnsiTheme="majorHAnsi" w:cstheme="majorHAnsi"/>
                <w:color w:val="FFFFFF" w:themeColor="background1"/>
                <w:sz w:val="16"/>
                <w:szCs w:val="16"/>
              </w:rPr>
              <w:t>Invasive CDR per 1000 screening examinations</w:t>
            </w:r>
          </w:p>
          <w:p w14:paraId="1423A516" w14:textId="77777777" w:rsidR="00DE2F1E" w:rsidRPr="00E44152" w:rsidRDefault="00DE2F1E" w:rsidP="004E1897">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color w:val="FFFFFF" w:themeColor="background1"/>
                <w:sz w:val="16"/>
                <w:szCs w:val="16"/>
              </w:rPr>
              <w:t>(95%CI; p-value)</w:t>
            </w:r>
          </w:p>
        </w:tc>
        <w:tc>
          <w:tcPr>
            <w:tcW w:w="1741" w:type="dxa"/>
            <w:shd w:val="clear" w:color="auto" w:fill="77B800" w:themeFill="background2"/>
          </w:tcPr>
          <w:p w14:paraId="7823C63C" w14:textId="77777777" w:rsidR="00DE2F1E" w:rsidRPr="00E44152" w:rsidRDefault="00DE2F1E" w:rsidP="004E1897">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0F78F0A6" w14:textId="77777777" w:rsidR="00DE2F1E" w:rsidRPr="00E44152" w:rsidRDefault="00DE2F1E" w:rsidP="004E1897">
            <w:pPr>
              <w:pStyle w:val="BodyText"/>
              <w:spacing w:before="0" w:after="0" w:line="240" w:lineRule="auto"/>
              <w:jc w:val="center"/>
              <w:rPr>
                <w:rFonts w:asciiTheme="majorHAnsi" w:hAnsiTheme="majorHAnsi" w:cstheme="majorHAnsi"/>
                <w:color w:val="FFFFFF" w:themeColor="background1"/>
                <w:sz w:val="16"/>
                <w:szCs w:val="16"/>
              </w:rPr>
            </w:pPr>
            <w:r w:rsidRPr="00E44152">
              <w:rPr>
                <w:rFonts w:asciiTheme="majorHAnsi" w:hAnsiTheme="majorHAnsi" w:cstheme="majorHAnsi"/>
                <w:color w:val="FFFFFF" w:themeColor="background1"/>
                <w:sz w:val="16"/>
                <w:szCs w:val="16"/>
              </w:rPr>
              <w:t>Invasive CDR per 1000 screening examinations</w:t>
            </w:r>
          </w:p>
          <w:p w14:paraId="2DB4C5BB" w14:textId="77777777" w:rsidR="00DE2F1E" w:rsidRPr="00E44152" w:rsidRDefault="00DE2F1E" w:rsidP="004E1897">
            <w:pPr>
              <w:pStyle w:val="BodyText"/>
              <w:spacing w:before="0" w:after="0" w:line="240" w:lineRule="auto"/>
              <w:jc w:val="center"/>
              <w:rPr>
                <w:rFonts w:asciiTheme="majorHAnsi" w:hAnsiTheme="majorHAnsi" w:cstheme="majorHAnsi"/>
                <w:color w:val="FFFFFF" w:themeColor="background1"/>
                <w:sz w:val="18"/>
                <w:szCs w:val="18"/>
              </w:rPr>
            </w:pPr>
            <w:r w:rsidRPr="00E44152">
              <w:rPr>
                <w:rFonts w:asciiTheme="majorHAnsi" w:hAnsiTheme="majorHAnsi" w:cstheme="majorHAnsi"/>
                <w:color w:val="FFFFFF" w:themeColor="background1"/>
                <w:sz w:val="16"/>
                <w:szCs w:val="16"/>
              </w:rPr>
              <w:t>(95%CI; p=value)</w:t>
            </w:r>
          </w:p>
        </w:tc>
        <w:tc>
          <w:tcPr>
            <w:tcW w:w="1741" w:type="dxa"/>
            <w:shd w:val="clear" w:color="auto" w:fill="77B800" w:themeFill="background2"/>
          </w:tcPr>
          <w:p w14:paraId="0B125DF8" w14:textId="77777777" w:rsidR="00DE2F1E" w:rsidRDefault="00DE2F1E" w:rsidP="004E1897">
            <w:pPr>
              <w:pStyle w:val="BodyText"/>
              <w:spacing w:before="0" w:after="0" w:line="240" w:lineRule="auto"/>
              <w:jc w:val="center"/>
              <w:rPr>
                <w:rFonts w:asciiTheme="majorHAnsi" w:hAnsiTheme="majorHAnsi" w:cstheme="majorHAnsi"/>
                <w:color w:val="FFFFFF" w:themeColor="background1"/>
                <w:sz w:val="18"/>
                <w:szCs w:val="18"/>
              </w:rPr>
            </w:pPr>
            <w:r w:rsidRPr="00C00388">
              <w:rPr>
                <w:rFonts w:asciiTheme="majorHAnsi" w:hAnsiTheme="majorHAnsi" w:cstheme="majorHAnsi"/>
                <w:b/>
                <w:color w:val="FFFFFF" w:themeColor="background1"/>
                <w:sz w:val="18"/>
                <w:szCs w:val="18"/>
              </w:rPr>
              <w:t>Incremental detection</w:t>
            </w:r>
            <w:r w:rsidRPr="00E44152">
              <w:rPr>
                <w:rFonts w:asciiTheme="majorHAnsi" w:hAnsiTheme="majorHAnsi" w:cstheme="majorHAnsi"/>
                <w:color w:val="FFFFFF" w:themeColor="background1"/>
                <w:sz w:val="18"/>
                <w:szCs w:val="18"/>
              </w:rPr>
              <w:t xml:space="preserve"> </w:t>
            </w:r>
          </w:p>
          <w:p w14:paraId="5AABAE10" w14:textId="77777777" w:rsidR="00DE2F1E" w:rsidRPr="00CF17DA" w:rsidRDefault="00DE2F1E" w:rsidP="004E1897">
            <w:pPr>
              <w:pStyle w:val="BodyText"/>
              <w:spacing w:before="0" w:after="0" w:line="240" w:lineRule="auto"/>
              <w:jc w:val="center"/>
              <w:rPr>
                <w:rFonts w:asciiTheme="majorHAnsi" w:hAnsiTheme="majorHAnsi" w:cstheme="majorHAnsi"/>
                <w:color w:val="FFFFFF" w:themeColor="background1"/>
                <w:sz w:val="16"/>
                <w:szCs w:val="16"/>
              </w:rPr>
            </w:pPr>
            <w:r w:rsidRPr="00CF17DA">
              <w:rPr>
                <w:rFonts w:asciiTheme="majorHAnsi" w:hAnsiTheme="majorHAnsi" w:cstheme="majorHAnsi"/>
                <w:color w:val="FFFFFF" w:themeColor="background1"/>
                <w:sz w:val="16"/>
                <w:szCs w:val="16"/>
              </w:rPr>
              <w:t>per 1000 screening examinations</w:t>
            </w:r>
          </w:p>
          <w:p w14:paraId="074173C8" w14:textId="77777777" w:rsidR="00DE2F1E" w:rsidRPr="00E44152" w:rsidRDefault="00DE2F1E" w:rsidP="004E1897">
            <w:pPr>
              <w:pStyle w:val="BodyText"/>
              <w:spacing w:before="0" w:after="0" w:line="240" w:lineRule="auto"/>
              <w:jc w:val="center"/>
              <w:rPr>
                <w:rFonts w:asciiTheme="majorHAnsi" w:hAnsiTheme="majorHAnsi" w:cstheme="majorHAnsi"/>
                <w:color w:val="FFFFFF" w:themeColor="background1"/>
                <w:sz w:val="18"/>
                <w:szCs w:val="18"/>
              </w:rPr>
            </w:pPr>
            <w:r w:rsidRPr="00E44152">
              <w:rPr>
                <w:rFonts w:asciiTheme="majorHAnsi" w:hAnsiTheme="majorHAnsi" w:cstheme="majorHAnsi"/>
                <w:color w:val="FFFFFF" w:themeColor="background1"/>
                <w:sz w:val="18"/>
                <w:szCs w:val="18"/>
              </w:rPr>
              <w:t>(95%CI)</w:t>
            </w:r>
          </w:p>
        </w:tc>
      </w:tr>
      <w:tr w:rsidR="00DE2F1E" w:rsidRPr="00E44152" w14:paraId="035A4490" w14:textId="77777777" w:rsidTr="00DE2F1E">
        <w:trPr>
          <w:trHeight w:val="288"/>
        </w:trPr>
        <w:tc>
          <w:tcPr>
            <w:tcW w:w="15452" w:type="dxa"/>
            <w:gridSpan w:val="8"/>
            <w:shd w:val="clear" w:color="auto" w:fill="auto"/>
          </w:tcPr>
          <w:p w14:paraId="502DAD32" w14:textId="077A092B" w:rsidR="00DE2F1E" w:rsidRPr="00C00388" w:rsidRDefault="005C101D" w:rsidP="004E1897">
            <w:pPr>
              <w:pStyle w:val="BodyText"/>
              <w:spacing w:before="0" w:after="0" w:line="240" w:lineRule="auto"/>
              <w:jc w:val="left"/>
              <w:rPr>
                <w:rFonts w:asciiTheme="majorHAnsi" w:hAnsiTheme="majorHAnsi" w:cstheme="majorHAnsi"/>
                <w:b/>
                <w:color w:val="FFFFFF" w:themeColor="background1"/>
                <w:sz w:val="18"/>
                <w:szCs w:val="18"/>
              </w:rPr>
            </w:pPr>
            <w:r>
              <w:rPr>
                <w:rFonts w:asciiTheme="majorHAnsi" w:hAnsiTheme="majorHAnsi" w:cstheme="majorHAnsi"/>
                <w:b/>
                <w:sz w:val="18"/>
                <w:szCs w:val="18"/>
              </w:rPr>
              <w:t>RCT</w:t>
            </w:r>
          </w:p>
        </w:tc>
      </w:tr>
      <w:tr w:rsidR="00DE2F1E" w:rsidRPr="00E91156" w14:paraId="677A4926" w14:textId="77777777" w:rsidTr="00DE2F1E">
        <w:trPr>
          <w:trHeight w:val="1003"/>
        </w:trPr>
        <w:tc>
          <w:tcPr>
            <w:tcW w:w="1081" w:type="dxa"/>
            <w:shd w:val="clear" w:color="auto" w:fill="auto"/>
          </w:tcPr>
          <w:p w14:paraId="6DC684CF" w14:textId="77777777" w:rsidR="00DE2F1E" w:rsidRPr="00E91156" w:rsidRDefault="00DE2F1E" w:rsidP="004E1897">
            <w:pPr>
              <w:pStyle w:val="BodyText-GREEN"/>
              <w:spacing w:before="0" w:after="0" w:line="240" w:lineRule="auto"/>
              <w:rPr>
                <w:rFonts w:asciiTheme="majorHAnsi" w:hAnsiTheme="majorHAnsi" w:cstheme="majorHAnsi"/>
                <w:color w:val="auto"/>
                <w:sz w:val="18"/>
                <w:szCs w:val="18"/>
              </w:rPr>
            </w:pPr>
            <w:r w:rsidRPr="00E91156">
              <w:rPr>
                <w:rFonts w:asciiTheme="majorHAnsi" w:hAnsiTheme="majorHAnsi" w:cstheme="majorHAnsi"/>
                <w:color w:val="auto"/>
                <w:sz w:val="18"/>
                <w:szCs w:val="18"/>
              </w:rPr>
              <w:t>Hofvind et al. (2019)</w:t>
            </w:r>
          </w:p>
          <w:p w14:paraId="4F44C5FA" w14:textId="77777777" w:rsidR="00DE2F1E" w:rsidRDefault="00815FC2" w:rsidP="004E1897">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To-Be-1</w:t>
            </w:r>
            <w:r w:rsidR="00DE2F1E" w:rsidRPr="00E91156">
              <w:rPr>
                <w:rFonts w:asciiTheme="majorHAnsi" w:hAnsiTheme="majorHAnsi" w:cstheme="majorHAnsi"/>
                <w:sz w:val="18"/>
                <w:szCs w:val="18"/>
              </w:rPr>
              <w:t xml:space="preserve"> </w:t>
            </w:r>
          </w:p>
          <w:p w14:paraId="73E1FBF2" w14:textId="2F976C01" w:rsidR="000C5381" w:rsidRPr="00E91156" w:rsidRDefault="000C5381"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sz w:val="18"/>
                <w:szCs w:val="18"/>
              </w:rPr>
              <w:t>(main analysis)</w:t>
            </w:r>
          </w:p>
        </w:tc>
        <w:tc>
          <w:tcPr>
            <w:tcW w:w="2833" w:type="dxa"/>
            <w:shd w:val="clear" w:color="auto" w:fill="auto"/>
          </w:tcPr>
          <w:p w14:paraId="3F8B71C5" w14:textId="71DD1A52" w:rsidR="00DE2F1E" w:rsidRPr="00E91156" w:rsidRDefault="00DE2F1E" w:rsidP="004E1897">
            <w:pPr>
              <w:pStyle w:val="BodyText-GREEN"/>
              <w:spacing w:before="0" w:after="0" w:line="240" w:lineRule="auto"/>
              <w:rPr>
                <w:rFonts w:asciiTheme="majorHAnsi" w:hAnsiTheme="majorHAnsi" w:cstheme="majorHAnsi"/>
                <w:color w:val="auto"/>
                <w:sz w:val="18"/>
                <w:szCs w:val="18"/>
              </w:rPr>
            </w:pPr>
            <w:r w:rsidRPr="00E91156">
              <w:rPr>
                <w:rFonts w:asciiTheme="majorHAnsi" w:hAnsiTheme="majorHAnsi" w:cstheme="majorHAnsi"/>
                <w:color w:val="auto"/>
                <w:sz w:val="18"/>
                <w:szCs w:val="18"/>
              </w:rPr>
              <w:t>28,749 women  aged 50-69y participating in BreastScreen Norway</w:t>
            </w:r>
            <w:r w:rsidR="008132C6">
              <w:rPr>
                <w:rFonts w:asciiTheme="majorHAnsi" w:hAnsiTheme="majorHAnsi" w:cstheme="majorHAnsi"/>
                <w:color w:val="auto"/>
                <w:sz w:val="18"/>
                <w:szCs w:val="18"/>
              </w:rPr>
              <w:t xml:space="preserve"> (Bergen)</w:t>
            </w:r>
          </w:p>
          <w:p w14:paraId="639859F9" w14:textId="0EC1AC4B" w:rsidR="00DE2F1E" w:rsidRPr="00E91156" w:rsidRDefault="00DE2F1E" w:rsidP="004E1897">
            <w:pPr>
              <w:pStyle w:val="BodyText-GREEN"/>
              <w:spacing w:before="0" w:after="0" w:line="240" w:lineRule="auto"/>
              <w:rPr>
                <w:rFonts w:asciiTheme="majorHAnsi" w:hAnsiTheme="majorHAnsi" w:cstheme="majorHAnsi"/>
                <w:color w:val="auto"/>
                <w:sz w:val="18"/>
                <w:szCs w:val="18"/>
              </w:rPr>
            </w:pPr>
            <w:r w:rsidRPr="00E91156">
              <w:rPr>
                <w:rFonts w:asciiTheme="majorHAnsi" w:hAnsiTheme="majorHAnsi" w:cstheme="majorHAnsi"/>
                <w:color w:val="auto"/>
                <w:sz w:val="18"/>
                <w:szCs w:val="18"/>
              </w:rPr>
              <w:t>DBT+</w:t>
            </w:r>
            <w:r w:rsidR="00176980">
              <w:rPr>
                <w:rFonts w:asciiTheme="majorHAnsi" w:hAnsiTheme="majorHAnsi" w:cstheme="majorHAnsi"/>
                <w:color w:val="auto"/>
                <w:sz w:val="18"/>
                <w:szCs w:val="18"/>
              </w:rPr>
              <w:t>s2DM</w:t>
            </w:r>
            <w:r w:rsidRPr="00E91156">
              <w:rPr>
                <w:rFonts w:asciiTheme="majorHAnsi" w:hAnsiTheme="majorHAnsi" w:cstheme="majorHAnsi"/>
                <w:color w:val="auto"/>
                <w:sz w:val="18"/>
                <w:szCs w:val="18"/>
              </w:rPr>
              <w:t>: 14,380</w:t>
            </w:r>
          </w:p>
          <w:p w14:paraId="66C08344" w14:textId="77777777" w:rsidR="00DE2F1E" w:rsidRPr="00E91156" w:rsidRDefault="00DE2F1E" w:rsidP="004E1897">
            <w:pPr>
              <w:pStyle w:val="BodyText"/>
              <w:spacing w:before="0" w:after="0" w:line="240" w:lineRule="auto"/>
              <w:jc w:val="left"/>
              <w:rPr>
                <w:rFonts w:asciiTheme="majorHAnsi" w:hAnsiTheme="majorHAnsi" w:cstheme="majorHAnsi"/>
                <w:bCs/>
                <w:sz w:val="18"/>
                <w:szCs w:val="18"/>
              </w:rPr>
            </w:pPr>
            <w:r w:rsidRPr="00E91156">
              <w:rPr>
                <w:rFonts w:asciiTheme="majorHAnsi" w:hAnsiTheme="majorHAnsi" w:cstheme="majorHAnsi"/>
                <w:sz w:val="18"/>
                <w:szCs w:val="18"/>
              </w:rPr>
              <w:t>FFDM</w:t>
            </w:r>
            <w:r>
              <w:rPr>
                <w:rFonts w:asciiTheme="majorHAnsi" w:hAnsiTheme="majorHAnsi" w:cstheme="majorHAnsi"/>
                <w:sz w:val="18"/>
                <w:szCs w:val="18"/>
              </w:rPr>
              <w:t xml:space="preserve"> alone</w:t>
            </w:r>
            <w:r w:rsidRPr="00E91156">
              <w:rPr>
                <w:rFonts w:asciiTheme="majorHAnsi" w:hAnsiTheme="majorHAnsi" w:cstheme="majorHAnsi"/>
                <w:sz w:val="18"/>
                <w:szCs w:val="18"/>
              </w:rPr>
              <w:t>: 14,369</w:t>
            </w:r>
          </w:p>
        </w:tc>
        <w:tc>
          <w:tcPr>
            <w:tcW w:w="2833" w:type="dxa"/>
            <w:shd w:val="clear" w:color="auto" w:fill="auto"/>
          </w:tcPr>
          <w:p w14:paraId="0278B16E" w14:textId="53818F99" w:rsidR="00DE2F1E" w:rsidRPr="00E91156" w:rsidRDefault="00AE2276"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sz w:val="18"/>
                <w:szCs w:val="18"/>
              </w:rPr>
              <w:t xml:space="preserve">Single site </w:t>
            </w:r>
            <w:r w:rsidR="00DE2F1E" w:rsidRPr="00E91156">
              <w:rPr>
                <w:rFonts w:asciiTheme="majorHAnsi" w:hAnsiTheme="majorHAnsi" w:cstheme="majorHAnsi"/>
                <w:sz w:val="18"/>
                <w:szCs w:val="18"/>
              </w:rPr>
              <w:t>RCT</w:t>
            </w:r>
            <w:r>
              <w:rPr>
                <w:rFonts w:asciiTheme="majorHAnsi" w:hAnsiTheme="majorHAnsi" w:cstheme="majorHAnsi"/>
                <w:sz w:val="18"/>
                <w:szCs w:val="18"/>
              </w:rPr>
              <w:t xml:space="preserve"> </w:t>
            </w:r>
            <w:r w:rsidR="00DE2F1E" w:rsidRPr="00E91156">
              <w:rPr>
                <w:rFonts w:asciiTheme="majorHAnsi" w:hAnsiTheme="majorHAnsi" w:cstheme="majorHAnsi"/>
                <w:sz w:val="18"/>
                <w:szCs w:val="18"/>
              </w:rPr>
              <w:t>of one screening round, imaged on GE Seno</w:t>
            </w:r>
            <w:r w:rsidR="00285D7E">
              <w:rPr>
                <w:rFonts w:asciiTheme="majorHAnsi" w:hAnsiTheme="majorHAnsi" w:cstheme="majorHAnsi"/>
                <w:sz w:val="18"/>
                <w:szCs w:val="18"/>
              </w:rPr>
              <w:t>C</w:t>
            </w:r>
            <w:r w:rsidR="00DE2F1E" w:rsidRPr="00E91156">
              <w:rPr>
                <w:rFonts w:asciiTheme="majorHAnsi" w:hAnsiTheme="majorHAnsi" w:cstheme="majorHAnsi"/>
                <w:sz w:val="18"/>
                <w:szCs w:val="18"/>
              </w:rPr>
              <w:t>lair</w:t>
            </w:r>
            <w:r w:rsidR="00285D7E">
              <w:rPr>
                <w:rFonts w:asciiTheme="majorHAnsi" w:hAnsiTheme="majorHAnsi" w:cstheme="majorHAnsi"/>
                <w:sz w:val="18"/>
                <w:szCs w:val="18"/>
              </w:rPr>
              <w:t xml:space="preserve"> </w:t>
            </w:r>
            <w:r w:rsidR="00DE2F1E">
              <w:rPr>
                <w:rFonts w:asciiTheme="majorHAnsi" w:hAnsiTheme="majorHAnsi" w:cstheme="majorHAnsi"/>
                <w:sz w:val="18"/>
                <w:szCs w:val="18"/>
              </w:rPr>
              <w:t xml:space="preserve">with </w:t>
            </w:r>
            <w:r w:rsidR="000B6706">
              <w:rPr>
                <w:rFonts w:asciiTheme="majorHAnsi" w:hAnsiTheme="majorHAnsi" w:cstheme="majorHAnsi"/>
                <w:sz w:val="18"/>
                <w:szCs w:val="18"/>
              </w:rPr>
              <w:t xml:space="preserve">independent </w:t>
            </w:r>
            <w:r w:rsidR="00DE2F1E" w:rsidRPr="00E91156">
              <w:rPr>
                <w:rFonts w:asciiTheme="majorHAnsi" w:hAnsiTheme="majorHAnsi" w:cstheme="majorHAnsi"/>
                <w:sz w:val="18"/>
                <w:szCs w:val="18"/>
              </w:rPr>
              <w:t>double reading</w:t>
            </w:r>
            <w:r w:rsidR="008132C6">
              <w:rPr>
                <w:rFonts w:asciiTheme="majorHAnsi" w:hAnsiTheme="majorHAnsi" w:cstheme="majorHAnsi"/>
                <w:sz w:val="18"/>
                <w:szCs w:val="18"/>
              </w:rPr>
              <w:t xml:space="preserve"> (n=8 radiologists)</w:t>
            </w:r>
          </w:p>
        </w:tc>
        <w:tc>
          <w:tcPr>
            <w:tcW w:w="1741" w:type="dxa"/>
            <w:shd w:val="clear" w:color="auto" w:fill="auto"/>
          </w:tcPr>
          <w:p w14:paraId="6B3B87C0" w14:textId="17D061C4" w:rsidR="00DE2F1E" w:rsidRPr="00E91156"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6.6 (5.3</w:t>
            </w:r>
            <w:r w:rsidR="004F6A90">
              <w:rPr>
                <w:rFonts w:asciiTheme="majorHAnsi" w:hAnsiTheme="majorHAnsi" w:cstheme="majorHAnsi"/>
                <w:bCs/>
                <w:sz w:val="18"/>
                <w:szCs w:val="18"/>
              </w:rPr>
              <w:t xml:space="preserve">, </w:t>
            </w:r>
            <w:r>
              <w:rPr>
                <w:rFonts w:asciiTheme="majorHAnsi" w:hAnsiTheme="majorHAnsi" w:cstheme="majorHAnsi"/>
                <w:bCs/>
                <w:sz w:val="18"/>
                <w:szCs w:val="18"/>
              </w:rPr>
              <w:t>7.9)</w:t>
            </w:r>
          </w:p>
        </w:tc>
        <w:tc>
          <w:tcPr>
            <w:tcW w:w="1741" w:type="dxa"/>
            <w:shd w:val="clear" w:color="auto" w:fill="auto"/>
          </w:tcPr>
          <w:p w14:paraId="05807D4F" w14:textId="5EC7D5F6" w:rsidR="00DE2F1E" w:rsidRPr="00E91156"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6.1 (4.4</w:t>
            </w:r>
            <w:r w:rsidR="004F6A90">
              <w:rPr>
                <w:rFonts w:asciiTheme="majorHAnsi" w:hAnsiTheme="majorHAnsi" w:cstheme="majorHAnsi"/>
                <w:bCs/>
                <w:sz w:val="18"/>
                <w:szCs w:val="18"/>
              </w:rPr>
              <w:t xml:space="preserve">, </w:t>
            </w:r>
            <w:r>
              <w:rPr>
                <w:rFonts w:asciiTheme="majorHAnsi" w:hAnsiTheme="majorHAnsi" w:cstheme="majorHAnsi"/>
                <w:bCs/>
                <w:sz w:val="18"/>
                <w:szCs w:val="18"/>
              </w:rPr>
              <w:t>7.3)</w:t>
            </w:r>
          </w:p>
        </w:tc>
        <w:tc>
          <w:tcPr>
            <w:tcW w:w="1741" w:type="dxa"/>
            <w:shd w:val="clear" w:color="auto" w:fill="auto"/>
          </w:tcPr>
          <w:p w14:paraId="2D53F0B4" w14:textId="77777777" w:rsidR="00DE2F1E" w:rsidRPr="00E91156" w:rsidRDefault="00DE2F1E" w:rsidP="004E1897">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w:t>
            </w:r>
          </w:p>
          <w:p w14:paraId="0845FB4A" w14:textId="5F9CE3CB"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5.6 (4.3</w:t>
            </w:r>
            <w:r w:rsidR="004F6A90">
              <w:rPr>
                <w:rFonts w:asciiTheme="majorHAnsi" w:hAnsiTheme="majorHAnsi" w:cstheme="majorHAnsi"/>
                <w:bCs/>
                <w:sz w:val="18"/>
                <w:szCs w:val="18"/>
              </w:rPr>
              <w:t xml:space="preserve">, </w:t>
            </w:r>
            <w:r>
              <w:rPr>
                <w:rFonts w:asciiTheme="majorHAnsi" w:hAnsiTheme="majorHAnsi" w:cstheme="majorHAnsi"/>
                <w:bCs/>
                <w:sz w:val="18"/>
                <w:szCs w:val="18"/>
              </w:rPr>
              <w:t>6.8)</w:t>
            </w:r>
          </w:p>
          <w:p w14:paraId="7FC60DCF" w14:textId="77777777" w:rsidR="00DE2F1E" w:rsidRDefault="00DE2F1E" w:rsidP="004E1897">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DCIS</w:t>
            </w:r>
          </w:p>
          <w:p w14:paraId="6C0CCCC9" w14:textId="4566B516" w:rsidR="00DE2F1E" w:rsidRPr="00E91156"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1.0 (0.5</w:t>
            </w:r>
            <w:r w:rsidR="004F6A90">
              <w:rPr>
                <w:rFonts w:asciiTheme="majorHAnsi" w:hAnsiTheme="majorHAnsi" w:cstheme="majorHAnsi"/>
                <w:bCs/>
                <w:sz w:val="18"/>
                <w:szCs w:val="18"/>
              </w:rPr>
              <w:t xml:space="preserve">, </w:t>
            </w:r>
            <w:r>
              <w:rPr>
                <w:rFonts w:asciiTheme="majorHAnsi" w:hAnsiTheme="majorHAnsi" w:cstheme="majorHAnsi"/>
                <w:bCs/>
                <w:sz w:val="18"/>
                <w:szCs w:val="18"/>
              </w:rPr>
              <w:t>1.6)</w:t>
            </w:r>
          </w:p>
        </w:tc>
        <w:tc>
          <w:tcPr>
            <w:tcW w:w="1741" w:type="dxa"/>
            <w:shd w:val="clear" w:color="auto" w:fill="auto"/>
          </w:tcPr>
          <w:p w14:paraId="5B1361B2" w14:textId="77777777" w:rsidR="00DE2F1E" w:rsidRPr="00E91156" w:rsidRDefault="00DE2F1E" w:rsidP="004E1897">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w:t>
            </w:r>
          </w:p>
          <w:p w14:paraId="1197DC4F" w14:textId="49A2A83F"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4.9 (3.8</w:t>
            </w:r>
            <w:r w:rsidR="004F6A90">
              <w:rPr>
                <w:rFonts w:asciiTheme="majorHAnsi" w:hAnsiTheme="majorHAnsi" w:cstheme="majorHAnsi"/>
                <w:bCs/>
                <w:sz w:val="18"/>
                <w:szCs w:val="18"/>
              </w:rPr>
              <w:t xml:space="preserve">, </w:t>
            </w:r>
            <w:r>
              <w:rPr>
                <w:rFonts w:asciiTheme="majorHAnsi" w:hAnsiTheme="majorHAnsi" w:cstheme="majorHAnsi"/>
                <w:bCs/>
                <w:sz w:val="18"/>
                <w:szCs w:val="18"/>
              </w:rPr>
              <w:t xml:space="preserve">6.1; </w:t>
            </w:r>
            <w:r>
              <w:rPr>
                <w:rFonts w:asciiTheme="majorHAnsi" w:hAnsiTheme="majorHAnsi" w:cstheme="majorHAnsi"/>
                <w:bCs/>
                <w:i/>
                <w:iCs/>
                <w:sz w:val="18"/>
                <w:szCs w:val="18"/>
              </w:rPr>
              <w:t>p</w:t>
            </w:r>
            <w:r>
              <w:rPr>
                <w:rFonts w:asciiTheme="majorHAnsi" w:hAnsiTheme="majorHAnsi" w:cstheme="majorHAnsi"/>
                <w:bCs/>
                <w:sz w:val="18"/>
                <w:szCs w:val="18"/>
              </w:rPr>
              <w:t>=.47)</w:t>
            </w:r>
          </w:p>
          <w:p w14:paraId="09EB72BB" w14:textId="77777777" w:rsidR="00DE2F1E" w:rsidRDefault="00DE2F1E" w:rsidP="004E1897">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DCIS</w:t>
            </w:r>
          </w:p>
          <w:p w14:paraId="289D33F8" w14:textId="580D5792" w:rsidR="00DE2F1E" w:rsidRPr="00E91156"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1.1 (0.6</w:t>
            </w:r>
            <w:r w:rsidR="004F6A90">
              <w:rPr>
                <w:rFonts w:asciiTheme="majorHAnsi" w:hAnsiTheme="majorHAnsi" w:cstheme="majorHAnsi"/>
                <w:bCs/>
                <w:sz w:val="18"/>
                <w:szCs w:val="18"/>
              </w:rPr>
              <w:t xml:space="preserve">, </w:t>
            </w:r>
            <w:r>
              <w:rPr>
                <w:rFonts w:asciiTheme="majorHAnsi" w:hAnsiTheme="majorHAnsi" w:cstheme="majorHAnsi"/>
                <w:bCs/>
                <w:sz w:val="18"/>
                <w:szCs w:val="18"/>
              </w:rPr>
              <w:t xml:space="preserve">1.7; </w:t>
            </w:r>
            <w:r>
              <w:rPr>
                <w:rFonts w:asciiTheme="majorHAnsi" w:hAnsiTheme="majorHAnsi" w:cstheme="majorHAnsi"/>
                <w:bCs/>
                <w:i/>
                <w:iCs/>
                <w:sz w:val="18"/>
                <w:szCs w:val="18"/>
              </w:rPr>
              <w:t>p</w:t>
            </w:r>
            <w:r>
              <w:rPr>
                <w:rFonts w:asciiTheme="majorHAnsi" w:hAnsiTheme="majorHAnsi" w:cstheme="majorHAnsi"/>
                <w:bCs/>
                <w:sz w:val="18"/>
                <w:szCs w:val="18"/>
              </w:rPr>
              <w:t>=.86)</w:t>
            </w:r>
          </w:p>
        </w:tc>
        <w:tc>
          <w:tcPr>
            <w:tcW w:w="1741" w:type="dxa"/>
            <w:shd w:val="clear" w:color="auto" w:fill="auto"/>
          </w:tcPr>
          <w:p w14:paraId="31DF883D" w14:textId="3353132E" w:rsidR="00DE2F1E" w:rsidRPr="00273248"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 data</w:t>
            </w:r>
          </w:p>
        </w:tc>
      </w:tr>
      <w:tr w:rsidR="00DE2F1E" w:rsidRPr="00E91156" w14:paraId="45E06A0D" w14:textId="77777777" w:rsidTr="00DE2F1E">
        <w:trPr>
          <w:trHeight w:val="29"/>
        </w:trPr>
        <w:tc>
          <w:tcPr>
            <w:tcW w:w="15452" w:type="dxa"/>
            <w:gridSpan w:val="8"/>
            <w:shd w:val="clear" w:color="auto" w:fill="auto"/>
          </w:tcPr>
          <w:p w14:paraId="504017DD" w14:textId="581F6087" w:rsidR="00DE2F1E" w:rsidRPr="00DE2F1E" w:rsidRDefault="005A7581" w:rsidP="004E1897">
            <w:pPr>
              <w:pStyle w:val="BodyText"/>
              <w:spacing w:before="0" w:after="0" w:line="240" w:lineRule="auto"/>
              <w:jc w:val="left"/>
              <w:rPr>
                <w:rFonts w:asciiTheme="majorHAnsi" w:hAnsiTheme="majorHAnsi" w:cstheme="majorHAnsi"/>
                <w:b/>
                <w:sz w:val="18"/>
                <w:szCs w:val="18"/>
              </w:rPr>
            </w:pPr>
            <w:r>
              <w:rPr>
                <w:rFonts w:asciiTheme="majorHAnsi" w:hAnsiTheme="majorHAnsi" w:cstheme="majorHAnsi"/>
                <w:b/>
                <w:sz w:val="18"/>
                <w:szCs w:val="18"/>
              </w:rPr>
              <w:t>Prospective s</w:t>
            </w:r>
            <w:r w:rsidR="00DE2F1E">
              <w:rPr>
                <w:rFonts w:asciiTheme="majorHAnsi" w:hAnsiTheme="majorHAnsi" w:cstheme="majorHAnsi"/>
                <w:b/>
                <w:sz w:val="18"/>
                <w:szCs w:val="18"/>
              </w:rPr>
              <w:t>tudies embedded in population-based screening programs</w:t>
            </w:r>
          </w:p>
        </w:tc>
      </w:tr>
      <w:tr w:rsidR="00DE2F1E" w:rsidRPr="003B0310" w14:paraId="6CC0CCC6" w14:textId="77777777" w:rsidTr="00DE2F1E">
        <w:trPr>
          <w:trHeight w:val="1003"/>
        </w:trPr>
        <w:tc>
          <w:tcPr>
            <w:tcW w:w="1081" w:type="dxa"/>
            <w:shd w:val="clear" w:color="auto" w:fill="auto"/>
          </w:tcPr>
          <w:p w14:paraId="177C9B8A"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Bernardi et al. (2019)</w:t>
            </w:r>
          </w:p>
          <w:p w14:paraId="2267AFA3" w14:textId="44DB6781"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Trento </w:t>
            </w:r>
          </w:p>
        </w:tc>
        <w:tc>
          <w:tcPr>
            <w:tcW w:w="2833" w:type="dxa"/>
            <w:shd w:val="clear" w:color="auto" w:fill="auto"/>
          </w:tcPr>
          <w:p w14:paraId="7EC9C405" w14:textId="6572D34B"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DBT+</w:t>
            </w:r>
            <w:r w:rsidR="00176980">
              <w:rPr>
                <w:rFonts w:asciiTheme="majorHAnsi" w:hAnsiTheme="majorHAnsi" w:cstheme="majorHAnsi"/>
                <w:bCs/>
                <w:sz w:val="18"/>
                <w:szCs w:val="18"/>
              </w:rPr>
              <w:t>s2DM</w:t>
            </w:r>
            <w:r>
              <w:rPr>
                <w:rFonts w:asciiTheme="majorHAnsi" w:hAnsiTheme="majorHAnsi" w:cstheme="majorHAnsi"/>
                <w:bCs/>
                <w:sz w:val="18"/>
                <w:szCs w:val="18"/>
              </w:rPr>
              <w:t xml:space="preserve">: 46,343 participants in the Trento </w:t>
            </w:r>
            <w:r w:rsidR="008132C6">
              <w:rPr>
                <w:rFonts w:asciiTheme="majorHAnsi" w:hAnsiTheme="majorHAnsi" w:cstheme="majorHAnsi"/>
                <w:bCs/>
                <w:sz w:val="18"/>
                <w:szCs w:val="18"/>
              </w:rPr>
              <w:t xml:space="preserve">(Italy) </w:t>
            </w:r>
            <w:r>
              <w:rPr>
                <w:rFonts w:asciiTheme="majorHAnsi" w:hAnsiTheme="majorHAnsi" w:cstheme="majorHAnsi"/>
                <w:bCs/>
                <w:sz w:val="18"/>
                <w:szCs w:val="18"/>
              </w:rPr>
              <w:t>screening program (mean age = 57.9y)</w:t>
            </w:r>
          </w:p>
          <w:p w14:paraId="1D7202C8" w14:textId="211A48F9"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FFDM alone: historical cohort </w:t>
            </w:r>
            <w:r w:rsidR="00D11A2B">
              <w:rPr>
                <w:rFonts w:asciiTheme="majorHAnsi" w:hAnsiTheme="majorHAnsi" w:cstheme="majorHAnsi"/>
                <w:bCs/>
                <w:sz w:val="18"/>
                <w:szCs w:val="18"/>
              </w:rPr>
              <w:t>(n=</w:t>
            </w:r>
            <w:r>
              <w:rPr>
                <w:rFonts w:asciiTheme="majorHAnsi" w:hAnsiTheme="majorHAnsi" w:cstheme="majorHAnsi"/>
                <w:bCs/>
                <w:sz w:val="18"/>
                <w:szCs w:val="18"/>
              </w:rPr>
              <w:t>37,436</w:t>
            </w:r>
            <w:r w:rsidR="00D11A2B">
              <w:rPr>
                <w:rFonts w:asciiTheme="majorHAnsi" w:hAnsiTheme="majorHAnsi" w:cstheme="majorHAnsi"/>
                <w:bCs/>
                <w:sz w:val="18"/>
                <w:szCs w:val="18"/>
              </w:rPr>
              <w:t>)</w:t>
            </w:r>
            <w:r>
              <w:rPr>
                <w:rFonts w:asciiTheme="majorHAnsi" w:hAnsiTheme="majorHAnsi" w:cstheme="majorHAnsi"/>
                <w:bCs/>
                <w:sz w:val="18"/>
                <w:szCs w:val="18"/>
              </w:rPr>
              <w:t xml:space="preserve"> previously screened in the Trento program (mean age = 57.9y)</w:t>
            </w:r>
          </w:p>
        </w:tc>
        <w:tc>
          <w:tcPr>
            <w:tcW w:w="2833" w:type="dxa"/>
            <w:shd w:val="clear" w:color="auto" w:fill="auto"/>
          </w:tcPr>
          <w:p w14:paraId="39E17C03" w14:textId="3150A1A9"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Prospective </w:t>
            </w:r>
            <w:r w:rsidR="00AE2276">
              <w:rPr>
                <w:rFonts w:asciiTheme="majorHAnsi" w:hAnsiTheme="majorHAnsi" w:cstheme="majorHAnsi"/>
                <w:bCs/>
                <w:sz w:val="18"/>
                <w:szCs w:val="18"/>
              </w:rPr>
              <w:t xml:space="preserve">single site </w:t>
            </w:r>
            <w:r>
              <w:rPr>
                <w:rFonts w:asciiTheme="majorHAnsi" w:hAnsiTheme="majorHAnsi" w:cstheme="majorHAnsi"/>
                <w:bCs/>
                <w:sz w:val="18"/>
                <w:szCs w:val="18"/>
              </w:rPr>
              <w:t xml:space="preserve">pilot evaluation following the implementation of DBT into the Trento screening program imaged with Hologic systems </w:t>
            </w:r>
            <w:r w:rsidR="008132C6">
              <w:rPr>
                <w:rFonts w:asciiTheme="majorHAnsi" w:hAnsiTheme="majorHAnsi" w:cstheme="majorHAnsi"/>
                <w:bCs/>
                <w:sz w:val="18"/>
                <w:szCs w:val="18"/>
              </w:rPr>
              <w:t>with independent</w:t>
            </w:r>
            <w:r>
              <w:rPr>
                <w:rFonts w:asciiTheme="majorHAnsi" w:hAnsiTheme="majorHAnsi" w:cstheme="majorHAnsi"/>
                <w:bCs/>
                <w:sz w:val="18"/>
                <w:szCs w:val="18"/>
              </w:rPr>
              <w:t xml:space="preserve"> double read</w:t>
            </w:r>
            <w:r w:rsidR="008132C6">
              <w:rPr>
                <w:rFonts w:asciiTheme="majorHAnsi" w:hAnsiTheme="majorHAnsi" w:cstheme="majorHAnsi"/>
                <w:bCs/>
                <w:sz w:val="18"/>
                <w:szCs w:val="18"/>
              </w:rPr>
              <w:t>ing (n=8 radiologists)</w:t>
            </w:r>
          </w:p>
        </w:tc>
        <w:tc>
          <w:tcPr>
            <w:tcW w:w="1741" w:type="dxa"/>
            <w:shd w:val="clear" w:color="auto" w:fill="auto"/>
          </w:tcPr>
          <w:p w14:paraId="1A5F5243"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8.67</w:t>
            </w:r>
          </w:p>
        </w:tc>
        <w:tc>
          <w:tcPr>
            <w:tcW w:w="1741" w:type="dxa"/>
            <w:shd w:val="clear" w:color="auto" w:fill="auto"/>
          </w:tcPr>
          <w:p w14:paraId="1870457A"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5.48</w:t>
            </w:r>
          </w:p>
        </w:tc>
        <w:tc>
          <w:tcPr>
            <w:tcW w:w="1741" w:type="dxa"/>
            <w:shd w:val="clear" w:color="auto" w:fill="auto"/>
          </w:tcPr>
          <w:p w14:paraId="0332C5FF" w14:textId="58BC2D1B" w:rsidR="00DE2F1E" w:rsidRDefault="006B7BED" w:rsidP="004E1897">
            <w:pPr>
              <w:pStyle w:val="BodyText"/>
              <w:spacing w:before="0" w:after="0" w:line="240" w:lineRule="auto"/>
              <w:jc w:val="left"/>
              <w:rPr>
                <w:rFonts w:asciiTheme="majorHAnsi" w:hAnsiTheme="majorHAnsi" w:cstheme="majorHAnsi"/>
                <w:bCs/>
                <w:i/>
                <w:iCs/>
                <w:sz w:val="18"/>
                <w:szCs w:val="18"/>
              </w:rPr>
            </w:pPr>
            <w:r w:rsidRPr="006B7BED">
              <w:rPr>
                <w:rFonts w:asciiTheme="majorHAnsi" w:hAnsiTheme="majorHAnsi" w:cstheme="majorHAnsi"/>
                <w:bCs/>
                <w:i/>
                <w:iCs/>
                <w:sz w:val="18"/>
                <w:szCs w:val="18"/>
              </w:rPr>
              <w:t xml:space="preserve">Invasive </w:t>
            </w:r>
            <w:r w:rsidR="00F54128">
              <w:rPr>
                <w:rFonts w:asciiTheme="majorHAnsi" w:hAnsiTheme="majorHAnsi" w:cstheme="majorHAnsi"/>
                <w:bCs/>
                <w:i/>
                <w:iCs/>
                <w:sz w:val="18"/>
                <w:szCs w:val="18"/>
              </w:rPr>
              <w:t>(#)</w:t>
            </w:r>
          </w:p>
          <w:p w14:paraId="05FF039A" w14:textId="274D17EF" w:rsidR="006B7BED" w:rsidRPr="006B7BED" w:rsidRDefault="006B7BED"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352 cancers</w:t>
            </w:r>
          </w:p>
          <w:p w14:paraId="006BB35E" w14:textId="2CF04888" w:rsidR="006B7BED" w:rsidRDefault="006B7BED" w:rsidP="004E1897">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DCIS</w:t>
            </w:r>
            <w:r w:rsidR="00F54128">
              <w:rPr>
                <w:rFonts w:asciiTheme="majorHAnsi" w:hAnsiTheme="majorHAnsi" w:cstheme="majorHAnsi"/>
                <w:bCs/>
                <w:i/>
                <w:iCs/>
                <w:sz w:val="18"/>
                <w:szCs w:val="18"/>
              </w:rPr>
              <w:t xml:space="preserve"> (#)</w:t>
            </w:r>
          </w:p>
          <w:p w14:paraId="26260634" w14:textId="12E5567B" w:rsidR="006B7BED" w:rsidRPr="00571C35" w:rsidRDefault="006B7BED" w:rsidP="00571C35">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50 </w:t>
            </w:r>
            <w:r w:rsidR="00F54128">
              <w:rPr>
                <w:rFonts w:asciiTheme="majorHAnsi" w:hAnsiTheme="majorHAnsi" w:cstheme="majorHAnsi"/>
                <w:bCs/>
                <w:sz w:val="18"/>
                <w:szCs w:val="18"/>
              </w:rPr>
              <w:t>DCIS</w:t>
            </w:r>
            <w:r w:rsidR="00571C35">
              <w:rPr>
                <w:rFonts w:asciiTheme="majorHAnsi" w:hAnsiTheme="majorHAnsi" w:cstheme="majorHAnsi"/>
                <w:bCs/>
                <w:sz w:val="18"/>
                <w:szCs w:val="18"/>
              </w:rPr>
              <w:t xml:space="preserve"> (12.47% of cancers detected)</w:t>
            </w:r>
          </w:p>
        </w:tc>
        <w:tc>
          <w:tcPr>
            <w:tcW w:w="1741" w:type="dxa"/>
            <w:shd w:val="clear" w:color="auto" w:fill="auto"/>
          </w:tcPr>
          <w:p w14:paraId="3719B671" w14:textId="19E521A5" w:rsidR="006B7BED" w:rsidRDefault="006B7BED" w:rsidP="006B7BED">
            <w:pPr>
              <w:pStyle w:val="BodyText"/>
              <w:spacing w:before="0" w:after="0" w:line="240" w:lineRule="auto"/>
              <w:jc w:val="left"/>
              <w:rPr>
                <w:rFonts w:asciiTheme="majorHAnsi" w:hAnsiTheme="majorHAnsi" w:cstheme="majorHAnsi"/>
                <w:bCs/>
                <w:i/>
                <w:iCs/>
                <w:sz w:val="18"/>
                <w:szCs w:val="18"/>
              </w:rPr>
            </w:pPr>
            <w:r w:rsidRPr="006B7BED">
              <w:rPr>
                <w:rFonts w:asciiTheme="majorHAnsi" w:hAnsiTheme="majorHAnsi" w:cstheme="majorHAnsi"/>
                <w:bCs/>
                <w:i/>
                <w:iCs/>
                <w:sz w:val="18"/>
                <w:szCs w:val="18"/>
              </w:rPr>
              <w:t xml:space="preserve">Invasive </w:t>
            </w:r>
            <w:r w:rsidR="00F54128">
              <w:rPr>
                <w:rFonts w:asciiTheme="majorHAnsi" w:hAnsiTheme="majorHAnsi" w:cstheme="majorHAnsi"/>
                <w:bCs/>
                <w:i/>
                <w:iCs/>
                <w:sz w:val="18"/>
                <w:szCs w:val="18"/>
              </w:rPr>
              <w:t>(#)</w:t>
            </w:r>
          </w:p>
          <w:p w14:paraId="2F57506B" w14:textId="09232328" w:rsidR="006B7BED" w:rsidRPr="006B7BED" w:rsidRDefault="006B7BED" w:rsidP="006B7BE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173 cancers</w:t>
            </w:r>
          </w:p>
          <w:p w14:paraId="7078DC2C" w14:textId="4A24C001" w:rsidR="006B7BED" w:rsidRDefault="006B7BED" w:rsidP="006B7BED">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DCIS</w:t>
            </w:r>
            <w:r w:rsidR="00F54128">
              <w:rPr>
                <w:rFonts w:asciiTheme="majorHAnsi" w:hAnsiTheme="majorHAnsi" w:cstheme="majorHAnsi"/>
                <w:bCs/>
                <w:i/>
                <w:iCs/>
                <w:sz w:val="18"/>
                <w:szCs w:val="18"/>
              </w:rPr>
              <w:t xml:space="preserve"> (#)</w:t>
            </w:r>
          </w:p>
          <w:p w14:paraId="2FF42D40" w14:textId="77777777" w:rsidR="00DE2F1E" w:rsidRDefault="006B7BED"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33 </w:t>
            </w:r>
            <w:r w:rsidR="00F54128">
              <w:rPr>
                <w:rFonts w:asciiTheme="majorHAnsi" w:hAnsiTheme="majorHAnsi" w:cstheme="majorHAnsi"/>
                <w:bCs/>
                <w:sz w:val="18"/>
                <w:szCs w:val="18"/>
              </w:rPr>
              <w:t>DCIS</w:t>
            </w:r>
          </w:p>
          <w:p w14:paraId="0126CEAC" w14:textId="4CB05C65" w:rsidR="008634FD" w:rsidRDefault="008634FD"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(16.10% of cancers detected)</w:t>
            </w:r>
          </w:p>
        </w:tc>
        <w:tc>
          <w:tcPr>
            <w:tcW w:w="1741" w:type="dxa"/>
            <w:shd w:val="clear" w:color="auto" w:fill="auto"/>
          </w:tcPr>
          <w:p w14:paraId="48D349BE" w14:textId="7FAA5D91"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RR=1.58 (1.34</w:t>
            </w:r>
            <w:r w:rsidR="0034054F">
              <w:rPr>
                <w:rFonts w:asciiTheme="majorHAnsi" w:hAnsiTheme="majorHAnsi" w:cstheme="majorHAnsi"/>
                <w:bCs/>
                <w:sz w:val="18"/>
                <w:szCs w:val="18"/>
              </w:rPr>
              <w:t xml:space="preserve">, </w:t>
            </w:r>
            <w:r>
              <w:rPr>
                <w:rFonts w:asciiTheme="majorHAnsi" w:hAnsiTheme="majorHAnsi" w:cstheme="majorHAnsi"/>
                <w:bCs/>
                <w:sz w:val="18"/>
                <w:szCs w:val="18"/>
              </w:rPr>
              <w:t>1.87)</w:t>
            </w:r>
          </w:p>
        </w:tc>
      </w:tr>
      <w:tr w:rsidR="00DE2F1E" w:rsidRPr="003B0310" w14:paraId="1B4EBC4A" w14:textId="77777777" w:rsidTr="00DE2F1E">
        <w:trPr>
          <w:trHeight w:val="1003"/>
        </w:trPr>
        <w:tc>
          <w:tcPr>
            <w:tcW w:w="1081" w:type="dxa"/>
            <w:shd w:val="clear" w:color="auto" w:fill="auto"/>
          </w:tcPr>
          <w:p w14:paraId="3B7CA990" w14:textId="14C47A60" w:rsidR="00DE2F1E" w:rsidRDefault="00DE2F1E" w:rsidP="004E1897">
            <w:pPr>
              <w:pStyle w:val="BodyText"/>
              <w:spacing w:before="0" w:after="0" w:line="240" w:lineRule="auto"/>
              <w:jc w:val="left"/>
              <w:rPr>
                <w:rFonts w:asciiTheme="majorHAnsi" w:hAnsiTheme="majorHAnsi" w:cstheme="majorHAnsi"/>
                <w:bCs/>
                <w:sz w:val="18"/>
                <w:szCs w:val="18"/>
              </w:rPr>
            </w:pPr>
            <w:r w:rsidRPr="003B0310">
              <w:rPr>
                <w:rFonts w:asciiTheme="majorHAnsi" w:hAnsiTheme="majorHAnsi" w:cstheme="majorHAnsi"/>
                <w:bCs/>
                <w:sz w:val="18"/>
                <w:szCs w:val="18"/>
              </w:rPr>
              <w:t>Houssami et al. 2019)</w:t>
            </w:r>
          </w:p>
          <w:p w14:paraId="3881C6DD" w14:textId="77777777"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Maroondah</w:t>
            </w:r>
          </w:p>
        </w:tc>
        <w:tc>
          <w:tcPr>
            <w:tcW w:w="2833" w:type="dxa"/>
            <w:shd w:val="clear" w:color="auto" w:fill="auto"/>
          </w:tcPr>
          <w:p w14:paraId="65B6E60C" w14:textId="51F80F86" w:rsidR="00DE2F1E" w:rsidRPr="003B0310" w:rsidRDefault="00DE2F1E" w:rsidP="004E1897">
            <w:pPr>
              <w:pStyle w:val="BodyText"/>
              <w:spacing w:before="0" w:after="0" w:line="240" w:lineRule="auto"/>
              <w:jc w:val="left"/>
              <w:rPr>
                <w:rFonts w:asciiTheme="majorHAnsi" w:hAnsiTheme="majorHAnsi" w:cstheme="majorHAnsi"/>
                <w:bCs/>
                <w:sz w:val="18"/>
                <w:szCs w:val="18"/>
              </w:rPr>
            </w:pPr>
            <w:r w:rsidRPr="003B0310">
              <w:rPr>
                <w:rFonts w:asciiTheme="majorHAnsi" w:hAnsiTheme="majorHAnsi" w:cstheme="majorHAnsi"/>
                <w:bCs/>
                <w:sz w:val="18"/>
                <w:szCs w:val="18"/>
              </w:rPr>
              <w:t>10</w:t>
            </w:r>
            <w:r>
              <w:rPr>
                <w:rFonts w:asciiTheme="majorHAnsi" w:hAnsiTheme="majorHAnsi" w:cstheme="majorHAnsi"/>
                <w:bCs/>
                <w:sz w:val="18"/>
                <w:szCs w:val="18"/>
              </w:rPr>
              <w:t>,</w:t>
            </w:r>
            <w:r w:rsidRPr="003B0310">
              <w:rPr>
                <w:rFonts w:asciiTheme="majorHAnsi" w:hAnsiTheme="majorHAnsi" w:cstheme="majorHAnsi"/>
                <w:bCs/>
                <w:sz w:val="18"/>
                <w:szCs w:val="18"/>
              </w:rPr>
              <w:t xml:space="preserve">146 </w:t>
            </w:r>
            <w:r w:rsidR="008132C6">
              <w:rPr>
                <w:rFonts w:asciiTheme="majorHAnsi" w:hAnsiTheme="majorHAnsi" w:cstheme="majorHAnsi"/>
                <w:bCs/>
                <w:sz w:val="18"/>
                <w:szCs w:val="18"/>
              </w:rPr>
              <w:t xml:space="preserve">Australian </w:t>
            </w:r>
            <w:r w:rsidRPr="003B0310">
              <w:rPr>
                <w:rFonts w:asciiTheme="majorHAnsi" w:hAnsiTheme="majorHAnsi" w:cstheme="majorHAnsi"/>
                <w:bCs/>
                <w:sz w:val="18"/>
                <w:szCs w:val="18"/>
              </w:rPr>
              <w:t>women:</w:t>
            </w:r>
          </w:p>
          <w:p w14:paraId="34A44B6D" w14:textId="61E3CFBF" w:rsidR="00DE2F1E" w:rsidRPr="003B0310" w:rsidRDefault="00DE2F1E" w:rsidP="007E3481">
            <w:pPr>
              <w:pStyle w:val="BodyText"/>
              <w:numPr>
                <w:ilvl w:val="0"/>
                <w:numId w:val="11"/>
              </w:numPr>
              <w:spacing w:before="0" w:after="0" w:line="240" w:lineRule="auto"/>
              <w:ind w:left="258" w:hanging="284"/>
              <w:jc w:val="left"/>
              <w:rPr>
                <w:rFonts w:asciiTheme="majorHAnsi" w:hAnsiTheme="majorHAnsi" w:cstheme="majorHAnsi"/>
                <w:bCs/>
                <w:sz w:val="18"/>
                <w:szCs w:val="18"/>
              </w:rPr>
            </w:pPr>
            <w:r w:rsidRPr="003B0310">
              <w:rPr>
                <w:rFonts w:asciiTheme="majorHAnsi" w:hAnsiTheme="majorHAnsi" w:cstheme="majorHAnsi"/>
                <w:bCs/>
                <w:sz w:val="18"/>
                <w:szCs w:val="18"/>
              </w:rPr>
              <w:t>DBT+</w:t>
            </w:r>
            <w:r w:rsidR="00176980">
              <w:rPr>
                <w:rFonts w:asciiTheme="majorHAnsi" w:hAnsiTheme="majorHAnsi" w:cstheme="majorHAnsi"/>
                <w:bCs/>
                <w:sz w:val="18"/>
                <w:szCs w:val="18"/>
              </w:rPr>
              <w:t>s2DM</w:t>
            </w:r>
            <w:r w:rsidRPr="003B0310">
              <w:rPr>
                <w:rFonts w:asciiTheme="majorHAnsi" w:hAnsiTheme="majorHAnsi" w:cstheme="majorHAnsi"/>
                <w:bCs/>
                <w:sz w:val="18"/>
                <w:szCs w:val="18"/>
              </w:rPr>
              <w:t>: 4993 women (5018 screening examinations)</w:t>
            </w:r>
            <w:r w:rsidR="008132C6">
              <w:rPr>
                <w:rFonts w:asciiTheme="majorHAnsi" w:hAnsiTheme="majorHAnsi" w:cstheme="majorHAnsi"/>
                <w:bCs/>
                <w:sz w:val="18"/>
                <w:szCs w:val="18"/>
              </w:rPr>
              <w:t>; mean age 58.0y</w:t>
            </w:r>
          </w:p>
          <w:p w14:paraId="1DEE721C" w14:textId="39C2A557" w:rsidR="00DE2F1E" w:rsidRPr="003B0310" w:rsidRDefault="00DE2F1E" w:rsidP="007E3481">
            <w:pPr>
              <w:pStyle w:val="BodyText"/>
              <w:numPr>
                <w:ilvl w:val="0"/>
                <w:numId w:val="11"/>
              </w:numPr>
              <w:spacing w:before="0" w:after="0" w:line="240" w:lineRule="auto"/>
              <w:ind w:left="258" w:hanging="284"/>
              <w:jc w:val="left"/>
              <w:rPr>
                <w:rFonts w:asciiTheme="majorHAnsi" w:hAnsiTheme="majorHAnsi" w:cstheme="majorHAnsi"/>
                <w:bCs/>
                <w:sz w:val="18"/>
                <w:szCs w:val="18"/>
              </w:rPr>
            </w:pPr>
            <w:r w:rsidRPr="003B0310">
              <w:rPr>
                <w:rFonts w:asciiTheme="majorHAnsi" w:hAnsiTheme="majorHAnsi" w:cstheme="majorHAnsi"/>
                <w:bCs/>
                <w:sz w:val="18"/>
                <w:szCs w:val="18"/>
              </w:rPr>
              <w:t>FFDM alone: 5153 women (5166 screening examinations)</w:t>
            </w:r>
            <w:r w:rsidR="008132C6">
              <w:rPr>
                <w:rFonts w:asciiTheme="majorHAnsi" w:hAnsiTheme="majorHAnsi" w:cstheme="majorHAnsi"/>
                <w:bCs/>
                <w:sz w:val="18"/>
                <w:szCs w:val="18"/>
              </w:rPr>
              <w:t>; mean age 62.3y</w:t>
            </w:r>
          </w:p>
        </w:tc>
        <w:tc>
          <w:tcPr>
            <w:tcW w:w="2833" w:type="dxa"/>
            <w:shd w:val="clear" w:color="auto" w:fill="auto"/>
          </w:tcPr>
          <w:p w14:paraId="5F9C6A05" w14:textId="34866089" w:rsidR="00DE2F1E" w:rsidRPr="003B0310" w:rsidRDefault="00DE2F1E" w:rsidP="004E1897">
            <w:pPr>
              <w:pStyle w:val="BodyText"/>
              <w:spacing w:before="0" w:after="0" w:line="240" w:lineRule="auto"/>
              <w:jc w:val="left"/>
              <w:rPr>
                <w:rFonts w:asciiTheme="majorHAnsi" w:hAnsiTheme="majorHAnsi" w:cstheme="majorHAnsi"/>
                <w:bCs/>
                <w:sz w:val="18"/>
                <w:szCs w:val="18"/>
              </w:rPr>
            </w:pPr>
            <w:r w:rsidRPr="003B0310">
              <w:rPr>
                <w:rFonts w:asciiTheme="majorHAnsi" w:hAnsiTheme="majorHAnsi" w:cstheme="majorHAnsi"/>
                <w:bCs/>
                <w:sz w:val="18"/>
                <w:szCs w:val="18"/>
              </w:rPr>
              <w:t xml:space="preserve">Prospective </w:t>
            </w:r>
            <w:r w:rsidR="00AE2276">
              <w:rPr>
                <w:rFonts w:asciiTheme="majorHAnsi" w:hAnsiTheme="majorHAnsi" w:cstheme="majorHAnsi"/>
                <w:bCs/>
                <w:sz w:val="18"/>
                <w:szCs w:val="18"/>
              </w:rPr>
              <w:t xml:space="preserve">single site </w:t>
            </w:r>
            <w:r w:rsidRPr="003B0310">
              <w:rPr>
                <w:rFonts w:asciiTheme="majorHAnsi" w:hAnsiTheme="majorHAnsi" w:cstheme="majorHAnsi"/>
                <w:bCs/>
                <w:sz w:val="18"/>
                <w:szCs w:val="18"/>
              </w:rPr>
              <w:t>pilot trial embedded in a screening program (Maroondah)</w:t>
            </w:r>
            <w:r>
              <w:rPr>
                <w:rFonts w:asciiTheme="majorHAnsi" w:hAnsiTheme="majorHAnsi" w:cstheme="majorHAnsi"/>
                <w:bCs/>
                <w:sz w:val="18"/>
                <w:szCs w:val="18"/>
              </w:rPr>
              <w:t xml:space="preserve"> imaged on Hologic Selenia Dimensions 8000 (+/- C-view software) or Siemens Mammomat Inspiration</w:t>
            </w:r>
            <w:r w:rsidR="008132C6">
              <w:rPr>
                <w:rFonts w:asciiTheme="majorHAnsi" w:hAnsiTheme="majorHAnsi" w:cstheme="majorHAnsi"/>
                <w:bCs/>
                <w:sz w:val="18"/>
                <w:szCs w:val="18"/>
              </w:rPr>
              <w:t xml:space="preserve"> with independent double reading (n=7 radiologists)</w:t>
            </w:r>
          </w:p>
        </w:tc>
        <w:tc>
          <w:tcPr>
            <w:tcW w:w="1741" w:type="dxa"/>
            <w:shd w:val="clear" w:color="auto" w:fill="auto"/>
          </w:tcPr>
          <w:p w14:paraId="0E9C3775" w14:textId="4E95329E"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9.8 (7.2</w:t>
            </w:r>
            <w:r w:rsidR="004F6A90">
              <w:rPr>
                <w:rFonts w:asciiTheme="majorHAnsi" w:hAnsiTheme="majorHAnsi" w:cstheme="majorHAnsi"/>
                <w:bCs/>
                <w:sz w:val="18"/>
                <w:szCs w:val="18"/>
              </w:rPr>
              <w:t xml:space="preserve">, </w:t>
            </w:r>
            <w:r>
              <w:rPr>
                <w:rFonts w:asciiTheme="majorHAnsi" w:hAnsiTheme="majorHAnsi" w:cstheme="majorHAnsi"/>
                <w:bCs/>
                <w:sz w:val="18"/>
                <w:szCs w:val="18"/>
              </w:rPr>
              <w:t>13)</w:t>
            </w:r>
          </w:p>
        </w:tc>
        <w:tc>
          <w:tcPr>
            <w:tcW w:w="1741" w:type="dxa"/>
            <w:shd w:val="clear" w:color="auto" w:fill="auto"/>
          </w:tcPr>
          <w:p w14:paraId="4934C137" w14:textId="5AFB38E3"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6.6 (4.6</w:t>
            </w:r>
            <w:r w:rsidR="004F6A90">
              <w:rPr>
                <w:rFonts w:asciiTheme="majorHAnsi" w:hAnsiTheme="majorHAnsi" w:cstheme="majorHAnsi"/>
                <w:bCs/>
                <w:sz w:val="18"/>
                <w:szCs w:val="18"/>
              </w:rPr>
              <w:t xml:space="preserve">, </w:t>
            </w:r>
            <w:r>
              <w:rPr>
                <w:rFonts w:asciiTheme="majorHAnsi" w:hAnsiTheme="majorHAnsi" w:cstheme="majorHAnsi"/>
                <w:bCs/>
                <w:sz w:val="18"/>
                <w:szCs w:val="18"/>
              </w:rPr>
              <w:t>9.2)</w:t>
            </w:r>
          </w:p>
        </w:tc>
        <w:tc>
          <w:tcPr>
            <w:tcW w:w="1741" w:type="dxa"/>
            <w:shd w:val="clear" w:color="auto" w:fill="auto"/>
          </w:tcPr>
          <w:p w14:paraId="07E5411D" w14:textId="3DFF42B3" w:rsidR="00DE2F1E" w:rsidRPr="003B0310" w:rsidRDefault="004E1897"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 CDR data but 40 invasive cancers and nine in-situ cancers detected</w:t>
            </w:r>
          </w:p>
        </w:tc>
        <w:tc>
          <w:tcPr>
            <w:tcW w:w="1741" w:type="dxa"/>
            <w:shd w:val="clear" w:color="auto" w:fill="auto"/>
          </w:tcPr>
          <w:p w14:paraId="6893E5D3" w14:textId="1052F660" w:rsidR="00DE2F1E" w:rsidRPr="003B0310" w:rsidRDefault="004E1897"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 CDR data but 30 invasive cancers and four in-situ cancers detected</w:t>
            </w:r>
          </w:p>
        </w:tc>
        <w:tc>
          <w:tcPr>
            <w:tcW w:w="1741" w:type="dxa"/>
            <w:shd w:val="clear" w:color="auto" w:fill="auto"/>
          </w:tcPr>
          <w:p w14:paraId="0CE4B4F6" w14:textId="205C6CB9"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3.2 (-0.32</w:t>
            </w:r>
            <w:r w:rsidR="0034054F">
              <w:rPr>
                <w:rFonts w:asciiTheme="majorHAnsi" w:hAnsiTheme="majorHAnsi" w:cstheme="majorHAnsi"/>
                <w:bCs/>
                <w:sz w:val="18"/>
                <w:szCs w:val="18"/>
              </w:rPr>
              <w:t xml:space="preserve">, </w:t>
            </w:r>
            <w:r>
              <w:rPr>
                <w:rFonts w:asciiTheme="majorHAnsi" w:hAnsiTheme="majorHAnsi" w:cstheme="majorHAnsi"/>
                <w:bCs/>
                <w:sz w:val="18"/>
                <w:szCs w:val="18"/>
              </w:rPr>
              <w:t>6.8)  more cancers with DBT+</w:t>
            </w:r>
            <w:r w:rsidR="00176980">
              <w:rPr>
                <w:rFonts w:asciiTheme="majorHAnsi" w:hAnsiTheme="majorHAnsi" w:cstheme="majorHAnsi"/>
                <w:bCs/>
                <w:sz w:val="18"/>
                <w:szCs w:val="18"/>
              </w:rPr>
              <w:t>s2DM</w:t>
            </w:r>
          </w:p>
          <w:p w14:paraId="3CFEF01F" w14:textId="2E758B20" w:rsidR="00DE2F1E" w:rsidRPr="003B0310" w:rsidRDefault="00DE2F1E" w:rsidP="004E1897">
            <w:pPr>
              <w:pStyle w:val="BodyText"/>
              <w:spacing w:before="0" w:after="0" w:line="240" w:lineRule="auto"/>
              <w:jc w:val="left"/>
              <w:rPr>
                <w:rFonts w:asciiTheme="majorHAnsi" w:hAnsiTheme="majorHAnsi" w:cstheme="majorHAnsi"/>
                <w:bCs/>
                <w:sz w:val="18"/>
                <w:szCs w:val="18"/>
              </w:rPr>
            </w:pPr>
          </w:p>
        </w:tc>
      </w:tr>
      <w:tr w:rsidR="00DE2F1E" w:rsidRPr="003B0310" w14:paraId="36F08182" w14:textId="77777777" w:rsidTr="00F822B0">
        <w:trPr>
          <w:trHeight w:val="610"/>
        </w:trPr>
        <w:tc>
          <w:tcPr>
            <w:tcW w:w="1081" w:type="dxa"/>
            <w:shd w:val="clear" w:color="auto" w:fill="auto"/>
          </w:tcPr>
          <w:p w14:paraId="21D8B61B"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Caumo et al. (2018)</w:t>
            </w:r>
          </w:p>
          <w:p w14:paraId="6C41F62B" w14:textId="7F98583F"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Verona</w:t>
            </w:r>
          </w:p>
        </w:tc>
        <w:tc>
          <w:tcPr>
            <w:tcW w:w="2833" w:type="dxa"/>
            <w:shd w:val="clear" w:color="auto" w:fill="auto"/>
          </w:tcPr>
          <w:p w14:paraId="398DC350" w14:textId="32D4801B"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DBT+</w:t>
            </w:r>
            <w:r w:rsidR="00176980">
              <w:rPr>
                <w:rFonts w:asciiTheme="majorHAnsi" w:hAnsiTheme="majorHAnsi" w:cstheme="majorHAnsi"/>
                <w:bCs/>
                <w:sz w:val="18"/>
                <w:szCs w:val="18"/>
              </w:rPr>
              <w:t>s2DM</w:t>
            </w:r>
            <w:r>
              <w:rPr>
                <w:rFonts w:asciiTheme="majorHAnsi" w:hAnsiTheme="majorHAnsi" w:cstheme="majorHAnsi"/>
                <w:bCs/>
                <w:sz w:val="18"/>
                <w:szCs w:val="18"/>
              </w:rPr>
              <w:t>: 16,666  participants in the Verona screening program</w:t>
            </w:r>
            <w:r w:rsidR="00F729B1">
              <w:rPr>
                <w:rFonts w:asciiTheme="majorHAnsi" w:hAnsiTheme="majorHAnsi" w:cstheme="majorHAnsi"/>
                <w:bCs/>
                <w:sz w:val="18"/>
                <w:szCs w:val="18"/>
              </w:rPr>
              <w:t>; median age = 59y</w:t>
            </w:r>
            <w:r>
              <w:rPr>
                <w:rFonts w:asciiTheme="majorHAnsi" w:hAnsiTheme="majorHAnsi" w:cstheme="majorHAnsi"/>
                <w:bCs/>
                <w:sz w:val="18"/>
                <w:szCs w:val="18"/>
              </w:rPr>
              <w:t xml:space="preserve"> </w:t>
            </w:r>
          </w:p>
          <w:p w14:paraId="0E8A98ED" w14:textId="1B438E46"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lastRenderedPageBreak/>
              <w:t>FFDM: historical cohort of 14,423 women previously screened in the Verona program</w:t>
            </w:r>
            <w:r w:rsidR="00F729B1">
              <w:rPr>
                <w:rFonts w:asciiTheme="majorHAnsi" w:hAnsiTheme="majorHAnsi" w:cstheme="majorHAnsi"/>
                <w:bCs/>
                <w:sz w:val="18"/>
                <w:szCs w:val="18"/>
              </w:rPr>
              <w:t>; median age = 58y</w:t>
            </w:r>
          </w:p>
        </w:tc>
        <w:tc>
          <w:tcPr>
            <w:tcW w:w="2833" w:type="dxa"/>
            <w:shd w:val="clear" w:color="auto" w:fill="auto"/>
          </w:tcPr>
          <w:p w14:paraId="76196CCC" w14:textId="17E94A36"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lastRenderedPageBreak/>
              <w:t>Prospective</w:t>
            </w:r>
            <w:r w:rsidR="00AE2276">
              <w:rPr>
                <w:rFonts w:asciiTheme="majorHAnsi" w:hAnsiTheme="majorHAnsi" w:cstheme="majorHAnsi"/>
                <w:bCs/>
                <w:sz w:val="18"/>
                <w:szCs w:val="18"/>
              </w:rPr>
              <w:t xml:space="preserve"> single site</w:t>
            </w:r>
            <w:r>
              <w:rPr>
                <w:rFonts w:asciiTheme="majorHAnsi" w:hAnsiTheme="majorHAnsi" w:cstheme="majorHAnsi"/>
                <w:bCs/>
                <w:sz w:val="18"/>
                <w:szCs w:val="18"/>
              </w:rPr>
              <w:t xml:space="preserve"> pilot evaluation following the implementation of DBT into the Trento screening program imaged </w:t>
            </w:r>
            <w:r>
              <w:rPr>
                <w:rFonts w:asciiTheme="majorHAnsi" w:hAnsiTheme="majorHAnsi" w:cstheme="majorHAnsi"/>
                <w:bCs/>
                <w:sz w:val="18"/>
                <w:szCs w:val="18"/>
              </w:rPr>
              <w:lastRenderedPageBreak/>
              <w:t xml:space="preserve">with Hologic systems </w:t>
            </w:r>
            <w:r w:rsidR="00EC61C2">
              <w:rPr>
                <w:rFonts w:asciiTheme="majorHAnsi" w:hAnsiTheme="majorHAnsi" w:cstheme="majorHAnsi"/>
                <w:bCs/>
                <w:sz w:val="18"/>
                <w:szCs w:val="18"/>
              </w:rPr>
              <w:t xml:space="preserve">with independent </w:t>
            </w:r>
            <w:r>
              <w:rPr>
                <w:rFonts w:asciiTheme="majorHAnsi" w:hAnsiTheme="majorHAnsi" w:cstheme="majorHAnsi"/>
                <w:bCs/>
                <w:sz w:val="18"/>
                <w:szCs w:val="18"/>
              </w:rPr>
              <w:t>double read</w:t>
            </w:r>
            <w:r w:rsidR="00EC61C2">
              <w:rPr>
                <w:rFonts w:asciiTheme="majorHAnsi" w:hAnsiTheme="majorHAnsi" w:cstheme="majorHAnsi"/>
                <w:bCs/>
                <w:sz w:val="18"/>
                <w:szCs w:val="18"/>
              </w:rPr>
              <w:t>ing (n=4 radiologists)</w:t>
            </w:r>
          </w:p>
        </w:tc>
        <w:tc>
          <w:tcPr>
            <w:tcW w:w="1741" w:type="dxa"/>
            <w:shd w:val="clear" w:color="auto" w:fill="auto"/>
          </w:tcPr>
          <w:p w14:paraId="486FD0DC" w14:textId="02391BF2"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lastRenderedPageBreak/>
              <w:t>9.30</w:t>
            </w:r>
          </w:p>
        </w:tc>
        <w:tc>
          <w:tcPr>
            <w:tcW w:w="1741" w:type="dxa"/>
            <w:shd w:val="clear" w:color="auto" w:fill="auto"/>
          </w:tcPr>
          <w:p w14:paraId="63FB89D6" w14:textId="6186303E"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5.41</w:t>
            </w:r>
          </w:p>
        </w:tc>
        <w:tc>
          <w:tcPr>
            <w:tcW w:w="1741" w:type="dxa"/>
            <w:shd w:val="clear" w:color="auto" w:fill="auto"/>
          </w:tcPr>
          <w:p w14:paraId="2789090D" w14:textId="14BD7EFB" w:rsidR="00DE2F1E" w:rsidRDefault="00F54128" w:rsidP="004E1897">
            <w:pPr>
              <w:pStyle w:val="BodyText"/>
              <w:spacing w:before="0" w:after="0" w:line="240" w:lineRule="auto"/>
              <w:jc w:val="left"/>
              <w:rPr>
                <w:rFonts w:asciiTheme="majorHAnsi" w:hAnsiTheme="majorHAnsi" w:cstheme="majorHAnsi"/>
                <w:bCs/>
                <w:i/>
                <w:iCs/>
                <w:sz w:val="18"/>
                <w:szCs w:val="18"/>
              </w:rPr>
            </w:pPr>
            <w:r w:rsidRPr="00F54128">
              <w:rPr>
                <w:rFonts w:asciiTheme="majorHAnsi" w:hAnsiTheme="majorHAnsi" w:cstheme="majorHAnsi"/>
                <w:bCs/>
                <w:i/>
                <w:iCs/>
                <w:sz w:val="18"/>
                <w:szCs w:val="18"/>
              </w:rPr>
              <w:t>Invasive</w:t>
            </w:r>
            <w:r>
              <w:rPr>
                <w:rFonts w:asciiTheme="majorHAnsi" w:hAnsiTheme="majorHAnsi" w:cstheme="majorHAnsi"/>
                <w:bCs/>
                <w:i/>
                <w:iCs/>
                <w:sz w:val="18"/>
                <w:szCs w:val="18"/>
              </w:rPr>
              <w:t xml:space="preserve"> (#)</w:t>
            </w:r>
          </w:p>
          <w:p w14:paraId="3156C1EB" w14:textId="10534BBB" w:rsidR="00F54128" w:rsidRPr="00F54128" w:rsidRDefault="00F54128"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136 cancers</w:t>
            </w:r>
          </w:p>
          <w:p w14:paraId="49B25F5A" w14:textId="101AD61A" w:rsidR="00F54128" w:rsidRDefault="00F54128" w:rsidP="004E1897">
            <w:pPr>
              <w:pStyle w:val="BodyText"/>
              <w:spacing w:before="0" w:after="0" w:line="240" w:lineRule="auto"/>
              <w:jc w:val="left"/>
              <w:rPr>
                <w:rFonts w:asciiTheme="majorHAnsi" w:hAnsiTheme="majorHAnsi" w:cstheme="majorHAnsi"/>
                <w:bCs/>
                <w:i/>
                <w:iCs/>
                <w:sz w:val="18"/>
                <w:szCs w:val="18"/>
              </w:rPr>
            </w:pPr>
            <w:r w:rsidRPr="00F54128">
              <w:rPr>
                <w:rFonts w:asciiTheme="majorHAnsi" w:hAnsiTheme="majorHAnsi" w:cstheme="majorHAnsi"/>
                <w:bCs/>
                <w:i/>
                <w:iCs/>
                <w:sz w:val="18"/>
                <w:szCs w:val="18"/>
              </w:rPr>
              <w:t>DCIS</w:t>
            </w:r>
            <w:r>
              <w:rPr>
                <w:rFonts w:asciiTheme="majorHAnsi" w:hAnsiTheme="majorHAnsi" w:cstheme="majorHAnsi"/>
                <w:bCs/>
                <w:i/>
                <w:iCs/>
                <w:sz w:val="18"/>
                <w:szCs w:val="18"/>
              </w:rPr>
              <w:t xml:space="preserve"> (#)</w:t>
            </w:r>
          </w:p>
          <w:p w14:paraId="58B030DC" w14:textId="77777777" w:rsidR="00F54128" w:rsidRDefault="00F54128"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19 DCIS</w:t>
            </w:r>
          </w:p>
          <w:p w14:paraId="43E3D3F3" w14:textId="243656A9" w:rsidR="00F15721" w:rsidRPr="00F54128" w:rsidRDefault="00F15721"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lastRenderedPageBreak/>
              <w:t>(12.3% of cancers detected)</w:t>
            </w:r>
          </w:p>
        </w:tc>
        <w:tc>
          <w:tcPr>
            <w:tcW w:w="1741" w:type="dxa"/>
            <w:shd w:val="clear" w:color="auto" w:fill="auto"/>
          </w:tcPr>
          <w:p w14:paraId="6F0C9ADA" w14:textId="33DE3D26" w:rsidR="00F54128" w:rsidRDefault="00F54128" w:rsidP="00F54128">
            <w:pPr>
              <w:pStyle w:val="BodyText"/>
              <w:spacing w:before="0" w:after="0" w:line="240" w:lineRule="auto"/>
              <w:jc w:val="left"/>
              <w:rPr>
                <w:rFonts w:asciiTheme="majorHAnsi" w:hAnsiTheme="majorHAnsi" w:cstheme="majorHAnsi"/>
                <w:bCs/>
                <w:i/>
                <w:iCs/>
                <w:sz w:val="18"/>
                <w:szCs w:val="18"/>
              </w:rPr>
            </w:pPr>
            <w:r w:rsidRPr="00F54128">
              <w:rPr>
                <w:rFonts w:asciiTheme="majorHAnsi" w:hAnsiTheme="majorHAnsi" w:cstheme="majorHAnsi"/>
                <w:bCs/>
                <w:i/>
                <w:iCs/>
                <w:sz w:val="18"/>
                <w:szCs w:val="18"/>
              </w:rPr>
              <w:lastRenderedPageBreak/>
              <w:t>Invasive</w:t>
            </w:r>
            <w:r>
              <w:rPr>
                <w:rFonts w:asciiTheme="majorHAnsi" w:hAnsiTheme="majorHAnsi" w:cstheme="majorHAnsi"/>
                <w:bCs/>
                <w:i/>
                <w:iCs/>
                <w:sz w:val="18"/>
                <w:szCs w:val="18"/>
              </w:rPr>
              <w:t xml:space="preserve"> (#)</w:t>
            </w:r>
          </w:p>
          <w:p w14:paraId="6FDCA834" w14:textId="5170E71E" w:rsidR="00F54128" w:rsidRPr="00F54128" w:rsidRDefault="00F54128" w:rsidP="00F54128">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58 cancers</w:t>
            </w:r>
          </w:p>
          <w:p w14:paraId="7FE591A3" w14:textId="77777777" w:rsidR="00DE2F1E" w:rsidRDefault="00F54128" w:rsidP="00F54128">
            <w:pPr>
              <w:pStyle w:val="BodyText"/>
              <w:spacing w:before="0" w:after="0" w:line="240" w:lineRule="auto"/>
              <w:jc w:val="left"/>
              <w:rPr>
                <w:rFonts w:asciiTheme="majorHAnsi" w:hAnsiTheme="majorHAnsi" w:cstheme="majorHAnsi"/>
                <w:bCs/>
                <w:i/>
                <w:iCs/>
                <w:sz w:val="18"/>
                <w:szCs w:val="18"/>
              </w:rPr>
            </w:pPr>
            <w:r w:rsidRPr="00F54128">
              <w:rPr>
                <w:rFonts w:asciiTheme="majorHAnsi" w:hAnsiTheme="majorHAnsi" w:cstheme="majorHAnsi"/>
                <w:bCs/>
                <w:i/>
                <w:iCs/>
                <w:sz w:val="18"/>
                <w:szCs w:val="18"/>
              </w:rPr>
              <w:t>DCIS</w:t>
            </w:r>
            <w:r>
              <w:rPr>
                <w:rFonts w:asciiTheme="majorHAnsi" w:hAnsiTheme="majorHAnsi" w:cstheme="majorHAnsi"/>
                <w:bCs/>
                <w:i/>
                <w:iCs/>
                <w:sz w:val="18"/>
                <w:szCs w:val="18"/>
              </w:rPr>
              <w:t xml:space="preserve"> (#)</w:t>
            </w:r>
          </w:p>
          <w:p w14:paraId="537A0BA4" w14:textId="77777777" w:rsidR="00F54128" w:rsidRDefault="00F54128" w:rsidP="00F54128">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20 DCIS</w:t>
            </w:r>
          </w:p>
          <w:p w14:paraId="36F66F42" w14:textId="078D10D1" w:rsidR="00F15721" w:rsidRPr="00F54128" w:rsidRDefault="00F15721" w:rsidP="00F54128">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lastRenderedPageBreak/>
              <w:t xml:space="preserve">(25.6% of cancers detected, </w:t>
            </w:r>
            <w:r>
              <w:rPr>
                <w:rFonts w:asciiTheme="majorHAnsi" w:hAnsiTheme="majorHAnsi" w:cstheme="majorHAnsi"/>
                <w:bCs/>
                <w:i/>
                <w:iCs/>
                <w:sz w:val="18"/>
                <w:szCs w:val="18"/>
              </w:rPr>
              <w:t>p</w:t>
            </w:r>
            <w:r>
              <w:rPr>
                <w:rFonts w:asciiTheme="majorHAnsi" w:hAnsiTheme="majorHAnsi" w:cstheme="majorHAnsi"/>
                <w:bCs/>
                <w:sz w:val="18"/>
                <w:szCs w:val="18"/>
              </w:rPr>
              <w:t>=.002)</w:t>
            </w:r>
          </w:p>
        </w:tc>
        <w:tc>
          <w:tcPr>
            <w:tcW w:w="1741" w:type="dxa"/>
            <w:shd w:val="clear" w:color="auto" w:fill="auto"/>
          </w:tcPr>
          <w:p w14:paraId="1F05517A" w14:textId="64E8F1EC" w:rsidR="00DE2F1E" w:rsidRPr="00586832" w:rsidRDefault="00DE2F1E" w:rsidP="004E1897">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lastRenderedPageBreak/>
              <w:t>Overall</w:t>
            </w:r>
          </w:p>
          <w:p w14:paraId="2716F638" w14:textId="177837CB"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RR</w:t>
            </w:r>
            <w:r w:rsidR="00285D7E">
              <w:rPr>
                <w:rFonts w:asciiTheme="majorHAnsi" w:hAnsiTheme="majorHAnsi" w:cstheme="majorHAnsi"/>
                <w:bCs/>
                <w:sz w:val="18"/>
                <w:szCs w:val="18"/>
              </w:rPr>
              <w:t>=</w:t>
            </w:r>
            <w:r>
              <w:rPr>
                <w:rFonts w:asciiTheme="majorHAnsi" w:hAnsiTheme="majorHAnsi" w:cstheme="majorHAnsi"/>
                <w:bCs/>
                <w:sz w:val="18"/>
                <w:szCs w:val="18"/>
              </w:rPr>
              <w:t>1.72 (1.30</w:t>
            </w:r>
            <w:r w:rsidR="0034054F">
              <w:rPr>
                <w:rFonts w:asciiTheme="majorHAnsi" w:hAnsiTheme="majorHAnsi" w:cstheme="majorHAnsi"/>
                <w:bCs/>
                <w:sz w:val="18"/>
                <w:szCs w:val="18"/>
              </w:rPr>
              <w:t xml:space="preserve">, </w:t>
            </w:r>
            <w:r>
              <w:rPr>
                <w:rFonts w:asciiTheme="majorHAnsi" w:hAnsiTheme="majorHAnsi" w:cstheme="majorHAnsi"/>
                <w:bCs/>
                <w:sz w:val="18"/>
                <w:szCs w:val="18"/>
              </w:rPr>
              <w:t>2.29)</w:t>
            </w:r>
          </w:p>
        </w:tc>
      </w:tr>
      <w:tr w:rsidR="00DE2F1E" w:rsidRPr="003B0310" w14:paraId="264A05CC" w14:textId="77777777" w:rsidTr="00004B56">
        <w:trPr>
          <w:trHeight w:val="610"/>
        </w:trPr>
        <w:tc>
          <w:tcPr>
            <w:tcW w:w="1081" w:type="dxa"/>
            <w:shd w:val="clear" w:color="auto" w:fill="auto"/>
          </w:tcPr>
          <w:p w14:paraId="1B448F42"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Hofvind et al. (2018)</w:t>
            </w:r>
          </w:p>
          <w:p w14:paraId="43A536C9" w14:textId="76D7DB78" w:rsidR="0067496C" w:rsidRPr="003B0310" w:rsidRDefault="0067496C"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Norway BSP</w:t>
            </w:r>
          </w:p>
        </w:tc>
        <w:tc>
          <w:tcPr>
            <w:tcW w:w="2833" w:type="dxa"/>
            <w:shd w:val="clear" w:color="auto" w:fill="auto"/>
          </w:tcPr>
          <w:p w14:paraId="34339FB3" w14:textId="3E239D0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DBT+</w:t>
            </w:r>
            <w:r w:rsidR="00176980">
              <w:rPr>
                <w:rFonts w:asciiTheme="majorHAnsi" w:hAnsiTheme="majorHAnsi" w:cstheme="majorHAnsi"/>
                <w:bCs/>
                <w:sz w:val="18"/>
                <w:szCs w:val="18"/>
              </w:rPr>
              <w:t>s2DM</w:t>
            </w:r>
            <w:r>
              <w:rPr>
                <w:rFonts w:asciiTheme="majorHAnsi" w:hAnsiTheme="majorHAnsi" w:cstheme="majorHAnsi"/>
                <w:bCs/>
                <w:sz w:val="18"/>
                <w:szCs w:val="18"/>
              </w:rPr>
              <w:t>: 37,185</w:t>
            </w:r>
            <w:r w:rsidR="00740AB8">
              <w:rPr>
                <w:rFonts w:asciiTheme="majorHAnsi" w:hAnsiTheme="majorHAnsi" w:cstheme="majorHAnsi"/>
                <w:bCs/>
                <w:sz w:val="18"/>
                <w:szCs w:val="18"/>
              </w:rPr>
              <w:t xml:space="preserve"> attendees at an Oslo clinic (7250 had a prevalent screen)</w:t>
            </w:r>
            <w:r w:rsidR="0044524C">
              <w:rPr>
                <w:rFonts w:asciiTheme="majorHAnsi" w:hAnsiTheme="majorHAnsi" w:cstheme="majorHAnsi"/>
                <w:bCs/>
                <w:sz w:val="18"/>
                <w:szCs w:val="18"/>
              </w:rPr>
              <w:t>, mean age=59</w:t>
            </w:r>
            <w:r w:rsidR="008466A8">
              <w:rPr>
                <w:rFonts w:asciiTheme="majorHAnsi" w:hAnsiTheme="majorHAnsi" w:cstheme="majorHAnsi"/>
                <w:bCs/>
                <w:sz w:val="18"/>
                <w:szCs w:val="18"/>
              </w:rPr>
              <w:t>.2</w:t>
            </w:r>
            <w:r w:rsidR="0044524C">
              <w:rPr>
                <w:rFonts w:asciiTheme="majorHAnsi" w:hAnsiTheme="majorHAnsi" w:cstheme="majorHAnsi"/>
                <w:bCs/>
                <w:sz w:val="18"/>
                <w:szCs w:val="18"/>
              </w:rPr>
              <w:t>y</w:t>
            </w:r>
          </w:p>
          <w:p w14:paraId="3B827855" w14:textId="2F846645"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FFDM: 61,742 </w:t>
            </w:r>
            <w:r w:rsidR="00740AB8">
              <w:rPr>
                <w:rFonts w:asciiTheme="majorHAnsi" w:hAnsiTheme="majorHAnsi" w:cstheme="majorHAnsi"/>
                <w:bCs/>
                <w:sz w:val="18"/>
                <w:szCs w:val="18"/>
              </w:rPr>
              <w:t>attendees at the Vestfold or Vestre V</w:t>
            </w:r>
            <w:r w:rsidR="005A7581">
              <w:rPr>
                <w:rFonts w:asciiTheme="majorHAnsi" w:hAnsiTheme="majorHAnsi" w:cstheme="majorHAnsi"/>
                <w:bCs/>
                <w:sz w:val="18"/>
                <w:szCs w:val="18"/>
              </w:rPr>
              <w:t>i</w:t>
            </w:r>
            <w:r w:rsidR="00740AB8">
              <w:rPr>
                <w:rFonts w:asciiTheme="majorHAnsi" w:hAnsiTheme="majorHAnsi" w:cstheme="majorHAnsi"/>
                <w:bCs/>
                <w:sz w:val="18"/>
                <w:szCs w:val="18"/>
              </w:rPr>
              <w:t>ken clinics (9517 had a prevalent screen)</w:t>
            </w:r>
            <w:r w:rsidR="0044524C">
              <w:rPr>
                <w:rFonts w:asciiTheme="majorHAnsi" w:hAnsiTheme="majorHAnsi" w:cstheme="majorHAnsi"/>
                <w:bCs/>
                <w:sz w:val="18"/>
                <w:szCs w:val="18"/>
              </w:rPr>
              <w:t>, mean age=59</w:t>
            </w:r>
            <w:r w:rsidR="008466A8">
              <w:rPr>
                <w:rFonts w:asciiTheme="majorHAnsi" w:hAnsiTheme="majorHAnsi" w:cstheme="majorHAnsi"/>
                <w:bCs/>
                <w:sz w:val="18"/>
                <w:szCs w:val="18"/>
              </w:rPr>
              <w:t>.4</w:t>
            </w:r>
            <w:r w:rsidR="0044524C">
              <w:rPr>
                <w:rFonts w:asciiTheme="majorHAnsi" w:hAnsiTheme="majorHAnsi" w:cstheme="majorHAnsi"/>
                <w:bCs/>
                <w:sz w:val="18"/>
                <w:szCs w:val="18"/>
              </w:rPr>
              <w:t>y</w:t>
            </w:r>
          </w:p>
        </w:tc>
        <w:tc>
          <w:tcPr>
            <w:tcW w:w="2833" w:type="dxa"/>
            <w:shd w:val="clear" w:color="auto" w:fill="auto"/>
          </w:tcPr>
          <w:p w14:paraId="174F3AB6" w14:textId="08E4462F"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Prospective</w:t>
            </w:r>
            <w:r w:rsidR="00740AB8">
              <w:rPr>
                <w:rFonts w:asciiTheme="majorHAnsi" w:hAnsiTheme="majorHAnsi" w:cstheme="majorHAnsi"/>
                <w:bCs/>
                <w:sz w:val="18"/>
                <w:szCs w:val="18"/>
              </w:rPr>
              <w:t xml:space="preserve">, </w:t>
            </w:r>
            <w:r w:rsidR="00AE2276">
              <w:rPr>
                <w:rFonts w:asciiTheme="majorHAnsi" w:hAnsiTheme="majorHAnsi" w:cstheme="majorHAnsi"/>
                <w:bCs/>
                <w:sz w:val="18"/>
                <w:szCs w:val="18"/>
              </w:rPr>
              <w:t>multi</w:t>
            </w:r>
            <w:r w:rsidR="00B446BC">
              <w:rPr>
                <w:rFonts w:asciiTheme="majorHAnsi" w:hAnsiTheme="majorHAnsi" w:cstheme="majorHAnsi"/>
                <w:bCs/>
                <w:sz w:val="18"/>
                <w:szCs w:val="18"/>
              </w:rPr>
              <w:t>-</w:t>
            </w:r>
            <w:r w:rsidR="00AE2276">
              <w:rPr>
                <w:rFonts w:asciiTheme="majorHAnsi" w:hAnsiTheme="majorHAnsi" w:cstheme="majorHAnsi"/>
                <w:bCs/>
                <w:sz w:val="18"/>
                <w:szCs w:val="18"/>
              </w:rPr>
              <w:t xml:space="preserve">site, </w:t>
            </w:r>
            <w:r w:rsidR="00740AB8">
              <w:rPr>
                <w:rFonts w:asciiTheme="majorHAnsi" w:hAnsiTheme="majorHAnsi" w:cstheme="majorHAnsi"/>
                <w:bCs/>
                <w:sz w:val="18"/>
                <w:szCs w:val="18"/>
              </w:rPr>
              <w:t>population-based</w:t>
            </w:r>
            <w:r>
              <w:rPr>
                <w:rFonts w:asciiTheme="majorHAnsi" w:hAnsiTheme="majorHAnsi" w:cstheme="majorHAnsi"/>
                <w:bCs/>
                <w:sz w:val="18"/>
                <w:szCs w:val="18"/>
              </w:rPr>
              <w:t xml:space="preserve"> cohort study</w:t>
            </w:r>
            <w:r w:rsidR="00740AB8">
              <w:rPr>
                <w:rFonts w:asciiTheme="majorHAnsi" w:hAnsiTheme="majorHAnsi" w:cstheme="majorHAnsi"/>
                <w:bCs/>
                <w:sz w:val="18"/>
                <w:szCs w:val="18"/>
              </w:rPr>
              <w:t xml:space="preserve"> imaged on Hologic Dimensions, Siemens Mammomat Inspirations or GE SenoEssential units with </w:t>
            </w:r>
            <w:r w:rsidR="00B446BC">
              <w:rPr>
                <w:rFonts w:asciiTheme="majorHAnsi" w:hAnsiTheme="majorHAnsi" w:cstheme="majorHAnsi"/>
                <w:bCs/>
                <w:sz w:val="18"/>
                <w:szCs w:val="18"/>
              </w:rPr>
              <w:t xml:space="preserve">independent </w:t>
            </w:r>
            <w:r w:rsidR="00740AB8">
              <w:rPr>
                <w:rFonts w:asciiTheme="majorHAnsi" w:hAnsiTheme="majorHAnsi" w:cstheme="majorHAnsi"/>
                <w:bCs/>
                <w:sz w:val="18"/>
                <w:szCs w:val="18"/>
              </w:rPr>
              <w:t>double reading</w:t>
            </w:r>
            <w:r w:rsidR="00B446BC">
              <w:rPr>
                <w:rFonts w:asciiTheme="majorHAnsi" w:hAnsiTheme="majorHAnsi" w:cstheme="majorHAnsi"/>
                <w:bCs/>
                <w:sz w:val="18"/>
                <w:szCs w:val="18"/>
              </w:rPr>
              <w:t xml:space="preserve"> (n=24 radiologists)</w:t>
            </w:r>
          </w:p>
        </w:tc>
        <w:tc>
          <w:tcPr>
            <w:tcW w:w="1741" w:type="dxa"/>
            <w:shd w:val="clear" w:color="auto" w:fill="auto"/>
          </w:tcPr>
          <w:p w14:paraId="558C05D3"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9.4</w:t>
            </w:r>
          </w:p>
        </w:tc>
        <w:tc>
          <w:tcPr>
            <w:tcW w:w="1741" w:type="dxa"/>
            <w:shd w:val="clear" w:color="auto" w:fill="auto"/>
          </w:tcPr>
          <w:p w14:paraId="589305A3"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6.1 (</w:t>
            </w:r>
            <w:r w:rsidRPr="00344B87">
              <w:rPr>
                <w:rFonts w:asciiTheme="majorHAnsi" w:hAnsiTheme="majorHAnsi" w:cstheme="majorHAnsi"/>
                <w:bCs/>
                <w:i/>
                <w:iCs/>
                <w:sz w:val="18"/>
                <w:szCs w:val="18"/>
              </w:rPr>
              <w:t>p</w:t>
            </w:r>
            <w:r>
              <w:rPr>
                <w:rFonts w:asciiTheme="majorHAnsi" w:hAnsiTheme="majorHAnsi" w:cstheme="majorHAnsi"/>
                <w:bCs/>
                <w:sz w:val="18"/>
                <w:szCs w:val="18"/>
              </w:rPr>
              <w:t>&lt;.001)</w:t>
            </w:r>
          </w:p>
        </w:tc>
        <w:tc>
          <w:tcPr>
            <w:tcW w:w="1741" w:type="dxa"/>
            <w:shd w:val="clear" w:color="auto" w:fill="auto"/>
          </w:tcPr>
          <w:p w14:paraId="0A129212" w14:textId="2132A547" w:rsidR="008466A8" w:rsidRPr="008466A8" w:rsidRDefault="008466A8"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Total cancers: 348</w:t>
            </w:r>
          </w:p>
          <w:p w14:paraId="51DEB94C" w14:textId="05543219" w:rsidR="001E2A1A" w:rsidRPr="001E2A1A" w:rsidRDefault="001E2A1A" w:rsidP="004E1897">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w:t>
            </w:r>
          </w:p>
          <w:p w14:paraId="404B42AC" w14:textId="77777777" w:rsidR="00DE2F1E" w:rsidRDefault="001E2A1A"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7.6</w:t>
            </w:r>
          </w:p>
          <w:p w14:paraId="0F47AD46" w14:textId="77777777" w:rsidR="001E2A1A" w:rsidRDefault="001E2A1A" w:rsidP="004E1897">
            <w:pPr>
              <w:pStyle w:val="BodyText"/>
              <w:spacing w:before="0" w:after="0" w:line="240" w:lineRule="auto"/>
              <w:jc w:val="left"/>
              <w:rPr>
                <w:rFonts w:asciiTheme="majorHAnsi" w:hAnsiTheme="majorHAnsi" w:cstheme="majorHAnsi"/>
                <w:bCs/>
                <w:i/>
                <w:iCs/>
                <w:sz w:val="18"/>
                <w:szCs w:val="18"/>
              </w:rPr>
            </w:pPr>
            <w:r w:rsidRPr="001E2A1A">
              <w:rPr>
                <w:rFonts w:asciiTheme="majorHAnsi" w:hAnsiTheme="majorHAnsi" w:cstheme="majorHAnsi"/>
                <w:bCs/>
                <w:i/>
                <w:iCs/>
                <w:sz w:val="18"/>
                <w:szCs w:val="18"/>
              </w:rPr>
              <w:t>DCIS</w:t>
            </w:r>
          </w:p>
          <w:p w14:paraId="1B4C15F5" w14:textId="743A69F4" w:rsidR="001E2A1A" w:rsidRPr="001E2A1A" w:rsidRDefault="001E2A1A"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1.7</w:t>
            </w:r>
          </w:p>
        </w:tc>
        <w:tc>
          <w:tcPr>
            <w:tcW w:w="1741" w:type="dxa"/>
            <w:shd w:val="clear" w:color="auto" w:fill="auto"/>
          </w:tcPr>
          <w:p w14:paraId="7C1B4DB0" w14:textId="2A3D61C0" w:rsidR="008466A8" w:rsidRPr="008466A8" w:rsidRDefault="008466A8"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Total cancers: 379</w:t>
            </w:r>
          </w:p>
          <w:p w14:paraId="6F951CA1" w14:textId="2EFB5C93" w:rsidR="001E2A1A" w:rsidRPr="001E2A1A" w:rsidRDefault="001E2A1A" w:rsidP="004E1897">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w:t>
            </w:r>
          </w:p>
          <w:p w14:paraId="2E6385A4" w14:textId="77777777" w:rsidR="00DE2F1E" w:rsidRDefault="001E2A1A"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5.3 (</w:t>
            </w:r>
            <w:r>
              <w:rPr>
                <w:rFonts w:asciiTheme="majorHAnsi" w:hAnsiTheme="majorHAnsi" w:cstheme="majorHAnsi"/>
                <w:bCs/>
                <w:i/>
                <w:iCs/>
                <w:sz w:val="18"/>
                <w:szCs w:val="18"/>
              </w:rPr>
              <w:t>p</w:t>
            </w:r>
            <w:r>
              <w:rPr>
                <w:rFonts w:asciiTheme="majorHAnsi" w:hAnsiTheme="majorHAnsi" w:cstheme="majorHAnsi"/>
                <w:bCs/>
                <w:sz w:val="18"/>
                <w:szCs w:val="18"/>
              </w:rPr>
              <w:t>&lt;.001)</w:t>
            </w:r>
          </w:p>
          <w:p w14:paraId="10B3686D" w14:textId="77777777" w:rsidR="001E2A1A" w:rsidRDefault="001E2A1A" w:rsidP="004E1897">
            <w:pPr>
              <w:pStyle w:val="BodyText"/>
              <w:spacing w:before="0" w:after="0" w:line="240" w:lineRule="auto"/>
              <w:jc w:val="left"/>
              <w:rPr>
                <w:rFonts w:asciiTheme="majorHAnsi" w:hAnsiTheme="majorHAnsi" w:cstheme="majorHAnsi"/>
                <w:bCs/>
                <w:i/>
                <w:iCs/>
                <w:sz w:val="18"/>
                <w:szCs w:val="18"/>
              </w:rPr>
            </w:pPr>
            <w:r w:rsidRPr="001E2A1A">
              <w:rPr>
                <w:rFonts w:asciiTheme="majorHAnsi" w:hAnsiTheme="majorHAnsi" w:cstheme="majorHAnsi"/>
                <w:bCs/>
                <w:i/>
                <w:iCs/>
                <w:sz w:val="18"/>
                <w:szCs w:val="18"/>
              </w:rPr>
              <w:t>DCIS</w:t>
            </w:r>
          </w:p>
          <w:p w14:paraId="509033BE" w14:textId="61FEE524" w:rsidR="001E2A1A" w:rsidRDefault="001E2A1A" w:rsidP="001E2A1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0.8 (</w:t>
            </w:r>
            <w:r>
              <w:rPr>
                <w:rFonts w:asciiTheme="majorHAnsi" w:hAnsiTheme="majorHAnsi" w:cstheme="majorHAnsi"/>
                <w:bCs/>
                <w:i/>
                <w:iCs/>
                <w:sz w:val="18"/>
                <w:szCs w:val="18"/>
              </w:rPr>
              <w:t>p</w:t>
            </w:r>
            <w:r>
              <w:rPr>
                <w:rFonts w:asciiTheme="majorHAnsi" w:hAnsiTheme="majorHAnsi" w:cstheme="majorHAnsi"/>
                <w:bCs/>
                <w:sz w:val="18"/>
                <w:szCs w:val="18"/>
              </w:rPr>
              <w:t>&lt;.001)</w:t>
            </w:r>
          </w:p>
          <w:p w14:paraId="1B1430EE" w14:textId="471DEC4B" w:rsidR="001E2A1A" w:rsidRPr="001E2A1A" w:rsidRDefault="001E2A1A" w:rsidP="004E1897">
            <w:pPr>
              <w:pStyle w:val="BodyText"/>
              <w:spacing w:before="0" w:after="0" w:line="240" w:lineRule="auto"/>
              <w:jc w:val="left"/>
              <w:rPr>
                <w:rFonts w:asciiTheme="majorHAnsi" w:hAnsiTheme="majorHAnsi" w:cstheme="majorHAnsi"/>
                <w:bCs/>
                <w:sz w:val="18"/>
                <w:szCs w:val="18"/>
              </w:rPr>
            </w:pPr>
          </w:p>
        </w:tc>
        <w:tc>
          <w:tcPr>
            <w:tcW w:w="1741" w:type="dxa"/>
            <w:shd w:val="clear" w:color="auto" w:fill="auto"/>
          </w:tcPr>
          <w:p w14:paraId="70A5DE32" w14:textId="4DBBB700" w:rsidR="00DE2F1E" w:rsidRDefault="008466A8"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 data but authors observed statistically significant increases (see other columns)</w:t>
            </w:r>
          </w:p>
        </w:tc>
      </w:tr>
      <w:tr w:rsidR="00DE2F1E" w:rsidRPr="003B0310" w14:paraId="1BB924FD" w14:textId="77777777" w:rsidTr="00D11A2B">
        <w:trPr>
          <w:trHeight w:val="1394"/>
        </w:trPr>
        <w:tc>
          <w:tcPr>
            <w:tcW w:w="1081" w:type="dxa"/>
            <w:shd w:val="clear" w:color="auto" w:fill="auto"/>
          </w:tcPr>
          <w:p w14:paraId="00CD30AA"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Romero Martín et al. (2018)</w:t>
            </w:r>
          </w:p>
          <w:p w14:paraId="5AD09D28" w14:textId="77777777"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Cordoba</w:t>
            </w:r>
          </w:p>
        </w:tc>
        <w:tc>
          <w:tcPr>
            <w:tcW w:w="2833" w:type="dxa"/>
            <w:shd w:val="clear" w:color="auto" w:fill="auto"/>
          </w:tcPr>
          <w:p w14:paraId="1029F89A" w14:textId="3770512C"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16,067 women in the Cordoba Screening Program </w:t>
            </w:r>
            <w:r w:rsidR="00B446BC">
              <w:rPr>
                <w:rFonts w:asciiTheme="majorHAnsi" w:hAnsiTheme="majorHAnsi" w:cstheme="majorHAnsi"/>
                <w:bCs/>
                <w:sz w:val="18"/>
                <w:szCs w:val="18"/>
              </w:rPr>
              <w:t xml:space="preserve">(Spain) </w:t>
            </w:r>
            <w:r>
              <w:rPr>
                <w:rFonts w:asciiTheme="majorHAnsi" w:hAnsiTheme="majorHAnsi" w:cstheme="majorHAnsi"/>
                <w:bCs/>
                <w:sz w:val="18"/>
                <w:szCs w:val="18"/>
              </w:rPr>
              <w:t xml:space="preserve">(aged 57.59y) undergoing FFDM+DBT with </w:t>
            </w:r>
            <w:r w:rsidR="00176980">
              <w:rPr>
                <w:rFonts w:asciiTheme="majorHAnsi" w:hAnsiTheme="majorHAnsi" w:cstheme="majorHAnsi"/>
                <w:bCs/>
                <w:sz w:val="18"/>
                <w:szCs w:val="18"/>
              </w:rPr>
              <w:t>s2DM</w:t>
            </w:r>
            <w:r>
              <w:rPr>
                <w:rFonts w:asciiTheme="majorHAnsi" w:hAnsiTheme="majorHAnsi" w:cstheme="majorHAnsi"/>
                <w:bCs/>
                <w:sz w:val="18"/>
                <w:szCs w:val="18"/>
              </w:rPr>
              <w:t xml:space="preserve"> images (3341 women attending for prevalent screening; 127</w:t>
            </w:r>
            <w:r w:rsidR="0034054F">
              <w:rPr>
                <w:rFonts w:asciiTheme="majorHAnsi" w:hAnsiTheme="majorHAnsi" w:cstheme="majorHAnsi"/>
                <w:bCs/>
                <w:sz w:val="18"/>
                <w:szCs w:val="18"/>
              </w:rPr>
              <w:t>,</w:t>
            </w:r>
            <w:r>
              <w:rPr>
                <w:rFonts w:asciiTheme="majorHAnsi" w:hAnsiTheme="majorHAnsi" w:cstheme="majorHAnsi"/>
                <w:bCs/>
                <w:sz w:val="18"/>
                <w:szCs w:val="18"/>
              </w:rPr>
              <w:t>27 for incident screening)</w:t>
            </w:r>
          </w:p>
        </w:tc>
        <w:tc>
          <w:tcPr>
            <w:tcW w:w="2833" w:type="dxa"/>
            <w:shd w:val="clear" w:color="auto" w:fill="auto"/>
          </w:tcPr>
          <w:p w14:paraId="3532EE8F" w14:textId="794530A1" w:rsidR="00DE2F1E" w:rsidRPr="003B0310"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Prospective transversal reading study</w:t>
            </w:r>
            <w:r w:rsidR="00B446BC">
              <w:rPr>
                <w:rFonts w:asciiTheme="majorHAnsi" w:hAnsiTheme="majorHAnsi" w:cstheme="majorHAnsi"/>
                <w:bCs/>
                <w:sz w:val="18"/>
                <w:szCs w:val="18"/>
              </w:rPr>
              <w:t xml:space="preserve"> comparing single and </w:t>
            </w:r>
            <w:r>
              <w:rPr>
                <w:rFonts w:asciiTheme="majorHAnsi" w:hAnsiTheme="majorHAnsi" w:cstheme="majorHAnsi"/>
                <w:bCs/>
                <w:sz w:val="18"/>
                <w:szCs w:val="18"/>
              </w:rPr>
              <w:t>double reading of FFDM, DBT+</w:t>
            </w:r>
            <w:r w:rsidR="00176980">
              <w:rPr>
                <w:rFonts w:asciiTheme="majorHAnsi" w:hAnsiTheme="majorHAnsi" w:cstheme="majorHAnsi"/>
                <w:bCs/>
                <w:sz w:val="18"/>
                <w:szCs w:val="18"/>
              </w:rPr>
              <w:t>s2DM</w:t>
            </w:r>
            <w:r>
              <w:rPr>
                <w:rFonts w:asciiTheme="majorHAnsi" w:hAnsiTheme="majorHAnsi" w:cstheme="majorHAnsi"/>
                <w:bCs/>
                <w:sz w:val="18"/>
                <w:szCs w:val="18"/>
              </w:rPr>
              <w:t xml:space="preserve"> (single read) and FFDM+DBT+</w:t>
            </w:r>
            <w:r w:rsidR="00176980">
              <w:rPr>
                <w:rFonts w:asciiTheme="majorHAnsi" w:hAnsiTheme="majorHAnsi" w:cstheme="majorHAnsi"/>
                <w:bCs/>
                <w:sz w:val="18"/>
                <w:szCs w:val="18"/>
              </w:rPr>
              <w:t>s2DM</w:t>
            </w:r>
            <w:r>
              <w:rPr>
                <w:rFonts w:asciiTheme="majorHAnsi" w:hAnsiTheme="majorHAnsi" w:cstheme="majorHAnsi"/>
                <w:bCs/>
                <w:sz w:val="18"/>
                <w:szCs w:val="18"/>
              </w:rPr>
              <w:t xml:space="preserve"> (single read), imaged on Hologic Dimensions unit</w:t>
            </w:r>
            <w:r w:rsidR="00B446BC">
              <w:rPr>
                <w:rFonts w:asciiTheme="majorHAnsi" w:hAnsiTheme="majorHAnsi" w:cstheme="majorHAnsi"/>
                <w:bCs/>
                <w:sz w:val="18"/>
                <w:szCs w:val="18"/>
              </w:rPr>
              <w:t>; n=5 radiologists</w:t>
            </w:r>
          </w:p>
        </w:tc>
        <w:tc>
          <w:tcPr>
            <w:tcW w:w="1741" w:type="dxa"/>
            <w:shd w:val="clear" w:color="auto" w:fill="auto"/>
          </w:tcPr>
          <w:p w14:paraId="2193AB14" w14:textId="120DF35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5.4</w:t>
            </w:r>
          </w:p>
          <w:p w14:paraId="7DF6A9C7" w14:textId="3D4C6141"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(69 cancers detected; 18 only detected with this reading)</w:t>
            </w:r>
          </w:p>
        </w:tc>
        <w:tc>
          <w:tcPr>
            <w:tcW w:w="1741" w:type="dxa"/>
            <w:shd w:val="clear" w:color="auto" w:fill="auto"/>
          </w:tcPr>
          <w:p w14:paraId="4C745CB6" w14:textId="77777777" w:rsidR="00DE2F1E"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4.7</w:t>
            </w:r>
          </w:p>
          <w:p w14:paraId="38EA47EE" w14:textId="093CDD28" w:rsidR="00DE2F1E" w:rsidRDefault="00DE2F1E" w:rsidP="001A45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(69 cancers detected; seven only detected with this reading)</w:t>
            </w:r>
          </w:p>
          <w:p w14:paraId="6EF341BE" w14:textId="4B6965B2" w:rsidR="00DE2F1E" w:rsidRDefault="00DE2F1E" w:rsidP="004E1897">
            <w:pPr>
              <w:pStyle w:val="BodyText"/>
              <w:spacing w:before="0" w:after="0" w:line="240" w:lineRule="auto"/>
              <w:jc w:val="left"/>
              <w:rPr>
                <w:rFonts w:asciiTheme="majorHAnsi" w:hAnsiTheme="majorHAnsi" w:cstheme="majorHAnsi"/>
                <w:bCs/>
                <w:sz w:val="18"/>
                <w:szCs w:val="18"/>
              </w:rPr>
            </w:pPr>
          </w:p>
        </w:tc>
        <w:tc>
          <w:tcPr>
            <w:tcW w:w="1741" w:type="dxa"/>
            <w:shd w:val="clear" w:color="auto" w:fill="auto"/>
          </w:tcPr>
          <w:p w14:paraId="074D7F5E" w14:textId="77777777" w:rsidR="00DE2F1E" w:rsidRDefault="005A7581"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71 invasive cancers (no CDR prepared)</w:t>
            </w:r>
          </w:p>
          <w:p w14:paraId="052DFA5B" w14:textId="677AC35F" w:rsidR="005A7581" w:rsidRPr="005A7581" w:rsidRDefault="005A7581"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21 </w:t>
            </w:r>
            <w:r w:rsidR="00911379">
              <w:rPr>
                <w:rFonts w:asciiTheme="majorHAnsi" w:hAnsiTheme="majorHAnsi" w:cstheme="majorHAnsi"/>
                <w:bCs/>
                <w:sz w:val="18"/>
                <w:szCs w:val="18"/>
              </w:rPr>
              <w:t>in-</w:t>
            </w:r>
            <w:r>
              <w:rPr>
                <w:rFonts w:asciiTheme="majorHAnsi" w:hAnsiTheme="majorHAnsi" w:cstheme="majorHAnsi"/>
                <w:bCs/>
                <w:sz w:val="18"/>
                <w:szCs w:val="18"/>
              </w:rPr>
              <w:t xml:space="preserve">situ cancers (no CDR prepared) </w:t>
            </w:r>
          </w:p>
        </w:tc>
        <w:tc>
          <w:tcPr>
            <w:tcW w:w="1741" w:type="dxa"/>
            <w:shd w:val="clear" w:color="auto" w:fill="auto"/>
          </w:tcPr>
          <w:p w14:paraId="76438687" w14:textId="5147C483" w:rsidR="00DE2F1E" w:rsidRDefault="005A7581"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57 invasive cancers (no CDR prepared</w:t>
            </w:r>
            <w:r w:rsidR="00911379">
              <w:rPr>
                <w:rFonts w:asciiTheme="majorHAnsi" w:hAnsiTheme="majorHAnsi" w:cstheme="majorHAnsi"/>
                <w:bCs/>
                <w:sz w:val="18"/>
                <w:szCs w:val="18"/>
              </w:rPr>
              <w:t>, (</w:t>
            </w:r>
            <w:r w:rsidR="00911379">
              <w:rPr>
                <w:rFonts w:asciiTheme="majorHAnsi" w:hAnsiTheme="majorHAnsi" w:cstheme="majorHAnsi"/>
                <w:bCs/>
                <w:i/>
                <w:iCs/>
                <w:sz w:val="18"/>
                <w:szCs w:val="18"/>
              </w:rPr>
              <w:t>p</w:t>
            </w:r>
            <w:r w:rsidR="00911379">
              <w:rPr>
                <w:rFonts w:asciiTheme="majorHAnsi" w:hAnsiTheme="majorHAnsi" w:cstheme="majorHAnsi"/>
                <w:bCs/>
                <w:sz w:val="18"/>
                <w:szCs w:val="18"/>
              </w:rPr>
              <w:t>=.001</w:t>
            </w:r>
            <w:r>
              <w:rPr>
                <w:rFonts w:asciiTheme="majorHAnsi" w:hAnsiTheme="majorHAnsi" w:cstheme="majorHAnsi"/>
                <w:bCs/>
                <w:sz w:val="18"/>
                <w:szCs w:val="18"/>
              </w:rPr>
              <w:t>)</w:t>
            </w:r>
          </w:p>
          <w:p w14:paraId="6663D2F4" w14:textId="552133A0" w:rsidR="005A7581" w:rsidRPr="005A7581" w:rsidRDefault="005A7581"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19 in</w:t>
            </w:r>
            <w:r w:rsidR="00911379">
              <w:rPr>
                <w:rFonts w:asciiTheme="majorHAnsi" w:hAnsiTheme="majorHAnsi" w:cstheme="majorHAnsi"/>
                <w:bCs/>
                <w:sz w:val="18"/>
                <w:szCs w:val="18"/>
              </w:rPr>
              <w:t>-</w:t>
            </w:r>
            <w:r>
              <w:rPr>
                <w:rFonts w:asciiTheme="majorHAnsi" w:hAnsiTheme="majorHAnsi" w:cstheme="majorHAnsi"/>
                <w:bCs/>
                <w:sz w:val="18"/>
                <w:szCs w:val="18"/>
              </w:rPr>
              <w:t>situ cancers (no CDR prepared) (</w:t>
            </w:r>
            <w:r>
              <w:rPr>
                <w:rFonts w:asciiTheme="majorHAnsi" w:hAnsiTheme="majorHAnsi" w:cstheme="majorHAnsi"/>
                <w:bCs/>
                <w:i/>
                <w:iCs/>
                <w:sz w:val="18"/>
                <w:szCs w:val="18"/>
              </w:rPr>
              <w:t>p</w:t>
            </w:r>
            <w:r>
              <w:rPr>
                <w:rFonts w:asciiTheme="majorHAnsi" w:hAnsiTheme="majorHAnsi" w:cstheme="majorHAnsi"/>
                <w:bCs/>
                <w:sz w:val="18"/>
                <w:szCs w:val="18"/>
              </w:rPr>
              <w:t>=.774)</w:t>
            </w:r>
          </w:p>
        </w:tc>
        <w:tc>
          <w:tcPr>
            <w:tcW w:w="1741" w:type="dxa"/>
            <w:shd w:val="clear" w:color="auto" w:fill="auto"/>
          </w:tcPr>
          <w:p w14:paraId="1EA0D932" w14:textId="6571A617" w:rsidR="00DE2F1E" w:rsidRPr="00130DBF" w:rsidRDefault="00DE2F1E" w:rsidP="004E1897">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12.6% (7.2</w:t>
            </w:r>
            <w:r w:rsidR="00176980">
              <w:rPr>
                <w:rFonts w:asciiTheme="majorHAnsi" w:hAnsiTheme="majorHAnsi" w:cstheme="majorHAnsi"/>
                <w:bCs/>
                <w:sz w:val="18"/>
                <w:szCs w:val="18"/>
              </w:rPr>
              <w:t xml:space="preserve">, </w:t>
            </w:r>
            <w:r>
              <w:rPr>
                <w:rFonts w:asciiTheme="majorHAnsi" w:hAnsiTheme="majorHAnsi" w:cstheme="majorHAnsi"/>
                <w:bCs/>
                <w:sz w:val="18"/>
                <w:szCs w:val="18"/>
              </w:rPr>
              <w:t>21.2</w:t>
            </w:r>
            <w:r w:rsidR="00176980">
              <w:rPr>
                <w:rFonts w:asciiTheme="majorHAnsi" w:hAnsiTheme="majorHAnsi" w:cstheme="majorHAnsi"/>
                <w:bCs/>
                <w:sz w:val="18"/>
                <w:szCs w:val="18"/>
              </w:rPr>
              <w:t>;</w:t>
            </w:r>
            <w:r>
              <w:rPr>
                <w:rFonts w:asciiTheme="majorHAnsi" w:hAnsiTheme="majorHAnsi" w:cstheme="majorHAnsi"/>
                <w:bCs/>
                <w:sz w:val="18"/>
                <w:szCs w:val="18"/>
              </w:rPr>
              <w:t xml:space="preserve"> </w:t>
            </w:r>
            <w:r>
              <w:rPr>
                <w:rFonts w:asciiTheme="majorHAnsi" w:hAnsiTheme="majorHAnsi" w:cstheme="majorHAnsi"/>
                <w:bCs/>
                <w:i/>
                <w:iCs/>
                <w:sz w:val="18"/>
                <w:szCs w:val="18"/>
              </w:rPr>
              <w:t>p</w:t>
            </w:r>
            <w:r>
              <w:rPr>
                <w:rFonts w:asciiTheme="majorHAnsi" w:hAnsiTheme="majorHAnsi" w:cstheme="majorHAnsi"/>
                <w:bCs/>
                <w:sz w:val="18"/>
                <w:szCs w:val="18"/>
              </w:rPr>
              <w:t>=.043)</w:t>
            </w:r>
          </w:p>
        </w:tc>
      </w:tr>
      <w:tr w:rsidR="00004B56" w:rsidRPr="003B0310" w14:paraId="65424A83" w14:textId="77777777" w:rsidTr="00004B56">
        <w:trPr>
          <w:trHeight w:val="224"/>
        </w:trPr>
        <w:tc>
          <w:tcPr>
            <w:tcW w:w="15452" w:type="dxa"/>
            <w:gridSpan w:val="8"/>
            <w:shd w:val="clear" w:color="auto" w:fill="auto"/>
          </w:tcPr>
          <w:p w14:paraId="4D9B98D0" w14:textId="72741C0B" w:rsidR="00004B56" w:rsidRPr="00004B56" w:rsidRDefault="00004B56" w:rsidP="004240AA">
            <w:pPr>
              <w:pStyle w:val="BodyText"/>
              <w:spacing w:before="0" w:after="0" w:line="240" w:lineRule="auto"/>
              <w:jc w:val="left"/>
              <w:rPr>
                <w:rFonts w:asciiTheme="majorHAnsi" w:hAnsiTheme="majorHAnsi" w:cstheme="majorHAnsi"/>
                <w:b/>
                <w:sz w:val="18"/>
                <w:szCs w:val="18"/>
              </w:rPr>
            </w:pPr>
            <w:r>
              <w:rPr>
                <w:rFonts w:asciiTheme="majorHAnsi" w:hAnsiTheme="majorHAnsi" w:cstheme="majorHAnsi"/>
                <w:b/>
                <w:sz w:val="18"/>
                <w:szCs w:val="18"/>
              </w:rPr>
              <w:t>Retrospective analysis</w:t>
            </w:r>
          </w:p>
        </w:tc>
      </w:tr>
      <w:tr w:rsidR="00004B56" w:rsidRPr="003B0310" w14:paraId="658A66A9" w14:textId="77777777" w:rsidTr="00436259">
        <w:trPr>
          <w:trHeight w:val="185"/>
        </w:trPr>
        <w:tc>
          <w:tcPr>
            <w:tcW w:w="1081" w:type="dxa"/>
            <w:shd w:val="clear" w:color="auto" w:fill="auto"/>
          </w:tcPr>
          <w:p w14:paraId="5A03F8B3" w14:textId="77777777" w:rsidR="00004B56" w:rsidRDefault="00004B56"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Hovda et al. (2019)</w:t>
            </w:r>
          </w:p>
          <w:p w14:paraId="6568DB6B" w14:textId="5D1B75AC" w:rsidR="00004B56" w:rsidRPr="003B0310" w:rsidRDefault="00004B56"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Norway</w:t>
            </w:r>
            <w:r w:rsidR="0067496C">
              <w:rPr>
                <w:rFonts w:asciiTheme="majorHAnsi" w:hAnsiTheme="majorHAnsi" w:cstheme="majorHAnsi"/>
                <w:bCs/>
                <w:sz w:val="18"/>
                <w:szCs w:val="18"/>
              </w:rPr>
              <w:t xml:space="preserve"> BSP</w:t>
            </w:r>
          </w:p>
        </w:tc>
        <w:tc>
          <w:tcPr>
            <w:tcW w:w="2833" w:type="dxa"/>
            <w:shd w:val="clear" w:color="auto" w:fill="auto"/>
          </w:tcPr>
          <w:p w14:paraId="02B68366" w14:textId="798CCB80" w:rsidR="00004B56" w:rsidRDefault="00004B56"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35,736 women with </w:t>
            </w:r>
            <w:r w:rsidR="00A858C5">
              <w:rPr>
                <w:rFonts w:asciiTheme="majorHAnsi" w:hAnsiTheme="majorHAnsi" w:cstheme="majorHAnsi"/>
                <w:bCs/>
                <w:sz w:val="18"/>
                <w:szCs w:val="18"/>
              </w:rPr>
              <w:t xml:space="preserve">at least </w:t>
            </w:r>
            <w:r>
              <w:rPr>
                <w:rFonts w:asciiTheme="majorHAnsi" w:hAnsiTheme="majorHAnsi" w:cstheme="majorHAnsi"/>
                <w:bCs/>
                <w:sz w:val="18"/>
                <w:szCs w:val="18"/>
              </w:rPr>
              <w:t xml:space="preserve">two consecutive screens in the </w:t>
            </w:r>
            <w:r w:rsidR="00436259">
              <w:rPr>
                <w:rFonts w:asciiTheme="majorHAnsi" w:hAnsiTheme="majorHAnsi" w:cstheme="majorHAnsi"/>
                <w:bCs/>
                <w:sz w:val="18"/>
                <w:szCs w:val="18"/>
              </w:rPr>
              <w:t xml:space="preserve">Oslo </w:t>
            </w:r>
            <w:r>
              <w:rPr>
                <w:rFonts w:asciiTheme="majorHAnsi" w:hAnsiTheme="majorHAnsi" w:cstheme="majorHAnsi"/>
                <w:bCs/>
                <w:sz w:val="18"/>
                <w:szCs w:val="18"/>
              </w:rPr>
              <w:t>BreastScreen Norway program</w:t>
            </w:r>
          </w:p>
          <w:p w14:paraId="008061AB" w14:textId="15E76AE5" w:rsidR="005F2A94" w:rsidRPr="003B0310" w:rsidRDefault="005F2A94" w:rsidP="005F2A9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Groups included FFDM then FFDM (n=10,502) compared to FFDM then FFDM+DBT (n=8365) plus FFDM then DBT+</w:t>
            </w:r>
            <w:r w:rsidR="00176980">
              <w:rPr>
                <w:rFonts w:asciiTheme="majorHAnsi" w:hAnsiTheme="majorHAnsi" w:cstheme="majorHAnsi"/>
                <w:bCs/>
                <w:sz w:val="18"/>
                <w:szCs w:val="18"/>
              </w:rPr>
              <w:t>s2DM</w:t>
            </w:r>
            <w:r>
              <w:rPr>
                <w:rFonts w:asciiTheme="majorHAnsi" w:hAnsiTheme="majorHAnsi" w:cstheme="majorHAnsi"/>
                <w:bCs/>
                <w:sz w:val="18"/>
                <w:szCs w:val="18"/>
              </w:rPr>
              <w:t xml:space="preserve"> (n=13,059) (total in DBT arm = 21,424)</w:t>
            </w:r>
          </w:p>
        </w:tc>
        <w:tc>
          <w:tcPr>
            <w:tcW w:w="2833" w:type="dxa"/>
            <w:shd w:val="clear" w:color="auto" w:fill="auto"/>
          </w:tcPr>
          <w:p w14:paraId="582F8CD9" w14:textId="6B17A81A" w:rsidR="00004B56" w:rsidRPr="003B0310" w:rsidRDefault="00004B56"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Retrospective paired analysis of</w:t>
            </w:r>
            <w:r w:rsidR="00436259">
              <w:rPr>
                <w:rFonts w:asciiTheme="majorHAnsi" w:hAnsiTheme="majorHAnsi" w:cstheme="majorHAnsi"/>
                <w:bCs/>
                <w:sz w:val="18"/>
                <w:szCs w:val="18"/>
              </w:rPr>
              <w:t xml:space="preserve"> screening round</w:t>
            </w:r>
            <w:r>
              <w:rPr>
                <w:rFonts w:asciiTheme="majorHAnsi" w:hAnsiTheme="majorHAnsi" w:cstheme="majorHAnsi"/>
                <w:bCs/>
                <w:sz w:val="18"/>
                <w:szCs w:val="18"/>
              </w:rPr>
              <w:t xml:space="preserve"> data </w:t>
            </w:r>
            <w:r w:rsidR="00436259">
              <w:rPr>
                <w:rFonts w:asciiTheme="majorHAnsi" w:hAnsiTheme="majorHAnsi" w:cstheme="majorHAnsi"/>
                <w:bCs/>
                <w:sz w:val="18"/>
                <w:szCs w:val="18"/>
              </w:rPr>
              <w:t xml:space="preserve">(first round was negative at screening or assessment; second round could be negative or positive) </w:t>
            </w:r>
            <w:r>
              <w:rPr>
                <w:rFonts w:asciiTheme="majorHAnsi" w:hAnsiTheme="majorHAnsi" w:cstheme="majorHAnsi"/>
                <w:bCs/>
                <w:sz w:val="18"/>
                <w:szCs w:val="18"/>
              </w:rPr>
              <w:t>using Hologic Dimensions and GE Senographe systems</w:t>
            </w:r>
            <w:r w:rsidR="00436259">
              <w:rPr>
                <w:rFonts w:asciiTheme="majorHAnsi" w:hAnsiTheme="majorHAnsi" w:cstheme="majorHAnsi"/>
                <w:bCs/>
                <w:sz w:val="18"/>
                <w:szCs w:val="18"/>
              </w:rPr>
              <w:t xml:space="preserve"> with independent double reading </w:t>
            </w:r>
          </w:p>
        </w:tc>
        <w:tc>
          <w:tcPr>
            <w:tcW w:w="1741" w:type="dxa"/>
            <w:shd w:val="clear" w:color="auto" w:fill="auto"/>
          </w:tcPr>
          <w:p w14:paraId="333B55B9" w14:textId="2853710C" w:rsidR="00004B56" w:rsidRDefault="005A7581"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9.9</w:t>
            </w:r>
          </w:p>
        </w:tc>
        <w:tc>
          <w:tcPr>
            <w:tcW w:w="1741" w:type="dxa"/>
            <w:shd w:val="clear" w:color="auto" w:fill="auto"/>
          </w:tcPr>
          <w:p w14:paraId="065466F0" w14:textId="66BFB0FF" w:rsidR="00004B56" w:rsidRPr="005A7581" w:rsidRDefault="005A7581"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4.6 (</w:t>
            </w:r>
            <w:r>
              <w:rPr>
                <w:rFonts w:asciiTheme="majorHAnsi" w:hAnsiTheme="majorHAnsi" w:cstheme="majorHAnsi"/>
                <w:bCs/>
                <w:i/>
                <w:iCs/>
                <w:sz w:val="18"/>
                <w:szCs w:val="18"/>
              </w:rPr>
              <w:t>p</w:t>
            </w:r>
            <w:r>
              <w:rPr>
                <w:rFonts w:asciiTheme="majorHAnsi" w:hAnsiTheme="majorHAnsi" w:cstheme="majorHAnsi"/>
                <w:bCs/>
                <w:sz w:val="18"/>
                <w:szCs w:val="18"/>
              </w:rPr>
              <w:t>&lt;.001)</w:t>
            </w:r>
          </w:p>
        </w:tc>
        <w:tc>
          <w:tcPr>
            <w:tcW w:w="1741" w:type="dxa"/>
            <w:shd w:val="clear" w:color="auto" w:fill="auto"/>
          </w:tcPr>
          <w:p w14:paraId="0EEC58D9" w14:textId="1C192F1D" w:rsidR="005A7581" w:rsidRDefault="005A7581" w:rsidP="004240AA">
            <w:pPr>
              <w:pStyle w:val="BodyText"/>
              <w:spacing w:before="0" w:after="0" w:line="240" w:lineRule="auto"/>
              <w:jc w:val="left"/>
              <w:rPr>
                <w:rFonts w:asciiTheme="majorHAnsi" w:hAnsiTheme="majorHAnsi" w:cstheme="majorHAnsi"/>
                <w:bCs/>
                <w:i/>
                <w:iCs/>
                <w:sz w:val="18"/>
                <w:szCs w:val="18"/>
              </w:rPr>
            </w:pPr>
            <w:r w:rsidRPr="005A7581">
              <w:rPr>
                <w:rFonts w:asciiTheme="majorHAnsi" w:hAnsiTheme="majorHAnsi" w:cstheme="majorHAnsi"/>
                <w:bCs/>
                <w:i/>
                <w:iCs/>
                <w:sz w:val="18"/>
                <w:szCs w:val="18"/>
              </w:rPr>
              <w:t>In</w:t>
            </w:r>
            <w:r>
              <w:rPr>
                <w:rFonts w:asciiTheme="majorHAnsi" w:hAnsiTheme="majorHAnsi" w:cstheme="majorHAnsi"/>
                <w:bCs/>
                <w:i/>
                <w:iCs/>
                <w:sz w:val="18"/>
                <w:szCs w:val="18"/>
              </w:rPr>
              <w:t>v</w:t>
            </w:r>
            <w:r w:rsidRPr="005A7581">
              <w:rPr>
                <w:rFonts w:asciiTheme="majorHAnsi" w:hAnsiTheme="majorHAnsi" w:cstheme="majorHAnsi"/>
                <w:bCs/>
                <w:i/>
                <w:iCs/>
                <w:sz w:val="18"/>
                <w:szCs w:val="18"/>
              </w:rPr>
              <w:t>asive</w:t>
            </w:r>
          </w:p>
          <w:p w14:paraId="2FD02FA7" w14:textId="77777777" w:rsidR="00004B56" w:rsidRDefault="005A7581"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8.4</w:t>
            </w:r>
          </w:p>
          <w:p w14:paraId="1C3BCE6E" w14:textId="77777777" w:rsidR="005A7581" w:rsidRPr="005A7581" w:rsidRDefault="005A7581" w:rsidP="004240AA">
            <w:pPr>
              <w:pStyle w:val="BodyText"/>
              <w:spacing w:before="0" w:after="0" w:line="240" w:lineRule="auto"/>
              <w:jc w:val="left"/>
              <w:rPr>
                <w:rFonts w:asciiTheme="majorHAnsi" w:hAnsiTheme="majorHAnsi" w:cstheme="majorHAnsi"/>
                <w:bCs/>
                <w:i/>
                <w:iCs/>
                <w:sz w:val="18"/>
                <w:szCs w:val="18"/>
              </w:rPr>
            </w:pPr>
            <w:r w:rsidRPr="005A7581">
              <w:rPr>
                <w:rFonts w:asciiTheme="majorHAnsi" w:hAnsiTheme="majorHAnsi" w:cstheme="majorHAnsi"/>
                <w:bCs/>
                <w:i/>
                <w:iCs/>
                <w:sz w:val="18"/>
                <w:szCs w:val="18"/>
              </w:rPr>
              <w:t>DCIS</w:t>
            </w:r>
          </w:p>
          <w:p w14:paraId="6EFDB8A9" w14:textId="2C7052A7" w:rsidR="005A7581" w:rsidRPr="005A7581" w:rsidRDefault="005A7581"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1.6</w:t>
            </w:r>
          </w:p>
        </w:tc>
        <w:tc>
          <w:tcPr>
            <w:tcW w:w="1741" w:type="dxa"/>
            <w:shd w:val="clear" w:color="auto" w:fill="auto"/>
          </w:tcPr>
          <w:p w14:paraId="2159CA57" w14:textId="77777777" w:rsidR="005A7581" w:rsidRPr="005A7581" w:rsidRDefault="005A7581" w:rsidP="004240AA">
            <w:pPr>
              <w:pStyle w:val="BodyText"/>
              <w:spacing w:before="0" w:after="0" w:line="240" w:lineRule="auto"/>
              <w:jc w:val="left"/>
              <w:rPr>
                <w:rFonts w:asciiTheme="majorHAnsi" w:hAnsiTheme="majorHAnsi" w:cstheme="majorHAnsi"/>
                <w:bCs/>
                <w:i/>
                <w:iCs/>
                <w:sz w:val="18"/>
                <w:szCs w:val="18"/>
              </w:rPr>
            </w:pPr>
            <w:r w:rsidRPr="005A7581">
              <w:rPr>
                <w:rFonts w:asciiTheme="majorHAnsi" w:hAnsiTheme="majorHAnsi" w:cstheme="majorHAnsi"/>
                <w:bCs/>
                <w:i/>
                <w:iCs/>
                <w:sz w:val="18"/>
                <w:szCs w:val="18"/>
              </w:rPr>
              <w:t>Invasive</w:t>
            </w:r>
          </w:p>
          <w:p w14:paraId="74DFBCE2" w14:textId="77777777" w:rsidR="00004B56" w:rsidRDefault="005A7581"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3.7</w:t>
            </w:r>
          </w:p>
          <w:p w14:paraId="0B358A0A" w14:textId="77777777" w:rsidR="005A7581" w:rsidRDefault="005A7581" w:rsidP="004240AA">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DCIS</w:t>
            </w:r>
          </w:p>
          <w:p w14:paraId="16A2236F" w14:textId="32DDB55D" w:rsidR="005A7581" w:rsidRPr="00273D38" w:rsidRDefault="005A7581"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0.9</w:t>
            </w:r>
            <w:r w:rsidR="0034054F">
              <w:rPr>
                <w:rFonts w:asciiTheme="majorHAnsi" w:hAnsiTheme="majorHAnsi" w:cstheme="majorHAnsi"/>
                <w:bCs/>
                <w:sz w:val="18"/>
                <w:szCs w:val="18"/>
              </w:rPr>
              <w:t xml:space="preserve"> (</w:t>
            </w:r>
            <w:r w:rsidR="00273D38">
              <w:rPr>
                <w:rFonts w:asciiTheme="majorHAnsi" w:hAnsiTheme="majorHAnsi" w:cstheme="majorHAnsi"/>
                <w:bCs/>
                <w:i/>
                <w:iCs/>
                <w:sz w:val="18"/>
                <w:szCs w:val="18"/>
              </w:rPr>
              <w:t>p=</w:t>
            </w:r>
            <w:r w:rsidR="00273D38">
              <w:rPr>
                <w:rFonts w:asciiTheme="majorHAnsi" w:hAnsiTheme="majorHAnsi" w:cstheme="majorHAnsi"/>
                <w:bCs/>
                <w:sz w:val="18"/>
                <w:szCs w:val="18"/>
              </w:rPr>
              <w:t>.001</w:t>
            </w:r>
            <w:r w:rsidR="0034054F">
              <w:rPr>
                <w:rFonts w:asciiTheme="majorHAnsi" w:hAnsiTheme="majorHAnsi" w:cstheme="majorHAnsi"/>
                <w:bCs/>
                <w:sz w:val="18"/>
                <w:szCs w:val="18"/>
              </w:rPr>
              <w:t>)</w:t>
            </w:r>
          </w:p>
        </w:tc>
        <w:tc>
          <w:tcPr>
            <w:tcW w:w="1741" w:type="dxa"/>
            <w:shd w:val="clear" w:color="auto" w:fill="auto"/>
          </w:tcPr>
          <w:p w14:paraId="65360C80" w14:textId="52A6A3C4" w:rsidR="00004B56" w:rsidRDefault="005A7581" w:rsidP="004240AA">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 data</w:t>
            </w:r>
          </w:p>
        </w:tc>
      </w:tr>
    </w:tbl>
    <w:p w14:paraId="4FAA010C" w14:textId="77777777" w:rsidR="005A7581" w:rsidRDefault="005A7581" w:rsidP="00C5238A">
      <w:pPr>
        <w:pStyle w:val="Caption"/>
      </w:pPr>
    </w:p>
    <w:p w14:paraId="7CD1521E" w14:textId="77777777" w:rsidR="00F822B0" w:rsidRDefault="00F822B0">
      <w:pPr>
        <w:rPr>
          <w:b/>
          <w:bCs/>
          <w:color w:val="36424A" w:themeColor="accent1"/>
          <w:sz w:val="18"/>
          <w:szCs w:val="18"/>
        </w:rPr>
      </w:pPr>
      <w:r>
        <w:br w:type="page"/>
      </w:r>
    </w:p>
    <w:p w14:paraId="565E8DA6" w14:textId="768B05F2" w:rsidR="00C5238A" w:rsidRDefault="005A7581" w:rsidP="00C5238A">
      <w:pPr>
        <w:pStyle w:val="Caption"/>
      </w:pPr>
      <w:r>
        <w:lastRenderedPageBreak/>
        <w:t>T</w:t>
      </w:r>
      <w:r w:rsidR="00C5238A">
        <w:t xml:space="preserve">able </w:t>
      </w:r>
      <w:r w:rsidR="00EC105D">
        <w:t>9</w:t>
      </w:r>
      <w:r w:rsidR="003A634F">
        <w:t>b</w:t>
      </w:r>
      <w:r w:rsidR="00C5238A">
        <w:t xml:space="preserve">: </w:t>
      </w:r>
      <w:r w:rsidR="00A41257">
        <w:t>FFDM+DBT</w:t>
      </w:r>
      <w:r w:rsidR="00C5238A">
        <w:t xml:space="preserve"> compared to FFDM alone: studies reporting on </w:t>
      </w:r>
      <w:r w:rsidR="005A2FA1">
        <w:t xml:space="preserve">overall </w:t>
      </w:r>
      <w:r w:rsidR="005B55DA">
        <w:t xml:space="preserve">and invasive </w:t>
      </w:r>
      <w:r w:rsidR="00C5238A">
        <w:t>CDR</w:t>
      </w:r>
    </w:p>
    <w:tbl>
      <w:tblPr>
        <w:tblW w:w="15452" w:type="dxa"/>
        <w:tblInd w:w="-856"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Description w:val="Table 9b shows the FFDM+DBT compared to FFDM alone: studies reporting an overall and invasive CDR.&#10;For RCT; the study by Pattacini et al. (2018) Reggio Emilia had the sample of 19,560 women aged 45-74 years attending for incident screening (women aged 45-49 years screened annually; women aged &gt;50 screened biennially). Women with family history were excluded.&#10;FFDM: 9,783 women with the mean age of 56.3 years&#10;FFDM+DBT: 9, 777 women with the mean age of 56.2 years&#10;The study type had Baseline data from a prospective three-centre RCT using a test and treat methodology using GE Senographe Essential systems. &#10;The FFDM+DBT (CDR per 1000 screening examinations (95%CI; p-value)) has: All: 8.6, Women aged &lt;49 years: 5.2, Women aged 50-59 years: 9.0, Women aged 60-70 years: 10.5&#10;The FFDM alone, CDR per 1000 screening examinations (95%CI; p-value) has: All: 4.5 Women aged &lt;49 years: 2.9, Women aged 50-59 years: 4.4, Women aged 60-70 years: 5.8&#10;&#10;The FFDM+DBT, Invasive CDR per 1000 screening examinations&#10;(95%CI; p-value) has Invasive, 7.1, DCIS, 14.0.&#10;&#10;The FFDM alone Invasive CDR per 1000 screening examinations&#10;(95%CI; p=value) has: Invasive 4.0 (RR=1.77; 95%CI: 1.20, 2.62), DCIS, &#10;5 (RR=2.80; 95%CI: 1.01, 7.65&#10;The other data (95%Cl) has: Relative risk and risk difference, All: 1.89 (1.3, 2.72); 4 (2, 6), Women aged &lt;49 years: 1.83; 2 (-2, 6), Women aged 50-59 years: 2.04 (1.18, 3.58); 5 (1, 8), Women aged 60-70 years: 1.83 (1.05, 3.20); 5 (0-9)&#10;&#10;For Prospective studies set embedded in population-based screening program, the study by Skaane et al. (2018) OTS had the sample of 24,301 women aged presenting for screening Oslo, Norway.&#10; &#10;The study type had a prospective, single site fully paired, double-reading trial using Hologic Dimensions system (FFDM, DBT and s2DM images) and GE Senographe (previous screening round FFDM images) and four reading arms.&#10;&#10;The FFDM+DBT CDR per 1000 screening examinations (95%CI; p-value) was 9.3.&#10;&#10;The FFDM alone, CDR per 1000 screening examinations (95%CI; p-value) was 6.3.&#10;&#10;The FFDM+DBT Invasive CDR per 1000 screening examinations (95%CI; p-value) was: Invasive - 84.1% of cancers and DCI - 15.9% of cancers.&#10;&#10;The FFDM alone Invasive CDR per 1000 screening examinations (95%CI; p=value) was: Invasive - 79.9% and DCIS 20.1% (p=.234).&#10;&#10;Other data (95%CI), Overall CDR (Incremental detection) 3.0 (1.7, 4.4; p&lt;.001).&#10;"/>
      </w:tblPr>
      <w:tblGrid>
        <w:gridCol w:w="1418"/>
        <w:gridCol w:w="2693"/>
        <w:gridCol w:w="2694"/>
        <w:gridCol w:w="1849"/>
        <w:gridCol w:w="1978"/>
        <w:gridCol w:w="1559"/>
        <w:gridCol w:w="1561"/>
        <w:gridCol w:w="1700"/>
      </w:tblGrid>
      <w:tr w:rsidR="00161D6B" w:rsidRPr="00E44152" w14:paraId="591B9E7C" w14:textId="77777777" w:rsidTr="001E716E">
        <w:trPr>
          <w:trHeight w:val="1003"/>
          <w:tblHeader/>
        </w:trPr>
        <w:tc>
          <w:tcPr>
            <w:tcW w:w="1418" w:type="dxa"/>
            <w:shd w:val="clear" w:color="auto" w:fill="77B800" w:themeFill="background2"/>
          </w:tcPr>
          <w:p w14:paraId="2D057A62" w14:textId="77777777" w:rsidR="00161D6B" w:rsidRDefault="00161D6B" w:rsidP="00161D6B">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b/>
                <w:color w:val="FFFFFF" w:themeColor="background1"/>
                <w:sz w:val="18"/>
                <w:szCs w:val="18"/>
              </w:rPr>
              <w:t>Study</w:t>
            </w:r>
          </w:p>
          <w:p w14:paraId="4634C2B7" w14:textId="77777777" w:rsidR="00161D6B" w:rsidRPr="00C22ADE" w:rsidRDefault="00161D6B" w:rsidP="00161D6B">
            <w:pPr>
              <w:jc w:val="center"/>
            </w:pPr>
          </w:p>
        </w:tc>
        <w:tc>
          <w:tcPr>
            <w:tcW w:w="2693" w:type="dxa"/>
            <w:shd w:val="clear" w:color="auto" w:fill="77B800" w:themeFill="background2"/>
          </w:tcPr>
          <w:p w14:paraId="711EBA66" w14:textId="77777777" w:rsidR="00161D6B" w:rsidRPr="00C75EDC"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Sample</w:t>
            </w:r>
          </w:p>
        </w:tc>
        <w:tc>
          <w:tcPr>
            <w:tcW w:w="2694" w:type="dxa"/>
            <w:shd w:val="clear" w:color="auto" w:fill="77B800" w:themeFill="background2"/>
          </w:tcPr>
          <w:p w14:paraId="42E1C5AE" w14:textId="77777777" w:rsidR="00161D6B" w:rsidRPr="00C75EDC"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Study type</w:t>
            </w:r>
          </w:p>
        </w:tc>
        <w:tc>
          <w:tcPr>
            <w:tcW w:w="1849" w:type="dxa"/>
            <w:shd w:val="clear" w:color="auto" w:fill="77B800" w:themeFill="background2"/>
          </w:tcPr>
          <w:p w14:paraId="6A6969F8" w14:textId="04B2BDF2" w:rsidR="00161D6B" w:rsidRPr="00E44152"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FFDM+DBT</w:t>
            </w:r>
          </w:p>
          <w:p w14:paraId="69132D0D" w14:textId="77777777" w:rsidR="00161D6B" w:rsidRPr="00E44152" w:rsidRDefault="00161D6B" w:rsidP="00161D6B">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978" w:type="dxa"/>
            <w:shd w:val="clear" w:color="auto" w:fill="77B800" w:themeFill="background2"/>
          </w:tcPr>
          <w:p w14:paraId="1FB44363" w14:textId="77777777" w:rsidR="00161D6B" w:rsidRPr="00E44152"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6189E383" w14:textId="77777777" w:rsidR="00161D6B" w:rsidRPr="00E44152" w:rsidRDefault="00161D6B" w:rsidP="00161D6B">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559" w:type="dxa"/>
            <w:shd w:val="clear" w:color="auto" w:fill="77B800" w:themeFill="background2"/>
          </w:tcPr>
          <w:p w14:paraId="7CD9601E" w14:textId="180E4EAE" w:rsidR="00161D6B"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FFDM+DBT</w:t>
            </w:r>
          </w:p>
          <w:p w14:paraId="3A494F24" w14:textId="77777777" w:rsidR="00161D6B" w:rsidRPr="00E44152" w:rsidRDefault="00161D6B" w:rsidP="00161D6B">
            <w:pPr>
              <w:pStyle w:val="BodyText"/>
              <w:spacing w:before="0" w:after="0" w:line="240" w:lineRule="auto"/>
              <w:jc w:val="center"/>
              <w:rPr>
                <w:rFonts w:asciiTheme="majorHAnsi" w:hAnsiTheme="majorHAnsi" w:cstheme="majorHAnsi"/>
                <w:color w:val="FFFFFF" w:themeColor="background1"/>
                <w:sz w:val="16"/>
                <w:szCs w:val="16"/>
              </w:rPr>
            </w:pPr>
            <w:r w:rsidRPr="00E44152">
              <w:rPr>
                <w:rFonts w:asciiTheme="majorHAnsi" w:hAnsiTheme="majorHAnsi" w:cstheme="majorHAnsi"/>
                <w:color w:val="FFFFFF" w:themeColor="background1"/>
                <w:sz w:val="16"/>
                <w:szCs w:val="16"/>
              </w:rPr>
              <w:t>Invasive CDR per 1000 screening examinations</w:t>
            </w:r>
          </w:p>
          <w:p w14:paraId="53FFE0BE" w14:textId="296DF5D1" w:rsidR="00161D6B"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color w:val="FFFFFF" w:themeColor="background1"/>
                <w:sz w:val="16"/>
                <w:szCs w:val="16"/>
              </w:rPr>
              <w:t>(95%CI; p-value)</w:t>
            </w:r>
          </w:p>
        </w:tc>
        <w:tc>
          <w:tcPr>
            <w:tcW w:w="1561" w:type="dxa"/>
            <w:shd w:val="clear" w:color="auto" w:fill="77B800" w:themeFill="background2"/>
          </w:tcPr>
          <w:p w14:paraId="7A7C0F51" w14:textId="77777777" w:rsidR="00161D6B" w:rsidRPr="00E44152"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04647FB4" w14:textId="77777777" w:rsidR="00161D6B" w:rsidRPr="00E44152" w:rsidRDefault="00161D6B" w:rsidP="00161D6B">
            <w:pPr>
              <w:pStyle w:val="BodyText"/>
              <w:spacing w:before="0" w:after="0" w:line="240" w:lineRule="auto"/>
              <w:jc w:val="center"/>
              <w:rPr>
                <w:rFonts w:asciiTheme="majorHAnsi" w:hAnsiTheme="majorHAnsi" w:cstheme="majorHAnsi"/>
                <w:color w:val="FFFFFF" w:themeColor="background1"/>
                <w:sz w:val="16"/>
                <w:szCs w:val="16"/>
              </w:rPr>
            </w:pPr>
            <w:r w:rsidRPr="00E44152">
              <w:rPr>
                <w:rFonts w:asciiTheme="majorHAnsi" w:hAnsiTheme="majorHAnsi" w:cstheme="majorHAnsi"/>
                <w:color w:val="FFFFFF" w:themeColor="background1"/>
                <w:sz w:val="16"/>
                <w:szCs w:val="16"/>
              </w:rPr>
              <w:t>Invasive CDR per 1000 screening examinations</w:t>
            </w:r>
          </w:p>
          <w:p w14:paraId="305002BA" w14:textId="1E83D7D0" w:rsidR="00161D6B"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color w:val="FFFFFF" w:themeColor="background1"/>
                <w:sz w:val="16"/>
                <w:szCs w:val="16"/>
              </w:rPr>
              <w:t>(95%CI; p=value)</w:t>
            </w:r>
          </w:p>
        </w:tc>
        <w:tc>
          <w:tcPr>
            <w:tcW w:w="1700" w:type="dxa"/>
            <w:shd w:val="clear" w:color="auto" w:fill="77B800" w:themeFill="background2"/>
          </w:tcPr>
          <w:p w14:paraId="74D2411F" w14:textId="16074789" w:rsidR="00161D6B" w:rsidRDefault="00161D6B" w:rsidP="00161D6B">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 xml:space="preserve">Other data </w:t>
            </w:r>
          </w:p>
          <w:p w14:paraId="3845640A" w14:textId="36E11AEA" w:rsidR="00161D6B" w:rsidRPr="00C77B0A" w:rsidRDefault="00161D6B" w:rsidP="00161D6B">
            <w:pPr>
              <w:pStyle w:val="BodyText"/>
              <w:spacing w:before="0" w:after="0" w:line="240" w:lineRule="auto"/>
              <w:jc w:val="center"/>
              <w:rPr>
                <w:rFonts w:asciiTheme="majorHAnsi" w:hAnsiTheme="majorHAnsi" w:cstheme="majorHAnsi"/>
                <w:bCs/>
                <w:color w:val="FFFFFF" w:themeColor="background1"/>
                <w:sz w:val="18"/>
                <w:szCs w:val="18"/>
              </w:rPr>
            </w:pPr>
            <w:r w:rsidRPr="00C77B0A">
              <w:rPr>
                <w:rFonts w:asciiTheme="majorHAnsi" w:hAnsiTheme="majorHAnsi" w:cstheme="majorHAnsi"/>
                <w:bCs/>
                <w:color w:val="FFFFFF" w:themeColor="background1"/>
                <w:sz w:val="18"/>
                <w:szCs w:val="18"/>
              </w:rPr>
              <w:t>(95%CI)</w:t>
            </w:r>
          </w:p>
        </w:tc>
      </w:tr>
      <w:tr w:rsidR="00161D6B" w:rsidRPr="00E44152" w14:paraId="6DA7A7B2" w14:textId="77777777" w:rsidTr="004240AA">
        <w:trPr>
          <w:trHeight w:val="288"/>
        </w:trPr>
        <w:tc>
          <w:tcPr>
            <w:tcW w:w="15452" w:type="dxa"/>
            <w:gridSpan w:val="8"/>
          </w:tcPr>
          <w:p w14:paraId="33AF7852" w14:textId="30DA1ECF" w:rsidR="00161D6B" w:rsidRPr="00C00388" w:rsidRDefault="005C101D" w:rsidP="00161D6B">
            <w:pPr>
              <w:pStyle w:val="BodyText"/>
              <w:spacing w:before="0" w:after="0" w:line="240" w:lineRule="auto"/>
              <w:jc w:val="left"/>
              <w:rPr>
                <w:rFonts w:asciiTheme="majorHAnsi" w:hAnsiTheme="majorHAnsi" w:cstheme="majorHAnsi"/>
                <w:b/>
                <w:color w:val="FFFFFF" w:themeColor="background1"/>
                <w:sz w:val="18"/>
                <w:szCs w:val="18"/>
              </w:rPr>
            </w:pPr>
            <w:r>
              <w:rPr>
                <w:rFonts w:asciiTheme="majorHAnsi" w:hAnsiTheme="majorHAnsi" w:cstheme="majorHAnsi"/>
                <w:b/>
                <w:sz w:val="18"/>
                <w:szCs w:val="18"/>
              </w:rPr>
              <w:t>RCT</w:t>
            </w:r>
          </w:p>
        </w:tc>
      </w:tr>
      <w:tr w:rsidR="00161D6B" w:rsidRPr="00D45B2C" w14:paraId="46EAABB5" w14:textId="77777777" w:rsidTr="001E716E">
        <w:trPr>
          <w:trHeight w:val="1003"/>
          <w:tblHeader/>
        </w:trPr>
        <w:tc>
          <w:tcPr>
            <w:tcW w:w="1418" w:type="dxa"/>
            <w:shd w:val="clear" w:color="auto" w:fill="auto"/>
          </w:tcPr>
          <w:p w14:paraId="7B84DF5B" w14:textId="77777777"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Pattacini et al. (2018)</w:t>
            </w:r>
          </w:p>
          <w:p w14:paraId="036CA0E9" w14:textId="115ED401" w:rsidR="00161D6B" w:rsidRPr="00D45B2C"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Reggio Emilia </w:t>
            </w:r>
          </w:p>
        </w:tc>
        <w:tc>
          <w:tcPr>
            <w:tcW w:w="2693" w:type="dxa"/>
            <w:shd w:val="clear" w:color="auto" w:fill="auto"/>
          </w:tcPr>
          <w:p w14:paraId="689BB755" w14:textId="391E3522" w:rsidR="00161D6B" w:rsidRDefault="0034054F"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19,560 w</w:t>
            </w:r>
            <w:r w:rsidR="00161D6B">
              <w:rPr>
                <w:rFonts w:asciiTheme="majorHAnsi" w:hAnsiTheme="majorHAnsi" w:cstheme="majorHAnsi"/>
                <w:bCs/>
                <w:sz w:val="18"/>
                <w:szCs w:val="18"/>
              </w:rPr>
              <w:t>omen aged 45</w:t>
            </w:r>
            <w:r w:rsidR="00285D7E">
              <w:rPr>
                <w:rFonts w:asciiTheme="majorHAnsi" w:hAnsiTheme="majorHAnsi" w:cstheme="majorHAnsi"/>
                <w:bCs/>
                <w:sz w:val="18"/>
                <w:szCs w:val="18"/>
              </w:rPr>
              <w:t>-</w:t>
            </w:r>
            <w:r w:rsidR="00161D6B">
              <w:rPr>
                <w:rFonts w:asciiTheme="majorHAnsi" w:hAnsiTheme="majorHAnsi" w:cstheme="majorHAnsi"/>
                <w:bCs/>
                <w:sz w:val="18"/>
                <w:szCs w:val="18"/>
              </w:rPr>
              <w:t>74</w:t>
            </w:r>
            <w:r w:rsidR="0060277B">
              <w:rPr>
                <w:rFonts w:asciiTheme="majorHAnsi" w:hAnsiTheme="majorHAnsi" w:cstheme="majorHAnsi"/>
                <w:bCs/>
                <w:sz w:val="18"/>
                <w:szCs w:val="18"/>
              </w:rPr>
              <w:t>y</w:t>
            </w:r>
            <w:r w:rsidR="00161D6B">
              <w:rPr>
                <w:rFonts w:asciiTheme="majorHAnsi" w:hAnsiTheme="majorHAnsi" w:cstheme="majorHAnsi"/>
                <w:bCs/>
                <w:sz w:val="18"/>
                <w:szCs w:val="18"/>
              </w:rPr>
              <w:t xml:space="preserve"> attending for incident screening (women aged 45-49</w:t>
            </w:r>
            <w:r w:rsidR="0060277B">
              <w:rPr>
                <w:rFonts w:asciiTheme="majorHAnsi" w:hAnsiTheme="majorHAnsi" w:cstheme="majorHAnsi"/>
                <w:bCs/>
                <w:sz w:val="18"/>
                <w:szCs w:val="18"/>
              </w:rPr>
              <w:t xml:space="preserve">y </w:t>
            </w:r>
            <w:r w:rsidR="00161D6B">
              <w:rPr>
                <w:rFonts w:asciiTheme="majorHAnsi" w:hAnsiTheme="majorHAnsi" w:cstheme="majorHAnsi"/>
                <w:bCs/>
                <w:sz w:val="18"/>
                <w:szCs w:val="18"/>
              </w:rPr>
              <w:t xml:space="preserve">screened annually; women aged </w:t>
            </w:r>
            <w:r w:rsidR="00161D6B" w:rsidRPr="001169BA">
              <w:rPr>
                <w:rFonts w:asciiTheme="majorHAnsi" w:hAnsiTheme="majorHAnsi" w:cstheme="majorHAnsi"/>
                <w:bCs/>
                <w:sz w:val="18"/>
                <w:szCs w:val="18"/>
                <w:u w:val="single"/>
              </w:rPr>
              <w:t>&gt;</w:t>
            </w:r>
            <w:r w:rsidR="00161D6B">
              <w:rPr>
                <w:rFonts w:asciiTheme="majorHAnsi" w:hAnsiTheme="majorHAnsi" w:cstheme="majorHAnsi"/>
                <w:bCs/>
                <w:sz w:val="18"/>
                <w:szCs w:val="18"/>
              </w:rPr>
              <w:t>50 screened biennially). Women with family history were excluded.</w:t>
            </w:r>
          </w:p>
          <w:p w14:paraId="7D529D40" w14:textId="290C517D"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 9783 women (mean age=56.3y)</w:t>
            </w:r>
          </w:p>
          <w:p w14:paraId="7965CCE1" w14:textId="4E802915"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FFDM+DBT: 9777 women (mean age=56.2y)</w:t>
            </w:r>
          </w:p>
        </w:tc>
        <w:tc>
          <w:tcPr>
            <w:tcW w:w="2694" w:type="dxa"/>
            <w:shd w:val="clear" w:color="auto" w:fill="auto"/>
          </w:tcPr>
          <w:p w14:paraId="5171C375" w14:textId="2824CC22" w:rsidR="00161D6B" w:rsidRPr="00D45B2C" w:rsidRDefault="00161D6B" w:rsidP="00161D6B">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 xml:space="preserve">Baseline data from a prospective </w:t>
            </w:r>
            <w:r w:rsidR="00CE7414">
              <w:rPr>
                <w:rFonts w:asciiTheme="majorHAnsi" w:hAnsiTheme="majorHAnsi" w:cstheme="majorHAnsi"/>
                <w:sz w:val="18"/>
                <w:szCs w:val="18"/>
              </w:rPr>
              <w:t>three-centre</w:t>
            </w:r>
            <w:r w:rsidR="00AE2276">
              <w:rPr>
                <w:rFonts w:asciiTheme="majorHAnsi" w:hAnsiTheme="majorHAnsi" w:cstheme="majorHAnsi"/>
                <w:sz w:val="18"/>
                <w:szCs w:val="18"/>
              </w:rPr>
              <w:t xml:space="preserve"> RCT </w:t>
            </w:r>
            <w:r>
              <w:rPr>
                <w:rFonts w:asciiTheme="majorHAnsi" w:hAnsiTheme="majorHAnsi" w:cstheme="majorHAnsi"/>
                <w:sz w:val="18"/>
                <w:szCs w:val="18"/>
              </w:rPr>
              <w:t>using a test and treat methodology using GE Senographe Essential systems</w:t>
            </w:r>
          </w:p>
        </w:tc>
        <w:tc>
          <w:tcPr>
            <w:tcW w:w="1849" w:type="dxa"/>
            <w:shd w:val="clear" w:color="auto" w:fill="auto"/>
          </w:tcPr>
          <w:p w14:paraId="45896EA0" w14:textId="77777777"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All: 8.6</w:t>
            </w:r>
          </w:p>
          <w:p w14:paraId="37074C5A" w14:textId="2370E8A8"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Women aged </w:t>
            </w:r>
            <w:r w:rsidRPr="00595C6E">
              <w:rPr>
                <w:rFonts w:asciiTheme="majorHAnsi" w:hAnsiTheme="majorHAnsi" w:cstheme="majorHAnsi"/>
                <w:bCs/>
                <w:sz w:val="18"/>
                <w:szCs w:val="18"/>
                <w:u w:val="single"/>
              </w:rPr>
              <w:t>&lt;</w:t>
            </w:r>
            <w:r>
              <w:rPr>
                <w:rFonts w:asciiTheme="majorHAnsi" w:hAnsiTheme="majorHAnsi" w:cstheme="majorHAnsi"/>
                <w:bCs/>
                <w:sz w:val="18"/>
                <w:szCs w:val="18"/>
              </w:rPr>
              <w:t>49y: 5.2</w:t>
            </w:r>
          </w:p>
          <w:p w14:paraId="0E69623E" w14:textId="005982DC"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Women aged 50-59y: 9</w:t>
            </w:r>
            <w:r w:rsidR="0034054F">
              <w:rPr>
                <w:rFonts w:asciiTheme="majorHAnsi" w:hAnsiTheme="majorHAnsi" w:cstheme="majorHAnsi"/>
                <w:bCs/>
                <w:sz w:val="18"/>
                <w:szCs w:val="18"/>
              </w:rPr>
              <w:t>.0</w:t>
            </w:r>
          </w:p>
          <w:p w14:paraId="6A778466" w14:textId="77777777"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Women aged 60-70y: 10.5</w:t>
            </w:r>
          </w:p>
          <w:p w14:paraId="146432C1" w14:textId="6C8898CA" w:rsidR="00161D6B" w:rsidRPr="00595C6E" w:rsidRDefault="00161D6B" w:rsidP="00161D6B">
            <w:pPr>
              <w:pStyle w:val="BodyText"/>
              <w:spacing w:before="0" w:after="0" w:line="240" w:lineRule="auto"/>
              <w:jc w:val="left"/>
              <w:rPr>
                <w:rFonts w:asciiTheme="majorHAnsi" w:hAnsiTheme="majorHAnsi" w:cstheme="majorHAnsi"/>
                <w:bCs/>
                <w:sz w:val="18"/>
                <w:szCs w:val="18"/>
              </w:rPr>
            </w:pPr>
          </w:p>
        </w:tc>
        <w:tc>
          <w:tcPr>
            <w:tcW w:w="1978" w:type="dxa"/>
            <w:shd w:val="clear" w:color="auto" w:fill="auto"/>
          </w:tcPr>
          <w:p w14:paraId="67A6525E" w14:textId="77777777"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All: 4.5</w:t>
            </w:r>
          </w:p>
          <w:p w14:paraId="72B2D8A1" w14:textId="75709561"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Women aged </w:t>
            </w:r>
            <w:r w:rsidRPr="00595C6E">
              <w:rPr>
                <w:rFonts w:asciiTheme="majorHAnsi" w:hAnsiTheme="majorHAnsi" w:cstheme="majorHAnsi"/>
                <w:bCs/>
                <w:sz w:val="18"/>
                <w:szCs w:val="18"/>
                <w:u w:val="single"/>
              </w:rPr>
              <w:t>&lt;</w:t>
            </w:r>
            <w:r>
              <w:rPr>
                <w:rFonts w:asciiTheme="majorHAnsi" w:hAnsiTheme="majorHAnsi" w:cstheme="majorHAnsi"/>
                <w:bCs/>
                <w:sz w:val="18"/>
                <w:szCs w:val="18"/>
              </w:rPr>
              <w:t>49y: 2.9</w:t>
            </w:r>
          </w:p>
          <w:p w14:paraId="2F19DDDA" w14:textId="77777777"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Women aged </w:t>
            </w:r>
            <w:r w:rsidRPr="005A2FA1">
              <w:rPr>
                <w:rFonts w:asciiTheme="majorHAnsi" w:hAnsiTheme="majorHAnsi" w:cstheme="majorHAnsi"/>
                <w:bCs/>
                <w:sz w:val="18"/>
                <w:szCs w:val="18"/>
              </w:rPr>
              <w:t>50-59</w:t>
            </w:r>
            <w:r>
              <w:rPr>
                <w:rFonts w:asciiTheme="majorHAnsi" w:hAnsiTheme="majorHAnsi" w:cstheme="majorHAnsi"/>
                <w:bCs/>
                <w:sz w:val="18"/>
                <w:szCs w:val="18"/>
              </w:rPr>
              <w:t>y: 4.4</w:t>
            </w:r>
          </w:p>
          <w:p w14:paraId="62FBC205" w14:textId="7946545B"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Women aged 60-70y: 5.8</w:t>
            </w:r>
          </w:p>
        </w:tc>
        <w:tc>
          <w:tcPr>
            <w:tcW w:w="1559" w:type="dxa"/>
          </w:tcPr>
          <w:p w14:paraId="5E3D8435" w14:textId="5B87125D" w:rsidR="00811049" w:rsidRPr="0034054F" w:rsidRDefault="00811049"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i/>
                <w:iCs/>
                <w:sz w:val="18"/>
                <w:szCs w:val="18"/>
              </w:rPr>
              <w:t>Invasive</w:t>
            </w:r>
            <w:r>
              <w:rPr>
                <w:rFonts w:asciiTheme="majorHAnsi" w:hAnsiTheme="majorHAnsi" w:cstheme="majorHAnsi"/>
                <w:bCs/>
                <w:i/>
                <w:iCs/>
                <w:sz w:val="18"/>
                <w:szCs w:val="18"/>
              </w:rPr>
              <w:br/>
            </w:r>
            <w:r w:rsidRPr="0034054F">
              <w:rPr>
                <w:rFonts w:asciiTheme="majorHAnsi" w:hAnsiTheme="majorHAnsi" w:cstheme="majorHAnsi"/>
                <w:bCs/>
                <w:sz w:val="18"/>
                <w:szCs w:val="18"/>
              </w:rPr>
              <w:t>7.1</w:t>
            </w:r>
          </w:p>
          <w:p w14:paraId="6B88BC96" w14:textId="5C75BD18" w:rsidR="00161D6B" w:rsidRDefault="00811049"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DCIS</w:t>
            </w:r>
          </w:p>
          <w:p w14:paraId="2BE436AF" w14:textId="190BE61D" w:rsidR="00811049" w:rsidRPr="0034054F" w:rsidRDefault="00811049" w:rsidP="00161D6B">
            <w:pPr>
              <w:pStyle w:val="BodyText"/>
              <w:spacing w:before="0" w:after="0" w:line="240" w:lineRule="auto"/>
              <w:jc w:val="left"/>
              <w:rPr>
                <w:rFonts w:asciiTheme="majorHAnsi" w:hAnsiTheme="majorHAnsi" w:cstheme="majorHAnsi"/>
                <w:bCs/>
                <w:sz w:val="18"/>
                <w:szCs w:val="18"/>
              </w:rPr>
            </w:pPr>
            <w:r w:rsidRPr="0034054F">
              <w:rPr>
                <w:rFonts w:asciiTheme="majorHAnsi" w:hAnsiTheme="majorHAnsi" w:cstheme="majorHAnsi"/>
                <w:bCs/>
                <w:sz w:val="18"/>
                <w:szCs w:val="18"/>
              </w:rPr>
              <w:t>14</w:t>
            </w:r>
            <w:r w:rsidR="0034054F" w:rsidRPr="0034054F">
              <w:rPr>
                <w:rFonts w:asciiTheme="majorHAnsi" w:hAnsiTheme="majorHAnsi" w:cstheme="majorHAnsi"/>
                <w:bCs/>
                <w:sz w:val="18"/>
                <w:szCs w:val="18"/>
              </w:rPr>
              <w:t>.0</w:t>
            </w:r>
          </w:p>
          <w:p w14:paraId="7B420B4C" w14:textId="36C62BBD" w:rsidR="00811049" w:rsidRPr="00811049" w:rsidRDefault="00811049" w:rsidP="00161D6B">
            <w:pPr>
              <w:pStyle w:val="BodyText"/>
              <w:spacing w:before="0" w:after="0" w:line="240" w:lineRule="auto"/>
              <w:jc w:val="left"/>
              <w:rPr>
                <w:rFonts w:asciiTheme="majorHAnsi" w:hAnsiTheme="majorHAnsi" w:cstheme="majorHAnsi"/>
                <w:bCs/>
                <w:i/>
                <w:iCs/>
                <w:sz w:val="18"/>
                <w:szCs w:val="18"/>
              </w:rPr>
            </w:pPr>
          </w:p>
        </w:tc>
        <w:tc>
          <w:tcPr>
            <w:tcW w:w="1561" w:type="dxa"/>
          </w:tcPr>
          <w:p w14:paraId="3E083005" w14:textId="67D87065" w:rsidR="00161D6B" w:rsidRDefault="00811049" w:rsidP="00161D6B">
            <w:pPr>
              <w:pStyle w:val="BodyText"/>
              <w:spacing w:before="0" w:after="0" w:line="240" w:lineRule="auto"/>
              <w:jc w:val="left"/>
              <w:rPr>
                <w:rFonts w:asciiTheme="majorHAnsi" w:hAnsiTheme="majorHAnsi" w:cstheme="majorHAnsi"/>
                <w:bCs/>
                <w:i/>
                <w:iCs/>
                <w:sz w:val="18"/>
                <w:szCs w:val="18"/>
              </w:rPr>
            </w:pPr>
            <w:r w:rsidRPr="00811049">
              <w:rPr>
                <w:rFonts w:asciiTheme="majorHAnsi" w:hAnsiTheme="majorHAnsi" w:cstheme="majorHAnsi"/>
                <w:bCs/>
                <w:i/>
                <w:iCs/>
                <w:sz w:val="18"/>
                <w:szCs w:val="18"/>
              </w:rPr>
              <w:t>Invasive</w:t>
            </w:r>
          </w:p>
          <w:p w14:paraId="755CC122" w14:textId="40794046" w:rsidR="00811049" w:rsidRPr="0034054F" w:rsidRDefault="00811049" w:rsidP="00161D6B">
            <w:pPr>
              <w:pStyle w:val="BodyText"/>
              <w:spacing w:before="0" w:after="0" w:line="240" w:lineRule="auto"/>
              <w:jc w:val="left"/>
              <w:rPr>
                <w:rFonts w:asciiTheme="majorHAnsi" w:hAnsiTheme="majorHAnsi" w:cstheme="majorHAnsi"/>
                <w:bCs/>
                <w:sz w:val="18"/>
                <w:szCs w:val="18"/>
              </w:rPr>
            </w:pPr>
            <w:r w:rsidRPr="0034054F">
              <w:rPr>
                <w:rFonts w:asciiTheme="majorHAnsi" w:hAnsiTheme="majorHAnsi" w:cstheme="majorHAnsi"/>
                <w:bCs/>
                <w:sz w:val="18"/>
                <w:szCs w:val="18"/>
              </w:rPr>
              <w:t xml:space="preserve">4.0 </w:t>
            </w:r>
            <w:r w:rsidR="004F6A90" w:rsidRPr="0034054F">
              <w:rPr>
                <w:rFonts w:asciiTheme="majorHAnsi" w:hAnsiTheme="majorHAnsi" w:cstheme="majorHAnsi"/>
                <w:bCs/>
                <w:sz w:val="18"/>
                <w:szCs w:val="18"/>
              </w:rPr>
              <w:t>(</w:t>
            </w:r>
            <w:r w:rsidRPr="0034054F">
              <w:rPr>
                <w:rFonts w:asciiTheme="majorHAnsi" w:hAnsiTheme="majorHAnsi" w:cstheme="majorHAnsi"/>
                <w:bCs/>
                <w:sz w:val="18"/>
                <w:szCs w:val="18"/>
              </w:rPr>
              <w:t>RR</w:t>
            </w:r>
            <w:r w:rsidR="004F6A90" w:rsidRPr="0034054F">
              <w:rPr>
                <w:rFonts w:asciiTheme="majorHAnsi" w:hAnsiTheme="majorHAnsi" w:cstheme="majorHAnsi"/>
                <w:bCs/>
                <w:sz w:val="18"/>
                <w:szCs w:val="18"/>
              </w:rPr>
              <w:t>=</w:t>
            </w:r>
            <w:r w:rsidRPr="0034054F">
              <w:rPr>
                <w:rFonts w:asciiTheme="majorHAnsi" w:hAnsiTheme="majorHAnsi" w:cstheme="majorHAnsi"/>
                <w:bCs/>
                <w:sz w:val="18"/>
                <w:szCs w:val="18"/>
              </w:rPr>
              <w:t>1.77</w:t>
            </w:r>
            <w:r w:rsidR="004F6A90" w:rsidRPr="0034054F">
              <w:rPr>
                <w:rFonts w:asciiTheme="majorHAnsi" w:hAnsiTheme="majorHAnsi" w:cstheme="majorHAnsi"/>
                <w:bCs/>
                <w:sz w:val="18"/>
                <w:szCs w:val="18"/>
              </w:rPr>
              <w:t xml:space="preserve">; 95%CI: </w:t>
            </w:r>
            <w:r w:rsidRPr="0034054F">
              <w:rPr>
                <w:rFonts w:asciiTheme="majorHAnsi" w:hAnsiTheme="majorHAnsi" w:cstheme="majorHAnsi"/>
                <w:bCs/>
                <w:sz w:val="18"/>
                <w:szCs w:val="18"/>
              </w:rPr>
              <w:t>1.20</w:t>
            </w:r>
            <w:r w:rsidR="004F6A90" w:rsidRPr="0034054F">
              <w:rPr>
                <w:rFonts w:asciiTheme="majorHAnsi" w:hAnsiTheme="majorHAnsi" w:cstheme="majorHAnsi"/>
                <w:bCs/>
                <w:sz w:val="18"/>
                <w:szCs w:val="18"/>
              </w:rPr>
              <w:t xml:space="preserve">, </w:t>
            </w:r>
            <w:r w:rsidRPr="0034054F">
              <w:rPr>
                <w:rFonts w:asciiTheme="majorHAnsi" w:hAnsiTheme="majorHAnsi" w:cstheme="majorHAnsi"/>
                <w:bCs/>
                <w:sz w:val="18"/>
                <w:szCs w:val="18"/>
              </w:rPr>
              <w:t>2.62)</w:t>
            </w:r>
          </w:p>
          <w:p w14:paraId="215F83A1" w14:textId="77777777" w:rsidR="00811049" w:rsidRDefault="00811049" w:rsidP="00161D6B">
            <w:pPr>
              <w:pStyle w:val="BodyText"/>
              <w:spacing w:before="0" w:after="0" w:line="240" w:lineRule="auto"/>
              <w:jc w:val="left"/>
              <w:rPr>
                <w:rFonts w:asciiTheme="majorHAnsi" w:hAnsiTheme="majorHAnsi" w:cstheme="majorHAnsi"/>
                <w:bCs/>
                <w:i/>
                <w:iCs/>
                <w:sz w:val="18"/>
                <w:szCs w:val="18"/>
              </w:rPr>
            </w:pPr>
            <w:r w:rsidRPr="00811049">
              <w:rPr>
                <w:rFonts w:asciiTheme="majorHAnsi" w:hAnsiTheme="majorHAnsi" w:cstheme="majorHAnsi"/>
                <w:bCs/>
                <w:i/>
                <w:iCs/>
                <w:sz w:val="18"/>
                <w:szCs w:val="18"/>
              </w:rPr>
              <w:t>DCIS</w:t>
            </w:r>
          </w:p>
          <w:p w14:paraId="5C0536DD" w14:textId="74E46528" w:rsidR="00811049" w:rsidRPr="0034054F" w:rsidRDefault="00811049" w:rsidP="00161D6B">
            <w:pPr>
              <w:pStyle w:val="BodyText"/>
              <w:spacing w:before="0" w:after="0" w:line="240" w:lineRule="auto"/>
              <w:jc w:val="left"/>
              <w:rPr>
                <w:rFonts w:asciiTheme="majorHAnsi" w:hAnsiTheme="majorHAnsi" w:cstheme="majorHAnsi"/>
                <w:bCs/>
                <w:sz w:val="18"/>
                <w:szCs w:val="18"/>
              </w:rPr>
            </w:pPr>
            <w:r w:rsidRPr="0034054F">
              <w:rPr>
                <w:rFonts w:asciiTheme="majorHAnsi" w:hAnsiTheme="majorHAnsi" w:cstheme="majorHAnsi"/>
                <w:bCs/>
                <w:sz w:val="18"/>
                <w:szCs w:val="18"/>
              </w:rPr>
              <w:t>5 (RR</w:t>
            </w:r>
            <w:r w:rsidR="004F6A90" w:rsidRPr="0034054F">
              <w:rPr>
                <w:rFonts w:asciiTheme="majorHAnsi" w:hAnsiTheme="majorHAnsi" w:cstheme="majorHAnsi"/>
                <w:bCs/>
                <w:sz w:val="18"/>
                <w:szCs w:val="18"/>
              </w:rPr>
              <w:t>=</w:t>
            </w:r>
            <w:r w:rsidRPr="0034054F">
              <w:rPr>
                <w:rFonts w:asciiTheme="majorHAnsi" w:hAnsiTheme="majorHAnsi" w:cstheme="majorHAnsi"/>
                <w:bCs/>
                <w:sz w:val="18"/>
                <w:szCs w:val="18"/>
              </w:rPr>
              <w:t>2.80</w:t>
            </w:r>
            <w:r w:rsidR="00176980">
              <w:rPr>
                <w:rFonts w:asciiTheme="majorHAnsi" w:hAnsiTheme="majorHAnsi" w:cstheme="majorHAnsi"/>
                <w:bCs/>
                <w:sz w:val="18"/>
                <w:szCs w:val="18"/>
              </w:rPr>
              <w:t xml:space="preserve">; </w:t>
            </w:r>
            <w:r w:rsidR="004F6A90" w:rsidRPr="0034054F">
              <w:rPr>
                <w:rFonts w:asciiTheme="majorHAnsi" w:hAnsiTheme="majorHAnsi" w:cstheme="majorHAnsi"/>
                <w:bCs/>
                <w:sz w:val="18"/>
                <w:szCs w:val="18"/>
              </w:rPr>
              <w:t>95%CI:</w:t>
            </w:r>
            <w:r w:rsidRPr="0034054F">
              <w:rPr>
                <w:rFonts w:asciiTheme="majorHAnsi" w:hAnsiTheme="majorHAnsi" w:cstheme="majorHAnsi"/>
                <w:bCs/>
                <w:sz w:val="18"/>
                <w:szCs w:val="18"/>
              </w:rPr>
              <w:t xml:space="preserve"> 1.01</w:t>
            </w:r>
            <w:r w:rsidR="004F6A90" w:rsidRPr="0034054F">
              <w:rPr>
                <w:rFonts w:asciiTheme="majorHAnsi" w:hAnsiTheme="majorHAnsi" w:cstheme="majorHAnsi"/>
                <w:bCs/>
                <w:sz w:val="18"/>
                <w:szCs w:val="18"/>
              </w:rPr>
              <w:t xml:space="preserve">, </w:t>
            </w:r>
            <w:r w:rsidRPr="0034054F">
              <w:rPr>
                <w:rFonts w:asciiTheme="majorHAnsi" w:hAnsiTheme="majorHAnsi" w:cstheme="majorHAnsi"/>
                <w:bCs/>
                <w:sz w:val="18"/>
                <w:szCs w:val="18"/>
              </w:rPr>
              <w:t>7.65</w:t>
            </w:r>
          </w:p>
        </w:tc>
        <w:tc>
          <w:tcPr>
            <w:tcW w:w="1700" w:type="dxa"/>
            <w:shd w:val="clear" w:color="auto" w:fill="auto"/>
          </w:tcPr>
          <w:p w14:paraId="6B11569A" w14:textId="4B88D94D" w:rsidR="00161D6B" w:rsidRPr="00C77B0A" w:rsidRDefault="00161D6B"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Relative risk and risk difference</w:t>
            </w:r>
          </w:p>
          <w:p w14:paraId="5E5CE106" w14:textId="6476C7BF"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All: 1.89 (1.3</w:t>
            </w:r>
            <w:r w:rsidR="0034054F">
              <w:rPr>
                <w:rFonts w:asciiTheme="majorHAnsi" w:hAnsiTheme="majorHAnsi" w:cstheme="majorHAnsi"/>
                <w:bCs/>
                <w:sz w:val="18"/>
                <w:szCs w:val="18"/>
              </w:rPr>
              <w:t xml:space="preserve">, </w:t>
            </w:r>
            <w:r>
              <w:rPr>
                <w:rFonts w:asciiTheme="majorHAnsi" w:hAnsiTheme="majorHAnsi" w:cstheme="majorHAnsi"/>
                <w:bCs/>
                <w:sz w:val="18"/>
                <w:szCs w:val="18"/>
              </w:rPr>
              <w:t>2.72); 4 (2</w:t>
            </w:r>
            <w:r w:rsidR="0034054F">
              <w:rPr>
                <w:rFonts w:asciiTheme="majorHAnsi" w:hAnsiTheme="majorHAnsi" w:cstheme="majorHAnsi"/>
                <w:bCs/>
                <w:sz w:val="18"/>
                <w:szCs w:val="18"/>
              </w:rPr>
              <w:t xml:space="preserve">, </w:t>
            </w:r>
            <w:r>
              <w:rPr>
                <w:rFonts w:asciiTheme="majorHAnsi" w:hAnsiTheme="majorHAnsi" w:cstheme="majorHAnsi"/>
                <w:bCs/>
                <w:sz w:val="18"/>
                <w:szCs w:val="18"/>
              </w:rPr>
              <w:t>6)</w:t>
            </w:r>
          </w:p>
          <w:p w14:paraId="2C317EF8" w14:textId="59C9DC97"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Women aged </w:t>
            </w:r>
            <w:r w:rsidRPr="00595C6E">
              <w:rPr>
                <w:rFonts w:asciiTheme="majorHAnsi" w:hAnsiTheme="majorHAnsi" w:cstheme="majorHAnsi"/>
                <w:bCs/>
                <w:sz w:val="18"/>
                <w:szCs w:val="18"/>
                <w:u w:val="single"/>
              </w:rPr>
              <w:t>&lt;</w:t>
            </w:r>
            <w:r>
              <w:rPr>
                <w:rFonts w:asciiTheme="majorHAnsi" w:hAnsiTheme="majorHAnsi" w:cstheme="majorHAnsi"/>
                <w:bCs/>
                <w:sz w:val="18"/>
                <w:szCs w:val="18"/>
              </w:rPr>
              <w:t>49y: 1.83; 2 (-2</w:t>
            </w:r>
            <w:r w:rsidR="0034054F">
              <w:rPr>
                <w:rFonts w:asciiTheme="majorHAnsi" w:hAnsiTheme="majorHAnsi" w:cstheme="majorHAnsi"/>
                <w:bCs/>
                <w:sz w:val="18"/>
                <w:szCs w:val="18"/>
              </w:rPr>
              <w:t xml:space="preserve">, </w:t>
            </w:r>
            <w:r>
              <w:rPr>
                <w:rFonts w:asciiTheme="majorHAnsi" w:hAnsiTheme="majorHAnsi" w:cstheme="majorHAnsi"/>
                <w:bCs/>
                <w:sz w:val="18"/>
                <w:szCs w:val="18"/>
              </w:rPr>
              <w:t>6)</w:t>
            </w:r>
          </w:p>
          <w:p w14:paraId="50F2909E" w14:textId="10E06E06"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Women aged 50-59y: 2.04 (1.18</w:t>
            </w:r>
            <w:r w:rsidR="0034054F">
              <w:rPr>
                <w:rFonts w:asciiTheme="majorHAnsi" w:hAnsiTheme="majorHAnsi" w:cstheme="majorHAnsi"/>
                <w:bCs/>
                <w:sz w:val="18"/>
                <w:szCs w:val="18"/>
              </w:rPr>
              <w:t xml:space="preserve">, </w:t>
            </w:r>
            <w:r>
              <w:rPr>
                <w:rFonts w:asciiTheme="majorHAnsi" w:hAnsiTheme="majorHAnsi" w:cstheme="majorHAnsi"/>
                <w:bCs/>
                <w:sz w:val="18"/>
                <w:szCs w:val="18"/>
              </w:rPr>
              <w:t>3.58); 5 (1</w:t>
            </w:r>
            <w:r w:rsidR="0034054F">
              <w:rPr>
                <w:rFonts w:asciiTheme="majorHAnsi" w:hAnsiTheme="majorHAnsi" w:cstheme="majorHAnsi"/>
                <w:bCs/>
                <w:sz w:val="18"/>
                <w:szCs w:val="18"/>
              </w:rPr>
              <w:t xml:space="preserve">, </w:t>
            </w:r>
            <w:r>
              <w:rPr>
                <w:rFonts w:asciiTheme="majorHAnsi" w:hAnsiTheme="majorHAnsi" w:cstheme="majorHAnsi"/>
                <w:bCs/>
                <w:sz w:val="18"/>
                <w:szCs w:val="18"/>
              </w:rPr>
              <w:t>8)</w:t>
            </w:r>
          </w:p>
          <w:p w14:paraId="68EF7F11" w14:textId="6331FE73" w:rsid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Women aged 60-70y: 1.83 (1.05</w:t>
            </w:r>
            <w:r w:rsidR="0034054F">
              <w:rPr>
                <w:rFonts w:asciiTheme="majorHAnsi" w:hAnsiTheme="majorHAnsi" w:cstheme="majorHAnsi"/>
                <w:bCs/>
                <w:sz w:val="18"/>
                <w:szCs w:val="18"/>
              </w:rPr>
              <w:t xml:space="preserve">, </w:t>
            </w:r>
            <w:r>
              <w:rPr>
                <w:rFonts w:asciiTheme="majorHAnsi" w:hAnsiTheme="majorHAnsi" w:cstheme="majorHAnsi"/>
                <w:bCs/>
                <w:sz w:val="18"/>
                <w:szCs w:val="18"/>
              </w:rPr>
              <w:t>3.20); 5 (0-9)</w:t>
            </w:r>
          </w:p>
        </w:tc>
      </w:tr>
      <w:tr w:rsidR="00161D6B" w:rsidRPr="00E44152" w14:paraId="6790D091" w14:textId="77777777" w:rsidTr="004240AA">
        <w:trPr>
          <w:trHeight w:val="288"/>
        </w:trPr>
        <w:tc>
          <w:tcPr>
            <w:tcW w:w="15452" w:type="dxa"/>
            <w:gridSpan w:val="8"/>
          </w:tcPr>
          <w:p w14:paraId="17E2818E" w14:textId="2FB8558D" w:rsidR="00161D6B" w:rsidRPr="00C00388" w:rsidRDefault="00161D6B" w:rsidP="00161D6B">
            <w:pPr>
              <w:pStyle w:val="BodyText"/>
              <w:spacing w:before="0" w:after="0" w:line="240" w:lineRule="auto"/>
              <w:jc w:val="left"/>
              <w:rPr>
                <w:rFonts w:asciiTheme="majorHAnsi" w:hAnsiTheme="majorHAnsi" w:cstheme="majorHAnsi"/>
                <w:b/>
                <w:color w:val="FFFFFF" w:themeColor="background1"/>
                <w:sz w:val="18"/>
                <w:szCs w:val="18"/>
              </w:rPr>
            </w:pPr>
            <w:r>
              <w:rPr>
                <w:rFonts w:asciiTheme="majorHAnsi" w:hAnsiTheme="majorHAnsi" w:cstheme="majorHAnsi"/>
                <w:b/>
                <w:sz w:val="18"/>
                <w:szCs w:val="18"/>
              </w:rPr>
              <w:t>Prospective studies set embedded in population-based screening programs</w:t>
            </w:r>
          </w:p>
        </w:tc>
      </w:tr>
      <w:tr w:rsidR="00161D6B" w:rsidRPr="00D45B2C" w14:paraId="6FF213D9" w14:textId="77777777" w:rsidTr="001E716E">
        <w:trPr>
          <w:trHeight w:val="1003"/>
          <w:tblHeader/>
        </w:trPr>
        <w:tc>
          <w:tcPr>
            <w:tcW w:w="1418" w:type="dxa"/>
            <w:shd w:val="clear" w:color="auto" w:fill="auto"/>
          </w:tcPr>
          <w:p w14:paraId="32AAD2A1" w14:textId="77777777" w:rsidR="00161D6B" w:rsidRPr="00D45B2C" w:rsidRDefault="00161D6B" w:rsidP="00161D6B">
            <w:pPr>
              <w:pStyle w:val="BodyText"/>
              <w:spacing w:before="0" w:after="0" w:line="240" w:lineRule="auto"/>
              <w:jc w:val="left"/>
              <w:rPr>
                <w:rFonts w:asciiTheme="majorHAnsi" w:hAnsiTheme="majorHAnsi" w:cstheme="majorHAnsi"/>
                <w:bCs/>
                <w:sz w:val="18"/>
                <w:szCs w:val="18"/>
              </w:rPr>
            </w:pPr>
            <w:r w:rsidRPr="00D45B2C">
              <w:rPr>
                <w:rFonts w:asciiTheme="majorHAnsi" w:hAnsiTheme="majorHAnsi" w:cstheme="majorHAnsi"/>
                <w:bCs/>
                <w:sz w:val="18"/>
                <w:szCs w:val="18"/>
              </w:rPr>
              <w:t>Skaane et al. (2018)</w:t>
            </w:r>
          </w:p>
          <w:p w14:paraId="00CE1FE5" w14:textId="1E1E7668" w:rsidR="00161D6B" w:rsidRPr="00D45B2C" w:rsidRDefault="00D77E4E"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OTS</w:t>
            </w:r>
          </w:p>
        </w:tc>
        <w:tc>
          <w:tcPr>
            <w:tcW w:w="2693" w:type="dxa"/>
            <w:shd w:val="clear" w:color="auto" w:fill="auto"/>
          </w:tcPr>
          <w:p w14:paraId="7B52135C" w14:textId="06EFC626" w:rsidR="00161D6B" w:rsidRPr="00D45B2C"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24,301 women aged presenting for screening in Oslo, Norway</w:t>
            </w:r>
          </w:p>
        </w:tc>
        <w:tc>
          <w:tcPr>
            <w:tcW w:w="2694" w:type="dxa"/>
            <w:shd w:val="clear" w:color="auto" w:fill="auto"/>
          </w:tcPr>
          <w:p w14:paraId="16BDA876" w14:textId="1ADABC5C" w:rsidR="005D4C37" w:rsidRPr="00D45B2C" w:rsidRDefault="00161D6B" w:rsidP="00161D6B">
            <w:pPr>
              <w:pStyle w:val="BodyText"/>
              <w:spacing w:before="0" w:after="0" w:line="240" w:lineRule="auto"/>
              <w:jc w:val="left"/>
              <w:rPr>
                <w:rFonts w:asciiTheme="majorHAnsi" w:hAnsiTheme="majorHAnsi" w:cstheme="majorHAnsi"/>
                <w:bCs/>
                <w:sz w:val="18"/>
                <w:szCs w:val="18"/>
              </w:rPr>
            </w:pPr>
            <w:r w:rsidRPr="00D45B2C">
              <w:rPr>
                <w:rFonts w:asciiTheme="majorHAnsi" w:hAnsiTheme="majorHAnsi" w:cstheme="majorHAnsi"/>
                <w:sz w:val="18"/>
                <w:szCs w:val="18"/>
              </w:rPr>
              <w:t xml:space="preserve">Prospective, </w:t>
            </w:r>
            <w:r w:rsidR="00AE2276">
              <w:rPr>
                <w:rFonts w:asciiTheme="majorHAnsi" w:hAnsiTheme="majorHAnsi" w:cstheme="majorHAnsi"/>
                <w:sz w:val="18"/>
                <w:szCs w:val="18"/>
              </w:rPr>
              <w:t xml:space="preserve">single site </w:t>
            </w:r>
            <w:r w:rsidRPr="00D45B2C">
              <w:rPr>
                <w:rFonts w:asciiTheme="majorHAnsi" w:hAnsiTheme="majorHAnsi" w:cstheme="majorHAnsi"/>
                <w:sz w:val="18"/>
                <w:szCs w:val="18"/>
              </w:rPr>
              <w:t xml:space="preserve">fully paired, double-reading trial using Hologic Dimensions system (FFDM, DBT and </w:t>
            </w:r>
            <w:r w:rsidR="00176980">
              <w:rPr>
                <w:rFonts w:asciiTheme="majorHAnsi" w:hAnsiTheme="majorHAnsi" w:cstheme="majorHAnsi"/>
                <w:sz w:val="18"/>
                <w:szCs w:val="18"/>
              </w:rPr>
              <w:t>s2DM</w:t>
            </w:r>
            <w:r w:rsidRPr="00D45B2C">
              <w:rPr>
                <w:rFonts w:asciiTheme="majorHAnsi" w:hAnsiTheme="majorHAnsi" w:cstheme="majorHAnsi"/>
                <w:sz w:val="18"/>
                <w:szCs w:val="18"/>
              </w:rPr>
              <w:t xml:space="preserve"> images) and GE Senographe (previous screening round FFDM images) and four reading arm</w:t>
            </w:r>
            <w:r w:rsidR="0034054F">
              <w:rPr>
                <w:rFonts w:asciiTheme="majorHAnsi" w:hAnsiTheme="majorHAnsi" w:cstheme="majorHAnsi"/>
                <w:sz w:val="18"/>
                <w:szCs w:val="18"/>
              </w:rPr>
              <w:t>s</w:t>
            </w:r>
          </w:p>
        </w:tc>
        <w:tc>
          <w:tcPr>
            <w:tcW w:w="1849" w:type="dxa"/>
            <w:shd w:val="clear" w:color="auto" w:fill="auto"/>
          </w:tcPr>
          <w:p w14:paraId="04F46A0C" w14:textId="530047D1" w:rsidR="00161D6B" w:rsidRPr="00D45B2C"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9.3</w:t>
            </w:r>
          </w:p>
        </w:tc>
        <w:tc>
          <w:tcPr>
            <w:tcW w:w="1978" w:type="dxa"/>
            <w:shd w:val="clear" w:color="auto" w:fill="auto"/>
          </w:tcPr>
          <w:p w14:paraId="2F950429" w14:textId="12A233F5" w:rsidR="00161D6B" w:rsidRPr="00D45B2C"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6.3</w:t>
            </w:r>
          </w:p>
        </w:tc>
        <w:tc>
          <w:tcPr>
            <w:tcW w:w="1559" w:type="dxa"/>
          </w:tcPr>
          <w:p w14:paraId="1EDA1339" w14:textId="205BB796" w:rsidR="00161D6B" w:rsidRDefault="00161D6B"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w:t>
            </w:r>
          </w:p>
          <w:p w14:paraId="799EB7F3" w14:textId="48B8F446" w:rsidR="00161D6B" w:rsidRP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84.1% of cancers</w:t>
            </w:r>
          </w:p>
          <w:p w14:paraId="19EE8237" w14:textId="77777777" w:rsidR="00161D6B" w:rsidRDefault="00161D6B"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DCIS</w:t>
            </w:r>
          </w:p>
          <w:p w14:paraId="1833098F" w14:textId="0B05A5AC" w:rsidR="00161D6B" w:rsidRP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15.9% of cancers</w:t>
            </w:r>
          </w:p>
        </w:tc>
        <w:tc>
          <w:tcPr>
            <w:tcW w:w="1561" w:type="dxa"/>
          </w:tcPr>
          <w:p w14:paraId="3E17FB6A" w14:textId="72B1723A" w:rsidR="00161D6B" w:rsidRDefault="00161D6B"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w:t>
            </w:r>
          </w:p>
          <w:p w14:paraId="1C78047F" w14:textId="7887A4A2" w:rsidR="00161D6B" w:rsidRPr="00161D6B"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79.9% </w:t>
            </w:r>
          </w:p>
          <w:p w14:paraId="415D3A15" w14:textId="77777777" w:rsidR="00161D6B" w:rsidRDefault="00161D6B"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DCIS</w:t>
            </w:r>
          </w:p>
          <w:p w14:paraId="301D80EB" w14:textId="06C3DA6C" w:rsidR="00161D6B" w:rsidRPr="00311662"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20.1% </w:t>
            </w:r>
            <w:r w:rsidR="00311662">
              <w:rPr>
                <w:rFonts w:asciiTheme="majorHAnsi" w:hAnsiTheme="majorHAnsi" w:cstheme="majorHAnsi"/>
                <w:bCs/>
                <w:sz w:val="18"/>
                <w:szCs w:val="18"/>
              </w:rPr>
              <w:t>(</w:t>
            </w:r>
            <w:r w:rsidR="00311662">
              <w:rPr>
                <w:rFonts w:asciiTheme="majorHAnsi" w:hAnsiTheme="majorHAnsi" w:cstheme="majorHAnsi"/>
                <w:bCs/>
                <w:i/>
                <w:iCs/>
                <w:sz w:val="18"/>
                <w:szCs w:val="18"/>
              </w:rPr>
              <w:t>p</w:t>
            </w:r>
            <w:r w:rsidR="00311662">
              <w:rPr>
                <w:rFonts w:asciiTheme="majorHAnsi" w:hAnsiTheme="majorHAnsi" w:cstheme="majorHAnsi"/>
                <w:bCs/>
                <w:sz w:val="18"/>
                <w:szCs w:val="18"/>
              </w:rPr>
              <w:t>=.234)</w:t>
            </w:r>
          </w:p>
        </w:tc>
        <w:tc>
          <w:tcPr>
            <w:tcW w:w="1700" w:type="dxa"/>
            <w:shd w:val="clear" w:color="auto" w:fill="auto"/>
          </w:tcPr>
          <w:p w14:paraId="7EAD9CB4" w14:textId="27517751" w:rsidR="00161D6B" w:rsidRPr="00C77B0A" w:rsidRDefault="00161D6B"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Overall CDR (Incremental detection)</w:t>
            </w:r>
          </w:p>
          <w:p w14:paraId="1F252B12" w14:textId="766CFF1A" w:rsidR="00161D6B" w:rsidRPr="00D45B2C"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3.0 (1.7</w:t>
            </w:r>
            <w:r w:rsidR="0034054F">
              <w:rPr>
                <w:rFonts w:asciiTheme="majorHAnsi" w:hAnsiTheme="majorHAnsi" w:cstheme="majorHAnsi"/>
                <w:bCs/>
                <w:sz w:val="18"/>
                <w:szCs w:val="18"/>
              </w:rPr>
              <w:t xml:space="preserve">, </w:t>
            </w:r>
            <w:r>
              <w:rPr>
                <w:rFonts w:asciiTheme="majorHAnsi" w:hAnsiTheme="majorHAnsi" w:cstheme="majorHAnsi"/>
                <w:bCs/>
                <w:sz w:val="18"/>
                <w:szCs w:val="18"/>
              </w:rPr>
              <w:t>4</w:t>
            </w:r>
            <w:r w:rsidR="0034054F">
              <w:rPr>
                <w:rFonts w:asciiTheme="majorHAnsi" w:hAnsiTheme="majorHAnsi" w:cstheme="majorHAnsi"/>
                <w:bCs/>
                <w:sz w:val="18"/>
                <w:szCs w:val="18"/>
              </w:rPr>
              <w:t>.</w:t>
            </w:r>
            <w:r>
              <w:rPr>
                <w:rFonts w:asciiTheme="majorHAnsi" w:hAnsiTheme="majorHAnsi" w:cstheme="majorHAnsi"/>
                <w:bCs/>
                <w:sz w:val="18"/>
                <w:szCs w:val="18"/>
              </w:rPr>
              <w:t xml:space="preserve">4; </w:t>
            </w:r>
            <w:r>
              <w:rPr>
                <w:rFonts w:asciiTheme="majorHAnsi" w:hAnsiTheme="majorHAnsi" w:cstheme="majorHAnsi"/>
                <w:bCs/>
                <w:i/>
                <w:iCs/>
                <w:sz w:val="18"/>
                <w:szCs w:val="18"/>
              </w:rPr>
              <w:t>p</w:t>
            </w:r>
            <w:r>
              <w:rPr>
                <w:rFonts w:asciiTheme="majorHAnsi" w:hAnsiTheme="majorHAnsi" w:cstheme="majorHAnsi"/>
                <w:bCs/>
                <w:sz w:val="18"/>
                <w:szCs w:val="18"/>
              </w:rPr>
              <w:t>&lt;.001)</w:t>
            </w:r>
          </w:p>
        </w:tc>
      </w:tr>
    </w:tbl>
    <w:p w14:paraId="4E9B1E0E" w14:textId="77777777" w:rsidR="005C101D" w:rsidRDefault="005C101D"/>
    <w:tbl>
      <w:tblPr>
        <w:tblW w:w="15452" w:type="dxa"/>
        <w:tblInd w:w="-856"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Pr>
      <w:tblGrid>
        <w:gridCol w:w="1418"/>
        <w:gridCol w:w="2693"/>
        <w:gridCol w:w="2694"/>
        <w:gridCol w:w="1849"/>
        <w:gridCol w:w="1978"/>
        <w:gridCol w:w="1559"/>
        <w:gridCol w:w="1561"/>
        <w:gridCol w:w="1700"/>
      </w:tblGrid>
      <w:tr w:rsidR="005C101D" w:rsidRPr="00E44152" w14:paraId="7FA12C85" w14:textId="77777777" w:rsidTr="00B05A51">
        <w:trPr>
          <w:trHeight w:val="1003"/>
        </w:trPr>
        <w:tc>
          <w:tcPr>
            <w:tcW w:w="1418" w:type="dxa"/>
            <w:shd w:val="clear" w:color="auto" w:fill="77B800" w:themeFill="background2"/>
          </w:tcPr>
          <w:p w14:paraId="55E0C9EA" w14:textId="77777777" w:rsidR="005C101D" w:rsidRDefault="005C101D" w:rsidP="00805590">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b/>
                <w:color w:val="FFFFFF" w:themeColor="background1"/>
                <w:sz w:val="18"/>
                <w:szCs w:val="18"/>
              </w:rPr>
              <w:lastRenderedPageBreak/>
              <w:t>Study</w:t>
            </w:r>
          </w:p>
          <w:p w14:paraId="2BAEEBA7" w14:textId="77777777" w:rsidR="005C101D" w:rsidRPr="00C22ADE" w:rsidRDefault="005C101D" w:rsidP="00805590">
            <w:pPr>
              <w:jc w:val="center"/>
            </w:pPr>
          </w:p>
        </w:tc>
        <w:tc>
          <w:tcPr>
            <w:tcW w:w="2693" w:type="dxa"/>
            <w:shd w:val="clear" w:color="auto" w:fill="77B800" w:themeFill="background2"/>
          </w:tcPr>
          <w:p w14:paraId="709330BE" w14:textId="77777777" w:rsidR="005C101D" w:rsidRPr="00C75EDC"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Sample</w:t>
            </w:r>
          </w:p>
        </w:tc>
        <w:tc>
          <w:tcPr>
            <w:tcW w:w="2694" w:type="dxa"/>
            <w:shd w:val="clear" w:color="auto" w:fill="77B800" w:themeFill="background2"/>
          </w:tcPr>
          <w:p w14:paraId="59C1E960" w14:textId="77777777" w:rsidR="005C101D" w:rsidRPr="00C75EDC"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Study type</w:t>
            </w:r>
          </w:p>
        </w:tc>
        <w:tc>
          <w:tcPr>
            <w:tcW w:w="1849" w:type="dxa"/>
            <w:shd w:val="clear" w:color="auto" w:fill="77B800" w:themeFill="background2"/>
          </w:tcPr>
          <w:p w14:paraId="7F22E78E" w14:textId="77777777" w:rsidR="005C101D" w:rsidRPr="00E44152"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FFDM+DBT</w:t>
            </w:r>
          </w:p>
          <w:p w14:paraId="791A3110" w14:textId="77777777" w:rsidR="005C101D" w:rsidRPr="00E44152" w:rsidRDefault="005C101D" w:rsidP="00805590">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978" w:type="dxa"/>
            <w:shd w:val="clear" w:color="auto" w:fill="77B800" w:themeFill="background2"/>
          </w:tcPr>
          <w:p w14:paraId="7CD92407" w14:textId="77777777" w:rsidR="005C101D" w:rsidRPr="00E44152"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31480C11" w14:textId="77777777" w:rsidR="005C101D" w:rsidRPr="00E44152" w:rsidRDefault="005C101D" w:rsidP="00805590">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559" w:type="dxa"/>
            <w:shd w:val="clear" w:color="auto" w:fill="77B800" w:themeFill="background2"/>
          </w:tcPr>
          <w:p w14:paraId="3403B4D4" w14:textId="77777777" w:rsidR="005C101D"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FFDM+DBT</w:t>
            </w:r>
          </w:p>
          <w:p w14:paraId="0D3CFBE4" w14:textId="77777777" w:rsidR="005C101D" w:rsidRPr="00E44152" w:rsidRDefault="005C101D" w:rsidP="00805590">
            <w:pPr>
              <w:pStyle w:val="BodyText"/>
              <w:spacing w:before="0" w:after="0" w:line="240" w:lineRule="auto"/>
              <w:jc w:val="center"/>
              <w:rPr>
                <w:rFonts w:asciiTheme="majorHAnsi" w:hAnsiTheme="majorHAnsi" w:cstheme="majorHAnsi"/>
                <w:color w:val="FFFFFF" w:themeColor="background1"/>
                <w:sz w:val="16"/>
                <w:szCs w:val="16"/>
              </w:rPr>
            </w:pPr>
            <w:r w:rsidRPr="00E44152">
              <w:rPr>
                <w:rFonts w:asciiTheme="majorHAnsi" w:hAnsiTheme="majorHAnsi" w:cstheme="majorHAnsi"/>
                <w:color w:val="FFFFFF" w:themeColor="background1"/>
                <w:sz w:val="16"/>
                <w:szCs w:val="16"/>
              </w:rPr>
              <w:t>Invasive CDR per 1000 screening examinations</w:t>
            </w:r>
          </w:p>
          <w:p w14:paraId="77980941" w14:textId="77777777" w:rsidR="005C101D"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color w:val="FFFFFF" w:themeColor="background1"/>
                <w:sz w:val="16"/>
                <w:szCs w:val="16"/>
              </w:rPr>
              <w:t>(95%CI; p-value)</w:t>
            </w:r>
          </w:p>
        </w:tc>
        <w:tc>
          <w:tcPr>
            <w:tcW w:w="1561" w:type="dxa"/>
            <w:shd w:val="clear" w:color="auto" w:fill="77B800" w:themeFill="background2"/>
          </w:tcPr>
          <w:p w14:paraId="1EA801FE" w14:textId="77777777" w:rsidR="005C101D" w:rsidRPr="00E44152"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2E613F06" w14:textId="77777777" w:rsidR="005C101D" w:rsidRPr="00E44152" w:rsidRDefault="005C101D" w:rsidP="00805590">
            <w:pPr>
              <w:pStyle w:val="BodyText"/>
              <w:spacing w:before="0" w:after="0" w:line="240" w:lineRule="auto"/>
              <w:jc w:val="center"/>
              <w:rPr>
                <w:rFonts w:asciiTheme="majorHAnsi" w:hAnsiTheme="majorHAnsi" w:cstheme="majorHAnsi"/>
                <w:color w:val="FFFFFF" w:themeColor="background1"/>
                <w:sz w:val="16"/>
                <w:szCs w:val="16"/>
              </w:rPr>
            </w:pPr>
            <w:r w:rsidRPr="00E44152">
              <w:rPr>
                <w:rFonts w:asciiTheme="majorHAnsi" w:hAnsiTheme="majorHAnsi" w:cstheme="majorHAnsi"/>
                <w:color w:val="FFFFFF" w:themeColor="background1"/>
                <w:sz w:val="16"/>
                <w:szCs w:val="16"/>
              </w:rPr>
              <w:t>Invasive CDR per 1000 screening examinations</w:t>
            </w:r>
          </w:p>
          <w:p w14:paraId="63BB832C" w14:textId="77777777" w:rsidR="005C101D"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color w:val="FFFFFF" w:themeColor="background1"/>
                <w:sz w:val="16"/>
                <w:szCs w:val="16"/>
              </w:rPr>
              <w:t>(95%CI; p=value)</w:t>
            </w:r>
          </w:p>
        </w:tc>
        <w:tc>
          <w:tcPr>
            <w:tcW w:w="1700" w:type="dxa"/>
            <w:shd w:val="clear" w:color="auto" w:fill="77B800" w:themeFill="background2"/>
          </w:tcPr>
          <w:p w14:paraId="2BA41F74" w14:textId="77777777" w:rsidR="005C101D" w:rsidRDefault="005C101D" w:rsidP="00805590">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 xml:space="preserve">Other data </w:t>
            </w:r>
          </w:p>
          <w:p w14:paraId="52577144" w14:textId="77777777" w:rsidR="005C101D" w:rsidRPr="00C77B0A" w:rsidRDefault="005C101D" w:rsidP="00805590">
            <w:pPr>
              <w:pStyle w:val="BodyText"/>
              <w:spacing w:before="0" w:after="0" w:line="240" w:lineRule="auto"/>
              <w:jc w:val="center"/>
              <w:rPr>
                <w:rFonts w:asciiTheme="majorHAnsi" w:hAnsiTheme="majorHAnsi" w:cstheme="majorHAnsi"/>
                <w:bCs/>
                <w:color w:val="FFFFFF" w:themeColor="background1"/>
                <w:sz w:val="18"/>
                <w:szCs w:val="18"/>
              </w:rPr>
            </w:pPr>
            <w:r w:rsidRPr="00C77B0A">
              <w:rPr>
                <w:rFonts w:asciiTheme="majorHAnsi" w:hAnsiTheme="majorHAnsi" w:cstheme="majorHAnsi"/>
                <w:bCs/>
                <w:color w:val="FFFFFF" w:themeColor="background1"/>
                <w:sz w:val="18"/>
                <w:szCs w:val="18"/>
              </w:rPr>
              <w:t>(95%CI)</w:t>
            </w:r>
          </w:p>
        </w:tc>
      </w:tr>
      <w:tr w:rsidR="005D4C37" w:rsidRPr="00D45B2C" w14:paraId="7C3D0196" w14:textId="77777777" w:rsidTr="00B05A51">
        <w:trPr>
          <w:trHeight w:val="218"/>
        </w:trPr>
        <w:tc>
          <w:tcPr>
            <w:tcW w:w="15452" w:type="dxa"/>
            <w:gridSpan w:val="8"/>
          </w:tcPr>
          <w:p w14:paraId="6850BBAE" w14:textId="790262AD" w:rsidR="005D4C37" w:rsidRPr="005A7581" w:rsidRDefault="005D4C37" w:rsidP="00161D6B">
            <w:pPr>
              <w:pStyle w:val="BodyText"/>
              <w:spacing w:before="0" w:after="0" w:line="240" w:lineRule="auto"/>
              <w:jc w:val="left"/>
              <w:rPr>
                <w:rFonts w:asciiTheme="majorHAnsi" w:hAnsiTheme="majorHAnsi" w:cstheme="majorHAnsi"/>
                <w:b/>
                <w:sz w:val="18"/>
                <w:szCs w:val="18"/>
              </w:rPr>
            </w:pPr>
            <w:r>
              <w:rPr>
                <w:rFonts w:asciiTheme="majorHAnsi" w:hAnsiTheme="majorHAnsi" w:cstheme="majorHAnsi"/>
                <w:b/>
                <w:sz w:val="18"/>
                <w:szCs w:val="18"/>
              </w:rPr>
              <w:t>Retrospective analysis</w:t>
            </w:r>
          </w:p>
        </w:tc>
      </w:tr>
      <w:tr w:rsidR="00B05A51" w:rsidRPr="00D45B2C" w14:paraId="634900F7" w14:textId="77777777" w:rsidTr="00B05A51">
        <w:trPr>
          <w:trHeight w:val="1003"/>
        </w:trPr>
        <w:tc>
          <w:tcPr>
            <w:tcW w:w="1418" w:type="dxa"/>
            <w:shd w:val="clear" w:color="auto" w:fill="auto"/>
          </w:tcPr>
          <w:p w14:paraId="6FFE0201" w14:textId="51F162F9" w:rsid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Bahl et al. (2019)</w:t>
            </w:r>
          </w:p>
        </w:tc>
        <w:tc>
          <w:tcPr>
            <w:tcW w:w="2693" w:type="dxa"/>
            <w:shd w:val="clear" w:color="auto" w:fill="auto"/>
          </w:tcPr>
          <w:p w14:paraId="3804C112" w14:textId="37B57EEC" w:rsidR="00B05A51" w:rsidRP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23,997 screening examinations in women aged 54y (</w:t>
            </w:r>
            <w:r>
              <w:rPr>
                <w:rFonts w:asciiTheme="majorHAnsi" w:hAnsiTheme="majorHAnsi" w:cstheme="majorHAnsi"/>
                <w:bCs/>
                <w:sz w:val="18"/>
                <w:szCs w:val="18"/>
                <w:u w:val="single"/>
              </w:rPr>
              <w:t>+</w:t>
            </w:r>
            <w:r>
              <w:rPr>
                <w:rFonts w:asciiTheme="majorHAnsi" w:hAnsiTheme="majorHAnsi" w:cstheme="majorHAnsi"/>
                <w:bCs/>
                <w:sz w:val="18"/>
                <w:szCs w:val="18"/>
              </w:rPr>
              <w:t>10.4y)</w:t>
            </w:r>
          </w:p>
          <w:p w14:paraId="1DF0B375" w14:textId="5F220513" w:rsid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FFDM: 14,180 </w:t>
            </w:r>
          </w:p>
          <w:p w14:paraId="72612114" w14:textId="3729876A" w:rsid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FFDM+DBT: 9817 </w:t>
            </w:r>
          </w:p>
        </w:tc>
        <w:tc>
          <w:tcPr>
            <w:tcW w:w="2694" w:type="dxa"/>
            <w:shd w:val="clear" w:color="auto" w:fill="auto"/>
          </w:tcPr>
          <w:p w14:paraId="133EFC19" w14:textId="4FED1AF8" w:rsidR="00B05A51" w:rsidRDefault="00B05A51" w:rsidP="00B05A51">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Retrospective matched cohort study (single site) using a range of units (not specified but units were replaced throughout the analysis)</w:t>
            </w:r>
          </w:p>
        </w:tc>
        <w:tc>
          <w:tcPr>
            <w:tcW w:w="1849" w:type="dxa"/>
            <w:shd w:val="clear" w:color="auto" w:fill="auto"/>
          </w:tcPr>
          <w:p w14:paraId="11DEE687" w14:textId="7BD35882" w:rsidR="00B05A51" w:rsidRPr="001E716E"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3.7</w:t>
            </w:r>
          </w:p>
        </w:tc>
        <w:tc>
          <w:tcPr>
            <w:tcW w:w="1978" w:type="dxa"/>
            <w:shd w:val="clear" w:color="auto" w:fill="auto"/>
          </w:tcPr>
          <w:p w14:paraId="1466D432" w14:textId="7FB3E1AA" w:rsidR="00B05A51" w:rsidRPr="001E716E"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1.8</w:t>
            </w:r>
          </w:p>
        </w:tc>
        <w:tc>
          <w:tcPr>
            <w:tcW w:w="1559" w:type="dxa"/>
          </w:tcPr>
          <w:p w14:paraId="47E744DA" w14:textId="45998C6E" w:rsid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75%</w:t>
            </w:r>
          </w:p>
        </w:tc>
        <w:tc>
          <w:tcPr>
            <w:tcW w:w="1561" w:type="dxa"/>
          </w:tcPr>
          <w:p w14:paraId="0E492C00" w14:textId="69282387" w:rsidR="00B05A51" w:rsidRP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72% (</w:t>
            </w:r>
            <w:r>
              <w:rPr>
                <w:rFonts w:asciiTheme="majorHAnsi" w:hAnsiTheme="majorHAnsi" w:cstheme="majorHAnsi"/>
                <w:bCs/>
                <w:i/>
                <w:iCs/>
                <w:sz w:val="18"/>
                <w:szCs w:val="18"/>
              </w:rPr>
              <w:t>p=</w:t>
            </w:r>
            <w:r>
              <w:rPr>
                <w:rFonts w:asciiTheme="majorHAnsi" w:hAnsiTheme="majorHAnsi" w:cstheme="majorHAnsi"/>
                <w:bCs/>
                <w:sz w:val="18"/>
                <w:szCs w:val="18"/>
              </w:rPr>
              <w:t>.86)</w:t>
            </w:r>
            <w:r w:rsidR="006557B2">
              <w:rPr>
                <w:rFonts w:asciiTheme="majorHAnsi" w:hAnsiTheme="majorHAnsi" w:cstheme="majorHAnsi"/>
                <w:sz w:val="18"/>
                <w:szCs w:val="18"/>
              </w:rPr>
              <w:t xml:space="preserve"> Invasive </w:t>
            </w:r>
            <w:r w:rsidR="006557B2" w:rsidRPr="006557B2">
              <w:rPr>
                <w:rFonts w:asciiTheme="majorHAnsi" w:hAnsiTheme="majorHAnsi" w:cstheme="majorHAnsi"/>
                <w:sz w:val="18"/>
                <w:szCs w:val="18"/>
              </w:rPr>
              <w:t xml:space="preserve">RR=2.2; 95%CI: 1.2, 3.9, </w:t>
            </w:r>
            <w:r w:rsidR="006557B2" w:rsidRPr="006557B2">
              <w:rPr>
                <w:rFonts w:asciiTheme="majorHAnsi" w:hAnsiTheme="majorHAnsi" w:cstheme="majorHAnsi"/>
                <w:i/>
                <w:iCs/>
                <w:sz w:val="18"/>
                <w:szCs w:val="18"/>
              </w:rPr>
              <w:t>p=</w:t>
            </w:r>
            <w:r w:rsidR="006557B2" w:rsidRPr="006557B2">
              <w:rPr>
                <w:rFonts w:asciiTheme="majorHAnsi" w:hAnsiTheme="majorHAnsi" w:cstheme="majorHAnsi"/>
                <w:sz w:val="18"/>
                <w:szCs w:val="18"/>
              </w:rPr>
              <w:t>.01</w:t>
            </w:r>
          </w:p>
        </w:tc>
        <w:tc>
          <w:tcPr>
            <w:tcW w:w="1700" w:type="dxa"/>
            <w:shd w:val="clear" w:color="auto" w:fill="auto"/>
          </w:tcPr>
          <w:p w14:paraId="1ED544B8" w14:textId="77777777" w:rsid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Overall CDR OR=2.1 (1.3, 3.5; </w:t>
            </w:r>
            <w:r>
              <w:rPr>
                <w:rFonts w:asciiTheme="majorHAnsi" w:hAnsiTheme="majorHAnsi" w:cstheme="majorHAnsi"/>
                <w:bCs/>
                <w:i/>
                <w:iCs/>
                <w:sz w:val="18"/>
                <w:szCs w:val="18"/>
              </w:rPr>
              <w:t>p</w:t>
            </w:r>
            <w:r>
              <w:rPr>
                <w:rFonts w:asciiTheme="majorHAnsi" w:hAnsiTheme="majorHAnsi" w:cstheme="majorHAnsi"/>
                <w:bCs/>
                <w:sz w:val="18"/>
                <w:szCs w:val="18"/>
              </w:rPr>
              <w:t>=.001)</w:t>
            </w:r>
          </w:p>
          <w:p w14:paraId="7CC524AC" w14:textId="77777777" w:rsid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Incremental CDR: 1.9</w:t>
            </w:r>
          </w:p>
          <w:p w14:paraId="2829B672" w14:textId="23115EE3" w:rsidR="006557B2" w:rsidRPr="006557B2" w:rsidRDefault="006557B2" w:rsidP="00B05A51">
            <w:pPr>
              <w:pStyle w:val="BodyText"/>
              <w:spacing w:before="0" w:after="0" w:line="240" w:lineRule="auto"/>
              <w:jc w:val="left"/>
              <w:rPr>
                <w:rFonts w:asciiTheme="majorHAnsi" w:hAnsiTheme="majorHAnsi" w:cstheme="majorHAnsi"/>
                <w:bCs/>
                <w:sz w:val="18"/>
                <w:szCs w:val="18"/>
              </w:rPr>
            </w:pPr>
          </w:p>
        </w:tc>
      </w:tr>
      <w:tr w:rsidR="00B83800" w:rsidRPr="00D45B2C" w14:paraId="2D8B52D0" w14:textId="77777777" w:rsidTr="00B05A51">
        <w:trPr>
          <w:trHeight w:val="1003"/>
        </w:trPr>
        <w:tc>
          <w:tcPr>
            <w:tcW w:w="1418" w:type="dxa"/>
            <w:shd w:val="clear" w:color="auto" w:fill="auto"/>
          </w:tcPr>
          <w:p w14:paraId="5C6DD06D" w14:textId="77777777" w:rsidR="00B83800" w:rsidRDefault="00B83800"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Conant et al. (2019)</w:t>
            </w:r>
          </w:p>
          <w:p w14:paraId="6AB6B13B" w14:textId="5338C518" w:rsidR="00B83800" w:rsidRDefault="00B83800"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PROSPR consortium</w:t>
            </w:r>
          </w:p>
        </w:tc>
        <w:tc>
          <w:tcPr>
            <w:tcW w:w="2693" w:type="dxa"/>
            <w:shd w:val="clear" w:color="auto" w:fill="auto"/>
          </w:tcPr>
          <w:p w14:paraId="64F74D15" w14:textId="5D074EBB" w:rsidR="00B83800" w:rsidRDefault="00B83800"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96,269 women </w:t>
            </w:r>
            <w:r w:rsidR="00EB0960">
              <w:rPr>
                <w:rFonts w:asciiTheme="majorHAnsi" w:hAnsiTheme="majorHAnsi" w:cstheme="majorHAnsi"/>
                <w:bCs/>
                <w:sz w:val="18"/>
                <w:szCs w:val="18"/>
              </w:rPr>
              <w:t xml:space="preserve">aged 40-74y </w:t>
            </w:r>
            <w:r>
              <w:rPr>
                <w:rFonts w:asciiTheme="majorHAnsi" w:hAnsiTheme="majorHAnsi" w:cstheme="majorHAnsi"/>
                <w:bCs/>
                <w:sz w:val="18"/>
                <w:szCs w:val="18"/>
              </w:rPr>
              <w:t>participating in annual screening through the PROSPR consortium</w:t>
            </w:r>
            <w:r w:rsidR="00D77E4E">
              <w:rPr>
                <w:rFonts w:asciiTheme="majorHAnsi" w:hAnsiTheme="majorHAnsi" w:cstheme="majorHAnsi"/>
                <w:bCs/>
                <w:sz w:val="18"/>
                <w:szCs w:val="18"/>
              </w:rPr>
              <w:t xml:space="preserve"> (USA)</w:t>
            </w:r>
            <w:r>
              <w:rPr>
                <w:rFonts w:asciiTheme="majorHAnsi" w:hAnsiTheme="majorHAnsi" w:cstheme="majorHAnsi"/>
                <w:bCs/>
                <w:sz w:val="18"/>
                <w:szCs w:val="18"/>
              </w:rPr>
              <w:t>, mean age=55.7y</w:t>
            </w:r>
          </w:p>
          <w:p w14:paraId="16BA0346" w14:textId="3A792F77" w:rsidR="00B83800" w:rsidRDefault="00B83800"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 129,369 screening examinations</w:t>
            </w:r>
            <w:r w:rsidR="00EB0960">
              <w:rPr>
                <w:rFonts w:asciiTheme="majorHAnsi" w:hAnsiTheme="majorHAnsi" w:cstheme="majorHAnsi"/>
                <w:bCs/>
                <w:sz w:val="18"/>
                <w:szCs w:val="18"/>
              </w:rPr>
              <w:t xml:space="preserve"> (mean age 56.4y)</w:t>
            </w:r>
          </w:p>
          <w:p w14:paraId="7DBA0829" w14:textId="65AC4DFF" w:rsidR="00B83800" w:rsidRDefault="00B83800"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FFDM+DBT: 50,971 screening examinations</w:t>
            </w:r>
            <w:r w:rsidR="00EB0960">
              <w:rPr>
                <w:rFonts w:asciiTheme="majorHAnsi" w:hAnsiTheme="majorHAnsi" w:cstheme="majorHAnsi"/>
                <w:bCs/>
                <w:sz w:val="18"/>
                <w:szCs w:val="18"/>
              </w:rPr>
              <w:t xml:space="preserve"> (mean age 54.6y)</w:t>
            </w:r>
          </w:p>
        </w:tc>
        <w:tc>
          <w:tcPr>
            <w:tcW w:w="2694" w:type="dxa"/>
            <w:shd w:val="clear" w:color="auto" w:fill="auto"/>
          </w:tcPr>
          <w:p w14:paraId="64D80407" w14:textId="20844142" w:rsidR="00B83800" w:rsidRDefault="00B83800" w:rsidP="006C6354">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Retrospective</w:t>
            </w:r>
            <w:r w:rsidR="008D5AEC">
              <w:rPr>
                <w:rFonts w:asciiTheme="majorHAnsi" w:hAnsiTheme="majorHAnsi" w:cstheme="majorHAnsi"/>
                <w:sz w:val="18"/>
                <w:szCs w:val="18"/>
              </w:rPr>
              <w:t>,</w:t>
            </w:r>
            <w:r>
              <w:rPr>
                <w:rFonts w:asciiTheme="majorHAnsi" w:hAnsiTheme="majorHAnsi" w:cstheme="majorHAnsi"/>
                <w:sz w:val="18"/>
                <w:szCs w:val="18"/>
              </w:rPr>
              <w:t xml:space="preserve"> </w:t>
            </w:r>
            <w:r w:rsidR="008D5AEC">
              <w:rPr>
                <w:rFonts w:asciiTheme="majorHAnsi" w:hAnsiTheme="majorHAnsi" w:cstheme="majorHAnsi"/>
                <w:sz w:val="18"/>
                <w:szCs w:val="18"/>
              </w:rPr>
              <w:t xml:space="preserve">three site </w:t>
            </w:r>
            <w:r>
              <w:rPr>
                <w:rFonts w:asciiTheme="majorHAnsi" w:hAnsiTheme="majorHAnsi" w:cstheme="majorHAnsi"/>
                <w:sz w:val="18"/>
                <w:szCs w:val="18"/>
              </w:rPr>
              <w:t>analysis</w:t>
            </w:r>
            <w:r w:rsidR="008D5AEC">
              <w:rPr>
                <w:rFonts w:asciiTheme="majorHAnsi" w:hAnsiTheme="majorHAnsi" w:cstheme="majorHAnsi"/>
                <w:sz w:val="18"/>
                <w:szCs w:val="18"/>
              </w:rPr>
              <w:t xml:space="preserve"> with DBT images collected on Hologic Selenia Dimensions unit, varying DM units (not recorded) with single reading (n=2 radiologists)</w:t>
            </w:r>
          </w:p>
        </w:tc>
        <w:tc>
          <w:tcPr>
            <w:tcW w:w="1849" w:type="dxa"/>
            <w:shd w:val="clear" w:color="auto" w:fill="auto"/>
          </w:tcPr>
          <w:p w14:paraId="07A1DF0A" w14:textId="77777777" w:rsidR="00B83800" w:rsidRDefault="001E716E" w:rsidP="006C6354">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All women</w:t>
            </w:r>
          </w:p>
          <w:p w14:paraId="5F8E71CD" w14:textId="5F9074B4" w:rsidR="001E716E" w:rsidRDefault="001E716E"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5.82</w:t>
            </w:r>
          </w:p>
          <w:p w14:paraId="0F7811AA" w14:textId="77777777" w:rsidR="001E716E" w:rsidRDefault="001E716E" w:rsidP="001E716E">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Women aged 40-49y</w:t>
            </w:r>
          </w:p>
          <w:p w14:paraId="0C4A700B" w14:textId="61F25898"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Not dense: 4.41</w:t>
            </w:r>
          </w:p>
          <w:p w14:paraId="1EB8FBD6" w14:textId="4C9AB760"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Dense: 5.20</w:t>
            </w:r>
          </w:p>
          <w:p w14:paraId="39A2102B" w14:textId="77777777" w:rsidR="001E716E" w:rsidRDefault="001E716E" w:rsidP="001E716E">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Women aged 50-64y</w:t>
            </w:r>
          </w:p>
          <w:p w14:paraId="195309C8" w14:textId="79D3EB9A"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Not dense: 4.03</w:t>
            </w:r>
          </w:p>
          <w:p w14:paraId="21AAEE10" w14:textId="43900D21"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Dense: 7.59</w:t>
            </w:r>
          </w:p>
          <w:p w14:paraId="357B9C54" w14:textId="77777777" w:rsidR="001E716E" w:rsidRDefault="001E716E" w:rsidP="001E716E">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Women aged 65-74y</w:t>
            </w:r>
          </w:p>
          <w:p w14:paraId="6229050D" w14:textId="000CB6C7"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Not dense: 9.64</w:t>
            </w:r>
          </w:p>
          <w:p w14:paraId="4E1F798D" w14:textId="3C1F329A" w:rsidR="001E716E" w:rsidRP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Dense: 9.58</w:t>
            </w:r>
          </w:p>
        </w:tc>
        <w:tc>
          <w:tcPr>
            <w:tcW w:w="1978" w:type="dxa"/>
            <w:shd w:val="clear" w:color="auto" w:fill="auto"/>
          </w:tcPr>
          <w:p w14:paraId="15E6940E" w14:textId="6D346309" w:rsidR="001E716E" w:rsidRPr="001E716E" w:rsidRDefault="001E716E" w:rsidP="006C6354">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All women</w:t>
            </w:r>
          </w:p>
          <w:p w14:paraId="5D4B8425" w14:textId="6B95C70E" w:rsidR="00B83800" w:rsidRDefault="001E716E"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4.42</w:t>
            </w:r>
          </w:p>
          <w:p w14:paraId="3B31603C" w14:textId="77777777" w:rsidR="001E716E" w:rsidRDefault="001E716E" w:rsidP="001E716E">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Women aged 40-49y</w:t>
            </w:r>
          </w:p>
          <w:p w14:paraId="7045A114" w14:textId="77777777"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Not dense: 2.71</w:t>
            </w:r>
          </w:p>
          <w:p w14:paraId="3A4180D0" w14:textId="77777777"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Dense: 2.93</w:t>
            </w:r>
          </w:p>
          <w:p w14:paraId="7DF791D6" w14:textId="77777777" w:rsidR="001E716E" w:rsidRDefault="001E716E" w:rsidP="001E716E">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Women aged 50-64y</w:t>
            </w:r>
          </w:p>
          <w:p w14:paraId="1DA2BCA0" w14:textId="77777777"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Not dense: 3.68</w:t>
            </w:r>
          </w:p>
          <w:p w14:paraId="072AFF99" w14:textId="77777777"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Dense: 5.51</w:t>
            </w:r>
          </w:p>
          <w:p w14:paraId="179C5046" w14:textId="77777777" w:rsidR="001E716E" w:rsidRDefault="001E716E" w:rsidP="001E716E">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Women aged 65-74y</w:t>
            </w:r>
          </w:p>
          <w:p w14:paraId="62C0500A" w14:textId="77777777" w:rsid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Not dense: 6.75</w:t>
            </w:r>
          </w:p>
          <w:p w14:paraId="2886FD7A" w14:textId="10E72B62" w:rsidR="001E716E" w:rsidRPr="001E716E" w:rsidRDefault="001E716E" w:rsidP="001E716E">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Dense: 7.63</w:t>
            </w:r>
          </w:p>
        </w:tc>
        <w:tc>
          <w:tcPr>
            <w:tcW w:w="1559" w:type="dxa"/>
          </w:tcPr>
          <w:p w14:paraId="5DB6F055" w14:textId="4A765AB9" w:rsidR="00B83800" w:rsidRDefault="001E716E" w:rsidP="001E716E">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No data</w:t>
            </w:r>
          </w:p>
        </w:tc>
        <w:tc>
          <w:tcPr>
            <w:tcW w:w="1561" w:type="dxa"/>
          </w:tcPr>
          <w:p w14:paraId="4E2EE3DD" w14:textId="4C6BAFB1" w:rsidR="00B83800" w:rsidRPr="008D7694" w:rsidRDefault="001E716E" w:rsidP="001E716E">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No data</w:t>
            </w:r>
          </w:p>
        </w:tc>
        <w:tc>
          <w:tcPr>
            <w:tcW w:w="1700" w:type="dxa"/>
            <w:shd w:val="clear" w:color="auto" w:fill="auto"/>
          </w:tcPr>
          <w:p w14:paraId="77E88034" w14:textId="7A94D522" w:rsidR="00B83800" w:rsidRPr="001E716E" w:rsidRDefault="001E716E"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OR</w:t>
            </w:r>
            <w:r w:rsidR="00B05A51">
              <w:rPr>
                <w:rFonts w:asciiTheme="majorHAnsi" w:hAnsiTheme="majorHAnsi" w:cstheme="majorHAnsi"/>
                <w:bCs/>
                <w:sz w:val="18"/>
                <w:szCs w:val="18"/>
              </w:rPr>
              <w:t>=</w:t>
            </w:r>
            <w:r>
              <w:rPr>
                <w:rFonts w:asciiTheme="majorHAnsi" w:hAnsiTheme="majorHAnsi" w:cstheme="majorHAnsi"/>
                <w:bCs/>
                <w:sz w:val="18"/>
                <w:szCs w:val="18"/>
              </w:rPr>
              <w:t>1.41 (1.05</w:t>
            </w:r>
            <w:r w:rsidR="0034054F">
              <w:rPr>
                <w:rFonts w:asciiTheme="majorHAnsi" w:hAnsiTheme="majorHAnsi" w:cstheme="majorHAnsi"/>
                <w:bCs/>
                <w:sz w:val="18"/>
                <w:szCs w:val="18"/>
              </w:rPr>
              <w:t xml:space="preserve">, </w:t>
            </w:r>
            <w:r>
              <w:rPr>
                <w:rFonts w:asciiTheme="majorHAnsi" w:hAnsiTheme="majorHAnsi" w:cstheme="majorHAnsi"/>
                <w:bCs/>
                <w:sz w:val="18"/>
                <w:szCs w:val="18"/>
              </w:rPr>
              <w:t xml:space="preserve">1.89, </w:t>
            </w:r>
            <w:r>
              <w:rPr>
                <w:rFonts w:asciiTheme="majorHAnsi" w:hAnsiTheme="majorHAnsi" w:cstheme="majorHAnsi"/>
                <w:bCs/>
                <w:i/>
                <w:iCs/>
                <w:sz w:val="18"/>
                <w:szCs w:val="18"/>
              </w:rPr>
              <w:t>p</w:t>
            </w:r>
            <w:r>
              <w:rPr>
                <w:rFonts w:asciiTheme="majorHAnsi" w:hAnsiTheme="majorHAnsi" w:cstheme="majorHAnsi"/>
                <w:bCs/>
                <w:sz w:val="18"/>
                <w:szCs w:val="18"/>
              </w:rPr>
              <w:t>=.02)</w:t>
            </w:r>
          </w:p>
        </w:tc>
      </w:tr>
      <w:tr w:rsidR="00BC6669" w:rsidRPr="00D45B2C" w14:paraId="7F9FAB86" w14:textId="77777777" w:rsidTr="00B05A51">
        <w:trPr>
          <w:trHeight w:val="1003"/>
        </w:trPr>
        <w:tc>
          <w:tcPr>
            <w:tcW w:w="1418" w:type="dxa"/>
            <w:shd w:val="clear" w:color="auto" w:fill="auto"/>
          </w:tcPr>
          <w:p w14:paraId="70C21762" w14:textId="50F49C6A" w:rsidR="00BC6669" w:rsidRDefault="00BC6669"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Dang et al. (2019)</w:t>
            </w:r>
          </w:p>
        </w:tc>
        <w:tc>
          <w:tcPr>
            <w:tcW w:w="2693" w:type="dxa"/>
            <w:shd w:val="clear" w:color="auto" w:fill="auto"/>
          </w:tcPr>
          <w:p w14:paraId="6A58A0C0" w14:textId="6C72C275" w:rsidR="00AB7E64" w:rsidRDefault="006D7033"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23,997</w:t>
            </w:r>
            <w:r w:rsidR="00544B62">
              <w:rPr>
                <w:rFonts w:asciiTheme="majorHAnsi" w:hAnsiTheme="majorHAnsi" w:cstheme="majorHAnsi"/>
                <w:bCs/>
                <w:sz w:val="18"/>
                <w:szCs w:val="18"/>
              </w:rPr>
              <w:t xml:space="preserve"> screening examinations</w:t>
            </w:r>
          </w:p>
          <w:p w14:paraId="11BBF899" w14:textId="7D4D2E0D" w:rsidR="00BC6669" w:rsidRDefault="00AB7E64"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w:t>
            </w:r>
            <w:r w:rsidR="006D7033">
              <w:rPr>
                <w:rFonts w:asciiTheme="majorHAnsi" w:hAnsiTheme="majorHAnsi" w:cstheme="majorHAnsi"/>
                <w:bCs/>
                <w:sz w:val="18"/>
                <w:szCs w:val="18"/>
              </w:rPr>
              <w:t xml:space="preserve"> 14,180 exams</w:t>
            </w:r>
            <w:r w:rsidR="0089791D">
              <w:rPr>
                <w:rFonts w:asciiTheme="majorHAnsi" w:hAnsiTheme="majorHAnsi" w:cstheme="majorHAnsi"/>
                <w:bCs/>
                <w:sz w:val="18"/>
                <w:szCs w:val="18"/>
              </w:rPr>
              <w:t xml:space="preserve"> (26 cancers)</w:t>
            </w:r>
          </w:p>
          <w:p w14:paraId="61081105" w14:textId="5A774C81" w:rsidR="00AB7E64" w:rsidRDefault="00AB7E64"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FFDM+DBT:</w:t>
            </w:r>
            <w:r w:rsidR="006D7033">
              <w:rPr>
                <w:rFonts w:asciiTheme="majorHAnsi" w:hAnsiTheme="majorHAnsi" w:cstheme="majorHAnsi"/>
                <w:bCs/>
                <w:sz w:val="18"/>
                <w:szCs w:val="18"/>
              </w:rPr>
              <w:t xml:space="preserve"> 9817 exams</w:t>
            </w:r>
            <w:r w:rsidR="0089791D">
              <w:rPr>
                <w:rFonts w:asciiTheme="majorHAnsi" w:hAnsiTheme="majorHAnsi" w:cstheme="majorHAnsi"/>
                <w:bCs/>
                <w:sz w:val="18"/>
                <w:szCs w:val="18"/>
              </w:rPr>
              <w:t xml:space="preserve"> (37 cancers)</w:t>
            </w:r>
          </w:p>
        </w:tc>
        <w:tc>
          <w:tcPr>
            <w:tcW w:w="2694" w:type="dxa"/>
            <w:shd w:val="clear" w:color="auto" w:fill="auto"/>
          </w:tcPr>
          <w:p w14:paraId="0D81E7ED" w14:textId="0E48B0C2" w:rsidR="00BC6669" w:rsidRDefault="00AB7E64" w:rsidP="006C6354">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Retrospective</w:t>
            </w:r>
            <w:r w:rsidR="0089791D">
              <w:rPr>
                <w:rFonts w:asciiTheme="majorHAnsi" w:hAnsiTheme="majorHAnsi" w:cstheme="majorHAnsi"/>
                <w:sz w:val="18"/>
                <w:szCs w:val="18"/>
              </w:rPr>
              <w:t xml:space="preserve"> matched cohort</w:t>
            </w:r>
            <w:r>
              <w:rPr>
                <w:rFonts w:asciiTheme="majorHAnsi" w:hAnsiTheme="majorHAnsi" w:cstheme="majorHAnsi"/>
                <w:sz w:val="18"/>
                <w:szCs w:val="18"/>
              </w:rPr>
              <w:t xml:space="preserve"> analysis of all breast screening exams at single site between October 2012 and September 2014</w:t>
            </w:r>
            <w:r w:rsidR="00544B62">
              <w:rPr>
                <w:rFonts w:asciiTheme="majorHAnsi" w:hAnsiTheme="majorHAnsi" w:cstheme="majorHAnsi"/>
                <w:sz w:val="18"/>
                <w:szCs w:val="18"/>
              </w:rPr>
              <w:t>, 24 readers</w:t>
            </w:r>
          </w:p>
        </w:tc>
        <w:tc>
          <w:tcPr>
            <w:tcW w:w="1849" w:type="dxa"/>
            <w:shd w:val="clear" w:color="auto" w:fill="auto"/>
          </w:tcPr>
          <w:p w14:paraId="4BAB3348" w14:textId="2B072B41" w:rsidR="00BC6669" w:rsidRPr="00F20FD7" w:rsidRDefault="00F20FD7"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3.7</w:t>
            </w:r>
          </w:p>
        </w:tc>
        <w:tc>
          <w:tcPr>
            <w:tcW w:w="1978" w:type="dxa"/>
            <w:shd w:val="clear" w:color="auto" w:fill="auto"/>
          </w:tcPr>
          <w:p w14:paraId="01DB363D" w14:textId="5E674766" w:rsidR="00BC6669" w:rsidRPr="00F20FD7" w:rsidRDefault="00F20FD7"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1.8</w:t>
            </w:r>
          </w:p>
        </w:tc>
        <w:tc>
          <w:tcPr>
            <w:tcW w:w="1559" w:type="dxa"/>
          </w:tcPr>
          <w:p w14:paraId="51BC76E9" w14:textId="778D8B55" w:rsidR="00BC6669" w:rsidRDefault="002C34C3"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2.8</w:t>
            </w:r>
          </w:p>
        </w:tc>
        <w:tc>
          <w:tcPr>
            <w:tcW w:w="1561" w:type="dxa"/>
          </w:tcPr>
          <w:p w14:paraId="462A9DB1" w14:textId="7177283A" w:rsidR="00BC6669" w:rsidRDefault="002C34C3" w:rsidP="006C6354">
            <w:pPr>
              <w:pStyle w:val="BodyText"/>
              <w:spacing w:before="0" w:after="0" w:line="240" w:lineRule="auto"/>
              <w:jc w:val="left"/>
              <w:rPr>
                <w:rStyle w:val="CommentReference"/>
              </w:rPr>
            </w:pPr>
            <w:r>
              <w:rPr>
                <w:rStyle w:val="CommentReference"/>
              </w:rPr>
              <w:t>1.3</w:t>
            </w:r>
          </w:p>
        </w:tc>
        <w:tc>
          <w:tcPr>
            <w:tcW w:w="1700" w:type="dxa"/>
            <w:shd w:val="clear" w:color="auto" w:fill="auto"/>
          </w:tcPr>
          <w:p w14:paraId="0D896FE4" w14:textId="3ED5E9AB" w:rsidR="002C34C3" w:rsidRPr="002C34C3" w:rsidRDefault="002C34C3" w:rsidP="006C6354">
            <w:pPr>
              <w:pStyle w:val="BodyText"/>
              <w:spacing w:before="0" w:after="0" w:line="240" w:lineRule="auto"/>
              <w:jc w:val="left"/>
              <w:rPr>
                <w:rFonts w:asciiTheme="majorHAnsi" w:hAnsiTheme="majorHAnsi" w:cstheme="majorHAnsi"/>
                <w:bCs/>
                <w:i/>
                <w:iCs/>
                <w:sz w:val="18"/>
                <w:szCs w:val="18"/>
              </w:rPr>
            </w:pPr>
            <w:r w:rsidRPr="002C34C3">
              <w:rPr>
                <w:rFonts w:asciiTheme="majorHAnsi" w:hAnsiTheme="majorHAnsi" w:cstheme="majorHAnsi"/>
                <w:bCs/>
                <w:i/>
                <w:iCs/>
                <w:sz w:val="18"/>
                <w:szCs w:val="18"/>
              </w:rPr>
              <w:t>Overall</w:t>
            </w:r>
          </w:p>
          <w:p w14:paraId="44A81CBE" w14:textId="66A254E1" w:rsidR="00BC6669" w:rsidRDefault="00F20FD7"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RR</w:t>
            </w:r>
            <w:r w:rsidR="00285D7E">
              <w:rPr>
                <w:rFonts w:asciiTheme="majorHAnsi" w:hAnsiTheme="majorHAnsi" w:cstheme="majorHAnsi"/>
                <w:bCs/>
                <w:sz w:val="18"/>
                <w:szCs w:val="18"/>
              </w:rPr>
              <w:t>=</w:t>
            </w:r>
            <w:r>
              <w:rPr>
                <w:rFonts w:asciiTheme="majorHAnsi" w:hAnsiTheme="majorHAnsi" w:cstheme="majorHAnsi"/>
                <w:bCs/>
                <w:sz w:val="18"/>
                <w:szCs w:val="18"/>
              </w:rPr>
              <w:t>2.1 (1.3</w:t>
            </w:r>
            <w:r w:rsidR="0034054F">
              <w:rPr>
                <w:rFonts w:asciiTheme="majorHAnsi" w:hAnsiTheme="majorHAnsi" w:cstheme="majorHAnsi"/>
                <w:bCs/>
                <w:sz w:val="18"/>
                <w:szCs w:val="18"/>
              </w:rPr>
              <w:t xml:space="preserve">, </w:t>
            </w:r>
            <w:r>
              <w:rPr>
                <w:rFonts w:asciiTheme="majorHAnsi" w:hAnsiTheme="majorHAnsi" w:cstheme="majorHAnsi"/>
                <w:bCs/>
                <w:sz w:val="18"/>
                <w:szCs w:val="18"/>
              </w:rPr>
              <w:t xml:space="preserve">3.5, </w:t>
            </w:r>
            <w:r>
              <w:rPr>
                <w:rFonts w:asciiTheme="majorHAnsi" w:hAnsiTheme="majorHAnsi" w:cstheme="majorHAnsi"/>
                <w:bCs/>
                <w:i/>
                <w:iCs/>
                <w:sz w:val="18"/>
                <w:szCs w:val="18"/>
              </w:rPr>
              <w:t>p</w:t>
            </w:r>
            <w:r>
              <w:rPr>
                <w:rFonts w:asciiTheme="majorHAnsi" w:hAnsiTheme="majorHAnsi" w:cstheme="majorHAnsi"/>
                <w:bCs/>
                <w:sz w:val="18"/>
                <w:szCs w:val="18"/>
              </w:rPr>
              <w:t>=.01)</w:t>
            </w:r>
          </w:p>
          <w:p w14:paraId="751C4B4A" w14:textId="77777777" w:rsidR="002C34C3" w:rsidRDefault="002C34C3" w:rsidP="006C6354">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w:t>
            </w:r>
          </w:p>
          <w:p w14:paraId="6BF05FFF" w14:textId="7E4ADD97" w:rsidR="002C34C3" w:rsidRPr="002C34C3" w:rsidRDefault="002C34C3" w:rsidP="006C635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RR</w:t>
            </w:r>
            <w:r w:rsidR="00285D7E">
              <w:rPr>
                <w:rFonts w:asciiTheme="majorHAnsi" w:hAnsiTheme="majorHAnsi" w:cstheme="majorHAnsi"/>
                <w:bCs/>
                <w:sz w:val="18"/>
                <w:szCs w:val="18"/>
              </w:rPr>
              <w:t>=</w:t>
            </w:r>
            <w:r>
              <w:rPr>
                <w:rFonts w:asciiTheme="majorHAnsi" w:hAnsiTheme="majorHAnsi" w:cstheme="majorHAnsi"/>
                <w:bCs/>
                <w:sz w:val="18"/>
                <w:szCs w:val="18"/>
              </w:rPr>
              <w:t>2.2 (1.2</w:t>
            </w:r>
            <w:r w:rsidR="0034054F">
              <w:rPr>
                <w:rFonts w:asciiTheme="majorHAnsi" w:hAnsiTheme="majorHAnsi" w:cstheme="majorHAnsi"/>
                <w:bCs/>
                <w:sz w:val="18"/>
                <w:szCs w:val="18"/>
              </w:rPr>
              <w:t xml:space="preserve">, </w:t>
            </w:r>
            <w:r>
              <w:rPr>
                <w:rFonts w:asciiTheme="majorHAnsi" w:hAnsiTheme="majorHAnsi" w:cstheme="majorHAnsi"/>
                <w:bCs/>
                <w:sz w:val="18"/>
                <w:szCs w:val="18"/>
              </w:rPr>
              <w:t xml:space="preserve">3.9, </w:t>
            </w:r>
            <w:r>
              <w:rPr>
                <w:rFonts w:asciiTheme="majorHAnsi" w:hAnsiTheme="majorHAnsi" w:cstheme="majorHAnsi"/>
                <w:bCs/>
                <w:i/>
                <w:iCs/>
                <w:sz w:val="18"/>
                <w:szCs w:val="18"/>
              </w:rPr>
              <w:t>p</w:t>
            </w:r>
            <w:r>
              <w:rPr>
                <w:rFonts w:asciiTheme="majorHAnsi" w:hAnsiTheme="majorHAnsi" w:cstheme="majorHAnsi"/>
                <w:bCs/>
                <w:sz w:val="18"/>
                <w:szCs w:val="18"/>
              </w:rPr>
              <w:t>=.01)</w:t>
            </w:r>
          </w:p>
        </w:tc>
      </w:tr>
      <w:tr w:rsidR="00B05A51" w:rsidRPr="00D45B2C" w14:paraId="554DAD2C" w14:textId="77777777" w:rsidTr="00B05A51">
        <w:trPr>
          <w:trHeight w:val="1003"/>
        </w:trPr>
        <w:tc>
          <w:tcPr>
            <w:tcW w:w="1418" w:type="dxa"/>
            <w:shd w:val="clear" w:color="auto" w:fill="auto"/>
          </w:tcPr>
          <w:p w14:paraId="4FAC9F85" w14:textId="41485C48" w:rsidR="00B05A51" w:rsidRDefault="00B05A51"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Fuiji et al. (2019)</w:t>
            </w:r>
          </w:p>
        </w:tc>
        <w:tc>
          <w:tcPr>
            <w:tcW w:w="2693" w:type="dxa"/>
            <w:shd w:val="clear" w:color="auto" w:fill="auto"/>
          </w:tcPr>
          <w:p w14:paraId="74389E25" w14:textId="488D0262" w:rsidR="00134AA4" w:rsidRDefault="00134AA4"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Participants: 66,003 women</w:t>
            </w:r>
          </w:p>
          <w:p w14:paraId="1D040592" w14:textId="05284055" w:rsidR="00B05A51" w:rsidRDefault="00134AA4"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DBT: 86,349* </w:t>
            </w:r>
          </w:p>
          <w:p w14:paraId="54465C18" w14:textId="4BE0C3A0" w:rsidR="00134AA4" w:rsidRDefault="00134AA4"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 alone: 97,378</w:t>
            </w:r>
          </w:p>
          <w:p w14:paraId="2C709280" w14:textId="081CDD8C" w:rsidR="00134AA4" w:rsidRPr="00134AA4" w:rsidRDefault="00134AA4" w:rsidP="00B05A51">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 it is not clear which DBT imaging protocols were used</w:t>
            </w:r>
          </w:p>
        </w:tc>
        <w:tc>
          <w:tcPr>
            <w:tcW w:w="2694" w:type="dxa"/>
            <w:shd w:val="clear" w:color="auto" w:fill="auto"/>
          </w:tcPr>
          <w:p w14:paraId="75B10287" w14:textId="669BE189" w:rsidR="00B05A51" w:rsidRDefault="00134AA4" w:rsidP="00B05A51">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Retrospective observational study set in the Vermont BreastScreen program using Hologic Selenia Dimensions units with 49 readers</w:t>
            </w:r>
          </w:p>
        </w:tc>
        <w:tc>
          <w:tcPr>
            <w:tcW w:w="1849" w:type="dxa"/>
            <w:shd w:val="clear" w:color="auto" w:fill="auto"/>
          </w:tcPr>
          <w:p w14:paraId="22BAE091" w14:textId="596D2239" w:rsidR="00B05A51" w:rsidRPr="001E716E" w:rsidRDefault="00134AA4"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5.0</w:t>
            </w:r>
          </w:p>
        </w:tc>
        <w:tc>
          <w:tcPr>
            <w:tcW w:w="1978" w:type="dxa"/>
            <w:shd w:val="clear" w:color="auto" w:fill="auto"/>
          </w:tcPr>
          <w:p w14:paraId="7645E753" w14:textId="2C85105F" w:rsidR="00B05A51" w:rsidRPr="001E716E" w:rsidRDefault="00134AA4"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5.6</w:t>
            </w:r>
          </w:p>
        </w:tc>
        <w:tc>
          <w:tcPr>
            <w:tcW w:w="1559" w:type="dxa"/>
          </w:tcPr>
          <w:p w14:paraId="72C85462" w14:textId="628C2AA4" w:rsidR="00B05A51" w:rsidRDefault="00134AA4" w:rsidP="00B05A51">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No data</w:t>
            </w:r>
          </w:p>
        </w:tc>
        <w:tc>
          <w:tcPr>
            <w:tcW w:w="1561" w:type="dxa"/>
          </w:tcPr>
          <w:p w14:paraId="0A5A2FE9" w14:textId="7DE2B355" w:rsidR="00B05A51" w:rsidRPr="008D7694" w:rsidRDefault="00134AA4" w:rsidP="00B05A51">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No data</w:t>
            </w:r>
          </w:p>
        </w:tc>
        <w:tc>
          <w:tcPr>
            <w:tcW w:w="1700" w:type="dxa"/>
            <w:shd w:val="clear" w:color="auto" w:fill="auto"/>
          </w:tcPr>
          <w:p w14:paraId="40ECBE4F" w14:textId="4C95F8C2" w:rsidR="00B05A51" w:rsidRPr="001E716E" w:rsidRDefault="00134AA4" w:rsidP="00B05A5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Adjusted OR=0.94 (0.78, 1.14)</w:t>
            </w:r>
          </w:p>
        </w:tc>
      </w:tr>
      <w:tr w:rsidR="00B05A51" w:rsidRPr="00E44152" w14:paraId="7FF8280D" w14:textId="77777777" w:rsidTr="00B05A51">
        <w:trPr>
          <w:trHeight w:val="1003"/>
        </w:trPr>
        <w:tc>
          <w:tcPr>
            <w:tcW w:w="1418" w:type="dxa"/>
            <w:shd w:val="clear" w:color="auto" w:fill="77B800" w:themeFill="background2"/>
          </w:tcPr>
          <w:p w14:paraId="6D9336B4" w14:textId="77777777" w:rsidR="00B05A51" w:rsidRDefault="00B05A51" w:rsidP="00B05A51">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b/>
                <w:color w:val="FFFFFF" w:themeColor="background1"/>
                <w:sz w:val="18"/>
                <w:szCs w:val="18"/>
              </w:rPr>
              <w:lastRenderedPageBreak/>
              <w:t>Study</w:t>
            </w:r>
          </w:p>
          <w:p w14:paraId="43A69220" w14:textId="77777777" w:rsidR="00B05A51" w:rsidRPr="00C22ADE" w:rsidRDefault="00B05A51" w:rsidP="00B05A51">
            <w:pPr>
              <w:jc w:val="center"/>
            </w:pPr>
          </w:p>
        </w:tc>
        <w:tc>
          <w:tcPr>
            <w:tcW w:w="2693" w:type="dxa"/>
            <w:shd w:val="clear" w:color="auto" w:fill="77B800" w:themeFill="background2"/>
          </w:tcPr>
          <w:p w14:paraId="68409D7B" w14:textId="77777777" w:rsidR="00B05A51" w:rsidRPr="00C75EDC"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Sample</w:t>
            </w:r>
          </w:p>
        </w:tc>
        <w:tc>
          <w:tcPr>
            <w:tcW w:w="2694" w:type="dxa"/>
            <w:shd w:val="clear" w:color="auto" w:fill="77B800" w:themeFill="background2"/>
          </w:tcPr>
          <w:p w14:paraId="11E658F2" w14:textId="77777777" w:rsidR="00B05A51" w:rsidRPr="00C75EDC"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Study type</w:t>
            </w:r>
          </w:p>
        </w:tc>
        <w:tc>
          <w:tcPr>
            <w:tcW w:w="1849" w:type="dxa"/>
            <w:shd w:val="clear" w:color="auto" w:fill="77B800" w:themeFill="background2"/>
          </w:tcPr>
          <w:p w14:paraId="4CEEE68C" w14:textId="77777777" w:rsidR="00B05A51" w:rsidRPr="00E44152"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FFDM+DBT</w:t>
            </w:r>
          </w:p>
          <w:p w14:paraId="040F7044" w14:textId="77777777" w:rsidR="00B05A51" w:rsidRPr="00E44152" w:rsidRDefault="00B05A51" w:rsidP="00B05A51">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978" w:type="dxa"/>
            <w:shd w:val="clear" w:color="auto" w:fill="77B800" w:themeFill="background2"/>
          </w:tcPr>
          <w:p w14:paraId="5F52874A" w14:textId="77777777" w:rsidR="00B05A51" w:rsidRPr="00E44152"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7C1D10A0" w14:textId="77777777" w:rsidR="00B05A51" w:rsidRPr="00E44152" w:rsidRDefault="00B05A51" w:rsidP="00B05A51">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559" w:type="dxa"/>
            <w:shd w:val="clear" w:color="auto" w:fill="77B800" w:themeFill="background2"/>
          </w:tcPr>
          <w:p w14:paraId="0213B5CD" w14:textId="77777777" w:rsidR="00B05A51"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FFDM+DBT</w:t>
            </w:r>
          </w:p>
          <w:p w14:paraId="49322DB3" w14:textId="77777777" w:rsidR="00B05A51" w:rsidRPr="00E44152" w:rsidRDefault="00B05A51" w:rsidP="00B05A51">
            <w:pPr>
              <w:pStyle w:val="BodyText"/>
              <w:spacing w:before="0" w:after="0" w:line="240" w:lineRule="auto"/>
              <w:jc w:val="center"/>
              <w:rPr>
                <w:rFonts w:asciiTheme="majorHAnsi" w:hAnsiTheme="majorHAnsi" w:cstheme="majorHAnsi"/>
                <w:color w:val="FFFFFF" w:themeColor="background1"/>
                <w:sz w:val="16"/>
                <w:szCs w:val="16"/>
              </w:rPr>
            </w:pPr>
            <w:r w:rsidRPr="00E44152">
              <w:rPr>
                <w:rFonts w:asciiTheme="majorHAnsi" w:hAnsiTheme="majorHAnsi" w:cstheme="majorHAnsi"/>
                <w:color w:val="FFFFFF" w:themeColor="background1"/>
                <w:sz w:val="16"/>
                <w:szCs w:val="16"/>
              </w:rPr>
              <w:t>Invasive CDR per 1000 screening examinations</w:t>
            </w:r>
          </w:p>
          <w:p w14:paraId="250FF6A9" w14:textId="77777777" w:rsidR="00B05A51"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color w:val="FFFFFF" w:themeColor="background1"/>
                <w:sz w:val="16"/>
                <w:szCs w:val="16"/>
              </w:rPr>
              <w:t>(95%CI; p-value)</w:t>
            </w:r>
          </w:p>
        </w:tc>
        <w:tc>
          <w:tcPr>
            <w:tcW w:w="1561" w:type="dxa"/>
            <w:shd w:val="clear" w:color="auto" w:fill="77B800" w:themeFill="background2"/>
          </w:tcPr>
          <w:p w14:paraId="70767893" w14:textId="77777777" w:rsidR="00B05A51" w:rsidRPr="00E44152"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0BFC8EAD" w14:textId="77777777" w:rsidR="00B05A51" w:rsidRPr="00E44152" w:rsidRDefault="00B05A51" w:rsidP="00B05A51">
            <w:pPr>
              <w:pStyle w:val="BodyText"/>
              <w:spacing w:before="0" w:after="0" w:line="240" w:lineRule="auto"/>
              <w:jc w:val="center"/>
              <w:rPr>
                <w:rFonts w:asciiTheme="majorHAnsi" w:hAnsiTheme="majorHAnsi" w:cstheme="majorHAnsi"/>
                <w:color w:val="FFFFFF" w:themeColor="background1"/>
                <w:sz w:val="16"/>
                <w:szCs w:val="16"/>
              </w:rPr>
            </w:pPr>
            <w:r w:rsidRPr="00E44152">
              <w:rPr>
                <w:rFonts w:asciiTheme="majorHAnsi" w:hAnsiTheme="majorHAnsi" w:cstheme="majorHAnsi"/>
                <w:color w:val="FFFFFF" w:themeColor="background1"/>
                <w:sz w:val="16"/>
                <w:szCs w:val="16"/>
              </w:rPr>
              <w:t>Invasive CDR per 1000 screening examinations</w:t>
            </w:r>
          </w:p>
          <w:p w14:paraId="72FA2C48" w14:textId="77777777" w:rsidR="00B05A51"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color w:val="FFFFFF" w:themeColor="background1"/>
                <w:sz w:val="16"/>
                <w:szCs w:val="16"/>
              </w:rPr>
              <w:t>(95%CI; p=value)</w:t>
            </w:r>
          </w:p>
        </w:tc>
        <w:tc>
          <w:tcPr>
            <w:tcW w:w="1700" w:type="dxa"/>
            <w:shd w:val="clear" w:color="auto" w:fill="77B800" w:themeFill="background2"/>
          </w:tcPr>
          <w:p w14:paraId="0281B128" w14:textId="77777777" w:rsidR="00B05A51" w:rsidRDefault="00B05A51" w:rsidP="00B05A51">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 xml:space="preserve">Other data </w:t>
            </w:r>
          </w:p>
          <w:p w14:paraId="44760DB1" w14:textId="77777777" w:rsidR="00B05A51" w:rsidRPr="00C77B0A" w:rsidRDefault="00B05A51" w:rsidP="00B05A51">
            <w:pPr>
              <w:pStyle w:val="BodyText"/>
              <w:spacing w:before="0" w:after="0" w:line="240" w:lineRule="auto"/>
              <w:jc w:val="center"/>
              <w:rPr>
                <w:rFonts w:asciiTheme="majorHAnsi" w:hAnsiTheme="majorHAnsi" w:cstheme="majorHAnsi"/>
                <w:bCs/>
                <w:color w:val="FFFFFF" w:themeColor="background1"/>
                <w:sz w:val="18"/>
                <w:szCs w:val="18"/>
              </w:rPr>
            </w:pPr>
            <w:r w:rsidRPr="00C77B0A">
              <w:rPr>
                <w:rFonts w:asciiTheme="majorHAnsi" w:hAnsiTheme="majorHAnsi" w:cstheme="majorHAnsi"/>
                <w:bCs/>
                <w:color w:val="FFFFFF" w:themeColor="background1"/>
                <w:sz w:val="18"/>
                <w:szCs w:val="18"/>
              </w:rPr>
              <w:t>(95%CI)</w:t>
            </w:r>
          </w:p>
        </w:tc>
      </w:tr>
      <w:tr w:rsidR="00161D6B" w:rsidRPr="00D45B2C" w14:paraId="0629BEC9" w14:textId="77777777" w:rsidTr="00B05A51">
        <w:trPr>
          <w:trHeight w:val="1003"/>
        </w:trPr>
        <w:tc>
          <w:tcPr>
            <w:tcW w:w="1418" w:type="dxa"/>
            <w:shd w:val="clear" w:color="auto" w:fill="auto"/>
          </w:tcPr>
          <w:p w14:paraId="43BE509E" w14:textId="310402F8" w:rsidR="00161D6B" w:rsidRPr="00D45B2C" w:rsidRDefault="00161D6B"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Rose </w:t>
            </w:r>
            <w:r w:rsidR="004240AA">
              <w:rPr>
                <w:rFonts w:asciiTheme="majorHAnsi" w:hAnsiTheme="majorHAnsi" w:cstheme="majorHAnsi"/>
                <w:bCs/>
                <w:sz w:val="18"/>
                <w:szCs w:val="18"/>
              </w:rPr>
              <w:t>&amp; Shisler</w:t>
            </w:r>
            <w:r>
              <w:rPr>
                <w:rFonts w:asciiTheme="majorHAnsi" w:hAnsiTheme="majorHAnsi" w:cstheme="majorHAnsi"/>
                <w:bCs/>
                <w:sz w:val="18"/>
                <w:szCs w:val="18"/>
              </w:rPr>
              <w:t xml:space="preserve"> (2018)</w:t>
            </w:r>
          </w:p>
        </w:tc>
        <w:tc>
          <w:tcPr>
            <w:tcW w:w="2693" w:type="dxa"/>
            <w:shd w:val="clear" w:color="auto" w:fill="auto"/>
          </w:tcPr>
          <w:p w14:paraId="21A66FB6" w14:textId="293BBE52" w:rsidR="00161D6B" w:rsidRDefault="0091756D"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59,921 screening examinations of women </w:t>
            </w:r>
            <w:r w:rsidR="003240AF">
              <w:rPr>
                <w:rFonts w:asciiTheme="majorHAnsi" w:hAnsiTheme="majorHAnsi" w:cstheme="majorHAnsi"/>
                <w:bCs/>
                <w:sz w:val="18"/>
                <w:szCs w:val="18"/>
              </w:rPr>
              <w:t>aged under 50</w:t>
            </w:r>
            <w:r w:rsidR="0060277B">
              <w:rPr>
                <w:rFonts w:asciiTheme="majorHAnsi" w:hAnsiTheme="majorHAnsi" w:cstheme="majorHAnsi"/>
                <w:bCs/>
                <w:sz w:val="18"/>
                <w:szCs w:val="18"/>
              </w:rPr>
              <w:t>y</w:t>
            </w:r>
            <w:r w:rsidR="003240AF">
              <w:rPr>
                <w:rFonts w:asciiTheme="majorHAnsi" w:hAnsiTheme="majorHAnsi" w:cstheme="majorHAnsi"/>
                <w:bCs/>
                <w:sz w:val="18"/>
                <w:szCs w:val="18"/>
              </w:rPr>
              <w:t xml:space="preserve"> (no lower age range provided</w:t>
            </w:r>
            <w:r>
              <w:rPr>
                <w:rFonts w:asciiTheme="majorHAnsi" w:hAnsiTheme="majorHAnsi" w:cstheme="majorHAnsi"/>
                <w:bCs/>
                <w:sz w:val="18"/>
                <w:szCs w:val="18"/>
              </w:rPr>
              <w:t>, no stratification</w:t>
            </w:r>
            <w:r w:rsidR="003240AF">
              <w:rPr>
                <w:rFonts w:asciiTheme="majorHAnsi" w:hAnsiTheme="majorHAnsi" w:cstheme="majorHAnsi"/>
                <w:bCs/>
                <w:sz w:val="18"/>
                <w:szCs w:val="18"/>
              </w:rPr>
              <w:t>)</w:t>
            </w:r>
            <w:r>
              <w:rPr>
                <w:rFonts w:asciiTheme="majorHAnsi" w:hAnsiTheme="majorHAnsi" w:cstheme="majorHAnsi"/>
                <w:bCs/>
                <w:sz w:val="18"/>
                <w:szCs w:val="18"/>
              </w:rPr>
              <w:t>, estimate of 10 percent attending for prevalent screening examination</w:t>
            </w:r>
            <w:r w:rsidR="004240AA">
              <w:rPr>
                <w:rFonts w:asciiTheme="majorHAnsi" w:hAnsiTheme="majorHAnsi" w:cstheme="majorHAnsi"/>
                <w:bCs/>
                <w:sz w:val="18"/>
                <w:szCs w:val="18"/>
              </w:rPr>
              <w:t>:</w:t>
            </w:r>
          </w:p>
          <w:p w14:paraId="16C0CEE0" w14:textId="2F935863" w:rsidR="004240AA" w:rsidRDefault="004240AA"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 41,542 examinations</w:t>
            </w:r>
          </w:p>
          <w:p w14:paraId="772793CA" w14:textId="08084EEF" w:rsidR="004240AA" w:rsidRDefault="004240AA"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FFDM+DBT: 18,379 examinations</w:t>
            </w:r>
          </w:p>
        </w:tc>
        <w:tc>
          <w:tcPr>
            <w:tcW w:w="2694" w:type="dxa"/>
            <w:shd w:val="clear" w:color="auto" w:fill="auto"/>
          </w:tcPr>
          <w:p w14:paraId="445D96C8" w14:textId="0332CE2C" w:rsidR="00161D6B" w:rsidRPr="00D45B2C" w:rsidRDefault="003240AF" w:rsidP="00161D6B">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Multi-site (N=31) retrospective study set in community mammography practices imaged on Hologic Selenia Dimensions units</w:t>
            </w:r>
            <w:r w:rsidR="008D5AEC">
              <w:rPr>
                <w:rFonts w:asciiTheme="majorHAnsi" w:hAnsiTheme="majorHAnsi" w:cstheme="majorHAnsi"/>
                <w:sz w:val="18"/>
                <w:szCs w:val="18"/>
              </w:rPr>
              <w:t xml:space="preserve"> with independent double reading (n=7 radiologists)</w:t>
            </w:r>
          </w:p>
        </w:tc>
        <w:tc>
          <w:tcPr>
            <w:tcW w:w="1849" w:type="dxa"/>
            <w:shd w:val="clear" w:color="auto" w:fill="auto"/>
          </w:tcPr>
          <w:p w14:paraId="71F22BCD" w14:textId="77777777" w:rsidR="00161D6B" w:rsidRDefault="003240AF"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All women</w:t>
            </w:r>
          </w:p>
          <w:p w14:paraId="4CF09CF5" w14:textId="5C8AA68D" w:rsidR="003240AF" w:rsidRPr="003240AF" w:rsidRDefault="003240AF"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2.6</w:t>
            </w:r>
          </w:p>
          <w:p w14:paraId="3AAAB04C" w14:textId="77777777" w:rsidR="0091756D" w:rsidRDefault="0091756D" w:rsidP="0091756D">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Women with dense breasts (ACR heterogeneously and extremely dense)</w:t>
            </w:r>
          </w:p>
          <w:p w14:paraId="556E4DCC" w14:textId="271BD3C3" w:rsidR="003240AF" w:rsidRPr="003240AF" w:rsidRDefault="008D7694"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3.5</w:t>
            </w:r>
          </w:p>
        </w:tc>
        <w:tc>
          <w:tcPr>
            <w:tcW w:w="1978" w:type="dxa"/>
            <w:shd w:val="clear" w:color="auto" w:fill="auto"/>
          </w:tcPr>
          <w:p w14:paraId="494492CB" w14:textId="77777777" w:rsidR="003240AF" w:rsidRDefault="003240AF" w:rsidP="003240AF">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All women</w:t>
            </w:r>
          </w:p>
          <w:p w14:paraId="66C05341" w14:textId="75E99AFA" w:rsidR="003240AF" w:rsidRPr="003240AF" w:rsidRDefault="003240AF" w:rsidP="003240AF">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1.9</w:t>
            </w:r>
          </w:p>
          <w:p w14:paraId="6031CE21" w14:textId="01D6232C" w:rsidR="00161D6B" w:rsidRDefault="003240AF" w:rsidP="003240AF">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 xml:space="preserve">Women with dense breasts </w:t>
            </w:r>
            <w:r w:rsidR="0091756D">
              <w:rPr>
                <w:rFonts w:asciiTheme="majorHAnsi" w:hAnsiTheme="majorHAnsi" w:cstheme="majorHAnsi"/>
                <w:bCs/>
                <w:i/>
                <w:iCs/>
                <w:sz w:val="18"/>
                <w:szCs w:val="18"/>
              </w:rPr>
              <w:t>(ACR heterogeneously and extremely dense)</w:t>
            </w:r>
          </w:p>
          <w:p w14:paraId="03AB6E78" w14:textId="0F100862" w:rsidR="008D7694" w:rsidRPr="008D7694" w:rsidRDefault="008D7694" w:rsidP="003240AF">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2.1 </w:t>
            </w:r>
          </w:p>
        </w:tc>
        <w:tc>
          <w:tcPr>
            <w:tcW w:w="1559" w:type="dxa"/>
          </w:tcPr>
          <w:p w14:paraId="62B0FDA1" w14:textId="77777777" w:rsidR="00161D6B" w:rsidRDefault="00631B61" w:rsidP="00161D6B">
            <w:pPr>
              <w:pStyle w:val="BodyText"/>
              <w:spacing w:before="0" w:after="0" w:line="240" w:lineRule="auto"/>
              <w:jc w:val="left"/>
              <w:rPr>
                <w:rFonts w:asciiTheme="majorHAnsi" w:hAnsiTheme="majorHAnsi" w:cstheme="majorHAnsi"/>
                <w:bCs/>
                <w:i/>
                <w:iCs/>
                <w:sz w:val="18"/>
                <w:szCs w:val="18"/>
              </w:rPr>
            </w:pPr>
            <w:r w:rsidRPr="00631B61">
              <w:rPr>
                <w:rFonts w:asciiTheme="majorHAnsi" w:hAnsiTheme="majorHAnsi" w:cstheme="majorHAnsi"/>
                <w:bCs/>
                <w:i/>
                <w:iCs/>
                <w:sz w:val="18"/>
                <w:szCs w:val="18"/>
              </w:rPr>
              <w:t>All cancers</w:t>
            </w:r>
          </w:p>
          <w:p w14:paraId="1ADE4374" w14:textId="65124234" w:rsidR="00631B61" w:rsidRDefault="00631B61"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49 cancers</w:t>
            </w:r>
          </w:p>
          <w:p w14:paraId="6CDDFEA9" w14:textId="77777777" w:rsidR="00631B61" w:rsidRDefault="00631B61" w:rsidP="00161D6B">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 cancers</w:t>
            </w:r>
          </w:p>
          <w:p w14:paraId="03071781" w14:textId="0BC6E7B9" w:rsidR="00631B61" w:rsidRDefault="00631B61"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33 cancers</w:t>
            </w:r>
          </w:p>
          <w:p w14:paraId="7F2E6EBA" w14:textId="77777777" w:rsidR="00631B61" w:rsidRPr="00631B61" w:rsidRDefault="00631B61" w:rsidP="00161D6B">
            <w:pPr>
              <w:pStyle w:val="BodyText"/>
              <w:spacing w:before="0" w:after="0" w:line="240" w:lineRule="auto"/>
              <w:jc w:val="left"/>
              <w:rPr>
                <w:rFonts w:asciiTheme="majorHAnsi" w:hAnsiTheme="majorHAnsi" w:cstheme="majorHAnsi"/>
                <w:bCs/>
                <w:i/>
                <w:iCs/>
                <w:sz w:val="18"/>
                <w:szCs w:val="18"/>
              </w:rPr>
            </w:pPr>
            <w:r w:rsidRPr="00631B61">
              <w:rPr>
                <w:rFonts w:asciiTheme="majorHAnsi" w:hAnsiTheme="majorHAnsi" w:cstheme="majorHAnsi"/>
                <w:bCs/>
                <w:i/>
                <w:iCs/>
                <w:sz w:val="18"/>
                <w:szCs w:val="18"/>
              </w:rPr>
              <w:t>In situ cancers</w:t>
            </w:r>
          </w:p>
          <w:p w14:paraId="762DB9AA" w14:textId="47AE0A4F" w:rsidR="00631B61" w:rsidRPr="00631B61" w:rsidRDefault="00631B61" w:rsidP="00161D6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16</w:t>
            </w:r>
          </w:p>
        </w:tc>
        <w:tc>
          <w:tcPr>
            <w:tcW w:w="1561" w:type="dxa"/>
          </w:tcPr>
          <w:p w14:paraId="503A8751" w14:textId="77777777" w:rsidR="00631B61" w:rsidRDefault="00631B61" w:rsidP="00631B61">
            <w:pPr>
              <w:pStyle w:val="BodyText"/>
              <w:spacing w:before="0" w:after="0" w:line="240" w:lineRule="auto"/>
              <w:jc w:val="left"/>
              <w:rPr>
                <w:rFonts w:asciiTheme="majorHAnsi" w:hAnsiTheme="majorHAnsi" w:cstheme="majorHAnsi"/>
                <w:bCs/>
                <w:i/>
                <w:iCs/>
                <w:sz w:val="18"/>
                <w:szCs w:val="18"/>
              </w:rPr>
            </w:pPr>
            <w:r w:rsidRPr="00631B61">
              <w:rPr>
                <w:rFonts w:asciiTheme="majorHAnsi" w:hAnsiTheme="majorHAnsi" w:cstheme="majorHAnsi"/>
                <w:bCs/>
                <w:i/>
                <w:iCs/>
                <w:sz w:val="18"/>
                <w:szCs w:val="18"/>
              </w:rPr>
              <w:t>All cancers</w:t>
            </w:r>
          </w:p>
          <w:p w14:paraId="7066130D" w14:textId="77777777" w:rsidR="00631B61" w:rsidRDefault="00631B61" w:rsidP="00631B6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77 cancers</w:t>
            </w:r>
          </w:p>
          <w:p w14:paraId="16F5D7C1" w14:textId="77777777" w:rsidR="00631B61" w:rsidRDefault="00631B61" w:rsidP="00631B61">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Invasive cancers</w:t>
            </w:r>
          </w:p>
          <w:p w14:paraId="7062CEAB" w14:textId="77777777" w:rsidR="00631B61" w:rsidRDefault="00631B61" w:rsidP="00631B6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50 cancers</w:t>
            </w:r>
          </w:p>
          <w:p w14:paraId="199F61DF" w14:textId="77777777" w:rsidR="00631B61" w:rsidRPr="00631B61" w:rsidRDefault="00631B61" w:rsidP="00631B61">
            <w:pPr>
              <w:pStyle w:val="BodyText"/>
              <w:spacing w:before="0" w:after="0" w:line="240" w:lineRule="auto"/>
              <w:jc w:val="left"/>
              <w:rPr>
                <w:rFonts w:asciiTheme="majorHAnsi" w:hAnsiTheme="majorHAnsi" w:cstheme="majorHAnsi"/>
                <w:bCs/>
                <w:i/>
                <w:iCs/>
                <w:sz w:val="18"/>
                <w:szCs w:val="18"/>
              </w:rPr>
            </w:pPr>
            <w:r w:rsidRPr="00631B61">
              <w:rPr>
                <w:rFonts w:asciiTheme="majorHAnsi" w:hAnsiTheme="majorHAnsi" w:cstheme="majorHAnsi"/>
                <w:bCs/>
                <w:i/>
                <w:iCs/>
                <w:sz w:val="18"/>
                <w:szCs w:val="18"/>
              </w:rPr>
              <w:t>In situ cancers</w:t>
            </w:r>
          </w:p>
          <w:p w14:paraId="2F6FF8B3" w14:textId="127A6348" w:rsidR="00161D6B" w:rsidRPr="008D7694" w:rsidRDefault="00631B61" w:rsidP="00631B61">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27</w:t>
            </w:r>
          </w:p>
        </w:tc>
        <w:tc>
          <w:tcPr>
            <w:tcW w:w="1700" w:type="dxa"/>
            <w:shd w:val="clear" w:color="auto" w:fill="auto"/>
          </w:tcPr>
          <w:p w14:paraId="0797F7B4" w14:textId="77777777" w:rsidR="008D7694" w:rsidRDefault="008D7694" w:rsidP="008D7694">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Incremental difference – all</w:t>
            </w:r>
          </w:p>
          <w:p w14:paraId="6C065DE6" w14:textId="77368633" w:rsidR="008D7694" w:rsidRPr="008D7694" w:rsidRDefault="008D7694" w:rsidP="008D7694">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0.8 (-0.03</w:t>
            </w:r>
            <w:r w:rsidR="0034054F">
              <w:rPr>
                <w:rFonts w:asciiTheme="majorHAnsi" w:hAnsiTheme="majorHAnsi" w:cstheme="majorHAnsi"/>
                <w:bCs/>
                <w:sz w:val="18"/>
                <w:szCs w:val="18"/>
              </w:rPr>
              <w:t xml:space="preserve">, </w:t>
            </w:r>
            <w:r>
              <w:rPr>
                <w:rFonts w:asciiTheme="majorHAnsi" w:hAnsiTheme="majorHAnsi" w:cstheme="majorHAnsi"/>
                <w:bCs/>
                <w:sz w:val="18"/>
                <w:szCs w:val="18"/>
              </w:rPr>
              <w:t xml:space="preserve">1.6, </w:t>
            </w:r>
            <w:r>
              <w:rPr>
                <w:rFonts w:asciiTheme="majorHAnsi" w:hAnsiTheme="majorHAnsi" w:cstheme="majorHAnsi"/>
                <w:bCs/>
                <w:i/>
                <w:iCs/>
                <w:sz w:val="18"/>
                <w:szCs w:val="18"/>
              </w:rPr>
              <w:t>p</w:t>
            </w:r>
            <w:r>
              <w:rPr>
                <w:rFonts w:asciiTheme="majorHAnsi" w:hAnsiTheme="majorHAnsi" w:cstheme="majorHAnsi"/>
                <w:bCs/>
                <w:sz w:val="18"/>
                <w:szCs w:val="18"/>
              </w:rPr>
              <w:t>=.06)</w:t>
            </w:r>
          </w:p>
          <w:p w14:paraId="4B4D3285" w14:textId="494E6929" w:rsidR="008D7694" w:rsidRDefault="008D7694" w:rsidP="008D7694">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i/>
                <w:iCs/>
                <w:sz w:val="18"/>
                <w:szCs w:val="18"/>
              </w:rPr>
              <w:t xml:space="preserve">Incremental difference </w:t>
            </w:r>
            <w:r w:rsidR="0091756D">
              <w:rPr>
                <w:rFonts w:asciiTheme="majorHAnsi" w:hAnsiTheme="majorHAnsi" w:cstheme="majorHAnsi"/>
                <w:bCs/>
                <w:i/>
                <w:iCs/>
                <w:sz w:val="18"/>
                <w:szCs w:val="18"/>
              </w:rPr>
              <w:t xml:space="preserve">density </w:t>
            </w:r>
          </w:p>
          <w:p w14:paraId="62B99F86" w14:textId="53A40582" w:rsidR="00161D6B" w:rsidRDefault="008D7694" w:rsidP="008D7694">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sz w:val="18"/>
                <w:szCs w:val="18"/>
              </w:rPr>
              <w:t>1.3 (0.1</w:t>
            </w:r>
            <w:r w:rsidR="0034054F">
              <w:rPr>
                <w:rFonts w:asciiTheme="majorHAnsi" w:hAnsiTheme="majorHAnsi" w:cstheme="majorHAnsi"/>
                <w:bCs/>
                <w:sz w:val="18"/>
                <w:szCs w:val="18"/>
              </w:rPr>
              <w:t xml:space="preserve">, </w:t>
            </w:r>
            <w:r>
              <w:rPr>
                <w:rFonts w:asciiTheme="majorHAnsi" w:hAnsiTheme="majorHAnsi" w:cstheme="majorHAnsi"/>
                <w:bCs/>
                <w:sz w:val="18"/>
                <w:szCs w:val="18"/>
              </w:rPr>
              <w:t xml:space="preserve">2.5, </w:t>
            </w:r>
            <w:r>
              <w:rPr>
                <w:rFonts w:asciiTheme="majorHAnsi" w:hAnsiTheme="majorHAnsi" w:cstheme="majorHAnsi"/>
                <w:bCs/>
                <w:i/>
                <w:iCs/>
                <w:sz w:val="18"/>
                <w:szCs w:val="18"/>
              </w:rPr>
              <w:t>p=</w:t>
            </w:r>
            <w:r>
              <w:rPr>
                <w:rFonts w:asciiTheme="majorHAnsi" w:hAnsiTheme="majorHAnsi" w:cstheme="majorHAnsi"/>
                <w:bCs/>
                <w:sz w:val="18"/>
                <w:szCs w:val="18"/>
              </w:rPr>
              <w:t>.03)</w:t>
            </w:r>
          </w:p>
        </w:tc>
      </w:tr>
    </w:tbl>
    <w:p w14:paraId="2D103A23" w14:textId="77777777" w:rsidR="00B05A51" w:rsidRDefault="00B05A51" w:rsidP="00C5238A">
      <w:pPr>
        <w:pStyle w:val="Caption"/>
      </w:pPr>
    </w:p>
    <w:p w14:paraId="0A7123AE" w14:textId="0D5911E5" w:rsidR="00C5238A" w:rsidRDefault="00C5238A" w:rsidP="00C5238A">
      <w:pPr>
        <w:pStyle w:val="Caption"/>
      </w:pPr>
      <w:r>
        <w:t xml:space="preserve">Table </w:t>
      </w:r>
      <w:r w:rsidR="00EC105D">
        <w:t>9c</w:t>
      </w:r>
      <w:r>
        <w:t xml:space="preserve">: </w:t>
      </w:r>
      <w:r w:rsidR="00D23433">
        <w:t>DBT</w:t>
      </w:r>
      <w:r w:rsidR="007A4772">
        <w:rPr>
          <w:vertAlign w:val="subscript"/>
        </w:rPr>
        <w:t>MLO</w:t>
      </w:r>
      <w:r w:rsidR="00D23433">
        <w:t xml:space="preserve"> </w:t>
      </w:r>
      <w:r>
        <w:t xml:space="preserve">compared to </w:t>
      </w:r>
      <w:r w:rsidR="007A4772">
        <w:t>FFDM</w:t>
      </w:r>
    </w:p>
    <w:tbl>
      <w:tblPr>
        <w:tblW w:w="15452" w:type="dxa"/>
        <w:tblInd w:w="-856"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Description w:val="Table 9c is DBTMLO compared to FFDM. The Randomized controlled trials and trials embedded in population-based screening programs. The study by Zackrisson et al. (2018) Malmö trial has a sample of 14,848 women aged 40 to 76 years with a mean age of 57 years presenting for screening in Malmö, Sweden. Note: women aged 40 to 54 were screened every 18 months; women aged 55 to 74 years were screened every 24 months. The study type has a prospective, single site paired trial where women underwent FFDM and wide-angled one-view DBTMLO using Simens Mammomat inspirations. The DBTMLO.&#10;CDR per 1000 screening examinations (95%CI; p-value) was 8.7 (7.3, 0.3). The FFDM CDR per 1000 screening examinations (95%CI; p-value) was 6.5 (5.2, 7.9; p=.0001). The DBTMLO Number of cancers detected was Invasive: 114, In-situ: 17, Only detected by DBTMLO: Invasive: 38 In-situ: 4. The Incremental detection (95%CI) was 2.2 (2, 3.2; p&lt;.0001).&#10;"/>
      </w:tblPr>
      <w:tblGrid>
        <w:gridCol w:w="1898"/>
        <w:gridCol w:w="2922"/>
        <w:gridCol w:w="3119"/>
        <w:gridCol w:w="1606"/>
        <w:gridCol w:w="1477"/>
        <w:gridCol w:w="1476"/>
        <w:gridCol w:w="1477"/>
        <w:gridCol w:w="1477"/>
      </w:tblGrid>
      <w:tr w:rsidR="000F446C" w:rsidRPr="00E44152" w14:paraId="5C401835" w14:textId="77777777" w:rsidTr="00236D7C">
        <w:trPr>
          <w:trHeight w:val="1003"/>
          <w:tblHeader/>
        </w:trPr>
        <w:tc>
          <w:tcPr>
            <w:tcW w:w="1898" w:type="dxa"/>
            <w:shd w:val="clear" w:color="auto" w:fill="77B800" w:themeFill="background2"/>
          </w:tcPr>
          <w:p w14:paraId="2077605F" w14:textId="77777777" w:rsidR="000F446C" w:rsidRDefault="000F446C" w:rsidP="00236D7C">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b/>
                <w:color w:val="FFFFFF" w:themeColor="background1"/>
                <w:sz w:val="18"/>
                <w:szCs w:val="18"/>
              </w:rPr>
              <w:t>Study</w:t>
            </w:r>
          </w:p>
          <w:p w14:paraId="1EB8CFB1" w14:textId="77777777" w:rsidR="000F446C" w:rsidRPr="00C22ADE" w:rsidRDefault="000F446C" w:rsidP="00236D7C">
            <w:pPr>
              <w:jc w:val="center"/>
            </w:pPr>
          </w:p>
        </w:tc>
        <w:tc>
          <w:tcPr>
            <w:tcW w:w="2922" w:type="dxa"/>
            <w:shd w:val="clear" w:color="auto" w:fill="77B800" w:themeFill="background2"/>
          </w:tcPr>
          <w:p w14:paraId="33046F1A" w14:textId="77777777" w:rsidR="000F446C" w:rsidRPr="00C75EDC" w:rsidRDefault="000F446C" w:rsidP="00236D7C">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Sample</w:t>
            </w:r>
          </w:p>
        </w:tc>
        <w:tc>
          <w:tcPr>
            <w:tcW w:w="3119" w:type="dxa"/>
            <w:shd w:val="clear" w:color="auto" w:fill="77B800" w:themeFill="background2"/>
          </w:tcPr>
          <w:p w14:paraId="4C26FBF5" w14:textId="77777777" w:rsidR="000F446C" w:rsidRPr="00C75EDC" w:rsidRDefault="000F446C" w:rsidP="00236D7C">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Study type</w:t>
            </w:r>
          </w:p>
        </w:tc>
        <w:tc>
          <w:tcPr>
            <w:tcW w:w="1606" w:type="dxa"/>
            <w:shd w:val="clear" w:color="auto" w:fill="77B800" w:themeFill="background2"/>
          </w:tcPr>
          <w:p w14:paraId="0E9CB2BC" w14:textId="3D122DD6" w:rsidR="000F446C" w:rsidRPr="002810CE" w:rsidRDefault="000F446C" w:rsidP="00236D7C">
            <w:pPr>
              <w:pStyle w:val="BodyText"/>
              <w:spacing w:before="0" w:after="0" w:line="240" w:lineRule="auto"/>
              <w:jc w:val="center"/>
              <w:rPr>
                <w:rFonts w:asciiTheme="majorHAnsi" w:hAnsiTheme="majorHAnsi" w:cstheme="majorHAnsi"/>
                <w:b/>
                <w:color w:val="FFFFFF" w:themeColor="background1"/>
                <w:sz w:val="18"/>
                <w:szCs w:val="18"/>
                <w:vertAlign w:val="subscript"/>
              </w:rPr>
            </w:pPr>
            <w:r w:rsidRPr="00E44152">
              <w:rPr>
                <w:rFonts w:asciiTheme="majorHAnsi" w:hAnsiTheme="majorHAnsi" w:cstheme="majorHAnsi"/>
                <w:b/>
                <w:color w:val="FFFFFF" w:themeColor="background1"/>
                <w:sz w:val="18"/>
                <w:szCs w:val="18"/>
              </w:rPr>
              <w:t>DBT</w:t>
            </w:r>
            <w:r w:rsidR="002810CE">
              <w:rPr>
                <w:rFonts w:asciiTheme="majorHAnsi" w:hAnsiTheme="majorHAnsi" w:cstheme="majorHAnsi"/>
                <w:b/>
                <w:color w:val="FFFFFF" w:themeColor="background1"/>
                <w:sz w:val="18"/>
                <w:szCs w:val="18"/>
                <w:vertAlign w:val="subscript"/>
              </w:rPr>
              <w:t>MLO</w:t>
            </w:r>
          </w:p>
          <w:p w14:paraId="2C8189C6" w14:textId="77777777" w:rsidR="000F446C" w:rsidRPr="00E44152" w:rsidRDefault="000F446C" w:rsidP="00236D7C">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477" w:type="dxa"/>
            <w:shd w:val="clear" w:color="auto" w:fill="77B800" w:themeFill="background2"/>
          </w:tcPr>
          <w:p w14:paraId="008F429B" w14:textId="73A9819F" w:rsidR="000F446C" w:rsidRPr="00E44152" w:rsidRDefault="00EE1E2F" w:rsidP="00236D7C">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w:t>
            </w:r>
          </w:p>
          <w:p w14:paraId="12FAE756" w14:textId="77777777" w:rsidR="000F446C" w:rsidRPr="00E44152" w:rsidRDefault="000F446C" w:rsidP="00236D7C">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CDR</w:t>
            </w:r>
            <w:r w:rsidRPr="00E44152">
              <w:rPr>
                <w:rFonts w:asciiTheme="majorHAnsi" w:hAnsiTheme="majorHAnsi" w:cstheme="majorHAnsi"/>
                <w:color w:val="FFFFFF" w:themeColor="background1"/>
                <w:sz w:val="16"/>
                <w:szCs w:val="16"/>
              </w:rPr>
              <w:t xml:space="preserve"> per 1000 screening examinations (95%CI; p-value)</w:t>
            </w:r>
          </w:p>
        </w:tc>
        <w:tc>
          <w:tcPr>
            <w:tcW w:w="1476" w:type="dxa"/>
            <w:shd w:val="clear" w:color="auto" w:fill="77B800" w:themeFill="background2"/>
          </w:tcPr>
          <w:p w14:paraId="3E899C78" w14:textId="78A37D1D" w:rsidR="000F446C" w:rsidRPr="00E44152" w:rsidRDefault="000F446C" w:rsidP="00236D7C">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DBT</w:t>
            </w:r>
            <w:r w:rsidR="002810CE" w:rsidRPr="002810CE">
              <w:rPr>
                <w:rFonts w:asciiTheme="majorHAnsi" w:hAnsiTheme="majorHAnsi" w:cstheme="majorHAnsi"/>
                <w:b/>
                <w:color w:val="FFFFFF" w:themeColor="background1"/>
                <w:sz w:val="18"/>
                <w:szCs w:val="18"/>
                <w:vertAlign w:val="subscript"/>
              </w:rPr>
              <w:t>MLO</w:t>
            </w:r>
          </w:p>
          <w:p w14:paraId="1EC3257F" w14:textId="325D1B89" w:rsidR="000F446C" w:rsidRPr="00E44152" w:rsidRDefault="00850FC0" w:rsidP="00236D7C">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Number of cancers detected</w:t>
            </w:r>
          </w:p>
        </w:tc>
        <w:tc>
          <w:tcPr>
            <w:tcW w:w="1477" w:type="dxa"/>
            <w:shd w:val="clear" w:color="auto" w:fill="77B800" w:themeFill="background2"/>
          </w:tcPr>
          <w:p w14:paraId="3F824ABC" w14:textId="36293C7C" w:rsidR="000F446C" w:rsidRPr="00E44152" w:rsidRDefault="00EE1E2F" w:rsidP="00236D7C">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w:t>
            </w:r>
          </w:p>
          <w:p w14:paraId="52AEC530" w14:textId="38F61376" w:rsidR="000F446C" w:rsidRPr="00E44152" w:rsidRDefault="00850FC0" w:rsidP="00236D7C">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6"/>
                <w:szCs w:val="16"/>
              </w:rPr>
              <w:t>Number of cancers detected</w:t>
            </w:r>
          </w:p>
        </w:tc>
        <w:tc>
          <w:tcPr>
            <w:tcW w:w="1477" w:type="dxa"/>
            <w:shd w:val="clear" w:color="auto" w:fill="77B800" w:themeFill="background2"/>
          </w:tcPr>
          <w:p w14:paraId="15CFB42E" w14:textId="77777777" w:rsidR="000F446C" w:rsidRPr="00E44152" w:rsidRDefault="000F446C" w:rsidP="00236D7C">
            <w:pPr>
              <w:pStyle w:val="BodyText"/>
              <w:spacing w:before="0" w:after="0" w:line="240" w:lineRule="auto"/>
              <w:jc w:val="center"/>
              <w:rPr>
                <w:rFonts w:asciiTheme="majorHAnsi" w:hAnsiTheme="majorHAnsi" w:cstheme="majorHAnsi"/>
                <w:color w:val="FFFFFF" w:themeColor="background1"/>
                <w:sz w:val="18"/>
                <w:szCs w:val="18"/>
              </w:rPr>
            </w:pPr>
            <w:r w:rsidRPr="00C00388">
              <w:rPr>
                <w:rFonts w:asciiTheme="majorHAnsi" w:hAnsiTheme="majorHAnsi" w:cstheme="majorHAnsi"/>
                <w:b/>
                <w:color w:val="FFFFFF" w:themeColor="background1"/>
                <w:sz w:val="18"/>
                <w:szCs w:val="18"/>
              </w:rPr>
              <w:t>Incremental detection</w:t>
            </w:r>
            <w:r w:rsidRPr="00E44152">
              <w:rPr>
                <w:rFonts w:asciiTheme="majorHAnsi" w:hAnsiTheme="majorHAnsi" w:cstheme="majorHAnsi"/>
                <w:color w:val="FFFFFF" w:themeColor="background1"/>
                <w:sz w:val="18"/>
                <w:szCs w:val="18"/>
              </w:rPr>
              <w:t xml:space="preserve"> (95%CI)</w:t>
            </w:r>
          </w:p>
        </w:tc>
      </w:tr>
      <w:tr w:rsidR="00D23433" w:rsidRPr="00E44152" w14:paraId="207B49A7" w14:textId="77777777" w:rsidTr="00427E7D">
        <w:trPr>
          <w:trHeight w:val="288"/>
        </w:trPr>
        <w:tc>
          <w:tcPr>
            <w:tcW w:w="15452" w:type="dxa"/>
            <w:gridSpan w:val="8"/>
            <w:shd w:val="clear" w:color="auto" w:fill="auto"/>
          </w:tcPr>
          <w:p w14:paraId="435EA20B" w14:textId="77777777" w:rsidR="00D23433" w:rsidRPr="00C00388" w:rsidRDefault="00D23433" w:rsidP="00427E7D">
            <w:pPr>
              <w:pStyle w:val="BodyText"/>
              <w:spacing w:before="0" w:after="0" w:line="240" w:lineRule="auto"/>
              <w:jc w:val="left"/>
              <w:rPr>
                <w:rFonts w:asciiTheme="majorHAnsi" w:hAnsiTheme="majorHAnsi" w:cstheme="majorHAnsi"/>
                <w:b/>
                <w:color w:val="FFFFFF" w:themeColor="background1"/>
                <w:sz w:val="18"/>
                <w:szCs w:val="18"/>
              </w:rPr>
            </w:pPr>
            <w:r w:rsidRPr="002F56A3">
              <w:rPr>
                <w:rFonts w:asciiTheme="majorHAnsi" w:hAnsiTheme="majorHAnsi" w:cstheme="majorHAnsi"/>
                <w:b/>
                <w:sz w:val="18"/>
                <w:szCs w:val="18"/>
              </w:rPr>
              <w:t>Ran</w:t>
            </w:r>
            <w:r>
              <w:rPr>
                <w:rFonts w:asciiTheme="majorHAnsi" w:hAnsiTheme="majorHAnsi" w:cstheme="majorHAnsi"/>
                <w:b/>
                <w:sz w:val="18"/>
                <w:szCs w:val="18"/>
              </w:rPr>
              <w:t>domized controlled trials and trials embedded in population-based screening programs</w:t>
            </w:r>
          </w:p>
        </w:tc>
      </w:tr>
      <w:tr w:rsidR="00A13E8D" w:rsidRPr="00A13E8D" w14:paraId="2BA73BCF" w14:textId="77777777" w:rsidTr="00A13E8D">
        <w:trPr>
          <w:trHeight w:val="1003"/>
          <w:tblHeader/>
        </w:trPr>
        <w:tc>
          <w:tcPr>
            <w:tcW w:w="1898" w:type="dxa"/>
            <w:shd w:val="clear" w:color="auto" w:fill="auto"/>
          </w:tcPr>
          <w:p w14:paraId="74E4CFE1" w14:textId="77777777" w:rsidR="00A13E8D" w:rsidRDefault="00A13E8D" w:rsidP="00A13E8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Zackrisson et al. (2018)</w:t>
            </w:r>
          </w:p>
          <w:p w14:paraId="399C4CFA" w14:textId="45A95375" w:rsidR="00A13E8D" w:rsidRPr="00A13E8D" w:rsidRDefault="00A13E8D" w:rsidP="00A13E8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Malmö trial</w:t>
            </w:r>
          </w:p>
        </w:tc>
        <w:tc>
          <w:tcPr>
            <w:tcW w:w="2922" w:type="dxa"/>
            <w:shd w:val="clear" w:color="auto" w:fill="auto"/>
          </w:tcPr>
          <w:p w14:paraId="3C41EB29" w14:textId="48076DF9" w:rsidR="00A13E8D" w:rsidRPr="00AD58AD" w:rsidRDefault="00A13E8D" w:rsidP="00A13E8D">
            <w:pPr>
              <w:pStyle w:val="BodyText"/>
              <w:spacing w:before="0" w:after="0" w:line="240" w:lineRule="auto"/>
              <w:jc w:val="left"/>
              <w:rPr>
                <w:rFonts w:asciiTheme="majorHAnsi" w:hAnsiTheme="majorHAnsi" w:cstheme="majorHAnsi"/>
                <w:bCs/>
                <w:i/>
                <w:iCs/>
                <w:sz w:val="18"/>
                <w:szCs w:val="18"/>
              </w:rPr>
            </w:pPr>
            <w:r>
              <w:rPr>
                <w:rFonts w:asciiTheme="majorHAnsi" w:hAnsiTheme="majorHAnsi" w:cstheme="majorHAnsi"/>
                <w:bCs/>
                <w:sz w:val="18"/>
                <w:szCs w:val="18"/>
              </w:rPr>
              <w:t>14,848 women aged 40-7</w:t>
            </w:r>
            <w:r w:rsidR="00396614">
              <w:rPr>
                <w:rFonts w:asciiTheme="majorHAnsi" w:hAnsiTheme="majorHAnsi" w:cstheme="majorHAnsi"/>
                <w:bCs/>
                <w:sz w:val="18"/>
                <w:szCs w:val="18"/>
              </w:rPr>
              <w:t>6</w:t>
            </w:r>
            <w:r w:rsidR="0060277B">
              <w:rPr>
                <w:rFonts w:asciiTheme="majorHAnsi" w:hAnsiTheme="majorHAnsi" w:cstheme="majorHAnsi"/>
                <w:bCs/>
                <w:sz w:val="18"/>
                <w:szCs w:val="18"/>
              </w:rPr>
              <w:t>y</w:t>
            </w:r>
            <w:r>
              <w:rPr>
                <w:rFonts w:asciiTheme="majorHAnsi" w:hAnsiTheme="majorHAnsi" w:cstheme="majorHAnsi"/>
                <w:bCs/>
                <w:sz w:val="18"/>
                <w:szCs w:val="18"/>
              </w:rPr>
              <w:t xml:space="preserve"> </w:t>
            </w:r>
            <w:r w:rsidR="00396614">
              <w:rPr>
                <w:rFonts w:asciiTheme="majorHAnsi" w:hAnsiTheme="majorHAnsi" w:cstheme="majorHAnsi"/>
                <w:bCs/>
                <w:sz w:val="18"/>
                <w:szCs w:val="18"/>
              </w:rPr>
              <w:t>(mean age = 57</w:t>
            </w:r>
            <w:r w:rsidR="0060277B">
              <w:rPr>
                <w:rFonts w:asciiTheme="majorHAnsi" w:hAnsiTheme="majorHAnsi" w:cstheme="majorHAnsi"/>
                <w:bCs/>
                <w:sz w:val="18"/>
                <w:szCs w:val="18"/>
              </w:rPr>
              <w:t>y</w:t>
            </w:r>
            <w:r w:rsidR="00396614">
              <w:rPr>
                <w:rFonts w:asciiTheme="majorHAnsi" w:hAnsiTheme="majorHAnsi" w:cstheme="majorHAnsi"/>
                <w:bCs/>
                <w:sz w:val="18"/>
                <w:szCs w:val="18"/>
              </w:rPr>
              <w:t xml:space="preserve">) </w:t>
            </w:r>
            <w:r>
              <w:rPr>
                <w:rFonts w:asciiTheme="majorHAnsi" w:hAnsiTheme="majorHAnsi" w:cstheme="majorHAnsi"/>
                <w:bCs/>
                <w:sz w:val="18"/>
                <w:szCs w:val="18"/>
              </w:rPr>
              <w:t>presenting for screening in Malmö, Sweden</w:t>
            </w:r>
            <w:r w:rsidR="00AD58AD">
              <w:rPr>
                <w:rFonts w:asciiTheme="majorHAnsi" w:hAnsiTheme="majorHAnsi" w:cstheme="majorHAnsi"/>
                <w:bCs/>
                <w:sz w:val="18"/>
                <w:szCs w:val="18"/>
              </w:rPr>
              <w:t xml:space="preserve"> </w:t>
            </w:r>
            <w:r w:rsidR="00AD58AD">
              <w:rPr>
                <w:rFonts w:asciiTheme="majorHAnsi" w:hAnsiTheme="majorHAnsi" w:cstheme="majorHAnsi"/>
                <w:bCs/>
                <w:i/>
                <w:iCs/>
                <w:sz w:val="18"/>
                <w:szCs w:val="18"/>
              </w:rPr>
              <w:t>NB women aged 40-54 were screened every 18m; women aged 55-74</w:t>
            </w:r>
            <w:r w:rsidR="00176980">
              <w:rPr>
                <w:rFonts w:asciiTheme="majorHAnsi" w:hAnsiTheme="majorHAnsi" w:cstheme="majorHAnsi"/>
                <w:bCs/>
                <w:i/>
                <w:iCs/>
                <w:sz w:val="18"/>
                <w:szCs w:val="18"/>
              </w:rPr>
              <w:t>y</w:t>
            </w:r>
            <w:r w:rsidR="00AD58AD">
              <w:rPr>
                <w:rFonts w:asciiTheme="majorHAnsi" w:hAnsiTheme="majorHAnsi" w:cstheme="majorHAnsi"/>
                <w:bCs/>
                <w:i/>
                <w:iCs/>
                <w:sz w:val="18"/>
                <w:szCs w:val="18"/>
              </w:rPr>
              <w:t xml:space="preserve"> were screened every 24m.</w:t>
            </w:r>
          </w:p>
        </w:tc>
        <w:tc>
          <w:tcPr>
            <w:tcW w:w="3119" w:type="dxa"/>
            <w:shd w:val="clear" w:color="auto" w:fill="auto"/>
          </w:tcPr>
          <w:p w14:paraId="47E763A7" w14:textId="6249FEC2" w:rsidR="00A13E8D" w:rsidRPr="00A13E8D" w:rsidRDefault="00A13E8D" w:rsidP="00A13E8D">
            <w:pPr>
              <w:pStyle w:val="BodyText"/>
              <w:spacing w:before="0" w:after="0" w:line="240" w:lineRule="auto"/>
              <w:jc w:val="left"/>
              <w:rPr>
                <w:rFonts w:asciiTheme="majorHAnsi" w:hAnsiTheme="majorHAnsi" w:cstheme="majorHAnsi"/>
                <w:bCs/>
                <w:sz w:val="18"/>
                <w:szCs w:val="18"/>
                <w:vertAlign w:val="subscript"/>
              </w:rPr>
            </w:pPr>
            <w:r>
              <w:rPr>
                <w:rFonts w:asciiTheme="majorHAnsi" w:hAnsiTheme="majorHAnsi" w:cstheme="majorHAnsi"/>
                <w:bCs/>
                <w:sz w:val="18"/>
                <w:szCs w:val="18"/>
              </w:rPr>
              <w:t>Prospective</w:t>
            </w:r>
            <w:r w:rsidR="00AE2276">
              <w:rPr>
                <w:rFonts w:asciiTheme="majorHAnsi" w:hAnsiTheme="majorHAnsi" w:cstheme="majorHAnsi"/>
                <w:bCs/>
                <w:sz w:val="18"/>
                <w:szCs w:val="18"/>
              </w:rPr>
              <w:t>, single site</w:t>
            </w:r>
            <w:r>
              <w:rPr>
                <w:rFonts w:asciiTheme="majorHAnsi" w:hAnsiTheme="majorHAnsi" w:cstheme="majorHAnsi"/>
                <w:bCs/>
                <w:sz w:val="18"/>
                <w:szCs w:val="18"/>
              </w:rPr>
              <w:t xml:space="preserve"> paired trial where women underwent FFDM and </w:t>
            </w:r>
            <w:r w:rsidR="00EE1E2F">
              <w:rPr>
                <w:rFonts w:asciiTheme="majorHAnsi" w:hAnsiTheme="majorHAnsi" w:cstheme="majorHAnsi"/>
                <w:bCs/>
                <w:sz w:val="18"/>
                <w:szCs w:val="18"/>
              </w:rPr>
              <w:t xml:space="preserve">wide-angled </w:t>
            </w:r>
            <w:r>
              <w:rPr>
                <w:rFonts w:asciiTheme="majorHAnsi" w:hAnsiTheme="majorHAnsi" w:cstheme="majorHAnsi"/>
                <w:bCs/>
                <w:sz w:val="18"/>
                <w:szCs w:val="18"/>
              </w:rPr>
              <w:t>one-view DBT</w:t>
            </w:r>
            <w:r>
              <w:rPr>
                <w:rFonts w:asciiTheme="majorHAnsi" w:hAnsiTheme="majorHAnsi" w:cstheme="majorHAnsi"/>
                <w:bCs/>
                <w:sz w:val="18"/>
                <w:szCs w:val="18"/>
                <w:vertAlign w:val="subscript"/>
              </w:rPr>
              <w:t xml:space="preserve">MLO </w:t>
            </w:r>
            <w:r w:rsidRPr="00A13E8D">
              <w:rPr>
                <w:rFonts w:asciiTheme="majorHAnsi" w:hAnsiTheme="majorHAnsi" w:cstheme="majorHAnsi"/>
                <w:bCs/>
                <w:sz w:val="18"/>
                <w:szCs w:val="18"/>
              </w:rPr>
              <w:t>using</w:t>
            </w:r>
            <w:r>
              <w:rPr>
                <w:rFonts w:asciiTheme="majorHAnsi" w:hAnsiTheme="majorHAnsi" w:cstheme="majorHAnsi"/>
                <w:bCs/>
                <w:sz w:val="18"/>
                <w:szCs w:val="18"/>
              </w:rPr>
              <w:t xml:space="preserve"> Siemens Mammomat Inspirations</w:t>
            </w:r>
          </w:p>
        </w:tc>
        <w:tc>
          <w:tcPr>
            <w:tcW w:w="1606" w:type="dxa"/>
            <w:shd w:val="clear" w:color="auto" w:fill="auto"/>
          </w:tcPr>
          <w:p w14:paraId="12E6DCC1" w14:textId="41237496" w:rsidR="00A13E8D" w:rsidRPr="00A13E8D" w:rsidRDefault="008204F4" w:rsidP="00A13E8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8.7 (7.3</w:t>
            </w:r>
            <w:r w:rsidR="004F6A90">
              <w:rPr>
                <w:rFonts w:asciiTheme="majorHAnsi" w:hAnsiTheme="majorHAnsi" w:cstheme="majorHAnsi"/>
                <w:bCs/>
                <w:sz w:val="18"/>
                <w:szCs w:val="18"/>
              </w:rPr>
              <w:t xml:space="preserve">, </w:t>
            </w:r>
            <w:r>
              <w:rPr>
                <w:rFonts w:asciiTheme="majorHAnsi" w:hAnsiTheme="majorHAnsi" w:cstheme="majorHAnsi"/>
                <w:bCs/>
                <w:sz w:val="18"/>
                <w:szCs w:val="18"/>
              </w:rPr>
              <w:t>0.3)</w:t>
            </w:r>
          </w:p>
        </w:tc>
        <w:tc>
          <w:tcPr>
            <w:tcW w:w="1477" w:type="dxa"/>
            <w:shd w:val="clear" w:color="auto" w:fill="auto"/>
          </w:tcPr>
          <w:p w14:paraId="3DAF9ED9" w14:textId="083C8273" w:rsidR="00A13E8D" w:rsidRPr="00A13E8D" w:rsidRDefault="008204F4" w:rsidP="00A13E8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6.5 (5.2</w:t>
            </w:r>
            <w:r w:rsidR="004F6A90">
              <w:rPr>
                <w:rFonts w:asciiTheme="majorHAnsi" w:hAnsiTheme="majorHAnsi" w:cstheme="majorHAnsi"/>
                <w:bCs/>
                <w:sz w:val="18"/>
                <w:szCs w:val="18"/>
              </w:rPr>
              <w:t xml:space="preserve">, </w:t>
            </w:r>
            <w:r>
              <w:rPr>
                <w:rFonts w:asciiTheme="majorHAnsi" w:hAnsiTheme="majorHAnsi" w:cstheme="majorHAnsi"/>
                <w:bCs/>
                <w:sz w:val="18"/>
                <w:szCs w:val="18"/>
              </w:rPr>
              <w:t>7.9</w:t>
            </w:r>
            <w:r w:rsidR="0034054F">
              <w:rPr>
                <w:rFonts w:asciiTheme="majorHAnsi" w:hAnsiTheme="majorHAnsi" w:cstheme="majorHAnsi"/>
                <w:bCs/>
                <w:sz w:val="18"/>
                <w:szCs w:val="18"/>
              </w:rPr>
              <w:t xml:space="preserve">; </w:t>
            </w:r>
            <w:r w:rsidR="0034054F">
              <w:rPr>
                <w:rFonts w:asciiTheme="majorHAnsi" w:hAnsiTheme="majorHAnsi" w:cstheme="majorHAnsi"/>
                <w:bCs/>
                <w:i/>
                <w:iCs/>
                <w:sz w:val="18"/>
                <w:szCs w:val="18"/>
              </w:rPr>
              <w:t>p=</w:t>
            </w:r>
            <w:r w:rsidR="0034054F">
              <w:rPr>
                <w:rFonts w:asciiTheme="majorHAnsi" w:hAnsiTheme="majorHAnsi" w:cstheme="majorHAnsi"/>
                <w:bCs/>
                <w:sz w:val="18"/>
                <w:szCs w:val="18"/>
              </w:rPr>
              <w:t>.0001</w:t>
            </w:r>
            <w:r>
              <w:rPr>
                <w:rFonts w:asciiTheme="majorHAnsi" w:hAnsiTheme="majorHAnsi" w:cstheme="majorHAnsi"/>
                <w:bCs/>
                <w:sz w:val="18"/>
                <w:szCs w:val="18"/>
              </w:rPr>
              <w:t>)</w:t>
            </w:r>
          </w:p>
        </w:tc>
        <w:tc>
          <w:tcPr>
            <w:tcW w:w="1476" w:type="dxa"/>
            <w:shd w:val="clear" w:color="auto" w:fill="auto"/>
          </w:tcPr>
          <w:p w14:paraId="734832D8" w14:textId="5091B8CE" w:rsidR="00A13E8D" w:rsidRDefault="00850FC0" w:rsidP="00A13E8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Invasive: 114</w:t>
            </w:r>
          </w:p>
          <w:p w14:paraId="5173EFC3" w14:textId="24A21923" w:rsidR="00850FC0" w:rsidRDefault="00850FC0" w:rsidP="00A13E8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In-situ: 17</w:t>
            </w:r>
          </w:p>
          <w:p w14:paraId="79AB19FF" w14:textId="0071A88B" w:rsidR="00850FC0" w:rsidRPr="00850FC0" w:rsidRDefault="00850FC0" w:rsidP="00A13E8D">
            <w:pPr>
              <w:pStyle w:val="BodyText"/>
              <w:spacing w:before="0" w:after="0" w:line="240" w:lineRule="auto"/>
              <w:jc w:val="left"/>
              <w:rPr>
                <w:rFonts w:asciiTheme="majorHAnsi" w:hAnsiTheme="majorHAnsi" w:cstheme="majorHAnsi"/>
                <w:bCs/>
                <w:i/>
                <w:iCs/>
                <w:sz w:val="18"/>
                <w:szCs w:val="18"/>
                <w:vertAlign w:val="subscript"/>
              </w:rPr>
            </w:pPr>
            <w:r w:rsidRPr="00850FC0">
              <w:rPr>
                <w:rFonts w:asciiTheme="majorHAnsi" w:hAnsiTheme="majorHAnsi" w:cstheme="majorHAnsi"/>
                <w:bCs/>
                <w:i/>
                <w:iCs/>
                <w:sz w:val="18"/>
                <w:szCs w:val="18"/>
              </w:rPr>
              <w:t>Only detected by DBT</w:t>
            </w:r>
            <w:r w:rsidRPr="00850FC0">
              <w:rPr>
                <w:rFonts w:asciiTheme="majorHAnsi" w:hAnsiTheme="majorHAnsi" w:cstheme="majorHAnsi"/>
                <w:bCs/>
                <w:i/>
                <w:iCs/>
                <w:sz w:val="18"/>
                <w:szCs w:val="18"/>
                <w:vertAlign w:val="subscript"/>
              </w:rPr>
              <w:t>MLO:</w:t>
            </w:r>
          </w:p>
          <w:p w14:paraId="235B9884" w14:textId="0C8C1885" w:rsidR="00850FC0" w:rsidRPr="00850FC0" w:rsidRDefault="00850FC0" w:rsidP="00A13E8D">
            <w:pPr>
              <w:pStyle w:val="BodyText"/>
              <w:spacing w:before="0" w:after="0" w:line="240" w:lineRule="auto"/>
              <w:jc w:val="left"/>
              <w:rPr>
                <w:rFonts w:asciiTheme="majorHAnsi" w:hAnsiTheme="majorHAnsi" w:cstheme="majorHAnsi"/>
                <w:bCs/>
                <w:sz w:val="18"/>
                <w:szCs w:val="18"/>
              </w:rPr>
            </w:pPr>
            <w:r w:rsidRPr="00850FC0">
              <w:rPr>
                <w:rFonts w:asciiTheme="majorHAnsi" w:hAnsiTheme="majorHAnsi" w:cstheme="majorHAnsi"/>
                <w:bCs/>
                <w:sz w:val="18"/>
                <w:szCs w:val="18"/>
              </w:rPr>
              <w:t>Invasive</w:t>
            </w:r>
            <w:r>
              <w:rPr>
                <w:rFonts w:asciiTheme="majorHAnsi" w:hAnsiTheme="majorHAnsi" w:cstheme="majorHAnsi"/>
                <w:bCs/>
                <w:sz w:val="18"/>
                <w:szCs w:val="18"/>
              </w:rPr>
              <w:t>: 38</w:t>
            </w:r>
          </w:p>
          <w:p w14:paraId="767A20F4" w14:textId="7F4BFF46" w:rsidR="00850FC0" w:rsidRPr="00850FC0" w:rsidRDefault="00850FC0" w:rsidP="00A13E8D">
            <w:pPr>
              <w:pStyle w:val="BodyText"/>
              <w:spacing w:before="0" w:after="0" w:line="240" w:lineRule="auto"/>
              <w:jc w:val="left"/>
              <w:rPr>
                <w:rFonts w:asciiTheme="majorHAnsi" w:hAnsiTheme="majorHAnsi" w:cstheme="majorHAnsi"/>
                <w:bCs/>
                <w:sz w:val="18"/>
                <w:szCs w:val="18"/>
              </w:rPr>
            </w:pPr>
            <w:r w:rsidRPr="00850FC0">
              <w:rPr>
                <w:rFonts w:asciiTheme="majorHAnsi" w:hAnsiTheme="majorHAnsi" w:cstheme="majorHAnsi"/>
                <w:bCs/>
                <w:sz w:val="18"/>
                <w:szCs w:val="18"/>
              </w:rPr>
              <w:t>In-situ</w:t>
            </w:r>
            <w:r>
              <w:rPr>
                <w:rFonts w:asciiTheme="majorHAnsi" w:hAnsiTheme="majorHAnsi" w:cstheme="majorHAnsi"/>
                <w:bCs/>
                <w:sz w:val="18"/>
                <w:szCs w:val="18"/>
              </w:rPr>
              <w:t>: 4</w:t>
            </w:r>
          </w:p>
          <w:p w14:paraId="156DB04B" w14:textId="7855165F" w:rsidR="00850FC0" w:rsidRPr="00A13E8D" w:rsidRDefault="00850FC0" w:rsidP="00A13E8D">
            <w:pPr>
              <w:pStyle w:val="BodyText"/>
              <w:spacing w:before="0" w:after="0" w:line="240" w:lineRule="auto"/>
              <w:jc w:val="left"/>
              <w:rPr>
                <w:rFonts w:asciiTheme="majorHAnsi" w:hAnsiTheme="majorHAnsi" w:cstheme="majorHAnsi"/>
                <w:bCs/>
                <w:sz w:val="18"/>
                <w:szCs w:val="18"/>
              </w:rPr>
            </w:pPr>
          </w:p>
        </w:tc>
        <w:tc>
          <w:tcPr>
            <w:tcW w:w="1477" w:type="dxa"/>
            <w:shd w:val="clear" w:color="auto" w:fill="auto"/>
          </w:tcPr>
          <w:p w14:paraId="40142BB4" w14:textId="0ECF80B2" w:rsidR="00850FC0" w:rsidRPr="00850FC0" w:rsidRDefault="00850FC0" w:rsidP="00850FC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Invasive: 80</w:t>
            </w:r>
          </w:p>
          <w:p w14:paraId="60DD5E12" w14:textId="7AE385DB" w:rsidR="00850FC0" w:rsidRDefault="00850FC0" w:rsidP="00850FC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In-situ: 17</w:t>
            </w:r>
          </w:p>
          <w:p w14:paraId="276ED5E5" w14:textId="77777777" w:rsidR="00850FC0" w:rsidRPr="0034054F" w:rsidRDefault="00850FC0" w:rsidP="00850FC0">
            <w:pPr>
              <w:pStyle w:val="BodyText"/>
              <w:spacing w:before="0" w:after="0" w:line="240" w:lineRule="auto"/>
              <w:jc w:val="left"/>
              <w:rPr>
                <w:rFonts w:asciiTheme="majorHAnsi" w:hAnsiTheme="majorHAnsi" w:cstheme="majorHAnsi"/>
                <w:bCs/>
                <w:i/>
                <w:iCs/>
                <w:sz w:val="18"/>
                <w:szCs w:val="18"/>
                <w:vertAlign w:val="subscript"/>
              </w:rPr>
            </w:pPr>
            <w:r w:rsidRPr="0034054F">
              <w:rPr>
                <w:rFonts w:asciiTheme="majorHAnsi" w:hAnsiTheme="majorHAnsi" w:cstheme="majorHAnsi"/>
                <w:bCs/>
                <w:i/>
                <w:iCs/>
                <w:sz w:val="18"/>
                <w:szCs w:val="18"/>
              </w:rPr>
              <w:t>Only detected by DBT</w:t>
            </w:r>
            <w:r w:rsidRPr="0034054F">
              <w:rPr>
                <w:rFonts w:asciiTheme="majorHAnsi" w:hAnsiTheme="majorHAnsi" w:cstheme="majorHAnsi"/>
                <w:bCs/>
                <w:i/>
                <w:iCs/>
                <w:sz w:val="18"/>
                <w:szCs w:val="18"/>
                <w:vertAlign w:val="subscript"/>
              </w:rPr>
              <w:t>MLO:</w:t>
            </w:r>
          </w:p>
          <w:p w14:paraId="6210879C" w14:textId="6E277D44" w:rsidR="00850FC0" w:rsidRPr="00850FC0" w:rsidRDefault="00850FC0" w:rsidP="00850FC0">
            <w:pPr>
              <w:pStyle w:val="BodyText"/>
              <w:spacing w:before="0" w:after="0" w:line="240" w:lineRule="auto"/>
              <w:jc w:val="left"/>
              <w:rPr>
                <w:rFonts w:asciiTheme="majorHAnsi" w:hAnsiTheme="majorHAnsi" w:cstheme="majorHAnsi"/>
                <w:bCs/>
                <w:sz w:val="18"/>
                <w:szCs w:val="18"/>
              </w:rPr>
            </w:pPr>
            <w:r w:rsidRPr="00850FC0">
              <w:rPr>
                <w:rFonts w:asciiTheme="majorHAnsi" w:hAnsiTheme="majorHAnsi" w:cstheme="majorHAnsi"/>
                <w:bCs/>
                <w:sz w:val="18"/>
                <w:szCs w:val="18"/>
              </w:rPr>
              <w:t>Invasive</w:t>
            </w:r>
            <w:r>
              <w:rPr>
                <w:rFonts w:asciiTheme="majorHAnsi" w:hAnsiTheme="majorHAnsi" w:cstheme="majorHAnsi"/>
                <w:bCs/>
                <w:sz w:val="18"/>
                <w:szCs w:val="18"/>
              </w:rPr>
              <w:t>: 4</w:t>
            </w:r>
          </w:p>
          <w:p w14:paraId="2F2F4836" w14:textId="37766B77" w:rsidR="00850FC0" w:rsidRPr="00850FC0" w:rsidRDefault="00850FC0" w:rsidP="00850FC0">
            <w:pPr>
              <w:pStyle w:val="BodyText"/>
              <w:spacing w:before="0" w:after="0" w:line="240" w:lineRule="auto"/>
              <w:jc w:val="left"/>
              <w:rPr>
                <w:rFonts w:asciiTheme="majorHAnsi" w:hAnsiTheme="majorHAnsi" w:cstheme="majorHAnsi"/>
                <w:bCs/>
                <w:sz w:val="18"/>
                <w:szCs w:val="18"/>
              </w:rPr>
            </w:pPr>
            <w:r w:rsidRPr="00850FC0">
              <w:rPr>
                <w:rFonts w:asciiTheme="majorHAnsi" w:hAnsiTheme="majorHAnsi" w:cstheme="majorHAnsi"/>
                <w:bCs/>
                <w:sz w:val="18"/>
                <w:szCs w:val="18"/>
              </w:rPr>
              <w:t>In-situ</w:t>
            </w:r>
            <w:r>
              <w:rPr>
                <w:rFonts w:asciiTheme="majorHAnsi" w:hAnsiTheme="majorHAnsi" w:cstheme="majorHAnsi"/>
                <w:bCs/>
                <w:sz w:val="18"/>
                <w:szCs w:val="18"/>
              </w:rPr>
              <w:t>: 4</w:t>
            </w:r>
          </w:p>
          <w:p w14:paraId="2C10EF56" w14:textId="77777777" w:rsidR="00A13E8D" w:rsidRPr="00A13E8D" w:rsidRDefault="00A13E8D" w:rsidP="00A13E8D">
            <w:pPr>
              <w:pStyle w:val="BodyText"/>
              <w:spacing w:before="0" w:after="0" w:line="240" w:lineRule="auto"/>
              <w:jc w:val="left"/>
              <w:rPr>
                <w:rFonts w:asciiTheme="majorHAnsi" w:hAnsiTheme="majorHAnsi" w:cstheme="majorHAnsi"/>
                <w:bCs/>
                <w:sz w:val="18"/>
                <w:szCs w:val="18"/>
              </w:rPr>
            </w:pPr>
          </w:p>
        </w:tc>
        <w:tc>
          <w:tcPr>
            <w:tcW w:w="1477" w:type="dxa"/>
            <w:shd w:val="clear" w:color="auto" w:fill="auto"/>
          </w:tcPr>
          <w:p w14:paraId="20BA71AA" w14:textId="4A00054F" w:rsidR="00A13E8D" w:rsidRPr="00A13E8D" w:rsidRDefault="00850FC0" w:rsidP="00A13E8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2.2</w:t>
            </w:r>
            <w:r w:rsidR="00B46A83">
              <w:rPr>
                <w:rFonts w:asciiTheme="majorHAnsi" w:hAnsiTheme="majorHAnsi" w:cstheme="majorHAnsi"/>
                <w:bCs/>
                <w:sz w:val="18"/>
                <w:szCs w:val="18"/>
              </w:rPr>
              <w:t xml:space="preserve"> (2</w:t>
            </w:r>
            <w:r w:rsidR="0034054F">
              <w:rPr>
                <w:rFonts w:asciiTheme="majorHAnsi" w:hAnsiTheme="majorHAnsi" w:cstheme="majorHAnsi"/>
                <w:bCs/>
                <w:sz w:val="18"/>
                <w:szCs w:val="18"/>
              </w:rPr>
              <w:t xml:space="preserve">, </w:t>
            </w:r>
            <w:r w:rsidR="00B46A83">
              <w:rPr>
                <w:rFonts w:asciiTheme="majorHAnsi" w:hAnsiTheme="majorHAnsi" w:cstheme="majorHAnsi"/>
                <w:bCs/>
                <w:sz w:val="18"/>
                <w:szCs w:val="18"/>
              </w:rPr>
              <w:t xml:space="preserve">3.2; </w:t>
            </w:r>
            <w:r w:rsidR="00B46A83">
              <w:rPr>
                <w:rFonts w:asciiTheme="majorHAnsi" w:hAnsiTheme="majorHAnsi" w:cstheme="majorHAnsi"/>
                <w:bCs/>
                <w:i/>
                <w:iCs/>
                <w:sz w:val="18"/>
                <w:szCs w:val="18"/>
              </w:rPr>
              <w:t>p</w:t>
            </w:r>
            <w:r w:rsidR="00B46A83">
              <w:rPr>
                <w:rFonts w:asciiTheme="majorHAnsi" w:hAnsiTheme="majorHAnsi" w:cstheme="majorHAnsi"/>
                <w:bCs/>
                <w:sz w:val="18"/>
                <w:szCs w:val="18"/>
              </w:rPr>
              <w:t>&lt;.0001)</w:t>
            </w:r>
          </w:p>
        </w:tc>
      </w:tr>
    </w:tbl>
    <w:p w14:paraId="3381A83B" w14:textId="31728F4C" w:rsidR="000F446C" w:rsidRPr="000F446C" w:rsidRDefault="000F446C" w:rsidP="000F446C">
      <w:pPr>
        <w:sectPr w:rsidR="000F446C" w:rsidRPr="000F446C" w:rsidSect="00FA4631">
          <w:pgSz w:w="16839" w:h="11907" w:orient="landscape" w:code="9"/>
          <w:pgMar w:top="1418" w:right="1418" w:bottom="1418" w:left="1418" w:header="964" w:footer="964" w:gutter="0"/>
          <w:cols w:space="708"/>
          <w:docGrid w:linePitch="360"/>
        </w:sectPr>
      </w:pPr>
    </w:p>
    <w:p w14:paraId="7439719C" w14:textId="0AE0F76B" w:rsidR="00A102B2" w:rsidRPr="00F54128" w:rsidRDefault="00A102B2" w:rsidP="00800E00">
      <w:pPr>
        <w:pStyle w:val="NumberedHeading3"/>
      </w:pPr>
      <w:bookmarkStart w:id="190" w:name="_Toc43376284"/>
      <w:bookmarkStart w:id="191" w:name="_Hlk26112085"/>
      <w:r>
        <w:lastRenderedPageBreak/>
        <w:t>CDR stratified by prevalent/incident</w:t>
      </w:r>
      <w:r w:rsidR="0083335C">
        <w:t xml:space="preserve"> screening</w:t>
      </w:r>
      <w:r>
        <w:t xml:space="preserve"> round</w:t>
      </w:r>
      <w:bookmarkEnd w:id="190"/>
      <w:r>
        <w:t xml:space="preserve"> </w:t>
      </w:r>
    </w:p>
    <w:bookmarkEnd w:id="191"/>
    <w:p w14:paraId="457D1859" w14:textId="68E89F30" w:rsidR="009C2151" w:rsidRDefault="00CA5A37" w:rsidP="00A102B2">
      <w:pPr>
        <w:pStyle w:val="BodyText"/>
      </w:pPr>
      <w:r>
        <w:t>Prevalent screening refers to the first time a woman participates in breast-screening. At this time, recall rates are often higher as benign conditions may be identified and require investigation. CDR can also be higher</w:t>
      </w:r>
      <w:r w:rsidR="005C101D">
        <w:t xml:space="preserve"> in a prevalent screening round as this is the first time a breast may have been imaged</w:t>
      </w:r>
      <w:r>
        <w:t xml:space="preserve">. Incident screening refers to all subsequent screening examinations. </w:t>
      </w:r>
      <w:r w:rsidR="00C7191D">
        <w:t xml:space="preserve">No systematic reviews of studies published since December 2017 considered CDR stratified by prevalent or incident screening round. </w:t>
      </w:r>
      <w:r w:rsidR="0083335C">
        <w:t xml:space="preserve">Four of </w:t>
      </w:r>
      <w:r w:rsidR="00A102B2">
        <w:t>the trials</w:t>
      </w:r>
      <w:r w:rsidR="0083335C">
        <w:t>/pilot evaluations</w:t>
      </w:r>
      <w:r w:rsidR="00A102B2">
        <w:t xml:space="preserve"> stratified CDR by prevalent and incident screening round. </w:t>
      </w:r>
      <w:r w:rsidR="00C71DD3">
        <w:t xml:space="preserve">Detailed methodologies for each of these studies is provided in </w:t>
      </w:r>
      <w:r w:rsidR="00C71DD3">
        <w:rPr>
          <w:i/>
          <w:iCs/>
        </w:rPr>
        <w:t>section 3.1.1.</w:t>
      </w:r>
      <w:r w:rsidR="00C71DD3">
        <w:t xml:space="preserve"> Study results presented in these papers </w:t>
      </w:r>
      <w:r w:rsidR="00A102B2">
        <w:t>advance</w:t>
      </w:r>
      <w:r w:rsidR="0009589A">
        <w:t xml:space="preserve"> our</w:t>
      </w:r>
      <w:r w:rsidR="00A102B2">
        <w:t xml:space="preserve"> knowledge as papers published before 31 December 2017 did not report on this</w:t>
      </w:r>
      <w:r>
        <w:t xml:space="preserve">. </w:t>
      </w:r>
    </w:p>
    <w:p w14:paraId="2AE877AA" w14:textId="3BF04C80" w:rsidR="009C2151" w:rsidRDefault="009C2151" w:rsidP="009C2151">
      <w:pPr>
        <w:pStyle w:val="Heading3"/>
      </w:pPr>
      <w:bookmarkStart w:id="192" w:name="_Toc27665713"/>
      <w:bookmarkStart w:id="193" w:name="_Toc27844489"/>
      <w:bookmarkStart w:id="194" w:name="_Toc27859619"/>
      <w:bookmarkStart w:id="195" w:name="_Toc27904734"/>
      <w:bookmarkStart w:id="196" w:name="_Toc43376285"/>
      <w:r>
        <w:t>DBT+</w:t>
      </w:r>
      <w:r w:rsidR="00176980">
        <w:t>s2DM</w:t>
      </w:r>
      <w:r>
        <w:t xml:space="preserve"> compared to FFDM+DBT or FFDM alone</w:t>
      </w:r>
      <w:bookmarkEnd w:id="192"/>
      <w:bookmarkEnd w:id="193"/>
      <w:bookmarkEnd w:id="194"/>
      <w:bookmarkEnd w:id="195"/>
      <w:bookmarkEnd w:id="196"/>
    </w:p>
    <w:p w14:paraId="474D9EE3" w14:textId="1AEF5E6B" w:rsidR="009406BB" w:rsidRPr="009406BB" w:rsidRDefault="009406BB" w:rsidP="009406BB">
      <w:pPr>
        <w:pStyle w:val="BodyText-GREEN"/>
        <w:rPr>
          <w:b/>
          <w:bCs/>
        </w:rPr>
      </w:pPr>
      <w:bookmarkStart w:id="197" w:name="_Hlk27483123"/>
      <w:r w:rsidRPr="009406BB">
        <w:rPr>
          <w:b/>
          <w:bCs/>
        </w:rPr>
        <w:t>Prospective studies embedded in population-based screening programs</w:t>
      </w:r>
    </w:p>
    <w:bookmarkEnd w:id="197"/>
    <w:p w14:paraId="5AC85E23" w14:textId="155BFCA2" w:rsidR="00A102B2" w:rsidRDefault="009406BB" w:rsidP="009406BB">
      <w:pPr>
        <w:pStyle w:val="BodyText"/>
      </w:pPr>
      <w:r>
        <w:t>Four prospective studies reported on differences in CDR by prevalent or incident screening round</w:t>
      </w:r>
      <w:r w:rsidR="00A458C8">
        <w:t>, but no consistent findings were reported (i.e., some studies reported no significant differences between CDR for prevalent and incident rounds whereas other studies reported more cancers were detected with DBT at incident screening rounds compared to FFDM)</w:t>
      </w:r>
      <w:r>
        <w:t xml:space="preserve">. Data is summarised below and methodologies for each of the following studies are described in </w:t>
      </w:r>
      <w:r>
        <w:rPr>
          <w:i/>
          <w:iCs/>
        </w:rPr>
        <w:t>section 3.1.1</w:t>
      </w:r>
      <w:r>
        <w:t>:</w:t>
      </w:r>
    </w:p>
    <w:p w14:paraId="53D05748" w14:textId="5FB7D1AD" w:rsidR="00A102B2" w:rsidRDefault="00A102B2" w:rsidP="00A102B2">
      <w:pPr>
        <w:pStyle w:val="List-BulletLvl1"/>
      </w:pPr>
      <w:r>
        <w:t>Cordoba</w:t>
      </w:r>
      <w:r w:rsidR="009406BB">
        <w:t xml:space="preserve"> Screening Program</w:t>
      </w:r>
      <w:r>
        <w:t xml:space="preserve">: non-significant results for CDR </w:t>
      </w:r>
      <w:r w:rsidR="009406BB">
        <w:t xml:space="preserve">were reported for women undergoing a </w:t>
      </w:r>
      <w:r>
        <w:t>prevalent screen</w:t>
      </w:r>
      <w:r w:rsidR="009406BB">
        <w:t xml:space="preserve"> (comparing DBT+</w:t>
      </w:r>
      <w:r w:rsidR="00176980">
        <w:t>s2DM</w:t>
      </w:r>
      <w:r w:rsidR="009406BB">
        <w:t xml:space="preserve"> to FFDM alone)</w:t>
      </w:r>
      <w:r>
        <w:t xml:space="preserve">, but a statistically significant increase in CDR </w:t>
      </w:r>
      <w:r w:rsidR="009406BB">
        <w:t xml:space="preserve">was reported for women undergoing an </w:t>
      </w:r>
      <w:r>
        <w:t>incident screen</w:t>
      </w:r>
      <w:r w:rsidR="009406BB">
        <w:t>ing examination</w:t>
      </w:r>
      <w:r>
        <w:t xml:space="preserve"> (</w:t>
      </w:r>
      <w:r w:rsidR="009406BB">
        <w:t xml:space="preserve">an increase of </w:t>
      </w:r>
      <w:r>
        <w:t>22.1</w:t>
      </w:r>
      <w:r w:rsidR="009406BB">
        <w:t xml:space="preserve"> percent</w:t>
      </w:r>
      <w:r>
        <w:t>; 95%CI: 13.8</w:t>
      </w:r>
      <w:r w:rsidR="004F6A90">
        <w:t xml:space="preserve">, </w:t>
      </w:r>
      <w:r>
        <w:t xml:space="preserve">33.2, </w:t>
      </w:r>
      <w:r>
        <w:rPr>
          <w:i/>
          <w:iCs/>
        </w:rPr>
        <w:t>p=</w:t>
      </w:r>
      <w:r>
        <w:t>.001)</w:t>
      </w:r>
      <w:r w:rsidR="009406BB">
        <w:t xml:space="preserve"> (Romero Martín et al., 2018)</w:t>
      </w:r>
    </w:p>
    <w:p w14:paraId="57FF7C62" w14:textId="7099D3FF" w:rsidR="00DC4711" w:rsidRDefault="00A102B2" w:rsidP="00A102B2">
      <w:pPr>
        <w:pStyle w:val="List-BulletLvl1"/>
      </w:pPr>
      <w:r>
        <w:t>Maroondah</w:t>
      </w:r>
      <w:r w:rsidR="009406BB">
        <w:t xml:space="preserve"> pilot evaluation</w:t>
      </w:r>
      <w:r>
        <w:t>: most cancers were detected in the incident round for both DBT+</w:t>
      </w:r>
      <w:r w:rsidR="00176980">
        <w:t>s2DM</w:t>
      </w:r>
      <w:r>
        <w:t xml:space="preserve"> and FFDM (40/49 for DBT+</w:t>
      </w:r>
      <w:r w:rsidR="00176980">
        <w:t>s2DM</w:t>
      </w:r>
      <w:r>
        <w:t xml:space="preserve"> and 31/34 for FFDM), with similar CDR for prevalent and incident screens</w:t>
      </w:r>
      <w:r w:rsidR="00DC4711" w:rsidRPr="00DC4711">
        <w:t xml:space="preserve"> </w:t>
      </w:r>
      <w:r w:rsidR="00DC4711">
        <w:t xml:space="preserve">but a higher CDR for prevalent screening with </w:t>
      </w:r>
      <w:r w:rsidR="0009589A">
        <w:t>DBT+</w:t>
      </w:r>
      <w:r w:rsidR="00176980">
        <w:t>s2DM</w:t>
      </w:r>
      <w:r w:rsidR="0009589A">
        <w:t xml:space="preserve"> </w:t>
      </w:r>
      <w:r w:rsidR="00241148">
        <w:t>was observed</w:t>
      </w:r>
      <w:r w:rsidR="004F3A3E">
        <w:t xml:space="preserve"> (Houssami et al., 2019)</w:t>
      </w:r>
      <w:r w:rsidR="00DC4711">
        <w:t>:</w:t>
      </w:r>
    </w:p>
    <w:tbl>
      <w:tblPr>
        <w:tblStyle w:val="ACGreen-BasicTable"/>
        <w:tblW w:w="0" w:type="auto"/>
        <w:tblInd w:w="846" w:type="dxa"/>
        <w:tblBorders>
          <w:top w:val="none" w:sz="0" w:space="0" w:color="auto"/>
          <w:left w:val="none" w:sz="0" w:space="0" w:color="auto"/>
        </w:tblBorders>
        <w:tblLook w:val="04A0" w:firstRow="1" w:lastRow="0" w:firstColumn="1" w:lastColumn="0" w:noHBand="0" w:noVBand="1"/>
        <w:tblDescription w:val="DBT+s2DM - Prevalent screening examination CDR per 1000 screening examinations (95%CI) - 9(4, 17).&#10;Incident screening examination CDR per 1000 screening examinations (95%CI) 9.9(7.1, 14).&#10;&#10;FFDM - DBT+s2DM - Prevalent screening examination CDR per 1000 screening examinations (95%CI)  - 9(2, 24).&#10;Incident screening examination CDR per 1000 screening examinations (95%CI) - 6.4(4.4, 9.1)."/>
      </w:tblPr>
      <w:tblGrid>
        <w:gridCol w:w="2421"/>
        <w:gridCol w:w="2897"/>
        <w:gridCol w:w="2897"/>
      </w:tblGrid>
      <w:tr w:rsidR="004A7951" w14:paraId="58CD8073" w14:textId="77777777" w:rsidTr="0034054F">
        <w:trPr>
          <w:cnfStyle w:val="100000000000" w:firstRow="1" w:lastRow="0" w:firstColumn="0" w:lastColumn="0" w:oddVBand="0" w:evenVBand="0" w:oddHBand="0" w:evenHBand="0" w:firstRowFirstColumn="0" w:firstRowLastColumn="0" w:lastRowFirstColumn="0" w:lastRowLastColumn="0"/>
        </w:trPr>
        <w:tc>
          <w:tcPr>
            <w:tcW w:w="2421" w:type="dxa"/>
            <w:tcBorders>
              <w:bottom w:val="single" w:sz="4" w:space="0" w:color="77B800" w:themeColor="background2"/>
            </w:tcBorders>
            <w:shd w:val="clear" w:color="auto" w:fill="auto"/>
          </w:tcPr>
          <w:p w14:paraId="4C67D9A0" w14:textId="77777777" w:rsidR="004A7951" w:rsidRDefault="004A7951" w:rsidP="004F3A3E">
            <w:pPr>
              <w:pStyle w:val="List-BulletLvl2"/>
              <w:numPr>
                <w:ilvl w:val="0"/>
                <w:numId w:val="0"/>
              </w:numPr>
              <w:spacing w:before="0" w:after="0" w:line="240" w:lineRule="auto"/>
              <w:jc w:val="center"/>
            </w:pPr>
          </w:p>
        </w:tc>
        <w:tc>
          <w:tcPr>
            <w:tcW w:w="2897" w:type="dxa"/>
          </w:tcPr>
          <w:p w14:paraId="2A9461A5" w14:textId="7F3C6E7E" w:rsidR="004A7951" w:rsidRDefault="004A7951" w:rsidP="004F3A3E">
            <w:pPr>
              <w:pStyle w:val="List-BulletLvl2"/>
              <w:numPr>
                <w:ilvl w:val="0"/>
                <w:numId w:val="0"/>
              </w:numPr>
              <w:spacing w:before="0" w:after="0" w:line="240" w:lineRule="auto"/>
              <w:jc w:val="center"/>
              <w:rPr>
                <w:b w:val="0"/>
              </w:rPr>
            </w:pPr>
            <w:r>
              <w:t>Prevalent screening examination</w:t>
            </w:r>
          </w:p>
          <w:p w14:paraId="0ACF68C0" w14:textId="3FCF80F5" w:rsidR="004A7951" w:rsidRPr="004F3A3E" w:rsidRDefault="004A7951" w:rsidP="004F3A3E">
            <w:pPr>
              <w:pStyle w:val="List-BulletLvl2"/>
              <w:numPr>
                <w:ilvl w:val="0"/>
                <w:numId w:val="0"/>
              </w:numPr>
              <w:spacing w:before="0" w:after="0" w:line="240" w:lineRule="auto"/>
              <w:jc w:val="center"/>
              <w:rPr>
                <w:b w:val="0"/>
                <w:bCs/>
                <w:i/>
                <w:iCs/>
              </w:rPr>
            </w:pPr>
            <w:r w:rsidRPr="004F3A3E">
              <w:rPr>
                <w:rFonts w:cstheme="majorHAnsi"/>
                <w:b w:val="0"/>
                <w:bCs/>
                <w:i/>
                <w:iCs/>
                <w:sz w:val="16"/>
                <w:szCs w:val="16"/>
              </w:rPr>
              <w:t>CDR per 1000 screening examinations (95%CI)</w:t>
            </w:r>
          </w:p>
        </w:tc>
        <w:tc>
          <w:tcPr>
            <w:tcW w:w="2897" w:type="dxa"/>
          </w:tcPr>
          <w:p w14:paraId="4C0DFC6A" w14:textId="77777777" w:rsidR="004A7951" w:rsidRDefault="004A7951" w:rsidP="004F3A3E">
            <w:pPr>
              <w:pStyle w:val="List-BulletLvl2"/>
              <w:numPr>
                <w:ilvl w:val="0"/>
                <w:numId w:val="0"/>
              </w:numPr>
              <w:spacing w:before="0" w:after="0" w:line="240" w:lineRule="auto"/>
              <w:jc w:val="center"/>
              <w:rPr>
                <w:b w:val="0"/>
              </w:rPr>
            </w:pPr>
            <w:r>
              <w:t>Incident screening examination</w:t>
            </w:r>
          </w:p>
          <w:p w14:paraId="51F255AC" w14:textId="291057E5" w:rsidR="004A7951" w:rsidRDefault="004A7951" w:rsidP="004F3A3E">
            <w:pPr>
              <w:pStyle w:val="List-BulletLvl2"/>
              <w:numPr>
                <w:ilvl w:val="0"/>
                <w:numId w:val="0"/>
              </w:numPr>
              <w:spacing w:before="0" w:after="0" w:line="240" w:lineRule="auto"/>
              <w:jc w:val="center"/>
            </w:pPr>
            <w:r w:rsidRPr="004F3A3E">
              <w:rPr>
                <w:rFonts w:cstheme="majorHAnsi"/>
                <w:b w:val="0"/>
                <w:bCs/>
                <w:i/>
                <w:iCs/>
                <w:sz w:val="16"/>
                <w:szCs w:val="16"/>
              </w:rPr>
              <w:t>CDR per 1000 screening examinations (95%CI)</w:t>
            </w:r>
          </w:p>
        </w:tc>
      </w:tr>
      <w:tr w:rsidR="004A7951" w14:paraId="72144319" w14:textId="77777777" w:rsidTr="0034054F">
        <w:tc>
          <w:tcPr>
            <w:tcW w:w="2421" w:type="dxa"/>
            <w:tcBorders>
              <w:top w:val="single" w:sz="4" w:space="0" w:color="77B800" w:themeColor="background2"/>
              <w:left w:val="single" w:sz="4" w:space="0" w:color="77B800" w:themeColor="background2"/>
              <w:bottom w:val="single" w:sz="4" w:space="0" w:color="77B800" w:themeColor="background2"/>
            </w:tcBorders>
          </w:tcPr>
          <w:p w14:paraId="7D66ABA0" w14:textId="7903C4C5" w:rsidR="004A7951" w:rsidRDefault="004A7951" w:rsidP="004F3A3E">
            <w:pPr>
              <w:pStyle w:val="List-BulletLvl2"/>
              <w:numPr>
                <w:ilvl w:val="0"/>
                <w:numId w:val="0"/>
              </w:numPr>
              <w:spacing w:before="0" w:after="0" w:line="240" w:lineRule="auto"/>
            </w:pPr>
            <w:r>
              <w:t>DBT+</w:t>
            </w:r>
            <w:r w:rsidR="00176980">
              <w:t>s2DM</w:t>
            </w:r>
          </w:p>
        </w:tc>
        <w:tc>
          <w:tcPr>
            <w:tcW w:w="2897" w:type="dxa"/>
          </w:tcPr>
          <w:p w14:paraId="5EC5B456" w14:textId="0AFFF83D" w:rsidR="004A7951" w:rsidRDefault="004A7951" w:rsidP="004A7951">
            <w:pPr>
              <w:pStyle w:val="List-BulletLvl2"/>
              <w:numPr>
                <w:ilvl w:val="0"/>
                <w:numId w:val="0"/>
              </w:numPr>
              <w:spacing w:before="0" w:after="0" w:line="240" w:lineRule="auto"/>
              <w:jc w:val="center"/>
            </w:pPr>
            <w:r>
              <w:t>9 (4</w:t>
            </w:r>
            <w:r w:rsidR="004F6A90">
              <w:t xml:space="preserve">, </w:t>
            </w:r>
            <w:r>
              <w:t>17)</w:t>
            </w:r>
          </w:p>
        </w:tc>
        <w:tc>
          <w:tcPr>
            <w:tcW w:w="2897" w:type="dxa"/>
          </w:tcPr>
          <w:p w14:paraId="61A42B0C" w14:textId="277FE24C" w:rsidR="004A7951" w:rsidRDefault="004A7951" w:rsidP="004A7951">
            <w:pPr>
              <w:pStyle w:val="List-BulletLvl2"/>
              <w:numPr>
                <w:ilvl w:val="0"/>
                <w:numId w:val="0"/>
              </w:numPr>
              <w:spacing w:before="0" w:after="0" w:line="240" w:lineRule="auto"/>
              <w:jc w:val="center"/>
            </w:pPr>
            <w:r>
              <w:t>9.9 (7.1</w:t>
            </w:r>
            <w:r w:rsidR="004F6A90">
              <w:t xml:space="preserve">, </w:t>
            </w:r>
            <w:r>
              <w:t>14)</w:t>
            </w:r>
          </w:p>
        </w:tc>
      </w:tr>
      <w:tr w:rsidR="004A7951" w14:paraId="3AD03182" w14:textId="77777777" w:rsidTr="0034054F">
        <w:tc>
          <w:tcPr>
            <w:tcW w:w="2421" w:type="dxa"/>
            <w:tcBorders>
              <w:top w:val="single" w:sz="4" w:space="0" w:color="77B800" w:themeColor="background2"/>
              <w:left w:val="single" w:sz="4" w:space="0" w:color="77B800" w:themeColor="background2"/>
            </w:tcBorders>
          </w:tcPr>
          <w:p w14:paraId="4A600A32" w14:textId="77267B64" w:rsidR="004A7951" w:rsidRDefault="004A7951" w:rsidP="004F3A3E">
            <w:pPr>
              <w:pStyle w:val="List-BulletLvl2"/>
              <w:numPr>
                <w:ilvl w:val="0"/>
                <w:numId w:val="0"/>
              </w:numPr>
              <w:spacing w:before="0" w:after="0" w:line="240" w:lineRule="auto"/>
            </w:pPr>
            <w:r>
              <w:t>FFDM</w:t>
            </w:r>
          </w:p>
        </w:tc>
        <w:tc>
          <w:tcPr>
            <w:tcW w:w="2897" w:type="dxa"/>
          </w:tcPr>
          <w:p w14:paraId="2C630DA6" w14:textId="66149798" w:rsidR="004A7951" w:rsidRDefault="004A7951" w:rsidP="004A7951">
            <w:pPr>
              <w:pStyle w:val="List-BulletLvl2"/>
              <w:numPr>
                <w:ilvl w:val="0"/>
                <w:numId w:val="0"/>
              </w:numPr>
              <w:spacing w:before="0" w:after="0" w:line="240" w:lineRule="auto"/>
              <w:jc w:val="center"/>
            </w:pPr>
            <w:r>
              <w:t>9 (2</w:t>
            </w:r>
            <w:r w:rsidR="004F6A90">
              <w:t xml:space="preserve">, </w:t>
            </w:r>
            <w:r>
              <w:t>24)</w:t>
            </w:r>
          </w:p>
        </w:tc>
        <w:tc>
          <w:tcPr>
            <w:tcW w:w="2897" w:type="dxa"/>
          </w:tcPr>
          <w:p w14:paraId="6F0F58D7" w14:textId="17735D50" w:rsidR="004A7951" w:rsidRDefault="004A7951" w:rsidP="004A7951">
            <w:pPr>
              <w:pStyle w:val="List-BulletLvl2"/>
              <w:numPr>
                <w:ilvl w:val="0"/>
                <w:numId w:val="0"/>
              </w:numPr>
              <w:spacing w:before="0" w:after="0" w:line="240" w:lineRule="auto"/>
              <w:jc w:val="center"/>
            </w:pPr>
            <w:r>
              <w:t>6.4 (4.4</w:t>
            </w:r>
            <w:r w:rsidR="004F6A90">
              <w:t xml:space="preserve">, </w:t>
            </w:r>
            <w:r>
              <w:t>9.1)</w:t>
            </w:r>
          </w:p>
        </w:tc>
      </w:tr>
    </w:tbl>
    <w:p w14:paraId="62C380D1" w14:textId="77777777" w:rsidR="004F3A3E" w:rsidRDefault="004F3A3E" w:rsidP="004F3A3E">
      <w:pPr>
        <w:pStyle w:val="List-BulletLvl1"/>
        <w:numPr>
          <w:ilvl w:val="0"/>
          <w:numId w:val="0"/>
        </w:numPr>
        <w:ind w:left="851"/>
      </w:pPr>
    </w:p>
    <w:p w14:paraId="7B3B0048" w14:textId="4EEA046C" w:rsidR="00A102B2" w:rsidRDefault="00A102B2" w:rsidP="00A102B2">
      <w:pPr>
        <w:pStyle w:val="List-BulletLvl1"/>
      </w:pPr>
      <w:r>
        <w:t>Trento: DBT+</w:t>
      </w:r>
      <w:r w:rsidR="00176980">
        <w:t>s2DM</w:t>
      </w:r>
      <w:r>
        <w:t xml:space="preserve"> increased CDR for both prevalent and incident screening</w:t>
      </w:r>
      <w:r w:rsidR="00383F40">
        <w:t xml:space="preserve"> but</w:t>
      </w:r>
      <w:r w:rsidR="0009589A">
        <w:t xml:space="preserve"> the authors</w:t>
      </w:r>
      <w:r w:rsidR="00383F40">
        <w:t xml:space="preserve"> did not compare prevalent and incident results to each other to see if the differences between the groups were </w:t>
      </w:r>
      <w:r w:rsidR="0009589A">
        <w:t xml:space="preserve">significant </w:t>
      </w:r>
      <w:r w:rsidR="00383F40">
        <w:t xml:space="preserve">and </w:t>
      </w:r>
      <w:r w:rsidR="0009589A">
        <w:t xml:space="preserve">they </w:t>
      </w:r>
      <w:r w:rsidR="00383F40">
        <w:t>did not report by age and prevalent screen</w:t>
      </w:r>
      <w:r>
        <w:t>:</w:t>
      </w:r>
    </w:p>
    <w:p w14:paraId="2186C75D" w14:textId="00B79B93" w:rsidR="00A102B2" w:rsidRDefault="00A102B2" w:rsidP="00A102B2">
      <w:pPr>
        <w:pStyle w:val="List-BulletLvl2"/>
      </w:pPr>
      <w:r>
        <w:t xml:space="preserve">Prevalent: 8.64 cancers per 1000 </w:t>
      </w:r>
      <w:r w:rsidR="0009589A">
        <w:t>DBT+</w:t>
      </w:r>
      <w:r w:rsidR="00176980">
        <w:t>s2DM</w:t>
      </w:r>
      <w:r w:rsidR="0009589A">
        <w:t xml:space="preserve"> </w:t>
      </w:r>
      <w:r>
        <w:t>screen</w:t>
      </w:r>
      <w:r w:rsidR="0009589A">
        <w:t>ing examination</w:t>
      </w:r>
      <w:r>
        <w:t xml:space="preserve">s compared to 5.93 </w:t>
      </w:r>
      <w:r w:rsidR="0009589A">
        <w:t xml:space="preserve">per 1000 </w:t>
      </w:r>
      <w:r>
        <w:t>FFDM</w:t>
      </w:r>
      <w:r w:rsidR="0009589A">
        <w:t xml:space="preserve"> screening examinations</w:t>
      </w:r>
      <w:r>
        <w:t>; RR</w:t>
      </w:r>
      <w:r w:rsidR="00285D7E">
        <w:t>=</w:t>
      </w:r>
      <w:r>
        <w:t>1.46 (95%CI: 0.99</w:t>
      </w:r>
      <w:r w:rsidR="004F6A90">
        <w:t xml:space="preserve">, </w:t>
      </w:r>
      <w:r>
        <w:t>2.15)</w:t>
      </w:r>
    </w:p>
    <w:p w14:paraId="4A9B0257" w14:textId="6C95301A" w:rsidR="00A102B2" w:rsidRDefault="00A102B2" w:rsidP="00A102B2">
      <w:pPr>
        <w:pStyle w:val="List-BulletLvl2"/>
      </w:pPr>
      <w:r>
        <w:lastRenderedPageBreak/>
        <w:t>Incident:</w:t>
      </w:r>
      <w:r w:rsidRPr="00B81E00">
        <w:t xml:space="preserve"> </w:t>
      </w:r>
      <w:r>
        <w:t>8.68 cancers per 1000 DBT+</w:t>
      </w:r>
      <w:r w:rsidR="00176980">
        <w:t>s2DM</w:t>
      </w:r>
      <w:r w:rsidR="0009589A">
        <w:t xml:space="preserve"> screening examinations </w:t>
      </w:r>
      <w:r>
        <w:t xml:space="preserve">compared to 5.38 </w:t>
      </w:r>
      <w:r w:rsidR="0009589A">
        <w:t>per 1000 FFDM screening examinations</w:t>
      </w:r>
      <w:r>
        <w:t>; RR</w:t>
      </w:r>
      <w:r w:rsidR="00285D7E">
        <w:t>=</w:t>
      </w:r>
      <w:r>
        <w:t>1.61 (95%CI: 1.34</w:t>
      </w:r>
      <w:r w:rsidR="004F6A90">
        <w:t xml:space="preserve">, </w:t>
      </w:r>
      <w:r>
        <w:t>1.94) (Bernardi et al., 2019).</w:t>
      </w:r>
    </w:p>
    <w:p w14:paraId="57FED813" w14:textId="031AB776" w:rsidR="00C871FA" w:rsidRDefault="00A102B2" w:rsidP="00C871FA">
      <w:pPr>
        <w:pStyle w:val="List-BulletLvl1"/>
      </w:pPr>
      <w:r>
        <w:t>Verona:</w:t>
      </w:r>
      <w:r w:rsidRPr="001040D9">
        <w:t xml:space="preserve"> </w:t>
      </w:r>
      <w:r>
        <w:t>DBT+</w:t>
      </w:r>
      <w:r w:rsidR="00176980">
        <w:t>s2DM</w:t>
      </w:r>
      <w:r>
        <w:t xml:space="preserve"> increased CDR for incident screening</w:t>
      </w:r>
      <w:r w:rsidR="0009589A">
        <w:t xml:space="preserve"> </w:t>
      </w:r>
      <w:r w:rsidR="00C871FA">
        <w:t>only (RR for subsequent screening = 1.77</w:t>
      </w:r>
      <w:r w:rsidR="00176980">
        <w:t>;</w:t>
      </w:r>
      <w:r w:rsidR="00C871FA">
        <w:t xml:space="preserve"> 95%CI: 1.29</w:t>
      </w:r>
      <w:r w:rsidR="004F6A90">
        <w:t xml:space="preserve">, </w:t>
      </w:r>
      <w:r w:rsidR="00C871FA">
        <w:t>2.44).</w:t>
      </w:r>
    </w:p>
    <w:p w14:paraId="26D16FF6" w14:textId="00CAFEBB" w:rsidR="00242470" w:rsidRDefault="009406BB" w:rsidP="00C871FA">
      <w:pPr>
        <w:pStyle w:val="BodyText"/>
      </w:pPr>
      <w:r>
        <w:t xml:space="preserve">The results reported above suggested that that there </w:t>
      </w:r>
      <w:r w:rsidR="00242470">
        <w:t>may a greater benefit conferred to women in having incident screening with DBT+</w:t>
      </w:r>
      <w:r w:rsidR="00176980">
        <w:t>s2DM</w:t>
      </w:r>
      <w:r w:rsidR="00242470">
        <w:t xml:space="preserve"> (rather than their first screen). There are a couple of possible reasons for this including that cancers may be more conspicuous in women undergoing a first screening round but that malignant changes may become more subtle in time</w:t>
      </w:r>
      <w:r w:rsidR="00A458C8">
        <w:t xml:space="preserve"> and more common with increasing age (and women undergoing incident screening are likely to be older)</w:t>
      </w:r>
      <w:r w:rsidR="00242470">
        <w:t>.</w:t>
      </w:r>
    </w:p>
    <w:p w14:paraId="05712623" w14:textId="2FAB7880" w:rsidR="00242470" w:rsidRDefault="0083335C" w:rsidP="0083335C">
      <w:pPr>
        <w:pStyle w:val="BodyText"/>
      </w:pPr>
      <w:r>
        <w:t xml:space="preserve">Another aspect of CDR noted by Marinovich et al. (2018) was that most of the studies published prior to July 2017 (their literature close date) focused on the first round of screening with DBT (and that these could be considered to be a ‘prevalent’ round). They noted the importance of further evidence on CDR to see whether the incremental increases seen with the use of DBT remained for following screening rounds using DBT. </w:t>
      </w:r>
      <w:r w:rsidR="00242470">
        <w:t>This is not what has been observed in the studies published since then including the Trento and Verona studies (which were also STORM sites)</w:t>
      </w:r>
      <w:r w:rsidR="00C71DD3">
        <w:t xml:space="preserve"> but further consistent evidence of this effect is required.</w:t>
      </w:r>
    </w:p>
    <w:p w14:paraId="2DC8474F" w14:textId="27C24090" w:rsidR="00242470" w:rsidRPr="009406BB" w:rsidRDefault="00242470" w:rsidP="00242470">
      <w:pPr>
        <w:pStyle w:val="BodyText-GREEN"/>
        <w:rPr>
          <w:b/>
          <w:bCs/>
        </w:rPr>
      </w:pPr>
      <w:r>
        <w:rPr>
          <w:b/>
          <w:bCs/>
        </w:rPr>
        <w:t>Retrospective analysis</w:t>
      </w:r>
    </w:p>
    <w:p w14:paraId="3D8662F1" w14:textId="0419E740" w:rsidR="0083335C" w:rsidRDefault="0083335C" w:rsidP="0083335C">
      <w:pPr>
        <w:pStyle w:val="BodyText"/>
      </w:pPr>
      <w:r>
        <w:t>We only identified one paper (Hovda et al., 2018)</w:t>
      </w:r>
      <w:r w:rsidR="00146DFA">
        <w:t xml:space="preserve"> that </w:t>
      </w:r>
      <w:r>
        <w:t xml:space="preserve">described a retrospective analysis of </w:t>
      </w:r>
      <w:r w:rsidR="00C71DD3">
        <w:t>Norway BreastScreen Program data. The authors compared short-term screening outcomes for several different scenarios including two consecutive screening rounds with FFDM and two or three consecutive screening rounds with FFDM followed by FFDM+DBT or DBT+</w:t>
      </w:r>
      <w:r w:rsidR="00176980">
        <w:t>s2DM</w:t>
      </w:r>
      <w:r w:rsidR="00C71DD3">
        <w:t>.</w:t>
      </w:r>
      <w:r w:rsidR="00A858C5">
        <w:t xml:space="preserve"> The study included records from 35,736 women who had at least two consecutive screening rounds between 2008 and 2016. Imaging protocols</w:t>
      </w:r>
      <w:r w:rsidR="00105558">
        <w:t xml:space="preserve"> and </w:t>
      </w:r>
      <w:r w:rsidR="00667A1E">
        <w:t xml:space="preserve">associated </w:t>
      </w:r>
      <w:r w:rsidR="00105558">
        <w:t>CDR</w:t>
      </w:r>
      <w:r w:rsidR="00A858C5">
        <w:t xml:space="preserve"> included:</w:t>
      </w:r>
    </w:p>
    <w:p w14:paraId="58F03F51" w14:textId="27F96DC1" w:rsidR="00A858C5" w:rsidRDefault="00B524B8" w:rsidP="00A858C5">
      <w:pPr>
        <w:pStyle w:val="List-BulletLvl1"/>
      </w:pPr>
      <w:r>
        <w:t>Group 1 (two consecutive FFDM screens)</w:t>
      </w:r>
      <w:r w:rsidR="00A858C5">
        <w:t xml:space="preserve">: </w:t>
      </w:r>
      <w:r w:rsidR="00105558">
        <w:t>4.6 cancers per 1000 screening examinations</w:t>
      </w:r>
    </w:p>
    <w:p w14:paraId="13B9EBCF" w14:textId="74117DCF" w:rsidR="00A858C5" w:rsidRDefault="00B524B8" w:rsidP="00A858C5">
      <w:pPr>
        <w:pStyle w:val="List-BulletLvl1"/>
      </w:pPr>
      <w:r>
        <w:t>Group 2 (</w:t>
      </w:r>
      <w:r w:rsidR="00A858C5">
        <w:t>FFDM then FFDM+DBT or FFDM then DBT+</w:t>
      </w:r>
      <w:r w:rsidR="00176980">
        <w:t>s2DM</w:t>
      </w:r>
      <w:r>
        <w:t>)</w:t>
      </w:r>
      <w:r w:rsidR="00A858C5">
        <w:t xml:space="preserve">: </w:t>
      </w:r>
      <w:r w:rsidR="007B5F63">
        <w:t>9.9</w:t>
      </w:r>
      <w:r w:rsidR="007B5F63" w:rsidRPr="007B5F63">
        <w:t xml:space="preserve"> </w:t>
      </w:r>
      <w:r w:rsidR="007B5F63">
        <w:t>cancers per 1000 screening examinations</w:t>
      </w:r>
    </w:p>
    <w:p w14:paraId="5E980E75" w14:textId="4EAB29C5" w:rsidR="00A858C5" w:rsidRDefault="00B524B8" w:rsidP="00A858C5">
      <w:pPr>
        <w:pStyle w:val="List-BulletLvl1"/>
      </w:pPr>
      <w:r>
        <w:t>Group 3 (</w:t>
      </w:r>
      <w:r w:rsidR="00A858C5">
        <w:t>FFDM+DBT then DBT+</w:t>
      </w:r>
      <w:r w:rsidR="00176980">
        <w:t>s2DM</w:t>
      </w:r>
      <w:r>
        <w:t>)</w:t>
      </w:r>
      <w:r w:rsidR="00A858C5">
        <w:t xml:space="preserve">: </w:t>
      </w:r>
      <w:r w:rsidR="007B5F63">
        <w:t>8.3 cancers per 1000 screening examinations, and</w:t>
      </w:r>
    </w:p>
    <w:p w14:paraId="6E21AAE5" w14:textId="6012BD64" w:rsidR="00A858C5" w:rsidRDefault="00B524B8" w:rsidP="00A858C5">
      <w:pPr>
        <w:pStyle w:val="List-BulletLvl1"/>
      </w:pPr>
      <w:r>
        <w:t>Group 4 (</w:t>
      </w:r>
      <w:r w:rsidR="00A858C5">
        <w:t xml:space="preserve">FFDM+DBT then FFDM or FFDM </w:t>
      </w:r>
      <w:r>
        <w:t xml:space="preserve">then </w:t>
      </w:r>
      <w:r w:rsidR="00A858C5">
        <w:t>DBT+</w:t>
      </w:r>
      <w:r w:rsidR="00176980">
        <w:t>s2DM</w:t>
      </w:r>
      <w:r>
        <w:t>)</w:t>
      </w:r>
      <w:r w:rsidR="00A858C5">
        <w:t xml:space="preserve">: </w:t>
      </w:r>
      <w:r w:rsidR="007B5F63">
        <w:t>4.3 cancers per 1000 screening examinations.</w:t>
      </w:r>
    </w:p>
    <w:p w14:paraId="1321C0CC" w14:textId="5C61A208" w:rsidR="0083335C" w:rsidRDefault="00667A1E" w:rsidP="0083335C">
      <w:pPr>
        <w:pStyle w:val="BodyText"/>
      </w:pPr>
      <w:r>
        <w:t>This study provide</w:t>
      </w:r>
      <w:r w:rsidR="001B615C">
        <w:t>d some</w:t>
      </w:r>
      <w:r>
        <w:t xml:space="preserve"> initial data suggesting that CDR remains elevated with two consecutive rounds of screening with DBT compared to two rounds of screening with FFDM.</w:t>
      </w:r>
      <w:r w:rsidR="001B615C">
        <w:t xml:space="preserve"> </w:t>
      </w:r>
      <w:r w:rsidR="005029BB">
        <w:t>Given the limited available information, t</w:t>
      </w:r>
      <w:r w:rsidR="0083335C">
        <w:t>he relationship between increased CDR and incident/prevalent screening (in this context) requires further investigation.</w:t>
      </w:r>
    </w:p>
    <w:p w14:paraId="2E9A9D02" w14:textId="62B82D8A" w:rsidR="00A102B2" w:rsidRDefault="00A102B2" w:rsidP="00800E00">
      <w:pPr>
        <w:pStyle w:val="NumberedHeading3"/>
      </w:pPr>
      <w:bookmarkStart w:id="198" w:name="_Toc43376286"/>
      <w:r>
        <w:t>CDR stratified by breast density</w:t>
      </w:r>
      <w:bookmarkEnd w:id="198"/>
      <w:r>
        <w:t xml:space="preserve"> </w:t>
      </w:r>
    </w:p>
    <w:p w14:paraId="4E8AAE25" w14:textId="026FBEF2" w:rsidR="008B288D" w:rsidRDefault="00C71DD3" w:rsidP="00A4574C">
      <w:pPr>
        <w:pStyle w:val="BodyText"/>
      </w:pPr>
      <w:r>
        <w:t xml:space="preserve">One of the key advantages conferred by DBT is the use of very thin slices/slabs which enables radiologists to scroll through the breast images in a way that minimises any ‘noise’ associated with breast tissue overlap seen on two-dimensional mammography. </w:t>
      </w:r>
      <w:r w:rsidR="00A73014">
        <w:t>Seven</w:t>
      </w:r>
      <w:r w:rsidR="008B288D">
        <w:t xml:space="preserve"> studies reported data that stratified CDR by breast density (usually comparing less dense breasts with more dense breasts). Detailed methodologies for each of these studies is provided in </w:t>
      </w:r>
      <w:r w:rsidR="008B288D">
        <w:rPr>
          <w:i/>
          <w:iCs/>
        </w:rPr>
        <w:t>section 3.1.1.</w:t>
      </w:r>
    </w:p>
    <w:p w14:paraId="3A2DA170" w14:textId="18D6B546" w:rsidR="00A4574C" w:rsidRPr="00A4574C" w:rsidRDefault="00B324F0" w:rsidP="00A4574C">
      <w:pPr>
        <w:pStyle w:val="BodyText"/>
      </w:pPr>
      <w:r>
        <w:lastRenderedPageBreak/>
        <w:t>Generally, evidence suggest</w:t>
      </w:r>
      <w:r w:rsidR="008B288D">
        <w:t>ed</w:t>
      </w:r>
      <w:r>
        <w:t xml:space="preserve"> that use of DBT results in increased CDR for all breast densities (i.e., all women) but some evidence is emerging that the increase may be greater for women whose breasts are more dense. </w:t>
      </w:r>
      <w:r w:rsidR="008B288D">
        <w:t xml:space="preserve">While breast density is not reported in the BSA program (and was therefore not covered by the Maroondah trial), considering results of stratification analysis by density is useful in considering whether there are some population groups for whom DBT may be more beneficial. </w:t>
      </w:r>
    </w:p>
    <w:p w14:paraId="37F6C597" w14:textId="23AC0EEF" w:rsidR="00C71DD3" w:rsidRPr="00C71DD3" w:rsidRDefault="00C71DD3" w:rsidP="00C71DD3">
      <w:pPr>
        <w:pStyle w:val="BodyText-GREEN"/>
        <w:rPr>
          <w:b/>
          <w:bCs/>
        </w:rPr>
      </w:pPr>
      <w:r w:rsidRPr="00C71DD3">
        <w:rPr>
          <w:b/>
          <w:bCs/>
        </w:rPr>
        <w:t>Systematic review</w:t>
      </w:r>
      <w:r w:rsidR="00D05C0E">
        <w:rPr>
          <w:b/>
          <w:bCs/>
        </w:rPr>
        <w:t>s</w:t>
      </w:r>
      <w:r w:rsidRPr="00C71DD3">
        <w:rPr>
          <w:b/>
          <w:bCs/>
        </w:rPr>
        <w:t xml:space="preserve"> </w:t>
      </w:r>
    </w:p>
    <w:p w14:paraId="2FD67AFB" w14:textId="317233B5" w:rsidR="00BF7576" w:rsidRPr="00BF7576" w:rsidRDefault="00BF7576" w:rsidP="00A102B2">
      <w:pPr>
        <w:pStyle w:val="BodyText"/>
      </w:pPr>
      <w:r>
        <w:t xml:space="preserve">Phi et al. (2018) completed a systematic review with pooled analysis reporting on breast density and CDR. Primary studies included in the pooled analysis generally used radiologist assessment to determine breast density (rather than using an automated system like Volpara). This could lead to some inconsistency in allocation of women to having scattered density or heterogeneously dense breast tissue. Phi et al. also included studies of screening and diagnostic populations, which could also influence the study’s findings. That said, Phi et al. reported that CDR </w:t>
      </w:r>
      <w:r w:rsidR="00285D7E">
        <w:t>increased,</w:t>
      </w:r>
      <w:r>
        <w:t xml:space="preserve"> and recall reduced for all breast density categories when DBT was used. Larger increases were reported for the more dense breast categories in prospective studies set in screening programs (OR=1.52</w:t>
      </w:r>
      <w:r w:rsidR="00B324F0">
        <w:t>;</w:t>
      </w:r>
      <w:r>
        <w:t xml:space="preserve"> 95%CI: 1.08</w:t>
      </w:r>
      <w:r w:rsidR="004F6A90">
        <w:t xml:space="preserve">, </w:t>
      </w:r>
      <w:r>
        <w:t>2.11)</w:t>
      </w:r>
      <w:r w:rsidR="00B324F0">
        <w:t>.</w:t>
      </w:r>
      <w:r>
        <w:t xml:space="preserve"> This indicate</w:t>
      </w:r>
      <w:r w:rsidR="00B324F0">
        <w:t>d</w:t>
      </w:r>
      <w:r>
        <w:t xml:space="preserve"> that DBT is likely to reduce ‘noise’ associated with breast tissue overlap and improve conspicuity of both benign and malignant lesions.</w:t>
      </w:r>
    </w:p>
    <w:p w14:paraId="4ECD5D23" w14:textId="77777777" w:rsidR="00B324F0" w:rsidRDefault="00B324F0" w:rsidP="00B324F0">
      <w:pPr>
        <w:pStyle w:val="BodyText"/>
      </w:pPr>
      <w:r>
        <w:t xml:space="preserve">Marinovich et al. (2018) also looked at incremental CDR in their meta-analysis and noted the infrequency of data reported by breast density. They reported a non-significant increase in incremental CDR for women with dense breasts (BIRADS C+D) when DBT was used (based on DBT+FFDM imaging). </w:t>
      </w:r>
    </w:p>
    <w:p w14:paraId="6D375B63" w14:textId="77777777" w:rsidR="00DD1303" w:rsidRDefault="00DD1303" w:rsidP="008B288D">
      <w:pPr>
        <w:pStyle w:val="BodyText-GREEN"/>
        <w:rPr>
          <w:b/>
          <w:bCs/>
        </w:rPr>
      </w:pPr>
      <w:r>
        <w:rPr>
          <w:b/>
          <w:bCs/>
        </w:rPr>
        <w:t>RCT</w:t>
      </w:r>
    </w:p>
    <w:p w14:paraId="3AB2992D" w14:textId="3085EE0A" w:rsidR="00DD1303" w:rsidRPr="00DD1303" w:rsidRDefault="00DD1303" w:rsidP="00DD1303">
      <w:pPr>
        <w:pStyle w:val="BodyText"/>
      </w:pPr>
      <w:r w:rsidRPr="00DD1303">
        <w:t>Pattacini et al. (2018) mentioned CDR and breast density in passing, noting that CDR increased for all categories of breast density with FFDM+DBT was used. Incremental increases in CDR were reported as follows</w:t>
      </w:r>
      <w:r>
        <w:t>, with only a significant result reported for scattered density</w:t>
      </w:r>
      <w:r w:rsidRPr="00DD1303">
        <w:t>:</w:t>
      </w:r>
    </w:p>
    <w:p w14:paraId="2A77EF38" w14:textId="0BD1DCDD" w:rsidR="00DD1303" w:rsidRDefault="00DD1303" w:rsidP="00DD1303">
      <w:pPr>
        <w:pStyle w:val="List-BulletLvl1"/>
      </w:pPr>
      <w:r>
        <w:t>BIRADS A: RR=2.0 (95%CI: 0.37,</w:t>
      </w:r>
      <w:r w:rsidR="004F6A90">
        <w:t xml:space="preserve"> </w:t>
      </w:r>
      <w:r>
        <w:t>10.92) FFDM+DBT compared to FFDM (</w:t>
      </w:r>
      <w:r w:rsidR="008870F2">
        <w:t>almost entirely fat</w:t>
      </w:r>
      <w:r>
        <w:t>)</w:t>
      </w:r>
    </w:p>
    <w:p w14:paraId="6A2096BD" w14:textId="1C054E77" w:rsidR="00DD1303" w:rsidRDefault="00DD1303" w:rsidP="00DD1303">
      <w:pPr>
        <w:pStyle w:val="List-BulletLvl1"/>
      </w:pPr>
      <w:r>
        <w:t>BIRADS B: RR=2.1</w:t>
      </w:r>
      <w:r w:rsidRPr="00DD1303">
        <w:t xml:space="preserve"> </w:t>
      </w:r>
      <w:r>
        <w:t>(95%CI: 1.05, 4.15) FFDM+DBT compared to FFDM (scattered density)</w:t>
      </w:r>
    </w:p>
    <w:p w14:paraId="57E09B6F" w14:textId="4F986DA8" w:rsidR="00DD1303" w:rsidRDefault="00DD1303" w:rsidP="00DD1303">
      <w:pPr>
        <w:pStyle w:val="List-BulletLvl1"/>
      </w:pPr>
      <w:r>
        <w:t>BIRADS C: RR=1.5 (95%CI: 0.83, 2.72) FFDM+ DBT compared to FFDM (heterogeneously dense breasts)</w:t>
      </w:r>
    </w:p>
    <w:p w14:paraId="3E3C12F4" w14:textId="64B53801" w:rsidR="00DD1303" w:rsidRPr="00DD1303" w:rsidRDefault="00DD1303" w:rsidP="00DD1303">
      <w:pPr>
        <w:pStyle w:val="List-BulletLvl1"/>
      </w:pPr>
      <w:r>
        <w:t>BIRADS D: RR=2.29 (95%CI: 0.94, 5.56) FFDM+DBT compared to FFDM (</w:t>
      </w:r>
      <w:r w:rsidR="008870F2">
        <w:t>extremely dense</w:t>
      </w:r>
      <w:r>
        <w:t>).</w:t>
      </w:r>
    </w:p>
    <w:p w14:paraId="592D3287" w14:textId="7FB9C625" w:rsidR="008B288D" w:rsidRPr="009406BB" w:rsidRDefault="008B288D" w:rsidP="008B288D">
      <w:pPr>
        <w:pStyle w:val="BodyText-GREEN"/>
        <w:rPr>
          <w:b/>
          <w:bCs/>
        </w:rPr>
      </w:pPr>
      <w:r w:rsidRPr="009406BB">
        <w:rPr>
          <w:b/>
          <w:bCs/>
        </w:rPr>
        <w:t>Prospective studies embedded in population-based screening programs</w:t>
      </w:r>
    </w:p>
    <w:p w14:paraId="509EDD6A" w14:textId="2790E3FE" w:rsidR="008B288D" w:rsidRDefault="008B288D" w:rsidP="008B288D">
      <w:pPr>
        <w:pStyle w:val="BodyText"/>
      </w:pPr>
      <w:r>
        <w:t>CDR was also stratified by breast density in two trials (Cordoba and Verona) (Caumo et al., 2018; Romero Martín et al., 2018). While breast density was classified using BIRADS (5</w:t>
      </w:r>
      <w:r w:rsidRPr="00B52146">
        <w:rPr>
          <w:vertAlign w:val="superscript"/>
        </w:rPr>
        <w:t>th</w:t>
      </w:r>
      <w:r>
        <w:t xml:space="preserve"> edition) in these studies, data was stratified differently (either less dense compared to more dense or by each density category). The effect trend is similar regardless of stratification approach: use of DBT+</w:t>
      </w:r>
      <w:r w:rsidR="00176980">
        <w:t>s2DM</w:t>
      </w:r>
      <w:r>
        <w:t xml:space="preserve"> increased CDR in all densities but the increase was greater in more dense breasts. In the Cordoba trial, Romero Martín et al. (2018) stratified data into four separate categories (A,B,C,D). Most cancers were detected in breasts with scattered or </w:t>
      </w:r>
      <w:bookmarkStart w:id="199" w:name="_Hlk25951844"/>
      <w:r>
        <w:t xml:space="preserve">heterogenous density (BIRADS B or C), </w:t>
      </w:r>
      <w:bookmarkEnd w:id="199"/>
      <w:r>
        <w:t xml:space="preserve">with a statistically significant increase in the number of cancers detected in </w:t>
      </w:r>
      <w:r>
        <w:lastRenderedPageBreak/>
        <w:t>heterogeneously dense breasts with DBT+</w:t>
      </w:r>
      <w:r w:rsidR="00176980">
        <w:t>s2DM</w:t>
      </w:r>
      <w:r>
        <w:t xml:space="preserve"> compared to FFDM: 37 cancers detected with DBT+</w:t>
      </w:r>
      <w:r w:rsidR="00176980">
        <w:t>s2DM</w:t>
      </w:r>
      <w:r>
        <w:t xml:space="preserve"> compared to 29 cancers detected with FFM only (21.6 percent</w:t>
      </w:r>
      <w:r w:rsidR="00176980">
        <w:t>;</w:t>
      </w:r>
      <w:r>
        <w:t xml:space="preserve"> 95%CI: 11.4</w:t>
      </w:r>
      <w:r w:rsidR="004F6A90">
        <w:t xml:space="preserve">, </w:t>
      </w:r>
      <w:r>
        <w:t xml:space="preserve">37.2; </w:t>
      </w:r>
      <w:r>
        <w:rPr>
          <w:i/>
          <w:iCs/>
        </w:rPr>
        <w:t>p</w:t>
      </w:r>
      <w:r>
        <w:t>=.039). Romero Martín et al. (2018) also reported that DBT+</w:t>
      </w:r>
      <w:r w:rsidR="00176980">
        <w:t>s2DM</w:t>
      </w:r>
      <w:r>
        <w:t xml:space="preserve"> detected twice as many cancers in very dense breasts compared to the number of cancers detected with FFDM. Raw numbers however were very small (i.e., there were only two cancers in total in extremely dense breasts: one was detected with DBT+</w:t>
      </w:r>
      <w:r w:rsidR="00176980">
        <w:t>s2DM</w:t>
      </w:r>
      <w:r>
        <w:t xml:space="preserve"> only and the other was detected with both DBT+</w:t>
      </w:r>
      <w:r w:rsidR="00176980">
        <w:t>s2DM</w:t>
      </w:r>
      <w:r>
        <w:t xml:space="preserve"> and FFDM). </w:t>
      </w:r>
    </w:p>
    <w:p w14:paraId="79A0FD54" w14:textId="5BC8C448" w:rsidR="008B288D" w:rsidRDefault="008B288D" w:rsidP="008B288D">
      <w:pPr>
        <w:pStyle w:val="BodyText"/>
      </w:pPr>
      <w:r>
        <w:t>Results from the Verona trial were stratified by BIRADS A+B (not dense) and BIRADS C+D (dense). Statistically significant increases in CDR were reported for both groups of densities with DBT+</w:t>
      </w:r>
      <w:r w:rsidR="00176980">
        <w:t>s2DM</w:t>
      </w:r>
      <w:r>
        <w:t xml:space="preserve"> compared to FFDM but the increase in dense breasts (BIRADS C+D) was much larger (12.9 cancers per 1000 screening exams when DBT+</w:t>
      </w:r>
      <w:r w:rsidR="00176980">
        <w:t>s2DM</w:t>
      </w:r>
      <w:r>
        <w:t xml:space="preserve"> was used compared to 4.5 cancers per 1000 screening exams performed with FFDM, </w:t>
      </w:r>
      <w:r>
        <w:rPr>
          <w:i/>
          <w:iCs/>
        </w:rPr>
        <w:t>p</w:t>
      </w:r>
      <w:r>
        <w:t xml:space="preserve">=.001). </w:t>
      </w:r>
    </w:p>
    <w:p w14:paraId="01A18573" w14:textId="47B9B965" w:rsidR="00B324F0" w:rsidRPr="00B324F0" w:rsidRDefault="00B324F0" w:rsidP="00B324F0">
      <w:pPr>
        <w:pStyle w:val="BodyText-GREEN"/>
        <w:rPr>
          <w:b/>
          <w:bCs/>
        </w:rPr>
      </w:pPr>
      <w:r w:rsidRPr="00B324F0">
        <w:rPr>
          <w:b/>
          <w:bCs/>
        </w:rPr>
        <w:t>Retrospective analysis</w:t>
      </w:r>
    </w:p>
    <w:p w14:paraId="541835FE" w14:textId="25FDE170" w:rsidR="00B324F0" w:rsidRDefault="00B324F0" w:rsidP="00B324F0">
      <w:pPr>
        <w:pStyle w:val="BodyText"/>
      </w:pPr>
      <w:r>
        <w:t>A retrospective analysis (Rose &amp; Shisler, 2018) reported statistically significant increases in CDR for women aged younger than 50 years and with more dense breasts, noting an adjusted incremental difference of 1.3 cancers detected per 1000 screening examinations (</w:t>
      </w:r>
      <w:r>
        <w:rPr>
          <w:i/>
          <w:iCs/>
        </w:rPr>
        <w:t>p</w:t>
      </w:r>
      <w:r>
        <w:t>=.039). Interestingly, while the CDR increased for women aged under 50 with more dense breasts when DBT was used, non-significant increases in CDR were detected for all women in the study. This may suggest that, for women aged under 50 years, DBT confers a benefit only when that woman also has dense breasts.</w:t>
      </w:r>
    </w:p>
    <w:p w14:paraId="58644355" w14:textId="44B4E5F3" w:rsidR="008B288D" w:rsidRDefault="008B288D" w:rsidP="008B288D">
      <w:pPr>
        <w:pStyle w:val="BodyText"/>
      </w:pPr>
      <w:r>
        <w:t xml:space="preserve">Conant et al. (2019) reported that CDR increased for all categories of breast density when </w:t>
      </w:r>
      <w:r w:rsidR="008870F2">
        <w:t>FFDM+</w:t>
      </w:r>
      <w:r>
        <w:t>DBT was used.</w:t>
      </w:r>
      <w:r w:rsidR="008870F2">
        <w:t xml:space="preserve"> They reported breasts as non-dense (BIRADS 1 and 2) or dense (BIRADS 3 and 4). In this study, women with more dense breasts had a larger increase in detection when FFDM+DBT was used compared to women with less dense breasts (2.27 per 1000 screening examinations compared to 1.70 per 1000 screening examinations). Overall cancer detection increased for all women when FFDM was used. Information about the implications of breast density on recall rates from this study are reported in </w:t>
      </w:r>
      <w:r w:rsidR="008870F2" w:rsidRPr="008870F2">
        <w:rPr>
          <w:i/>
          <w:iCs/>
        </w:rPr>
        <w:t>section 3.4.1</w:t>
      </w:r>
      <w:r w:rsidR="008870F2">
        <w:t>.</w:t>
      </w:r>
    </w:p>
    <w:p w14:paraId="7C861975" w14:textId="7C482CAC" w:rsidR="00A102B2" w:rsidRDefault="00A102B2" w:rsidP="00A102B2">
      <w:pPr>
        <w:pStyle w:val="BodyText"/>
      </w:pPr>
      <w:r>
        <w:t>Given the sample sizes, different imaging protocols and the different</w:t>
      </w:r>
      <w:r w:rsidR="009E2DF4">
        <w:t xml:space="preserve"> density</w:t>
      </w:r>
      <w:r>
        <w:t xml:space="preserve"> strata used, more studies are needed to further explore the relationship between</w:t>
      </w:r>
      <w:r w:rsidR="00DD1303">
        <w:t xml:space="preserve"> DBT (either with </w:t>
      </w:r>
      <w:r w:rsidR="00176980">
        <w:t>s2DM</w:t>
      </w:r>
      <w:r w:rsidR="00DD1303">
        <w:t xml:space="preserve"> or FFDM),</w:t>
      </w:r>
      <w:r>
        <w:t xml:space="preserve"> CDR and breast density</w:t>
      </w:r>
      <w:r w:rsidR="0030317D">
        <w:t xml:space="preserve"> to determine whether it is more beneficial for women with more dense breasts</w:t>
      </w:r>
      <w:r w:rsidR="00DD1303">
        <w:t xml:space="preserve"> (and therefore may be appropriately considered as a more accurate test for some women)</w:t>
      </w:r>
      <w:r>
        <w:t>.</w:t>
      </w:r>
      <w:r w:rsidR="00603B81">
        <w:t xml:space="preserve"> Reliability in stratification analysis by breast density </w:t>
      </w:r>
      <w:r w:rsidR="007E3D00">
        <w:t>is also likely to improve as systems to more consistently categorise density are used in research.</w:t>
      </w:r>
    </w:p>
    <w:p w14:paraId="6B8D70C9" w14:textId="6615AEA5" w:rsidR="00A102B2" w:rsidRPr="00F54128" w:rsidRDefault="00A102B2" w:rsidP="00800E00">
      <w:pPr>
        <w:pStyle w:val="NumberedHeading3"/>
      </w:pPr>
      <w:bookmarkStart w:id="200" w:name="_Toc43376287"/>
      <w:r>
        <w:t>CDR stratified by age</w:t>
      </w:r>
      <w:bookmarkEnd w:id="200"/>
      <w:r>
        <w:t xml:space="preserve"> </w:t>
      </w:r>
    </w:p>
    <w:p w14:paraId="6462DCEF" w14:textId="3A27966A" w:rsidR="00A4574C" w:rsidRDefault="007D0658" w:rsidP="00A102B2">
      <w:pPr>
        <w:pStyle w:val="BodyText"/>
      </w:pPr>
      <w:r>
        <w:t xml:space="preserve">Cancer incidence increases with age, and most breast-screening programs observe an increase in cancer detection with increasing age. Given that </w:t>
      </w:r>
      <w:r w:rsidR="00171FB5">
        <w:t xml:space="preserve">younger women are more likely to have more dense breasts compared to older women, and that use of DBT appears to increase CDR more in women with more dense breasts, we were interested to explore the literature to see whether there are also differences in CDR stratified by age. </w:t>
      </w:r>
      <w:r w:rsidR="00C7191D">
        <w:t xml:space="preserve">No systematic reviews of studies published since December 2017 </w:t>
      </w:r>
      <w:r w:rsidR="00171FB5">
        <w:t xml:space="preserve">or RCT data </w:t>
      </w:r>
      <w:r w:rsidR="00C7191D">
        <w:t>considered CDR stratified by age</w:t>
      </w:r>
      <w:r>
        <w:t>,</w:t>
      </w:r>
      <w:r w:rsidR="00C7191D">
        <w:t xml:space="preserve"> but several trials and evaluation pilots </w:t>
      </w:r>
      <w:r w:rsidR="00171FB5">
        <w:t>did, reporting inconsistent findings</w:t>
      </w:r>
      <w:r w:rsidR="00C7191D">
        <w:t>.</w:t>
      </w:r>
      <w:r w:rsidR="00171FB5">
        <w:t xml:space="preserve"> Inconsistencies may reflect the different ways in which CDR was stratified by age band.</w:t>
      </w:r>
      <w:r w:rsidR="00A4574C">
        <w:t xml:space="preserve"> Detailed methodologies for each of these studies is provided in </w:t>
      </w:r>
      <w:r w:rsidR="00A4574C">
        <w:rPr>
          <w:i/>
          <w:iCs/>
        </w:rPr>
        <w:t>section 3.1.1.</w:t>
      </w:r>
    </w:p>
    <w:p w14:paraId="46C4A1EF" w14:textId="77777777" w:rsidR="00171FB5" w:rsidRPr="009406BB" w:rsidRDefault="00171FB5" w:rsidP="00171FB5">
      <w:pPr>
        <w:pStyle w:val="BodyText-GREEN"/>
        <w:rPr>
          <w:b/>
          <w:bCs/>
        </w:rPr>
      </w:pPr>
      <w:r w:rsidRPr="009406BB">
        <w:rPr>
          <w:b/>
          <w:bCs/>
        </w:rPr>
        <w:lastRenderedPageBreak/>
        <w:t>Prospective studies embedded in population-based screening programs</w:t>
      </w:r>
    </w:p>
    <w:p w14:paraId="2C2CBAFE" w14:textId="0A79C951" w:rsidR="00A102B2" w:rsidRDefault="00A102B2" w:rsidP="00A102B2">
      <w:pPr>
        <w:pStyle w:val="BodyText"/>
      </w:pPr>
      <w:r>
        <w:t>CDR was stratified by age in the Maroondah and Verona trials, with both studies reporting increased cancer detection in older women compared to younger women for both screening tests</w:t>
      </w:r>
      <w:r w:rsidR="007D0658">
        <w:t xml:space="preserve"> (DBT+</w:t>
      </w:r>
      <w:r w:rsidR="00176980">
        <w:t>s2DM</w:t>
      </w:r>
      <w:r w:rsidR="007D0658">
        <w:t xml:space="preserve"> and FFDM alone)</w:t>
      </w:r>
      <w:r>
        <w:t>. Significance was not achieved for the results for younger women. The studies also stratified by different age bands. In the Maroondah trial (Houssami et al., 2019), results were stratified by women aged over or under aged 60 years. For women aged over 60 years, DBT+</w:t>
      </w:r>
      <w:r w:rsidR="00176980">
        <w:t>s2DM</w:t>
      </w:r>
      <w:r>
        <w:t xml:space="preserve"> detected more cancers (15 cancers detected per 1000 screening exams compared to 8.5 with FFDM; 95%CI: 1.1</w:t>
      </w:r>
      <w:r w:rsidR="004F6A90">
        <w:t xml:space="preserve">, </w:t>
      </w:r>
      <w:r>
        <w:t>14). Non-significant results were presented for women aged under 60 years. The Verona trial stratified women into several age bands. For women aged 50-54 years, a non-significant increase in CDR was reported with the use of DBT+</w:t>
      </w:r>
      <w:r w:rsidR="00176980">
        <w:t>s2DM</w:t>
      </w:r>
      <w:r>
        <w:t xml:space="preserve"> (6.8 per 1000 screening exams compared to 6.4 cancers detected with FFDM exams; </w:t>
      </w:r>
      <w:r>
        <w:rPr>
          <w:i/>
          <w:iCs/>
        </w:rPr>
        <w:t>p</w:t>
      </w:r>
      <w:r>
        <w:t>=.80). For women aged 55 years and over, CDR ranged between 7.8 and 13.0 per 1000 screening exams for DBT+</w:t>
      </w:r>
      <w:r w:rsidR="00176980">
        <w:t>s2DM</w:t>
      </w:r>
      <w:r>
        <w:t xml:space="preserve"> compared to 3.4</w:t>
      </w:r>
      <w:r w:rsidR="00176980">
        <w:t xml:space="preserve"> to </w:t>
      </w:r>
      <w:r>
        <w:t>6.1 cancers (FFDM), depending on the age band used. All comparisons by the older age band achi</w:t>
      </w:r>
      <w:r w:rsidR="00816932">
        <w:t>e</w:t>
      </w:r>
      <w:r>
        <w:t>ved significance (Caumo et al., 2018).</w:t>
      </w:r>
    </w:p>
    <w:p w14:paraId="55CBE9DF" w14:textId="4FADCE15" w:rsidR="00171FB5" w:rsidRDefault="00171FB5" w:rsidP="00171FB5">
      <w:pPr>
        <w:pStyle w:val="BodyText"/>
      </w:pPr>
      <w:r>
        <w:t>Zackrisson et al. (2018) reported on age stratified data from the Malmö trial (DBT</w:t>
      </w:r>
      <w:r>
        <w:rPr>
          <w:vertAlign w:val="subscript"/>
        </w:rPr>
        <w:t>MLO</w:t>
      </w:r>
      <w:r>
        <w:t xml:space="preserve"> compared to FFDM alone). For all age groups (40-49y; 50-59y; 60-69y), CDR increased with the biggest increases were seen in women aged 50-59 years:</w:t>
      </w:r>
    </w:p>
    <w:p w14:paraId="59C7CF79" w14:textId="1F8D9BA0" w:rsidR="00171FB5" w:rsidRPr="00171FB5" w:rsidRDefault="00171FB5" w:rsidP="00171FB5">
      <w:pPr>
        <w:pStyle w:val="List-BulletLvl1"/>
      </w:pPr>
      <w:r>
        <w:t>40-49 years: DBT</w:t>
      </w:r>
      <w:r>
        <w:rPr>
          <w:vertAlign w:val="subscript"/>
        </w:rPr>
        <w:t xml:space="preserve">MLO </w:t>
      </w:r>
      <w:r>
        <w:t>cancer detection was 19 percent compared to 16 percent</w:t>
      </w:r>
    </w:p>
    <w:p w14:paraId="46F7D2FC" w14:textId="22879B83" w:rsidR="00171FB5" w:rsidRPr="00171FB5" w:rsidRDefault="00171FB5" w:rsidP="00171FB5">
      <w:pPr>
        <w:pStyle w:val="List-BulletLvl1"/>
      </w:pPr>
      <w:r>
        <w:t>50-59 years: DBT</w:t>
      </w:r>
      <w:r>
        <w:rPr>
          <w:vertAlign w:val="subscript"/>
        </w:rPr>
        <w:t>MLO</w:t>
      </w:r>
      <w:r w:rsidRPr="00171FB5">
        <w:t xml:space="preserve"> </w:t>
      </w:r>
      <w:r>
        <w:t>cancer detection was 26 percent compared to 16 percent</w:t>
      </w:r>
    </w:p>
    <w:p w14:paraId="2C65EE48" w14:textId="1F8EADA8" w:rsidR="00171FB5" w:rsidRPr="00171FB5" w:rsidRDefault="00171FB5" w:rsidP="00171FB5">
      <w:pPr>
        <w:pStyle w:val="List-BulletLvl1"/>
      </w:pPr>
      <w:r>
        <w:t>60-69 years:</w:t>
      </w:r>
      <w:r w:rsidRPr="00171FB5">
        <w:t xml:space="preserve"> </w:t>
      </w:r>
      <w:r>
        <w:t>DBT</w:t>
      </w:r>
      <w:r>
        <w:rPr>
          <w:vertAlign w:val="subscript"/>
        </w:rPr>
        <w:t>MLO</w:t>
      </w:r>
      <w:r w:rsidRPr="00171FB5">
        <w:t xml:space="preserve"> </w:t>
      </w:r>
      <w:r>
        <w:t>cancer detection was 43 percent compared to 36 percent</w:t>
      </w:r>
    </w:p>
    <w:p w14:paraId="5D7306BD" w14:textId="2C85C8C4" w:rsidR="00171FB5" w:rsidRDefault="00171FB5" w:rsidP="00171FB5">
      <w:pPr>
        <w:pStyle w:val="List-BulletLvl1"/>
      </w:pPr>
      <w:r>
        <w:t>70-74 years:</w:t>
      </w:r>
      <w:r w:rsidRPr="00171FB5">
        <w:t xml:space="preserve"> </w:t>
      </w:r>
      <w:r>
        <w:t>DBT</w:t>
      </w:r>
      <w:r>
        <w:rPr>
          <w:vertAlign w:val="subscript"/>
        </w:rPr>
        <w:t>MLO</w:t>
      </w:r>
      <w:r w:rsidRPr="00171FB5">
        <w:t xml:space="preserve"> </w:t>
      </w:r>
      <w:r>
        <w:t>cancer detection was 10 percent compared to 30 percent.</w:t>
      </w:r>
    </w:p>
    <w:p w14:paraId="2373DC2D" w14:textId="2885771E" w:rsidR="00171FB5" w:rsidRPr="00171FB5" w:rsidRDefault="00171FB5" w:rsidP="00171FB5">
      <w:pPr>
        <w:pStyle w:val="BodyText"/>
      </w:pPr>
      <w:r>
        <w:t>No statistical analysis or commentary on these results were provided by Zackrisson et al.</w:t>
      </w:r>
    </w:p>
    <w:p w14:paraId="23568CC7" w14:textId="77777777" w:rsidR="00171FB5" w:rsidRPr="00B324F0" w:rsidRDefault="00171FB5" w:rsidP="00171FB5">
      <w:pPr>
        <w:pStyle w:val="BodyText-GREEN"/>
        <w:rPr>
          <w:b/>
          <w:bCs/>
        </w:rPr>
      </w:pPr>
      <w:r w:rsidRPr="00B324F0">
        <w:rPr>
          <w:b/>
          <w:bCs/>
        </w:rPr>
        <w:t>Retrospective analysis</w:t>
      </w:r>
    </w:p>
    <w:p w14:paraId="7A791446" w14:textId="160E7BD1" w:rsidR="00816932" w:rsidRPr="007D0658" w:rsidRDefault="00816932" w:rsidP="00A102B2">
      <w:pPr>
        <w:pStyle w:val="BodyText"/>
      </w:pPr>
      <w:r w:rsidRPr="007D0658">
        <w:t xml:space="preserve">Bahl et al. (2019) prepared a </w:t>
      </w:r>
      <w:r w:rsidR="00B83800" w:rsidRPr="007D0658">
        <w:t xml:space="preserve">large </w:t>
      </w:r>
      <w:r w:rsidRPr="007D0658">
        <w:t>retrospective analysis of the performance of FFDM+DBT to FFDM alone in women aged over 65 years.</w:t>
      </w:r>
      <w:r w:rsidR="00B83800" w:rsidRPr="007D0658">
        <w:t xml:space="preserve"> Participants in the FFDM+DBT group (n=20,646) had a mean age of 72.1 years; women in the FFDM (n=15,019) group had a mean age of 72.7 years. Bahl et al</w:t>
      </w:r>
      <w:r w:rsidR="00176980">
        <w:t>.</w:t>
      </w:r>
      <w:r w:rsidR="00B83800" w:rsidRPr="007D0658">
        <w:t xml:space="preserve"> reported no statistical difference in CDR between the two groups:</w:t>
      </w:r>
    </w:p>
    <w:p w14:paraId="62A3E436" w14:textId="0360DBBB" w:rsidR="00B83800" w:rsidRPr="007D0658" w:rsidRDefault="00B83800" w:rsidP="00B83800">
      <w:pPr>
        <w:pStyle w:val="List-BulletLvl1"/>
      </w:pPr>
      <w:r w:rsidRPr="007D0658">
        <w:t>FFDM+DBT: 8.2 cancers detected per 1000 screening examinations, compared to</w:t>
      </w:r>
    </w:p>
    <w:p w14:paraId="1F15A479" w14:textId="075283E0" w:rsidR="00B83800" w:rsidRPr="007D0658" w:rsidRDefault="00B83800" w:rsidP="00B83800">
      <w:pPr>
        <w:pStyle w:val="List-BulletLvl1"/>
      </w:pPr>
      <w:r w:rsidRPr="007D0658">
        <w:t>FFDM alone: 6.9 cancers detected per 1000 screening examinations (</w:t>
      </w:r>
      <w:r w:rsidRPr="007D0658">
        <w:rPr>
          <w:i/>
          <w:iCs/>
        </w:rPr>
        <w:t>p</w:t>
      </w:r>
      <w:r w:rsidRPr="007D0658">
        <w:t>=.23).</w:t>
      </w:r>
    </w:p>
    <w:p w14:paraId="6EBDEF92" w14:textId="23378E32" w:rsidR="009E2DF4" w:rsidRDefault="009E2DF4" w:rsidP="00A102B2">
      <w:pPr>
        <w:pStyle w:val="BodyText"/>
      </w:pPr>
      <w:r>
        <w:t>Given the limited available analysis exploring the relationship between older or younger age, use of DBT and CDR, more studies are needed to further to determine whether DBT is more useful at older ages or (as noted in Rose &amp; Shisler’s 2018 study) more useful in younger women with dense breasts.</w:t>
      </w:r>
    </w:p>
    <w:p w14:paraId="10EBFC7F" w14:textId="78F84C24" w:rsidR="00E33A64" w:rsidRDefault="00E33A64" w:rsidP="00E33A64">
      <w:pPr>
        <w:pStyle w:val="NumberedHeading3"/>
      </w:pPr>
      <w:bookmarkStart w:id="201" w:name="_Toc43376288"/>
      <w:r>
        <w:t>Interval cancer rate</w:t>
      </w:r>
      <w:bookmarkEnd w:id="201"/>
    </w:p>
    <w:p w14:paraId="4842619D" w14:textId="32C3EDE7" w:rsidR="00E33A64" w:rsidRPr="003D5638" w:rsidRDefault="00E33A64" w:rsidP="00E33A64">
      <w:pPr>
        <w:pStyle w:val="BodyText"/>
      </w:pPr>
      <w:r w:rsidRPr="00A45BFC">
        <w:t xml:space="preserve">The interval cancer rate refers to the number of breast cancers </w:t>
      </w:r>
      <w:r>
        <w:t>that are diagnosed between screening examinations (i.e., 24 months in the BSA program)</w:t>
      </w:r>
      <w:r w:rsidRPr="00A45BFC">
        <w:t>.</w:t>
      </w:r>
      <w:r>
        <w:t xml:space="preserve"> A true interval cancer cannot be</w:t>
      </w:r>
      <w:r w:rsidRPr="00A45BFC">
        <w:t xml:space="preserve"> </w:t>
      </w:r>
      <w:r>
        <w:t xml:space="preserve">seen on the previous mammogram (and may be a more aggressive cancer associated with a poorer health outcome); a missed cancer can be detected on imaging but was not. </w:t>
      </w:r>
      <w:r w:rsidRPr="00A45BFC">
        <w:t xml:space="preserve">The interval cancer rate </w:t>
      </w:r>
      <w:r>
        <w:t xml:space="preserve">is an important long-term screening outcome and </w:t>
      </w:r>
      <w:r w:rsidRPr="00A45BFC">
        <w:t>can be used as a surrogate indicator for screening benefit and is a marker of the sensitivity of a breast screening program</w:t>
      </w:r>
      <w:r>
        <w:t>. I</w:t>
      </w:r>
      <w:r w:rsidRPr="00A45BFC">
        <w:t xml:space="preserve">mproved </w:t>
      </w:r>
      <w:r w:rsidRPr="00A45BFC">
        <w:lastRenderedPageBreak/>
        <w:t xml:space="preserve">cancer detection </w:t>
      </w:r>
      <w:r>
        <w:t xml:space="preserve">due to better conspicuity </w:t>
      </w:r>
      <w:r w:rsidRPr="00A45BFC">
        <w:t>can lead to a decline in interval cancers</w:t>
      </w:r>
      <w:r>
        <w:t xml:space="preserve">, especially missed cancers. </w:t>
      </w:r>
      <w:r w:rsidRPr="00A45BFC">
        <w:t xml:space="preserve">Higher interval cancer rates may </w:t>
      </w:r>
      <w:r>
        <w:t xml:space="preserve">also </w:t>
      </w:r>
      <w:r w:rsidRPr="00A45BFC">
        <w:t>be due</w:t>
      </w:r>
      <w:r w:rsidR="00F05AD2">
        <w:t xml:space="preserve"> to</w:t>
      </w:r>
      <w:r w:rsidRPr="00A45BFC">
        <w:t xml:space="preserve"> </w:t>
      </w:r>
      <w:r>
        <w:t xml:space="preserve">a longer screening interval, reader performance and </w:t>
      </w:r>
      <w:r w:rsidRPr="00A45BFC">
        <w:t>interpretation failure, reading strategy, or may reflect a</w:t>
      </w:r>
      <w:r>
        <w:t xml:space="preserve">n aggressive new </w:t>
      </w:r>
      <w:r w:rsidRPr="00A45BFC">
        <w:t xml:space="preserve">cancer </w:t>
      </w:r>
      <w:r>
        <w:t xml:space="preserve">that </w:t>
      </w:r>
      <w:r w:rsidRPr="00A45BFC">
        <w:t>was not previously visible on mammogram.</w:t>
      </w:r>
      <w:r>
        <w:t xml:space="preserve"> If interval cancer rates decline, morbidity and mortality benefit may be inferred as aggressive cancers may be detected before they advance</w:t>
      </w:r>
      <w:r w:rsidRPr="00A45BFC">
        <w:t>.</w:t>
      </w:r>
    </w:p>
    <w:p w14:paraId="35A796D5" w14:textId="77777777" w:rsidR="00E33A64" w:rsidRDefault="00E33A64" w:rsidP="00E33A64">
      <w:pPr>
        <w:pStyle w:val="CV-Heading"/>
        <w:tabs>
          <w:tab w:val="left" w:pos="2552"/>
        </w:tabs>
      </w:pPr>
      <w:r>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79523833" w14:textId="064F206B" w:rsidR="00E33A64" w:rsidRDefault="00E33A64" w:rsidP="00E33A64">
      <w:pPr>
        <w:pStyle w:val="BodyText"/>
      </w:pPr>
      <w:r>
        <w:t>At 31 December 2017, t</w:t>
      </w:r>
      <w:r w:rsidRPr="00A45BFC">
        <w:t xml:space="preserve">here </w:t>
      </w:r>
      <w:r>
        <w:t>wa</w:t>
      </w:r>
      <w:r w:rsidRPr="00A45BFC">
        <w:t xml:space="preserve">s limited information about the impact of DBT (either alone or </w:t>
      </w:r>
      <w:r>
        <w:t>when used</w:t>
      </w:r>
      <w:r w:rsidRPr="00A45BFC">
        <w:t xml:space="preserve"> with FFDM) on interval cancer rate within population-based screening settings</w:t>
      </w:r>
      <w:r>
        <w:t>, mostly due to the study timeframes and powering (i.e., the studies looked at shorter-term outcomes like CDR/recall rates)</w:t>
      </w:r>
      <w:r w:rsidRPr="00A45BFC">
        <w:t xml:space="preserve">. </w:t>
      </w:r>
      <w:r>
        <w:t xml:space="preserve">None of the studies discussed reported </w:t>
      </w:r>
      <w:r w:rsidR="00F20176">
        <w:t>statistically</w:t>
      </w:r>
      <w:r>
        <w:t xml:space="preserve"> significant changes in interval cancer rates. For example, t</w:t>
      </w:r>
      <w:r w:rsidRPr="00763122">
        <w:t>he STORM trial reported data on interval cancers (Houssami et al., 2014)</w:t>
      </w:r>
      <w:r>
        <w:t>, which showed limited effect of DBT on reducing the interval cancer rate</w:t>
      </w:r>
      <w:r w:rsidRPr="00763122">
        <w:t>. Based on 13 months follow-up, the authors reported th</w:t>
      </w:r>
      <w:r>
        <w:t xml:space="preserve">e </w:t>
      </w:r>
      <w:r w:rsidRPr="00763122">
        <w:t xml:space="preserve">overall first year interval cancer rate was </w:t>
      </w:r>
      <w:r>
        <w:t xml:space="preserve">six cancers or </w:t>
      </w:r>
      <w:r w:rsidRPr="00763122">
        <w:t>0.82 per 1000 screening examinations (95%CI</w:t>
      </w:r>
      <w:r w:rsidR="007F6FB7">
        <w:t>:</w:t>
      </w:r>
      <w:r w:rsidRPr="00763122">
        <w:t xml:space="preserve"> 0.30</w:t>
      </w:r>
      <w:r w:rsidR="004F6A90">
        <w:t xml:space="preserve">, </w:t>
      </w:r>
      <w:r w:rsidRPr="00763122">
        <w:t>1.79).</w:t>
      </w:r>
      <w:r>
        <w:t xml:space="preserve"> It is not clear whether this is an overall rate or whether it relates specifically to a reading strategy (single or double) or to the use of DBT. Non-significant results were also presented in a retrospective analysis from the PROSPR consortium. The previous GRADE assessment reflects the very limited evidence.</w:t>
      </w:r>
    </w:p>
    <w:p w14:paraId="62430006" w14:textId="77777777" w:rsidR="00E33A64" w:rsidRDefault="00E33A64" w:rsidP="00E33A64">
      <w:pPr>
        <w:pStyle w:val="BodyText"/>
        <w:rPr>
          <w:b/>
          <w:bCs/>
        </w:rPr>
      </w:pPr>
      <w:r w:rsidRPr="00A235D7">
        <w:rPr>
          <w:b/>
          <w:bCs/>
        </w:rPr>
        <w:t>GRADE assessment</w:t>
      </w:r>
      <w:r>
        <w:rPr>
          <w:b/>
          <w:bCs/>
        </w:rPr>
        <w:t>: interval cancer: FFDM+DBT compared to FFDM alone</w:t>
      </w:r>
    </w:p>
    <w:tbl>
      <w:tblPr>
        <w:tblStyle w:val="ACGreen-BasicTable"/>
        <w:tblW w:w="9209" w:type="dxa"/>
        <w:tblLook w:val="04A0" w:firstRow="1" w:lastRow="0" w:firstColumn="1" w:lastColumn="0" w:noHBand="0" w:noVBand="1"/>
        <w:tblDescription w:val="GRADE assessment: interval cancer: FDDM+DBT compared to FFDM alone. The participants studies included 55,457 participants. There were three studies. The quality of evidence was very low. The overall results were few studies report interval cancer rates. No systematic review or pooled analysis was available.&#10;"/>
      </w:tblPr>
      <w:tblGrid>
        <w:gridCol w:w="1701"/>
        <w:gridCol w:w="1134"/>
        <w:gridCol w:w="6374"/>
      </w:tblGrid>
      <w:tr w:rsidR="00E33A64" w14:paraId="72D3F048" w14:textId="77777777" w:rsidTr="00645C4F">
        <w:trPr>
          <w:cnfStyle w:val="100000000000" w:firstRow="1" w:lastRow="0" w:firstColumn="0" w:lastColumn="0" w:oddVBand="0" w:evenVBand="0" w:oddHBand="0" w:evenHBand="0" w:firstRowFirstColumn="0" w:firstRowLastColumn="0" w:lastRowFirstColumn="0" w:lastRowLastColumn="0"/>
        </w:trPr>
        <w:tc>
          <w:tcPr>
            <w:tcW w:w="1701" w:type="dxa"/>
          </w:tcPr>
          <w:p w14:paraId="3F64DDFE" w14:textId="77777777" w:rsidR="00E33A64" w:rsidRPr="00BB08AB" w:rsidRDefault="00E33A64" w:rsidP="00285D7E">
            <w:pPr>
              <w:rPr>
                <w:rFonts w:cstheme="majorHAnsi"/>
                <w:b w:val="0"/>
                <w:sz w:val="18"/>
                <w:szCs w:val="18"/>
              </w:rPr>
            </w:pPr>
            <w:r w:rsidRPr="00BB08AB">
              <w:rPr>
                <w:rFonts w:cstheme="majorHAnsi"/>
                <w:sz w:val="18"/>
                <w:szCs w:val="18"/>
              </w:rPr>
              <w:t xml:space="preserve">Participants </w:t>
            </w:r>
          </w:p>
          <w:p w14:paraId="28737611" w14:textId="65681955" w:rsidR="00E33A64" w:rsidRPr="00285D7E" w:rsidRDefault="00E33A64" w:rsidP="00285D7E">
            <w:pPr>
              <w:rPr>
                <w:rFonts w:cstheme="majorHAnsi"/>
                <w:b w:val="0"/>
                <w:sz w:val="18"/>
                <w:szCs w:val="18"/>
              </w:rPr>
            </w:pPr>
            <w:r w:rsidRPr="00BB08AB">
              <w:rPr>
                <w:rFonts w:cstheme="majorHAnsi"/>
                <w:sz w:val="18"/>
                <w:szCs w:val="18"/>
              </w:rPr>
              <w:t>Studies</w:t>
            </w:r>
          </w:p>
        </w:tc>
        <w:tc>
          <w:tcPr>
            <w:tcW w:w="1134" w:type="dxa"/>
          </w:tcPr>
          <w:p w14:paraId="708534CD" w14:textId="77777777" w:rsidR="00E33A64" w:rsidRDefault="00E33A64" w:rsidP="00285D7E">
            <w:pPr>
              <w:pStyle w:val="BodyText"/>
              <w:spacing w:before="0" w:after="0"/>
              <w:jc w:val="left"/>
            </w:pPr>
            <w:r w:rsidRPr="00BB08AB">
              <w:rPr>
                <w:rFonts w:cstheme="majorHAnsi"/>
                <w:sz w:val="18"/>
                <w:szCs w:val="18"/>
              </w:rPr>
              <w:t xml:space="preserve">Quality of evidence </w:t>
            </w:r>
          </w:p>
        </w:tc>
        <w:tc>
          <w:tcPr>
            <w:tcW w:w="6374" w:type="dxa"/>
          </w:tcPr>
          <w:p w14:paraId="41479961" w14:textId="77777777" w:rsidR="00E33A64" w:rsidRDefault="00E33A64" w:rsidP="00285D7E">
            <w:pPr>
              <w:pStyle w:val="BodyText"/>
              <w:spacing w:before="0" w:after="0"/>
            </w:pPr>
            <w:r w:rsidRPr="00BB08AB">
              <w:rPr>
                <w:rFonts w:cstheme="majorHAnsi"/>
                <w:sz w:val="18"/>
                <w:szCs w:val="18"/>
              </w:rPr>
              <w:t xml:space="preserve">Overall results </w:t>
            </w:r>
          </w:p>
        </w:tc>
      </w:tr>
      <w:tr w:rsidR="00E33A64" w:rsidRPr="00BB08AB" w14:paraId="7B4E20DF" w14:textId="77777777" w:rsidTr="00645C4F">
        <w:tc>
          <w:tcPr>
            <w:tcW w:w="1701" w:type="dxa"/>
          </w:tcPr>
          <w:p w14:paraId="47B5F663" w14:textId="77777777" w:rsidR="00E33A64" w:rsidRPr="00BB08AB" w:rsidRDefault="00E33A64" w:rsidP="00645C4F">
            <w:pPr>
              <w:rPr>
                <w:rFonts w:cstheme="majorHAnsi"/>
                <w:sz w:val="18"/>
                <w:szCs w:val="18"/>
              </w:rPr>
            </w:pPr>
            <w:r w:rsidRPr="00BB08AB">
              <w:rPr>
                <w:rFonts w:cstheme="majorHAnsi"/>
                <w:sz w:val="18"/>
                <w:szCs w:val="18"/>
              </w:rPr>
              <w:t>55,457 participants</w:t>
            </w:r>
          </w:p>
          <w:p w14:paraId="2ABA1419" w14:textId="77777777" w:rsidR="00E33A64" w:rsidRPr="00BB08AB" w:rsidRDefault="00E33A64" w:rsidP="00645C4F">
            <w:pPr>
              <w:rPr>
                <w:rFonts w:cstheme="majorHAnsi"/>
                <w:sz w:val="18"/>
                <w:szCs w:val="18"/>
              </w:rPr>
            </w:pPr>
            <w:r w:rsidRPr="00BB08AB">
              <w:rPr>
                <w:rFonts w:cstheme="majorHAnsi"/>
                <w:sz w:val="18"/>
                <w:szCs w:val="18"/>
              </w:rPr>
              <w:t>3 studies</w:t>
            </w:r>
          </w:p>
        </w:tc>
        <w:tc>
          <w:tcPr>
            <w:tcW w:w="1134" w:type="dxa"/>
          </w:tcPr>
          <w:p w14:paraId="3FA1DEA5" w14:textId="77777777" w:rsidR="00E33A64" w:rsidRPr="00BB08AB" w:rsidRDefault="00E33A64" w:rsidP="00645C4F">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3FE7386F" w14:textId="77777777" w:rsidR="00E33A64" w:rsidRPr="00BB08AB" w:rsidRDefault="00E33A64" w:rsidP="00645C4F">
            <w:pPr>
              <w:rPr>
                <w:rFonts w:cstheme="majorHAnsi"/>
                <w:sz w:val="18"/>
                <w:szCs w:val="18"/>
              </w:rPr>
            </w:pPr>
            <w:r w:rsidRPr="00BB08AB">
              <w:rPr>
                <w:rFonts w:cstheme="majorHAnsi"/>
                <w:sz w:val="18"/>
                <w:szCs w:val="18"/>
              </w:rPr>
              <w:t>Very low</w:t>
            </w:r>
          </w:p>
        </w:tc>
        <w:tc>
          <w:tcPr>
            <w:tcW w:w="6374" w:type="dxa"/>
          </w:tcPr>
          <w:p w14:paraId="246CC1A8" w14:textId="77777777" w:rsidR="00E33A64" w:rsidRPr="00BB08AB" w:rsidRDefault="00E33A64" w:rsidP="00645C4F">
            <w:pPr>
              <w:jc w:val="both"/>
              <w:rPr>
                <w:rFonts w:cstheme="majorHAnsi"/>
                <w:sz w:val="18"/>
                <w:szCs w:val="18"/>
              </w:rPr>
            </w:pPr>
            <w:r w:rsidRPr="00BB08AB">
              <w:rPr>
                <w:rFonts w:cstheme="majorHAnsi"/>
                <w:sz w:val="18"/>
                <w:szCs w:val="18"/>
              </w:rPr>
              <w:t>Few studies report interval cancer rates. No systematic review or pooled analysis was available.</w:t>
            </w:r>
          </w:p>
        </w:tc>
      </w:tr>
    </w:tbl>
    <w:p w14:paraId="7F4FF8DA" w14:textId="3BF48A7D" w:rsidR="00E33A64" w:rsidRDefault="00E33A64" w:rsidP="00E33A64">
      <w:pPr>
        <w:pStyle w:val="BodyText"/>
        <w:rPr>
          <w:b/>
          <w:bCs/>
        </w:rPr>
      </w:pPr>
      <w:r w:rsidRPr="00A235D7">
        <w:rPr>
          <w:b/>
          <w:bCs/>
        </w:rPr>
        <w:t>GRADE assessment</w:t>
      </w:r>
      <w:r>
        <w:rPr>
          <w:b/>
          <w:bCs/>
        </w:rPr>
        <w:t>: interval cancer: DBT+</w:t>
      </w:r>
      <w:r w:rsidR="00176980">
        <w:rPr>
          <w:b/>
          <w:bCs/>
        </w:rPr>
        <w:t>s2DM</w:t>
      </w:r>
      <w:r>
        <w:rPr>
          <w:b/>
          <w:bCs/>
        </w:rPr>
        <w:t xml:space="preserve"> compared to FFDM+DBT or FFDM alone</w:t>
      </w:r>
    </w:p>
    <w:tbl>
      <w:tblPr>
        <w:tblStyle w:val="ACGreen-BasicTable"/>
        <w:tblW w:w="9209" w:type="dxa"/>
        <w:tblLook w:val="04A0" w:firstRow="1" w:lastRow="0" w:firstColumn="1" w:lastColumn="0" w:noHBand="0" w:noVBand="1"/>
        <w:tblDescription w:val="GRADE assessment: interval cancer: DBT+s2DM compared to FFDM+ DBT or FFDM alone. There were no participants studies. The quality of evidence was not reported. The overall results there were no data reported."/>
      </w:tblPr>
      <w:tblGrid>
        <w:gridCol w:w="1701"/>
        <w:gridCol w:w="1134"/>
        <w:gridCol w:w="6374"/>
      </w:tblGrid>
      <w:tr w:rsidR="00E33A64" w14:paraId="17E547F6" w14:textId="77777777" w:rsidTr="00645C4F">
        <w:trPr>
          <w:cnfStyle w:val="100000000000" w:firstRow="1" w:lastRow="0" w:firstColumn="0" w:lastColumn="0" w:oddVBand="0" w:evenVBand="0" w:oddHBand="0" w:evenHBand="0" w:firstRowFirstColumn="0" w:firstRowLastColumn="0" w:lastRowFirstColumn="0" w:lastRowLastColumn="0"/>
        </w:trPr>
        <w:tc>
          <w:tcPr>
            <w:tcW w:w="1701" w:type="dxa"/>
          </w:tcPr>
          <w:p w14:paraId="3A0ACE7D" w14:textId="77777777" w:rsidR="00E33A64" w:rsidRPr="00BB08AB" w:rsidRDefault="00E33A64" w:rsidP="00645C4F">
            <w:pPr>
              <w:rPr>
                <w:rFonts w:cstheme="majorHAnsi"/>
                <w:b w:val="0"/>
                <w:sz w:val="18"/>
                <w:szCs w:val="18"/>
              </w:rPr>
            </w:pPr>
            <w:r w:rsidRPr="00BB08AB">
              <w:rPr>
                <w:rFonts w:cstheme="majorHAnsi"/>
                <w:sz w:val="18"/>
                <w:szCs w:val="18"/>
              </w:rPr>
              <w:t xml:space="preserve">Participants </w:t>
            </w:r>
          </w:p>
          <w:p w14:paraId="625C5DA6" w14:textId="5A9DC26E" w:rsidR="00E33A64" w:rsidRPr="00285D7E" w:rsidRDefault="00E33A64" w:rsidP="00645C4F">
            <w:pPr>
              <w:rPr>
                <w:rFonts w:cstheme="majorHAnsi"/>
                <w:b w:val="0"/>
                <w:sz w:val="18"/>
                <w:szCs w:val="18"/>
              </w:rPr>
            </w:pPr>
            <w:r w:rsidRPr="00BB08AB">
              <w:rPr>
                <w:rFonts w:cstheme="majorHAnsi"/>
                <w:sz w:val="18"/>
                <w:szCs w:val="18"/>
              </w:rPr>
              <w:t>Studies</w:t>
            </w:r>
          </w:p>
        </w:tc>
        <w:tc>
          <w:tcPr>
            <w:tcW w:w="1134" w:type="dxa"/>
          </w:tcPr>
          <w:p w14:paraId="0C81847F" w14:textId="77777777" w:rsidR="00E33A64" w:rsidRPr="00BB08AB" w:rsidRDefault="00E33A64" w:rsidP="00645C4F">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5FC4B1C9" w14:textId="77777777" w:rsidR="00E33A64" w:rsidRPr="00BB08AB" w:rsidRDefault="00E33A64" w:rsidP="00645C4F">
            <w:pPr>
              <w:pStyle w:val="BodyText"/>
              <w:rPr>
                <w:rFonts w:cstheme="majorHAnsi"/>
                <w:sz w:val="18"/>
                <w:szCs w:val="18"/>
              </w:rPr>
            </w:pPr>
            <w:r w:rsidRPr="00BB08AB">
              <w:rPr>
                <w:rFonts w:cstheme="majorHAnsi"/>
                <w:sz w:val="18"/>
                <w:szCs w:val="18"/>
              </w:rPr>
              <w:t xml:space="preserve">Overall results </w:t>
            </w:r>
          </w:p>
        </w:tc>
      </w:tr>
      <w:tr w:rsidR="00E33A64" w:rsidRPr="00BB08AB" w14:paraId="64B569A3" w14:textId="77777777" w:rsidTr="00645C4F">
        <w:tc>
          <w:tcPr>
            <w:tcW w:w="1701" w:type="dxa"/>
          </w:tcPr>
          <w:p w14:paraId="520656F9" w14:textId="77777777" w:rsidR="00E33A64" w:rsidRPr="00BB08AB" w:rsidRDefault="00E33A64" w:rsidP="00645C4F">
            <w:pPr>
              <w:rPr>
                <w:rFonts w:cstheme="majorHAnsi"/>
                <w:sz w:val="18"/>
                <w:szCs w:val="18"/>
              </w:rPr>
            </w:pPr>
            <w:r w:rsidRPr="00BB08AB">
              <w:rPr>
                <w:rFonts w:cstheme="majorHAnsi"/>
                <w:sz w:val="18"/>
                <w:szCs w:val="18"/>
              </w:rPr>
              <w:t>NA</w:t>
            </w:r>
          </w:p>
        </w:tc>
        <w:tc>
          <w:tcPr>
            <w:tcW w:w="1134" w:type="dxa"/>
          </w:tcPr>
          <w:p w14:paraId="5843678C" w14:textId="77777777" w:rsidR="00E33A64" w:rsidRPr="00BB08AB" w:rsidRDefault="00E33A64" w:rsidP="00645C4F">
            <w:pPr>
              <w:rPr>
                <w:rFonts w:cstheme="majorHAnsi"/>
                <w:sz w:val="18"/>
                <w:szCs w:val="18"/>
              </w:rPr>
            </w:pPr>
            <w:r w:rsidRPr="00BB08AB">
              <w:rPr>
                <w:rFonts w:cstheme="majorHAnsi"/>
                <w:sz w:val="18"/>
                <w:szCs w:val="18"/>
              </w:rPr>
              <w:t>Not reported</w:t>
            </w:r>
          </w:p>
        </w:tc>
        <w:tc>
          <w:tcPr>
            <w:tcW w:w="6374" w:type="dxa"/>
          </w:tcPr>
          <w:p w14:paraId="2CE83E93" w14:textId="77777777" w:rsidR="00E33A64" w:rsidRPr="00BB08AB" w:rsidRDefault="00E33A64" w:rsidP="00645C4F">
            <w:pPr>
              <w:jc w:val="both"/>
              <w:rPr>
                <w:rFonts w:cstheme="majorHAnsi"/>
                <w:sz w:val="18"/>
                <w:szCs w:val="18"/>
              </w:rPr>
            </w:pPr>
            <w:r w:rsidRPr="00BB08AB">
              <w:rPr>
                <w:rFonts w:cstheme="majorHAnsi"/>
                <w:sz w:val="18"/>
                <w:szCs w:val="18"/>
              </w:rPr>
              <w:t>No data reported.</w:t>
            </w:r>
          </w:p>
        </w:tc>
      </w:tr>
    </w:tbl>
    <w:p w14:paraId="1EA2830F" w14:textId="41BB6F68" w:rsidR="00E33A64" w:rsidRPr="00641388" w:rsidRDefault="00E33A64" w:rsidP="00E33A64">
      <w:pPr>
        <w:pStyle w:val="BodyText"/>
      </w:pPr>
      <w:r w:rsidRPr="00A235D7">
        <w:rPr>
          <w:b/>
          <w:bCs/>
        </w:rPr>
        <w:t>GRADE assessment</w:t>
      </w:r>
      <w:r>
        <w:rPr>
          <w:b/>
          <w:bCs/>
        </w:rPr>
        <w:t>: interval cancer: DBT</w:t>
      </w:r>
      <w:r>
        <w:rPr>
          <w:b/>
          <w:bCs/>
          <w:vertAlign w:val="subscript"/>
        </w:rPr>
        <w:t>MLO</w:t>
      </w:r>
      <w:r>
        <w:rPr>
          <w:b/>
          <w:bCs/>
        </w:rPr>
        <w:t xml:space="preserve"> compared to </w:t>
      </w:r>
      <w:r w:rsidR="00E95926">
        <w:rPr>
          <w:b/>
          <w:bCs/>
        </w:rPr>
        <w:t>FFDM</w:t>
      </w:r>
    </w:p>
    <w:tbl>
      <w:tblPr>
        <w:tblStyle w:val="ACGreen-BasicTable"/>
        <w:tblW w:w="9209" w:type="dxa"/>
        <w:tblLook w:val="04A0" w:firstRow="1" w:lastRow="0" w:firstColumn="1" w:lastColumn="0" w:noHBand="0" w:noVBand="1"/>
        <w:tblDescription w:val="GRADE assesment: interval cancer: DBTMLO compared to FFDM. There were no participants studies. The quailty of evidence is zero. The overall results are nil."/>
      </w:tblPr>
      <w:tblGrid>
        <w:gridCol w:w="1701"/>
        <w:gridCol w:w="1134"/>
        <w:gridCol w:w="6374"/>
      </w:tblGrid>
      <w:tr w:rsidR="00E33A64" w14:paraId="74ECAECA" w14:textId="77777777" w:rsidTr="00645C4F">
        <w:trPr>
          <w:cnfStyle w:val="100000000000" w:firstRow="1" w:lastRow="0" w:firstColumn="0" w:lastColumn="0" w:oddVBand="0" w:evenVBand="0" w:oddHBand="0" w:evenHBand="0" w:firstRowFirstColumn="0" w:firstRowLastColumn="0" w:lastRowFirstColumn="0" w:lastRowLastColumn="0"/>
        </w:trPr>
        <w:tc>
          <w:tcPr>
            <w:tcW w:w="1701" w:type="dxa"/>
          </w:tcPr>
          <w:p w14:paraId="5B8A9F0E" w14:textId="77777777" w:rsidR="00E33A64" w:rsidRPr="00BB08AB" w:rsidRDefault="00E33A64" w:rsidP="00645C4F">
            <w:pPr>
              <w:rPr>
                <w:rFonts w:cstheme="majorHAnsi"/>
                <w:b w:val="0"/>
                <w:sz w:val="18"/>
                <w:szCs w:val="18"/>
              </w:rPr>
            </w:pPr>
            <w:r w:rsidRPr="00BB08AB">
              <w:rPr>
                <w:rFonts w:cstheme="majorHAnsi"/>
                <w:sz w:val="18"/>
                <w:szCs w:val="18"/>
              </w:rPr>
              <w:t xml:space="preserve">Participants </w:t>
            </w:r>
          </w:p>
          <w:p w14:paraId="7FD2761F" w14:textId="2D99A55A" w:rsidR="00E33A64" w:rsidRPr="00285D7E" w:rsidRDefault="00E33A64" w:rsidP="00645C4F">
            <w:pPr>
              <w:rPr>
                <w:rFonts w:cstheme="majorHAnsi"/>
                <w:b w:val="0"/>
                <w:sz w:val="18"/>
                <w:szCs w:val="18"/>
              </w:rPr>
            </w:pPr>
            <w:r w:rsidRPr="00BB08AB">
              <w:rPr>
                <w:rFonts w:cstheme="majorHAnsi"/>
                <w:sz w:val="18"/>
                <w:szCs w:val="18"/>
              </w:rPr>
              <w:t>Studies</w:t>
            </w:r>
          </w:p>
        </w:tc>
        <w:tc>
          <w:tcPr>
            <w:tcW w:w="1134" w:type="dxa"/>
          </w:tcPr>
          <w:p w14:paraId="480A6E7C" w14:textId="77777777" w:rsidR="00E33A64" w:rsidRPr="00BB08AB" w:rsidRDefault="00E33A64" w:rsidP="00645C4F">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533D6230" w14:textId="77777777" w:rsidR="00E33A64" w:rsidRPr="00BB08AB" w:rsidRDefault="00E33A64" w:rsidP="00645C4F">
            <w:pPr>
              <w:pStyle w:val="BodyText"/>
              <w:rPr>
                <w:rFonts w:cstheme="majorHAnsi"/>
                <w:sz w:val="18"/>
                <w:szCs w:val="18"/>
              </w:rPr>
            </w:pPr>
            <w:r w:rsidRPr="00BB08AB">
              <w:rPr>
                <w:rFonts w:cstheme="majorHAnsi"/>
                <w:sz w:val="18"/>
                <w:szCs w:val="18"/>
              </w:rPr>
              <w:t xml:space="preserve">Overall results </w:t>
            </w:r>
          </w:p>
        </w:tc>
      </w:tr>
      <w:tr w:rsidR="00E33A64" w:rsidRPr="00BB08AB" w14:paraId="7878106A" w14:textId="77777777" w:rsidTr="00645C4F">
        <w:tc>
          <w:tcPr>
            <w:tcW w:w="1701" w:type="dxa"/>
          </w:tcPr>
          <w:p w14:paraId="36FA760B" w14:textId="77777777" w:rsidR="00E33A64" w:rsidRPr="00BB08AB" w:rsidRDefault="00E33A64" w:rsidP="00645C4F">
            <w:pPr>
              <w:rPr>
                <w:rFonts w:cstheme="majorHAnsi"/>
                <w:sz w:val="18"/>
                <w:szCs w:val="18"/>
              </w:rPr>
            </w:pPr>
            <w:r w:rsidRPr="00BB08AB">
              <w:rPr>
                <w:rFonts w:cstheme="majorHAnsi"/>
                <w:sz w:val="18"/>
                <w:szCs w:val="18"/>
              </w:rPr>
              <w:t>NA</w:t>
            </w:r>
          </w:p>
        </w:tc>
        <w:tc>
          <w:tcPr>
            <w:tcW w:w="1134" w:type="dxa"/>
          </w:tcPr>
          <w:p w14:paraId="418F44CF" w14:textId="77777777" w:rsidR="00E33A64" w:rsidRPr="00BB08AB" w:rsidRDefault="00E33A64" w:rsidP="00645C4F">
            <w:pPr>
              <w:rPr>
                <w:rFonts w:cstheme="majorHAnsi"/>
                <w:sz w:val="18"/>
                <w:szCs w:val="18"/>
              </w:rPr>
            </w:pPr>
            <w:r>
              <w:rPr>
                <w:rFonts w:cstheme="majorHAnsi"/>
                <w:sz w:val="18"/>
                <w:szCs w:val="18"/>
              </w:rPr>
              <w:t>0</w:t>
            </w:r>
          </w:p>
        </w:tc>
        <w:tc>
          <w:tcPr>
            <w:tcW w:w="6374" w:type="dxa"/>
          </w:tcPr>
          <w:p w14:paraId="304F979C" w14:textId="77777777" w:rsidR="00E33A64" w:rsidRPr="00BB08AB" w:rsidRDefault="00E33A64" w:rsidP="00645C4F">
            <w:pPr>
              <w:jc w:val="both"/>
              <w:rPr>
                <w:rFonts w:cstheme="majorHAnsi"/>
                <w:sz w:val="18"/>
                <w:szCs w:val="18"/>
              </w:rPr>
            </w:pPr>
            <w:r>
              <w:rPr>
                <w:rFonts w:cstheme="majorHAnsi"/>
                <w:sz w:val="18"/>
                <w:szCs w:val="18"/>
              </w:rPr>
              <w:t>Nil</w:t>
            </w:r>
          </w:p>
        </w:tc>
      </w:tr>
    </w:tbl>
    <w:p w14:paraId="311A9D0F" w14:textId="77777777" w:rsidR="00E33A64" w:rsidRDefault="00E33A64" w:rsidP="00E33A64">
      <w:pPr>
        <w:pStyle w:val="CV-Heading"/>
      </w:pPr>
      <w:r>
        <w:t>Updated findings</w:t>
      </w:r>
    </w:p>
    <w:p w14:paraId="277D0CA6" w14:textId="54C986FF" w:rsidR="00EC6C3D" w:rsidRDefault="00E33A64" w:rsidP="00EC6C3D">
      <w:pPr>
        <w:pStyle w:val="BodyText"/>
      </w:pPr>
      <w:r>
        <w:t xml:space="preserve">Literature published since 31 December 2017 reported results for the Malmö, OTS and STORM trials. Whether early recall is practiced if an inconclusive screening result is recorded and the way that interval cancer rate is defined and reported in these studies is important, as there is definition variability within studies (described below), which makes comparison between studies and to the BSA program difficult. In addition, more recent larger studies are powered to compare interval cancer rates; however, these results have not yet been reported as further follow-up time is required. </w:t>
      </w:r>
      <w:r w:rsidR="00C7191D">
        <w:t xml:space="preserve">No systematic reviews of studies published since December 2017 have considered </w:t>
      </w:r>
      <w:r w:rsidR="00C7191D">
        <w:lastRenderedPageBreak/>
        <w:t xml:space="preserve">interval cancer rate. </w:t>
      </w:r>
      <w:r>
        <w:t xml:space="preserve">Included studies are listed below. </w:t>
      </w:r>
      <w:r w:rsidR="00A4574C">
        <w:t xml:space="preserve">Detailed methodologies for each of these studies is provided in </w:t>
      </w:r>
      <w:r w:rsidR="00A4574C">
        <w:rPr>
          <w:i/>
          <w:iCs/>
        </w:rPr>
        <w:t xml:space="preserve">section 3.1.1. </w:t>
      </w:r>
      <w:r w:rsidR="00E45406" w:rsidRPr="00E45406">
        <w:t>Inc</w:t>
      </w:r>
      <w:r w:rsidR="00E45406">
        <w:t>luded studies are listed below.</w:t>
      </w:r>
    </w:p>
    <w:p w14:paraId="000D711E" w14:textId="1293DE2F" w:rsidR="00E33A64" w:rsidRDefault="00E33A64" w:rsidP="00E33A64">
      <w:pPr>
        <w:pStyle w:val="Heading3"/>
        <w:ind w:firstLine="720"/>
      </w:pPr>
      <w:bookmarkStart w:id="202" w:name="_Toc27477584"/>
      <w:bookmarkStart w:id="203" w:name="_Toc27665717"/>
      <w:bookmarkStart w:id="204" w:name="_Toc27844493"/>
      <w:bookmarkStart w:id="205" w:name="_Toc27859623"/>
      <w:bookmarkStart w:id="206" w:name="_Toc27904738"/>
      <w:bookmarkStart w:id="207" w:name="_Toc43376289"/>
      <w:r>
        <w:t>Literature review</w:t>
      </w:r>
      <w:bookmarkEnd w:id="202"/>
      <w:bookmarkEnd w:id="203"/>
      <w:bookmarkEnd w:id="204"/>
      <w:bookmarkEnd w:id="205"/>
      <w:bookmarkEnd w:id="206"/>
      <w:bookmarkEnd w:id="207"/>
    </w:p>
    <w:p w14:paraId="1EB93257" w14:textId="3DA66A16" w:rsidR="00E33A64" w:rsidRDefault="00E33A64" w:rsidP="00E33A64">
      <w:pPr>
        <w:pStyle w:val="BodyText"/>
        <w:ind w:firstLine="720"/>
      </w:pPr>
      <w:r>
        <w:t xml:space="preserve">One </w:t>
      </w:r>
      <w:r w:rsidR="00D05C0E">
        <w:t xml:space="preserve">narrative </w:t>
      </w:r>
      <w:r>
        <w:t>literature review: Chong et al., 2019</w:t>
      </w:r>
    </w:p>
    <w:p w14:paraId="41CCEE0D" w14:textId="77777777" w:rsidR="00E33A64" w:rsidRDefault="00E33A64" w:rsidP="00E33A64">
      <w:pPr>
        <w:pStyle w:val="Heading3"/>
        <w:ind w:left="720"/>
      </w:pPr>
      <w:bookmarkStart w:id="208" w:name="_Toc27477585"/>
      <w:bookmarkStart w:id="209" w:name="_Toc27665718"/>
      <w:bookmarkStart w:id="210" w:name="_Toc27844494"/>
      <w:bookmarkStart w:id="211" w:name="_Toc27859624"/>
      <w:bookmarkStart w:id="212" w:name="_Toc27904739"/>
      <w:bookmarkStart w:id="213" w:name="_Toc43376290"/>
      <w:r>
        <w:t>Prospective studies embedded in population screening programs</w:t>
      </w:r>
      <w:bookmarkEnd w:id="208"/>
      <w:bookmarkEnd w:id="209"/>
      <w:bookmarkEnd w:id="210"/>
      <w:bookmarkEnd w:id="211"/>
      <w:bookmarkEnd w:id="212"/>
      <w:bookmarkEnd w:id="213"/>
    </w:p>
    <w:p w14:paraId="6DD543E8" w14:textId="34409985" w:rsidR="00E33A64" w:rsidRDefault="00E33A64" w:rsidP="00E33A64">
      <w:pPr>
        <w:pStyle w:val="BodyText"/>
        <w:ind w:left="720"/>
      </w:pPr>
      <w:r>
        <w:t>Four studies: Bernardi et al., 2019; Houssami et al., 2018; Skaane et al., 2018; Zackrisson et al., 2018</w:t>
      </w:r>
    </w:p>
    <w:p w14:paraId="299B1DA8" w14:textId="77777777" w:rsidR="00E33A64" w:rsidRDefault="00E33A64" w:rsidP="00E33A64">
      <w:pPr>
        <w:pStyle w:val="Heading3"/>
        <w:ind w:firstLine="720"/>
      </w:pPr>
      <w:bookmarkStart w:id="214" w:name="_Toc27477586"/>
      <w:bookmarkStart w:id="215" w:name="_Toc27665719"/>
      <w:bookmarkStart w:id="216" w:name="_Toc27844495"/>
      <w:bookmarkStart w:id="217" w:name="_Toc27859625"/>
      <w:bookmarkStart w:id="218" w:name="_Toc27904740"/>
      <w:bookmarkStart w:id="219" w:name="_Toc43376291"/>
      <w:r w:rsidRPr="004F0D75">
        <w:t>Observational studies</w:t>
      </w:r>
      <w:bookmarkEnd w:id="214"/>
      <w:bookmarkEnd w:id="215"/>
      <w:bookmarkEnd w:id="216"/>
      <w:bookmarkEnd w:id="217"/>
      <w:bookmarkEnd w:id="218"/>
      <w:bookmarkEnd w:id="219"/>
    </w:p>
    <w:p w14:paraId="3ECD91F8" w14:textId="2D4E60C1" w:rsidR="00E33A64" w:rsidRPr="004F0D75" w:rsidRDefault="00E33A64" w:rsidP="00E33A64">
      <w:pPr>
        <w:pStyle w:val="BodyText"/>
      </w:pPr>
      <w:r>
        <w:tab/>
        <w:t>One retrospective analysis: Hovda et al., 2019</w:t>
      </w:r>
    </w:p>
    <w:p w14:paraId="3E8BA7B0"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A235D7">
        <w:rPr>
          <w:b/>
          <w:bCs/>
        </w:rPr>
        <w:t>Summary of key findings published between 1 January 2018 and 31 December 2019</w:t>
      </w:r>
    </w:p>
    <w:p w14:paraId="0EACE89A"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 xml:space="preserve">Interval cancer rate is an important long-term screening outcome, especially as interval cancers are often more advanced and can be associated with higher morbidity and mortality compared to screen-detected cancers. Several pilot evaluation or paired studies have reported on interval cancer rates; however, reported results have generally come from studies that have not been powered to calculate interval cancer rates or which have varying screen intervals (as per the program’s policy settings). Other studies like the Reggio Emilia RCT are powered to detect interval cancers but results have not yet been reported. </w:t>
      </w:r>
    </w:p>
    <w:p w14:paraId="3AB05BB1" w14:textId="1A64115F" w:rsidR="000942E7" w:rsidRP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Current data is indicative only. Adequate data evaluating interval cancer rate by imaging modality is not yet available. Reported results vary and no study has reported a statistically significant reduction in interval cancers with the use of DBT. Few studies compared interval cancer characteristics by type, grade, node status and size, which would be helpful to assess whether DBT detects more aggressive cancers earlier. Only the OTS trial has reported this and found no significant differences the types of cancers detected between pre- and post- screening with DBT. This suggests that DBT may not influence the detection of more aggressive cancers earlier; however, at this stage, we do not know the impact of DBT on decreasing interval cancer rates or whether interval cancers differ in terms of pathology/histology from cancers detected within in a screening round or with interval cancers from previous screening rounds. Determining DBT’s influence on interval cancers remains one of the key areas to explore in future research. The screening interval (i.e., annual or biennial) and the way that interval cancer rate is defined and reported in studies is important as this could also account for variability within study results. Pooled analysis work, which will include data from the main prospective paired studies set in population-based screening programs, is underway and due to report in 2020.</w:t>
      </w:r>
    </w:p>
    <w:p w14:paraId="3959A5BA" w14:textId="064FB3C6" w:rsidR="00E33A64" w:rsidRPr="004F0D75" w:rsidRDefault="00E33A64" w:rsidP="00E33A64">
      <w:pPr>
        <w:pStyle w:val="BodyText-GREEN"/>
        <w:rPr>
          <w:b/>
          <w:bCs/>
        </w:rPr>
      </w:pPr>
      <w:r w:rsidRPr="004F0D75">
        <w:rPr>
          <w:b/>
          <w:bCs/>
        </w:rPr>
        <w:t xml:space="preserve">Literature review </w:t>
      </w:r>
    </w:p>
    <w:p w14:paraId="3F37998D" w14:textId="45B929CB" w:rsidR="00E33A64" w:rsidRDefault="00E33A64" w:rsidP="00E33A64">
      <w:pPr>
        <w:pStyle w:val="BodyText"/>
      </w:pPr>
      <w:r>
        <w:t>Chong et al. (2019) reported data presented from the OTS and STORM trial</w:t>
      </w:r>
      <w:r w:rsidR="0011516D">
        <w:t>s</w:t>
      </w:r>
      <w:r>
        <w:t xml:space="preserve"> (see </w:t>
      </w:r>
      <w:r w:rsidR="0011516D">
        <w:t xml:space="preserve">below </w:t>
      </w:r>
      <w:r>
        <w:t>for further discussion of these trial results) and retrospective American studies which reported 1.1 per 1000 screens interval cancer rate for both imaging protocols (Bahl et al., 2018). Study results vary</w:t>
      </w:r>
      <w:r w:rsidR="0011516D">
        <w:t xml:space="preserve"> but no results achieve statistical significance</w:t>
      </w:r>
      <w:r>
        <w:t>: STORM data indicated a slight</w:t>
      </w:r>
      <w:r w:rsidR="0011516D">
        <w:t xml:space="preserve"> non-significant</w:t>
      </w:r>
      <w:r>
        <w:t xml:space="preserve"> reduction in interval cancer rates </w:t>
      </w:r>
      <w:r w:rsidR="0011516D">
        <w:t xml:space="preserve">and </w:t>
      </w:r>
      <w:r>
        <w:t>the OTS trial and the Bahl</w:t>
      </w:r>
      <w:r w:rsidR="00285D7E">
        <w:t xml:space="preserve"> et al.</w:t>
      </w:r>
      <w:r>
        <w:t xml:space="preserve"> studies showed no statistically significant difference in interval cancer rate when DBT is used. We note that there are a number of important considerations here, notably that Bahl</w:t>
      </w:r>
      <w:r w:rsidR="00285D7E">
        <w:t xml:space="preserve"> et al.</w:t>
      </w:r>
      <w:r>
        <w:t xml:space="preserve">’s study used annual screening (and is </w:t>
      </w:r>
      <w:r>
        <w:lastRenderedPageBreak/>
        <w:t>likely to have a lower interval cancer rate</w:t>
      </w:r>
      <w:r w:rsidR="0011516D">
        <w:t xml:space="preserve"> compared to biennial screening</w:t>
      </w:r>
      <w:r>
        <w:t xml:space="preserve">) whereas the other studies are biennial. Chong et al. concluded that more information is needed before understanding the influence of DBT on reducing interval cancer rates is reached. Research to address this gap is underway: Houssami et al. (2017) are undertaking an individual participant data-analysis of prospective trials set in biennial population-based screening programs to compare DBT (either alone or integrated with FFDM or </w:t>
      </w:r>
      <w:r w:rsidR="00176980">
        <w:t>s2DM</w:t>
      </w:r>
      <w:r>
        <w:t>) to FFDM. Included studies must have published data on interval cancer rates and at least two-years follow-up. Analysis on interval cancer results is due in 2020 and will progress our understanding of the impact of DBT on interval cancer rates.</w:t>
      </w:r>
    </w:p>
    <w:p w14:paraId="530A8CEA" w14:textId="513BC2DF" w:rsidR="00E33A64" w:rsidRPr="000C0773" w:rsidRDefault="00E33A64" w:rsidP="00E33A64">
      <w:pPr>
        <w:pStyle w:val="Heading3-NOTinTOC"/>
      </w:pPr>
      <w:r>
        <w:t>DBT+</w:t>
      </w:r>
      <w:r w:rsidR="00176980">
        <w:t>s2DM</w:t>
      </w:r>
      <w:r>
        <w:t xml:space="preserve"> compared to FFDM+DBT and/or FFDM alone</w:t>
      </w:r>
    </w:p>
    <w:p w14:paraId="56CCCCEA" w14:textId="77777777" w:rsidR="00E33A64" w:rsidRPr="004F0D75" w:rsidRDefault="00E33A64" w:rsidP="00E33A64">
      <w:pPr>
        <w:pStyle w:val="BodyText-GREEN"/>
        <w:rPr>
          <w:b/>
          <w:bCs/>
        </w:rPr>
      </w:pPr>
      <w:r w:rsidRPr="004F0D75">
        <w:rPr>
          <w:b/>
          <w:bCs/>
        </w:rPr>
        <w:t>Prospective studies embedded in screening programs</w:t>
      </w:r>
    </w:p>
    <w:tbl>
      <w:tblPr>
        <w:tblStyle w:val="ACGreen-BandedTable"/>
        <w:tblpPr w:leftFromText="180" w:rightFromText="180" w:vertAnchor="text" w:horzAnchor="margin" w:tblpXSpec="right" w:tblpY="44"/>
        <w:tblOverlap w:val="never"/>
        <w:tblW w:w="3970" w:type="dxa"/>
        <w:tblLook w:val="04A0" w:firstRow="1" w:lastRow="0" w:firstColumn="1" w:lastColumn="0" w:noHBand="0" w:noVBand="1"/>
        <w:tblDescription w:val="The study design by Bernardi et al. (2019) - Trento pilot evaluation (STORM site) included the results: interval cancer rate (95%CI) for at two years follow-up:&#10;For DBT+s2DM: 1.1, for FFDM alone: 1.36 For RR=.81 (0.55, 1.19)."/>
      </w:tblPr>
      <w:tblGrid>
        <w:gridCol w:w="1608"/>
        <w:gridCol w:w="2362"/>
      </w:tblGrid>
      <w:tr w:rsidR="00E33A64" w:rsidRPr="00D86CAB" w14:paraId="1A0819C0" w14:textId="77777777" w:rsidTr="00645C4F">
        <w:trPr>
          <w:cnfStyle w:val="100000000000" w:firstRow="1" w:lastRow="0" w:firstColumn="0" w:lastColumn="0" w:oddVBand="0" w:evenVBand="0" w:oddHBand="0" w:evenHBand="0" w:firstRowFirstColumn="0" w:firstRowLastColumn="0" w:lastRowFirstColumn="0" w:lastRowLastColumn="0"/>
        </w:trPr>
        <w:tc>
          <w:tcPr>
            <w:tcW w:w="1608" w:type="dxa"/>
          </w:tcPr>
          <w:p w14:paraId="09DE1A08" w14:textId="77777777" w:rsidR="00E33A64" w:rsidRPr="00D86CAB" w:rsidRDefault="00E33A64" w:rsidP="00645C4F">
            <w:pPr>
              <w:pStyle w:val="BodyText"/>
              <w:jc w:val="left"/>
              <w:rPr>
                <w:rFonts w:cstheme="majorHAnsi"/>
                <w:b/>
                <w:sz w:val="18"/>
                <w:szCs w:val="18"/>
              </w:rPr>
            </w:pPr>
            <w:r w:rsidRPr="00D86CAB">
              <w:rPr>
                <w:rFonts w:cstheme="majorHAnsi"/>
                <w:b/>
                <w:sz w:val="18"/>
                <w:szCs w:val="18"/>
              </w:rPr>
              <w:t xml:space="preserve">Study </w:t>
            </w:r>
          </w:p>
          <w:p w14:paraId="28996366" w14:textId="77777777" w:rsidR="00E33A64" w:rsidRPr="00D86CAB" w:rsidRDefault="00E33A64" w:rsidP="00645C4F">
            <w:pPr>
              <w:pStyle w:val="BodyText"/>
              <w:jc w:val="left"/>
              <w:rPr>
                <w:rFonts w:cstheme="majorHAnsi"/>
                <w:b/>
                <w:sz w:val="18"/>
                <w:szCs w:val="18"/>
              </w:rPr>
            </w:pPr>
            <w:r w:rsidRPr="00D86CAB">
              <w:rPr>
                <w:rFonts w:cstheme="majorHAnsi"/>
                <w:b/>
                <w:sz w:val="18"/>
                <w:szCs w:val="18"/>
              </w:rPr>
              <w:t xml:space="preserve">Design </w:t>
            </w:r>
          </w:p>
        </w:tc>
        <w:tc>
          <w:tcPr>
            <w:tcW w:w="2362" w:type="dxa"/>
          </w:tcPr>
          <w:p w14:paraId="1F870644" w14:textId="77777777" w:rsidR="00E33A64" w:rsidRPr="00D86CAB" w:rsidRDefault="00E33A64" w:rsidP="00645C4F">
            <w:pPr>
              <w:pStyle w:val="BodyText"/>
              <w:jc w:val="left"/>
              <w:rPr>
                <w:rFonts w:cstheme="majorHAnsi"/>
                <w:b/>
                <w:sz w:val="18"/>
                <w:szCs w:val="18"/>
              </w:rPr>
            </w:pPr>
            <w:r w:rsidRPr="00D86CAB">
              <w:rPr>
                <w:rFonts w:cstheme="majorHAnsi"/>
                <w:b/>
                <w:sz w:val="18"/>
                <w:szCs w:val="18"/>
              </w:rPr>
              <w:t xml:space="preserve">Results: </w:t>
            </w:r>
            <w:r>
              <w:rPr>
                <w:rFonts w:cstheme="majorHAnsi"/>
                <w:b/>
                <w:sz w:val="18"/>
                <w:szCs w:val="18"/>
              </w:rPr>
              <w:t xml:space="preserve">interval cancer rate </w:t>
            </w:r>
            <w:r w:rsidRPr="006D5DA8">
              <w:rPr>
                <w:rFonts w:cstheme="majorHAnsi"/>
                <w:bCs/>
                <w:sz w:val="16"/>
                <w:szCs w:val="16"/>
              </w:rPr>
              <w:t>(95%CI)</w:t>
            </w:r>
          </w:p>
        </w:tc>
      </w:tr>
      <w:tr w:rsidR="00E33A64" w:rsidRPr="00D86CAB" w14:paraId="0C651691" w14:textId="77777777" w:rsidTr="00645C4F">
        <w:trPr>
          <w:trHeight w:val="17"/>
        </w:trPr>
        <w:tc>
          <w:tcPr>
            <w:tcW w:w="1608" w:type="dxa"/>
            <w:shd w:val="clear" w:color="auto" w:fill="FFFFFF" w:themeFill="background1"/>
          </w:tcPr>
          <w:p w14:paraId="43D09352" w14:textId="77777777" w:rsidR="00E33A64" w:rsidRDefault="00E33A64" w:rsidP="00645C4F">
            <w:pPr>
              <w:pStyle w:val="BodyText"/>
              <w:spacing w:before="0" w:after="0" w:line="240" w:lineRule="auto"/>
              <w:jc w:val="left"/>
              <w:rPr>
                <w:rFonts w:cstheme="majorHAnsi"/>
                <w:b/>
                <w:bCs/>
                <w:sz w:val="18"/>
                <w:szCs w:val="18"/>
              </w:rPr>
            </w:pPr>
            <w:r>
              <w:rPr>
                <w:rFonts w:cstheme="majorHAnsi"/>
                <w:b/>
                <w:bCs/>
                <w:sz w:val="18"/>
                <w:szCs w:val="18"/>
              </w:rPr>
              <w:t>Bernardi et al. (2019)</w:t>
            </w:r>
          </w:p>
          <w:p w14:paraId="33B08FF3" w14:textId="77777777" w:rsidR="00E33A64" w:rsidRPr="009D3B59" w:rsidRDefault="00E33A64" w:rsidP="00645C4F">
            <w:pPr>
              <w:pStyle w:val="BodyText"/>
              <w:spacing w:before="0" w:after="0" w:line="240" w:lineRule="auto"/>
              <w:jc w:val="left"/>
              <w:rPr>
                <w:rFonts w:cstheme="majorHAnsi"/>
                <w:sz w:val="18"/>
                <w:szCs w:val="18"/>
              </w:rPr>
            </w:pPr>
            <w:r>
              <w:rPr>
                <w:rFonts w:cstheme="majorHAnsi"/>
                <w:sz w:val="18"/>
                <w:szCs w:val="18"/>
              </w:rPr>
              <w:t>Trento pilot evaluation (STORM site)</w:t>
            </w:r>
          </w:p>
        </w:tc>
        <w:tc>
          <w:tcPr>
            <w:tcW w:w="2362" w:type="dxa"/>
            <w:shd w:val="clear" w:color="auto" w:fill="FFFFFF" w:themeFill="background1"/>
          </w:tcPr>
          <w:p w14:paraId="178F2AFB" w14:textId="77777777" w:rsidR="00E33A64" w:rsidRDefault="00E33A64" w:rsidP="00645C4F">
            <w:pPr>
              <w:pStyle w:val="BodyText"/>
              <w:spacing w:before="0" w:after="0" w:line="240" w:lineRule="auto"/>
              <w:rPr>
                <w:rFonts w:cstheme="majorHAnsi"/>
                <w:sz w:val="18"/>
                <w:szCs w:val="18"/>
              </w:rPr>
            </w:pPr>
            <w:r>
              <w:rPr>
                <w:rFonts w:cstheme="majorHAnsi"/>
                <w:sz w:val="18"/>
                <w:szCs w:val="18"/>
              </w:rPr>
              <w:t>At two years follow-up:</w:t>
            </w:r>
          </w:p>
          <w:p w14:paraId="6A70A085" w14:textId="0024E13F" w:rsidR="00E33A64" w:rsidRDefault="00E33A64" w:rsidP="00645C4F">
            <w:pPr>
              <w:pStyle w:val="BodyText"/>
              <w:spacing w:before="0" w:after="0" w:line="240" w:lineRule="auto"/>
              <w:rPr>
                <w:rFonts w:cstheme="majorHAnsi"/>
                <w:sz w:val="18"/>
                <w:szCs w:val="18"/>
              </w:rPr>
            </w:pPr>
            <w:r>
              <w:rPr>
                <w:rFonts w:cstheme="majorHAnsi"/>
                <w:sz w:val="18"/>
                <w:szCs w:val="18"/>
              </w:rPr>
              <w:t>DBT+</w:t>
            </w:r>
            <w:r w:rsidR="00176980">
              <w:rPr>
                <w:rFonts w:cstheme="majorHAnsi"/>
                <w:sz w:val="18"/>
                <w:szCs w:val="18"/>
              </w:rPr>
              <w:t>s2DM</w:t>
            </w:r>
            <w:r>
              <w:rPr>
                <w:rFonts w:cstheme="majorHAnsi"/>
                <w:sz w:val="18"/>
                <w:szCs w:val="18"/>
              </w:rPr>
              <w:t>: 1.1</w:t>
            </w:r>
          </w:p>
          <w:p w14:paraId="7DCAF723" w14:textId="77777777" w:rsidR="00E33A64" w:rsidRDefault="00E33A64" w:rsidP="00645C4F">
            <w:pPr>
              <w:pStyle w:val="BodyText"/>
              <w:spacing w:before="0" w:after="0" w:line="240" w:lineRule="auto"/>
              <w:rPr>
                <w:rFonts w:cstheme="majorHAnsi"/>
                <w:sz w:val="18"/>
                <w:szCs w:val="18"/>
              </w:rPr>
            </w:pPr>
            <w:r>
              <w:rPr>
                <w:rFonts w:cstheme="majorHAnsi"/>
                <w:sz w:val="18"/>
                <w:szCs w:val="18"/>
              </w:rPr>
              <w:t>FFDM alone: 1.36</w:t>
            </w:r>
          </w:p>
          <w:p w14:paraId="6E77FE56" w14:textId="3706929B" w:rsidR="00E33A64" w:rsidRPr="00F94560" w:rsidRDefault="00E33A64" w:rsidP="00645C4F">
            <w:pPr>
              <w:pStyle w:val="BodyText"/>
              <w:spacing w:before="0" w:after="0" w:line="240" w:lineRule="auto"/>
              <w:rPr>
                <w:rFonts w:cstheme="majorHAnsi"/>
                <w:sz w:val="18"/>
                <w:szCs w:val="18"/>
              </w:rPr>
            </w:pPr>
            <w:r>
              <w:rPr>
                <w:rFonts w:cstheme="majorHAnsi"/>
                <w:sz w:val="18"/>
                <w:szCs w:val="18"/>
              </w:rPr>
              <w:t>RR</w:t>
            </w:r>
            <w:r w:rsidR="004F6A90">
              <w:rPr>
                <w:rFonts w:cstheme="majorHAnsi"/>
                <w:sz w:val="18"/>
                <w:szCs w:val="18"/>
              </w:rPr>
              <w:t>=</w:t>
            </w:r>
            <w:r>
              <w:rPr>
                <w:rFonts w:cstheme="majorHAnsi"/>
                <w:sz w:val="18"/>
                <w:szCs w:val="18"/>
              </w:rPr>
              <w:t>.81 (0.55</w:t>
            </w:r>
            <w:r w:rsidR="004F6A90">
              <w:rPr>
                <w:rFonts w:cstheme="majorHAnsi"/>
                <w:sz w:val="18"/>
                <w:szCs w:val="18"/>
              </w:rPr>
              <w:t xml:space="preserve">, </w:t>
            </w:r>
            <w:r>
              <w:rPr>
                <w:rFonts w:cstheme="majorHAnsi"/>
                <w:sz w:val="18"/>
                <w:szCs w:val="18"/>
              </w:rPr>
              <w:t>1.19)</w:t>
            </w:r>
          </w:p>
        </w:tc>
      </w:tr>
    </w:tbl>
    <w:p w14:paraId="5D411569" w14:textId="7F003825" w:rsidR="00135C00" w:rsidRDefault="00E33A64" w:rsidP="00E33A64">
      <w:pPr>
        <w:pStyle w:val="BodyText"/>
      </w:pPr>
      <w:r>
        <w:t>Data from the Trento pilot evaluation reported on interval cancer rate at two years follow-up (Bernardi et al., 2019). The authors noted that 51 interval cancers were detected in each cohort (i.e., women screened with DBT+</w:t>
      </w:r>
      <w:r w:rsidR="00176980">
        <w:t>s2DM</w:t>
      </w:r>
      <w:r>
        <w:t xml:space="preserve"> between October 2014 and October 2016 compared to women screened with FFDM only between January 2013 and October 2014). The interval cancer rate was slightly lower for women screened with DBT+</w:t>
      </w:r>
      <w:r w:rsidR="00176980">
        <w:t>s2DM</w:t>
      </w:r>
      <w:r>
        <w:t xml:space="preserve"> (see box above) but the relative risk was not statistically significant. The authors note that it is likely that this study was not powered to detect significant changes in interval cancer rates. No information was provided about the characteristics of the interval cancers detected in this pilot.</w:t>
      </w:r>
      <w:r w:rsidR="007F6FB7">
        <w:t xml:space="preserve"> </w:t>
      </w:r>
      <w:r w:rsidR="00135C00">
        <w:t xml:space="preserve">Six interval cancers were identified in the STORM-2 trial (Bernardi et al., 2018) but no further comment or analysis on this finding was made. </w:t>
      </w:r>
    </w:p>
    <w:p w14:paraId="599BE4CE" w14:textId="27A04FAA" w:rsidR="00E33A64" w:rsidRDefault="00E33A64" w:rsidP="00E33A64">
      <w:pPr>
        <w:pStyle w:val="BodyText"/>
      </w:pPr>
      <w:r>
        <w:t>The Reggio Emilia trial (Pattacini et al., 2018</w:t>
      </w:r>
      <w:r w:rsidR="00ED7249">
        <w:t xml:space="preserve">, methodology described in </w:t>
      </w:r>
      <w:r w:rsidR="00ED7249" w:rsidRPr="00ED7249">
        <w:rPr>
          <w:i/>
          <w:iCs/>
        </w:rPr>
        <w:t xml:space="preserve">section </w:t>
      </w:r>
      <w:r w:rsidR="00E45406">
        <w:rPr>
          <w:i/>
          <w:iCs/>
        </w:rPr>
        <w:t>3.1.1</w:t>
      </w:r>
      <w:r>
        <w:t>) is powered to compare interval cancer rates</w:t>
      </w:r>
      <w:r w:rsidR="00285D7E">
        <w:t>,</w:t>
      </w:r>
      <w:r>
        <w:t xml:space="preserve"> but it has not yet reported results.</w:t>
      </w:r>
    </w:p>
    <w:p w14:paraId="414B5FA5" w14:textId="77777777" w:rsidR="006557B2" w:rsidRDefault="006557B2" w:rsidP="006557B2">
      <w:pPr>
        <w:pStyle w:val="BodyText-GREEN"/>
        <w:rPr>
          <w:b/>
          <w:bCs/>
        </w:rPr>
      </w:pPr>
      <w:bookmarkStart w:id="220" w:name="_Toc27477587"/>
      <w:bookmarkStart w:id="221" w:name="_Toc27665720"/>
      <w:bookmarkStart w:id="222" w:name="_Toc27844496"/>
      <w:bookmarkStart w:id="223" w:name="_Toc27859626"/>
      <w:r w:rsidRPr="004F0D75">
        <w:rPr>
          <w:b/>
          <w:bCs/>
        </w:rPr>
        <w:t>Retrospective analysis</w:t>
      </w:r>
    </w:p>
    <w:p w14:paraId="03A11729" w14:textId="77777777" w:rsidR="006557B2" w:rsidRDefault="006557B2" w:rsidP="006557B2">
      <w:pPr>
        <w:pStyle w:val="BodyText"/>
      </w:pPr>
      <w:r>
        <w:t xml:space="preserve">Hovda et al. (2019) completed a retrospective analysis of data from the Norway BreastScreen Program. The authors compared interval cancer rates using paired data from women with two or more consecutive screening examinations. A slightly different interval cancer definition was used by Hovda et al.: breast cancer diagnosed after a negative mammogram result or within six months of a false positive result and both within two years of a screening examination. Like Skaane et al. (2018), Hovda et al. reported no statistically significant differences in interval cancer regardless of the screening examination undertaken: </w:t>
      </w:r>
    </w:p>
    <w:p w14:paraId="560227AE" w14:textId="77777777" w:rsidR="006557B2" w:rsidRDefault="006557B2" w:rsidP="006557B2">
      <w:pPr>
        <w:pStyle w:val="List-BulletLvl1"/>
      </w:pPr>
      <w:r>
        <w:t>Interval cancer rate for Group 1 women (two FFDM screens): 2.2 per 1000 women screened</w:t>
      </w:r>
    </w:p>
    <w:p w14:paraId="2BB9295C" w14:textId="77777777" w:rsidR="006557B2" w:rsidRDefault="006557B2" w:rsidP="006557B2">
      <w:pPr>
        <w:pStyle w:val="List-BulletLvl1"/>
      </w:pPr>
      <w:r>
        <w:t>Interval cancer rate for Group 2 women (FFDM then FFDM+DBT or DBT+s2DM): 1.9 per 1000 women screened.</w:t>
      </w:r>
    </w:p>
    <w:p w14:paraId="79747E84" w14:textId="77777777" w:rsidR="006557B2" w:rsidRDefault="006557B2" w:rsidP="006557B2">
      <w:pPr>
        <w:pStyle w:val="BodyText"/>
      </w:pPr>
      <w:r>
        <w:t>They reported on specific histological characteristics of interval cancers, finding statistically significant decreases in the number of grade 1 intervals cancers when women were screened with DBT (either FFDM+DBT or DBT+s2DM) after a previous FFDM examination: 0.6 grade 1 interval cancers were detected per 1000 screening examinations compared to 0.67 with FFDM (</w:t>
      </w:r>
      <w:r>
        <w:rPr>
          <w:i/>
          <w:iCs/>
        </w:rPr>
        <w:t>p</w:t>
      </w:r>
      <w:r>
        <w:t xml:space="preserve">&lt;.01). </w:t>
      </w:r>
      <w:r>
        <w:lastRenderedPageBreak/>
        <w:t>more grade 3 interval cancers were reported with DBT, but this result was not significant. No other statistically significant results were reported.</w:t>
      </w:r>
    </w:p>
    <w:p w14:paraId="4CA5919F" w14:textId="77777777" w:rsidR="00E33A64" w:rsidRDefault="00E33A64" w:rsidP="00E33A64">
      <w:pPr>
        <w:pStyle w:val="Heading3"/>
      </w:pPr>
      <w:bookmarkStart w:id="224" w:name="_Toc27904741"/>
      <w:bookmarkStart w:id="225" w:name="_Toc43376292"/>
      <w:r>
        <w:t>FFDM+DBT compared to FFDM alone</w:t>
      </w:r>
      <w:bookmarkEnd w:id="220"/>
      <w:bookmarkEnd w:id="221"/>
      <w:bookmarkEnd w:id="222"/>
      <w:bookmarkEnd w:id="223"/>
      <w:bookmarkEnd w:id="224"/>
      <w:bookmarkEnd w:id="225"/>
    </w:p>
    <w:p w14:paraId="06D051FD" w14:textId="77777777" w:rsidR="00E33A64" w:rsidRPr="004F0D75" w:rsidRDefault="00E33A64" w:rsidP="00E33A64">
      <w:pPr>
        <w:pStyle w:val="BodyText-GREEN"/>
        <w:rPr>
          <w:b/>
          <w:bCs/>
        </w:rPr>
      </w:pPr>
      <w:r w:rsidRPr="004F0D75">
        <w:rPr>
          <w:b/>
          <w:bCs/>
        </w:rPr>
        <w:t>Prospective studies embedded in screening programs</w:t>
      </w:r>
    </w:p>
    <w:tbl>
      <w:tblPr>
        <w:tblStyle w:val="ACGreen-BandedTable"/>
        <w:tblpPr w:leftFromText="180" w:rightFromText="180" w:vertAnchor="text" w:horzAnchor="margin" w:tblpXSpec="right" w:tblpY="194"/>
        <w:tblOverlap w:val="never"/>
        <w:tblW w:w="3970" w:type="dxa"/>
        <w:tblLook w:val="04A0" w:firstRow="1" w:lastRow="0" w:firstColumn="1" w:lastColumn="0" w:noHBand="0" w:noVBand="1"/>
        <w:tblDescription w:val="The study design by Houssami et al. (2018) STORM has results: interval cancer rate  Rate per 1000 women screened (95%CI) for at two years follow-up:&#10;For FFDM+DBT: 1.23 (0.56, 2.34) and FFDM alone: 1.60 (1.14, 2.17)&#10;&#10;The study design by Skaane et al. (2018) OTS has results: interval cancer rate  Rate per 1000 women screened (95%CI) - &#10;For FFDM+DBT: 2.1; FFDM alone: 2.0 and Incremental difference: 0.1 (-0.5, 0.8, p=.734)  &#10;&#10;"/>
      </w:tblPr>
      <w:tblGrid>
        <w:gridCol w:w="1608"/>
        <w:gridCol w:w="2362"/>
      </w:tblGrid>
      <w:tr w:rsidR="00E33A64" w:rsidRPr="00D86CAB" w14:paraId="1AE1887E" w14:textId="77777777" w:rsidTr="00645C4F">
        <w:trPr>
          <w:cnfStyle w:val="100000000000" w:firstRow="1" w:lastRow="0" w:firstColumn="0" w:lastColumn="0" w:oddVBand="0" w:evenVBand="0" w:oddHBand="0" w:evenHBand="0" w:firstRowFirstColumn="0" w:firstRowLastColumn="0" w:lastRowFirstColumn="0" w:lastRowLastColumn="0"/>
        </w:trPr>
        <w:tc>
          <w:tcPr>
            <w:tcW w:w="1608" w:type="dxa"/>
          </w:tcPr>
          <w:p w14:paraId="00E6067E" w14:textId="77777777" w:rsidR="00E33A64" w:rsidRPr="00D86CAB" w:rsidRDefault="00E33A64" w:rsidP="00645C4F">
            <w:pPr>
              <w:pStyle w:val="BodyText"/>
              <w:jc w:val="left"/>
              <w:rPr>
                <w:rFonts w:cstheme="majorHAnsi"/>
                <w:b/>
                <w:sz w:val="18"/>
                <w:szCs w:val="18"/>
              </w:rPr>
            </w:pPr>
            <w:r w:rsidRPr="00D86CAB">
              <w:rPr>
                <w:rFonts w:cstheme="majorHAnsi"/>
                <w:b/>
                <w:sz w:val="18"/>
                <w:szCs w:val="18"/>
              </w:rPr>
              <w:t xml:space="preserve">Study </w:t>
            </w:r>
          </w:p>
          <w:p w14:paraId="1393D05D" w14:textId="77777777" w:rsidR="00E33A64" w:rsidRPr="00D86CAB" w:rsidRDefault="00E33A64" w:rsidP="00645C4F">
            <w:pPr>
              <w:pStyle w:val="BodyText"/>
              <w:jc w:val="left"/>
              <w:rPr>
                <w:rFonts w:cstheme="majorHAnsi"/>
                <w:b/>
                <w:sz w:val="18"/>
                <w:szCs w:val="18"/>
              </w:rPr>
            </w:pPr>
            <w:r w:rsidRPr="00D86CAB">
              <w:rPr>
                <w:rFonts w:cstheme="majorHAnsi"/>
                <w:b/>
                <w:sz w:val="18"/>
                <w:szCs w:val="18"/>
              </w:rPr>
              <w:t xml:space="preserve">Design </w:t>
            </w:r>
          </w:p>
        </w:tc>
        <w:tc>
          <w:tcPr>
            <w:tcW w:w="2362" w:type="dxa"/>
          </w:tcPr>
          <w:p w14:paraId="28AD494B" w14:textId="77777777" w:rsidR="00E33A64" w:rsidRPr="00D86CAB" w:rsidRDefault="00E33A64" w:rsidP="00645C4F">
            <w:pPr>
              <w:pStyle w:val="BodyText"/>
              <w:jc w:val="left"/>
              <w:rPr>
                <w:rFonts w:cstheme="majorHAnsi"/>
                <w:b/>
                <w:sz w:val="18"/>
                <w:szCs w:val="18"/>
              </w:rPr>
            </w:pPr>
            <w:r w:rsidRPr="00D86CAB">
              <w:rPr>
                <w:rFonts w:cstheme="majorHAnsi"/>
                <w:b/>
                <w:sz w:val="18"/>
                <w:szCs w:val="18"/>
              </w:rPr>
              <w:t xml:space="preserve">Results: </w:t>
            </w:r>
            <w:r>
              <w:rPr>
                <w:rFonts w:cstheme="majorHAnsi"/>
                <w:b/>
                <w:sz w:val="18"/>
                <w:szCs w:val="18"/>
              </w:rPr>
              <w:t xml:space="preserve">interval cancer rate </w:t>
            </w:r>
            <w:r w:rsidRPr="006D5DA8">
              <w:rPr>
                <w:rFonts w:cstheme="majorHAnsi"/>
                <w:bCs/>
                <w:sz w:val="16"/>
                <w:szCs w:val="16"/>
              </w:rPr>
              <w:t xml:space="preserve"> Rate per 1000 women screened (95%CI)</w:t>
            </w:r>
          </w:p>
        </w:tc>
      </w:tr>
      <w:tr w:rsidR="00E33A64" w:rsidRPr="00D86CAB" w14:paraId="3EC2B5E7" w14:textId="77777777" w:rsidTr="00645C4F">
        <w:trPr>
          <w:trHeight w:val="17"/>
        </w:trPr>
        <w:tc>
          <w:tcPr>
            <w:tcW w:w="1608" w:type="dxa"/>
            <w:shd w:val="clear" w:color="auto" w:fill="FFFFFF" w:themeFill="background1"/>
          </w:tcPr>
          <w:p w14:paraId="593E1B7B" w14:textId="77777777" w:rsidR="00E33A64" w:rsidRDefault="00E33A64" w:rsidP="00645C4F">
            <w:pPr>
              <w:pStyle w:val="BodyText"/>
              <w:spacing w:before="0" w:after="0" w:line="240" w:lineRule="auto"/>
              <w:jc w:val="left"/>
              <w:rPr>
                <w:rFonts w:cstheme="majorHAnsi"/>
                <w:b/>
                <w:bCs/>
                <w:sz w:val="18"/>
                <w:szCs w:val="18"/>
              </w:rPr>
            </w:pPr>
            <w:r>
              <w:rPr>
                <w:rFonts w:cstheme="majorHAnsi"/>
                <w:b/>
                <w:bCs/>
                <w:sz w:val="18"/>
                <w:szCs w:val="18"/>
              </w:rPr>
              <w:t>Houssami et al. (2018)</w:t>
            </w:r>
          </w:p>
          <w:p w14:paraId="3EB12DBD" w14:textId="42AA66B8" w:rsidR="00E33A64" w:rsidRPr="009D3B59" w:rsidRDefault="00E33A64" w:rsidP="00645C4F">
            <w:pPr>
              <w:pStyle w:val="BodyText"/>
              <w:spacing w:before="0" w:after="0" w:line="240" w:lineRule="auto"/>
              <w:jc w:val="left"/>
              <w:rPr>
                <w:rFonts w:cstheme="majorHAnsi"/>
                <w:sz w:val="18"/>
                <w:szCs w:val="18"/>
              </w:rPr>
            </w:pPr>
            <w:r>
              <w:rPr>
                <w:rFonts w:cstheme="majorHAnsi"/>
                <w:sz w:val="18"/>
                <w:szCs w:val="18"/>
              </w:rPr>
              <w:t xml:space="preserve">STORM </w:t>
            </w:r>
          </w:p>
        </w:tc>
        <w:tc>
          <w:tcPr>
            <w:tcW w:w="2362" w:type="dxa"/>
            <w:shd w:val="clear" w:color="auto" w:fill="FFFFFF" w:themeFill="background1"/>
          </w:tcPr>
          <w:p w14:paraId="2E348AF8" w14:textId="77777777" w:rsidR="00E33A64" w:rsidRDefault="00E33A64" w:rsidP="00645C4F">
            <w:pPr>
              <w:pStyle w:val="BodyText"/>
              <w:spacing w:before="0" w:after="0" w:line="240" w:lineRule="auto"/>
              <w:rPr>
                <w:rFonts w:cstheme="majorHAnsi"/>
                <w:sz w:val="18"/>
                <w:szCs w:val="18"/>
              </w:rPr>
            </w:pPr>
            <w:r>
              <w:rPr>
                <w:rFonts w:cstheme="majorHAnsi"/>
                <w:sz w:val="18"/>
                <w:szCs w:val="18"/>
              </w:rPr>
              <w:t>At two years follow-up:</w:t>
            </w:r>
          </w:p>
          <w:p w14:paraId="30C427BB" w14:textId="47E8726A" w:rsidR="00E33A64" w:rsidRDefault="00E33A64" w:rsidP="00645C4F">
            <w:pPr>
              <w:pStyle w:val="BodyText"/>
              <w:spacing w:before="0" w:after="0" w:line="240" w:lineRule="auto"/>
              <w:rPr>
                <w:rFonts w:cstheme="majorHAnsi"/>
                <w:sz w:val="18"/>
                <w:szCs w:val="18"/>
              </w:rPr>
            </w:pPr>
            <w:r>
              <w:rPr>
                <w:rFonts w:cstheme="majorHAnsi"/>
                <w:sz w:val="18"/>
                <w:szCs w:val="18"/>
              </w:rPr>
              <w:t>FFDM+DBT: 1.23 (0.56</w:t>
            </w:r>
            <w:r w:rsidR="004F6A90">
              <w:rPr>
                <w:rFonts w:cstheme="majorHAnsi"/>
                <w:sz w:val="18"/>
                <w:szCs w:val="18"/>
              </w:rPr>
              <w:t xml:space="preserve">, </w:t>
            </w:r>
            <w:r>
              <w:rPr>
                <w:rFonts w:cstheme="majorHAnsi"/>
                <w:sz w:val="18"/>
                <w:szCs w:val="18"/>
              </w:rPr>
              <w:t>2.34)</w:t>
            </w:r>
          </w:p>
          <w:p w14:paraId="70351064" w14:textId="5DEC39F5" w:rsidR="00E33A64" w:rsidRPr="00F94560" w:rsidRDefault="00E33A64" w:rsidP="00645C4F">
            <w:pPr>
              <w:pStyle w:val="BodyText"/>
              <w:spacing w:before="0" w:after="0" w:line="240" w:lineRule="auto"/>
              <w:rPr>
                <w:rFonts w:cstheme="majorHAnsi"/>
                <w:sz w:val="18"/>
                <w:szCs w:val="18"/>
              </w:rPr>
            </w:pPr>
            <w:r>
              <w:rPr>
                <w:rFonts w:cstheme="majorHAnsi"/>
                <w:sz w:val="18"/>
                <w:szCs w:val="18"/>
              </w:rPr>
              <w:t>FFDM alone: 1.60 (1.14</w:t>
            </w:r>
            <w:r w:rsidR="0034054F">
              <w:rPr>
                <w:rFonts w:cstheme="majorHAnsi"/>
                <w:sz w:val="18"/>
                <w:szCs w:val="18"/>
              </w:rPr>
              <w:t xml:space="preserve">, </w:t>
            </w:r>
            <w:r>
              <w:rPr>
                <w:rFonts w:cstheme="majorHAnsi"/>
                <w:sz w:val="18"/>
                <w:szCs w:val="18"/>
              </w:rPr>
              <w:t>2.17)</w:t>
            </w:r>
          </w:p>
        </w:tc>
      </w:tr>
      <w:tr w:rsidR="00E33A64" w:rsidRPr="00D86CAB" w14:paraId="4B9B15C9" w14:textId="77777777" w:rsidTr="00645C4F">
        <w:trPr>
          <w:cnfStyle w:val="000000010000" w:firstRow="0" w:lastRow="0" w:firstColumn="0" w:lastColumn="0" w:oddVBand="0" w:evenVBand="0" w:oddHBand="0" w:evenHBand="1" w:firstRowFirstColumn="0" w:firstRowLastColumn="0" w:lastRowFirstColumn="0" w:lastRowLastColumn="0"/>
          <w:trHeight w:val="17"/>
        </w:trPr>
        <w:tc>
          <w:tcPr>
            <w:tcW w:w="1608" w:type="dxa"/>
            <w:shd w:val="clear" w:color="auto" w:fill="FFFFFF" w:themeFill="background1"/>
          </w:tcPr>
          <w:p w14:paraId="4EC93635" w14:textId="77777777" w:rsidR="00E33A64" w:rsidRDefault="00E33A64" w:rsidP="00645C4F">
            <w:pPr>
              <w:pStyle w:val="BodyText"/>
              <w:spacing w:before="0" w:after="0" w:line="240" w:lineRule="auto"/>
              <w:jc w:val="left"/>
              <w:rPr>
                <w:rFonts w:cstheme="majorHAnsi"/>
                <w:b/>
                <w:bCs/>
                <w:sz w:val="18"/>
                <w:szCs w:val="18"/>
              </w:rPr>
            </w:pPr>
            <w:r>
              <w:rPr>
                <w:rFonts w:cstheme="majorHAnsi"/>
                <w:b/>
                <w:bCs/>
                <w:sz w:val="18"/>
                <w:szCs w:val="18"/>
              </w:rPr>
              <w:t>Skaane et al. (2018)</w:t>
            </w:r>
          </w:p>
          <w:p w14:paraId="1831808C" w14:textId="1E336601" w:rsidR="00E33A64" w:rsidRPr="00E2165B" w:rsidRDefault="00E33A64" w:rsidP="00645C4F">
            <w:pPr>
              <w:pStyle w:val="BodyText"/>
              <w:spacing w:before="0" w:after="0" w:line="240" w:lineRule="auto"/>
              <w:jc w:val="left"/>
              <w:rPr>
                <w:rFonts w:cstheme="majorHAnsi"/>
                <w:sz w:val="18"/>
                <w:szCs w:val="18"/>
              </w:rPr>
            </w:pPr>
            <w:r>
              <w:rPr>
                <w:rFonts w:cstheme="majorHAnsi"/>
                <w:sz w:val="18"/>
                <w:szCs w:val="18"/>
              </w:rPr>
              <w:t xml:space="preserve">OTS </w:t>
            </w:r>
          </w:p>
        </w:tc>
        <w:tc>
          <w:tcPr>
            <w:tcW w:w="2362" w:type="dxa"/>
            <w:shd w:val="clear" w:color="auto" w:fill="FFFFFF" w:themeFill="background1"/>
          </w:tcPr>
          <w:p w14:paraId="3E1D46E9" w14:textId="77777777" w:rsidR="00E33A64" w:rsidRDefault="00E33A64" w:rsidP="00645C4F">
            <w:pPr>
              <w:pStyle w:val="BodyText"/>
              <w:spacing w:before="0" w:after="0" w:line="240" w:lineRule="auto"/>
              <w:rPr>
                <w:rFonts w:cstheme="majorHAnsi"/>
                <w:sz w:val="18"/>
                <w:szCs w:val="18"/>
              </w:rPr>
            </w:pPr>
            <w:r>
              <w:rPr>
                <w:rFonts w:cstheme="majorHAnsi"/>
                <w:sz w:val="18"/>
                <w:szCs w:val="18"/>
              </w:rPr>
              <w:t>FFDM+DBT: 2.1</w:t>
            </w:r>
          </w:p>
          <w:p w14:paraId="04364080" w14:textId="77777777" w:rsidR="00E33A64" w:rsidRDefault="00E33A64" w:rsidP="00645C4F">
            <w:pPr>
              <w:pStyle w:val="BodyText"/>
              <w:spacing w:before="0" w:after="0" w:line="240" w:lineRule="auto"/>
              <w:rPr>
                <w:rFonts w:cstheme="majorHAnsi"/>
                <w:sz w:val="18"/>
                <w:szCs w:val="18"/>
              </w:rPr>
            </w:pPr>
            <w:r>
              <w:rPr>
                <w:rFonts w:cstheme="majorHAnsi"/>
                <w:sz w:val="18"/>
                <w:szCs w:val="18"/>
              </w:rPr>
              <w:t>FFDM alone: 2.0</w:t>
            </w:r>
          </w:p>
          <w:p w14:paraId="30551889" w14:textId="5DE0FF2E" w:rsidR="00E33A64" w:rsidRPr="00A11260" w:rsidRDefault="00E33A64" w:rsidP="00645C4F">
            <w:pPr>
              <w:pStyle w:val="BodyText"/>
              <w:spacing w:before="0" w:after="0" w:line="240" w:lineRule="auto"/>
              <w:rPr>
                <w:rFonts w:cstheme="majorHAnsi"/>
                <w:sz w:val="18"/>
                <w:szCs w:val="18"/>
              </w:rPr>
            </w:pPr>
            <w:r w:rsidRPr="00A11260">
              <w:rPr>
                <w:rFonts w:cstheme="majorHAnsi"/>
                <w:sz w:val="18"/>
                <w:szCs w:val="18"/>
              </w:rPr>
              <w:t xml:space="preserve">Incremental difference: </w:t>
            </w:r>
            <w:r w:rsidRPr="00A11260">
              <w:rPr>
                <w:sz w:val="18"/>
                <w:szCs w:val="18"/>
              </w:rPr>
              <w:t>0.1</w:t>
            </w:r>
            <w:r>
              <w:rPr>
                <w:sz w:val="18"/>
                <w:szCs w:val="18"/>
              </w:rPr>
              <w:t xml:space="preserve"> (</w:t>
            </w:r>
            <w:r w:rsidRPr="00A11260">
              <w:rPr>
                <w:sz w:val="18"/>
                <w:szCs w:val="18"/>
              </w:rPr>
              <w:t>-0.5</w:t>
            </w:r>
            <w:r w:rsidR="0034054F">
              <w:rPr>
                <w:sz w:val="18"/>
                <w:szCs w:val="18"/>
              </w:rPr>
              <w:t xml:space="preserve">, </w:t>
            </w:r>
            <w:r w:rsidRPr="00A11260">
              <w:rPr>
                <w:sz w:val="18"/>
                <w:szCs w:val="18"/>
              </w:rPr>
              <w:t>0.8</w:t>
            </w:r>
            <w:r>
              <w:rPr>
                <w:sz w:val="18"/>
                <w:szCs w:val="18"/>
              </w:rPr>
              <w:t xml:space="preserve">, </w:t>
            </w:r>
            <w:r>
              <w:rPr>
                <w:i/>
                <w:iCs/>
                <w:sz w:val="18"/>
                <w:szCs w:val="18"/>
              </w:rPr>
              <w:t>p</w:t>
            </w:r>
            <w:r>
              <w:rPr>
                <w:sz w:val="18"/>
                <w:szCs w:val="18"/>
              </w:rPr>
              <w:t>=.734</w:t>
            </w:r>
            <w:r w:rsidRPr="00A11260">
              <w:rPr>
                <w:i/>
                <w:iCs/>
                <w:sz w:val="18"/>
                <w:szCs w:val="18"/>
              </w:rPr>
              <w:t>)</w:t>
            </w:r>
            <w:r w:rsidRPr="00A11260">
              <w:rPr>
                <w:sz w:val="18"/>
                <w:szCs w:val="18"/>
              </w:rPr>
              <w:t xml:space="preserve"> </w:t>
            </w:r>
            <w:r w:rsidRPr="00A11260">
              <w:rPr>
                <w:rFonts w:cstheme="majorHAnsi"/>
                <w:sz w:val="18"/>
                <w:szCs w:val="18"/>
              </w:rPr>
              <w:t xml:space="preserve"> </w:t>
            </w:r>
          </w:p>
        </w:tc>
      </w:tr>
    </w:tbl>
    <w:p w14:paraId="179FADF1" w14:textId="1AEE95B1" w:rsidR="00E33A64" w:rsidRDefault="00E33A64" w:rsidP="00E33A64">
      <w:pPr>
        <w:pStyle w:val="BodyText"/>
      </w:pPr>
      <w:r>
        <w:t xml:space="preserve">Two trials set in population-based screening programs (OTS and STORM trials) have reported on interval cancer rates, but neither reported statistically significant increases in interval cancer following use of DBT (see box, right). Skaane et al. (2018) reported two-year follow-up data on interval cancer rate from the OTS trial, noting few differences following use post screening with FFDM+DBT (methodology described in </w:t>
      </w:r>
      <w:r>
        <w:rPr>
          <w:i/>
          <w:iCs/>
        </w:rPr>
        <w:t xml:space="preserve">section </w:t>
      </w:r>
      <w:r w:rsidR="00E45406">
        <w:rPr>
          <w:i/>
          <w:iCs/>
        </w:rPr>
        <w:t>3.1.1</w:t>
      </w:r>
      <w:r>
        <w:t>). In this study, the authors compared 51 interval cancer rates from the OTS trial with aggregate screening data from two previous FFDM screening rounds. The interval cancer analysis was not paired. The OTS interval cancer rate was 2.1 interval cancers per 1000 screening examinations compared to 2.0 interval cancers per 1000 screening examinations in the previous two screening rounds. The incremental difference was not statistically significant. Interestingly, while the interval cancer rate was not different, the authors noted that proportionally more interval cancers presented after one year when FFDM was used (73</w:t>
      </w:r>
      <w:r w:rsidR="00176980">
        <w:t xml:space="preserve"> percent</w:t>
      </w:r>
      <w:r>
        <w:t xml:space="preserve"> compared to 61</w:t>
      </w:r>
      <w:r w:rsidR="00176980">
        <w:t xml:space="preserve"> percent</w:t>
      </w:r>
      <w:r>
        <w:t xml:space="preserve">) but did not provide further comment of the importance of this finding (or otherwise). </w:t>
      </w:r>
    </w:p>
    <w:p w14:paraId="63E0BBEF" w14:textId="6CF32977" w:rsidR="00E33A64" w:rsidRDefault="00E33A64" w:rsidP="00E33A64">
      <w:pPr>
        <w:pStyle w:val="BodyText"/>
      </w:pPr>
      <w:r>
        <w:t xml:space="preserve">STORM was not powered to detect interval cancer rates; however, </w:t>
      </w:r>
      <w:r w:rsidRPr="00436476">
        <w:t>Houssami et al. (2018) completed reporting of the STORM trial results with a paper on interval cancer rates. In this trial, 7292 asymptomatic, average</w:t>
      </w:r>
      <w:r>
        <w:t>-</w:t>
      </w:r>
      <w:r w:rsidRPr="00436476">
        <w:t xml:space="preserve">risk Italian women aged 48 years or older (median age 58 years) </w:t>
      </w:r>
      <w:r>
        <w:t>were screened with FFDM+DBT, with reading of FFDM images only followed by FFDM+DBT reading (i.e., a paired trial). Interval cancer was defined as a cancer identified after a negative mammogram before the next routine screening exam and included DCIS. This final STORM paper reported on interval cancers with a minimum follow-up of 24 months from the date of the screening exam (i.e., this study builds on Houssami et al.’s 2014 results, which had 13 months follow-up). A total of nine interval cancers were detected (three of which were detected in the first 12 months of follow-up, which is a slightly different rate compared to what was reported in the 2014 paper). Non-significant rate results were 1.23 interval cancers per 1000 screening examinations (95%CI: 0.56</w:t>
      </w:r>
      <w:r w:rsidR="004F6A90">
        <w:t xml:space="preserve">, </w:t>
      </w:r>
      <w:r>
        <w:t>2.34) when DBT was used or 1.60 per 1000 screening examinations (95%CI: 1.14</w:t>
      </w:r>
      <w:r w:rsidR="004F6A90">
        <w:t xml:space="preserve">, </w:t>
      </w:r>
      <w:r>
        <w:t xml:space="preserve">2.17) when FFDM alone was used. </w:t>
      </w:r>
    </w:p>
    <w:p w14:paraId="182CECB5" w14:textId="77777777" w:rsidR="00715486" w:rsidRDefault="00E33A64" w:rsidP="00E33A64">
      <w:pPr>
        <w:pStyle w:val="BodyText"/>
      </w:pPr>
      <w:r>
        <w:t>Skaane et al. (2018) and Houssami et al. (2018) reported on interval cancer characteristics. Skaane et al. compared characteristics between post FFDM+DBT interval cancers compared to interval cancers from the two previous FFDM alone rounds. Houssami et al. reported only on the interval cancers detected in STORM.</w:t>
      </w:r>
    </w:p>
    <w:p w14:paraId="3F96A14E" w14:textId="3A7FD1A8" w:rsidR="00E33A64" w:rsidRDefault="00E33A64" w:rsidP="00E33A64">
      <w:pPr>
        <w:pStyle w:val="BodyText"/>
      </w:pPr>
      <w:r>
        <w:t>In the OTS</w:t>
      </w:r>
      <w:r w:rsidR="00715486">
        <w:t xml:space="preserve"> trial</w:t>
      </w:r>
      <w:r>
        <w:t>, Skaane et al. reported that the interval cancers were similar between screening rounds; that is, there was no statistical difference in characteristics by interval cancers detected post-screening with FFDM+DBT compared to FFDM alone. Specific findings include</w:t>
      </w:r>
      <w:r w:rsidR="00C82FF9">
        <w:t xml:space="preserve"> that DBT-</w:t>
      </w:r>
      <w:r w:rsidR="00C82FF9">
        <w:lastRenderedPageBreak/>
        <w:t>detected interval cancers were lower grade, less likely to be node positive, and smaller than cancers detected with FFDM</w:t>
      </w:r>
      <w:r w:rsidR="00643B1B">
        <w:t>. Results are summarised in the bullets below</w:t>
      </w:r>
      <w:r>
        <w:t xml:space="preserve">:  </w:t>
      </w:r>
    </w:p>
    <w:p w14:paraId="48CF26AD" w14:textId="214D659A" w:rsidR="00896DD9" w:rsidRDefault="00E33A64" w:rsidP="00E33A64">
      <w:pPr>
        <w:pStyle w:val="List-BulletLvl1"/>
      </w:pPr>
      <w:r>
        <w:t xml:space="preserve">Cancer type: most interval cancers were invasive </w:t>
      </w:r>
      <w:r w:rsidR="003745D2">
        <w:t xml:space="preserve">with slightly more DCIS detected with FFDM alone </w:t>
      </w:r>
      <w:r>
        <w:t>(FFDM: 95.8</w:t>
      </w:r>
      <w:r w:rsidR="0034054F">
        <w:t xml:space="preserve"> percent</w:t>
      </w:r>
      <w:r>
        <w:t xml:space="preserve"> compared to 96.1</w:t>
      </w:r>
      <w:r w:rsidR="0034054F">
        <w:t xml:space="preserve"> percent</w:t>
      </w:r>
      <w:r>
        <w:t xml:space="preserve"> post-FFDM+DBT)</w:t>
      </w:r>
      <w:r w:rsidR="00643B1B">
        <w:t>, which is similar to the results for cancers detected at screening</w:t>
      </w:r>
    </w:p>
    <w:p w14:paraId="10B7133E" w14:textId="3E866294" w:rsidR="00E33A64" w:rsidRDefault="00896DD9" w:rsidP="00E33A64">
      <w:pPr>
        <w:pStyle w:val="List-BulletLvl1"/>
      </w:pPr>
      <w:r>
        <w:t xml:space="preserve">Molecular subtype: interval cancers only detected with DBT were mostly luminal A or luminal B HER-2 negative cancers with low Ki67 (i.e., cancers </w:t>
      </w:r>
      <w:r w:rsidR="00643B1B">
        <w:t>which have a good prognosis even if detected at a subsequent screening round), which is similar to the results for cancers detected at screening</w:t>
      </w:r>
    </w:p>
    <w:p w14:paraId="5A69E632" w14:textId="174E851A" w:rsidR="00E33A64" w:rsidRPr="00C82FF9" w:rsidRDefault="00E33A64" w:rsidP="00E33A64">
      <w:pPr>
        <w:pStyle w:val="List-BulletLvl1"/>
      </w:pPr>
      <w:r>
        <w:t xml:space="preserve">Grade: most </w:t>
      </w:r>
      <w:r w:rsidR="00643B1B">
        <w:t>interval</w:t>
      </w:r>
      <w:r>
        <w:t xml:space="preserve"> cancers were grade 2 or 3 (FFDM: 41.1</w:t>
      </w:r>
      <w:r w:rsidR="0034054F">
        <w:t xml:space="preserve"> percent</w:t>
      </w:r>
      <w:r>
        <w:t xml:space="preserve"> and 44.9</w:t>
      </w:r>
      <w:r w:rsidR="0034054F">
        <w:t xml:space="preserve"> percent </w:t>
      </w:r>
      <w:r>
        <w:t>compared to 41.3</w:t>
      </w:r>
      <w:r w:rsidR="0034054F">
        <w:t xml:space="preserve"> percent </w:t>
      </w:r>
      <w:r>
        <w:t>and 47.8</w:t>
      </w:r>
      <w:r w:rsidR="0034054F">
        <w:t xml:space="preserve"> percent</w:t>
      </w:r>
      <w:r>
        <w:t xml:space="preserve"> post-FFDM+DBT, grades 2 and 3 respectively)</w:t>
      </w:r>
      <w:r w:rsidR="00C82FF9">
        <w:t xml:space="preserve">; </w:t>
      </w:r>
      <w:r w:rsidR="004E3929">
        <w:t xml:space="preserve">interval </w:t>
      </w:r>
      <w:r w:rsidR="00C82FF9">
        <w:t>cancers only detected with DBT were lower grade than those detected in the previous FFDM alone rounds (i.e., the difference in Grade 1 invasive cancers was 35</w:t>
      </w:r>
      <w:r w:rsidR="0034054F">
        <w:t xml:space="preserve"> percent </w:t>
      </w:r>
      <w:r w:rsidR="00C82FF9">
        <w:t xml:space="preserve">more with DBT, </w:t>
      </w:r>
      <w:r w:rsidR="00C82FF9" w:rsidRPr="00C82FF9">
        <w:rPr>
          <w:i/>
          <w:iCs/>
        </w:rPr>
        <w:t>p</w:t>
      </w:r>
      <w:r w:rsidR="00C82FF9" w:rsidRPr="00C82FF9">
        <w:t>&lt;.001)</w:t>
      </w:r>
      <w:r w:rsidR="00643B1B">
        <w:t>, which is similar to the results for cancers detected at screening</w:t>
      </w:r>
    </w:p>
    <w:p w14:paraId="2BB1009B" w14:textId="1FD0442E" w:rsidR="00E33A64" w:rsidRDefault="00E33A64" w:rsidP="00E33A64">
      <w:pPr>
        <w:pStyle w:val="List-BulletLvl1"/>
      </w:pPr>
      <w:r>
        <w:t>Nodal status: most interval cancers were node negative</w:t>
      </w:r>
      <w:r w:rsidR="003745D2">
        <w:t xml:space="preserve"> and the results were similar </w:t>
      </w:r>
      <w:r>
        <w:t xml:space="preserve"> </w:t>
      </w:r>
      <w:r w:rsidR="003745D2">
        <w:t xml:space="preserve">between imaging protocols </w:t>
      </w:r>
      <w:r>
        <w:t>(FFDM: 60.9</w:t>
      </w:r>
      <w:r w:rsidR="0034054F">
        <w:t xml:space="preserve"> percent </w:t>
      </w:r>
      <w:r>
        <w:t>compared to 60.4</w:t>
      </w:r>
      <w:r w:rsidR="0034054F">
        <w:t xml:space="preserve"> percent </w:t>
      </w:r>
      <w:r>
        <w:t>post-FFDM+DBT)</w:t>
      </w:r>
      <w:r w:rsidR="00C82FF9">
        <w:t xml:space="preserve">; </w:t>
      </w:r>
      <w:r w:rsidR="004E3929">
        <w:t xml:space="preserve">interval </w:t>
      </w:r>
      <w:r w:rsidR="00C82FF9">
        <w:t>cancers only detected with DBT were much more likely to be node negative (96.1</w:t>
      </w:r>
      <w:r w:rsidR="00C124D2">
        <w:t xml:space="preserve"> percent </w:t>
      </w:r>
      <w:r w:rsidR="00C82FF9">
        <w:t>of cancers detected only with DBT were node negative compared to 60.9</w:t>
      </w:r>
      <w:r w:rsidR="00C124D2">
        <w:t xml:space="preserve"> percent </w:t>
      </w:r>
      <w:r w:rsidR="00C82FF9">
        <w:t xml:space="preserve">detected in the two previous FFDM rounds, </w:t>
      </w:r>
      <w:r w:rsidR="00C82FF9">
        <w:rPr>
          <w:i/>
          <w:iCs/>
        </w:rPr>
        <w:t>p</w:t>
      </w:r>
      <w:r w:rsidR="00C82FF9">
        <w:t>&lt;.001)</w:t>
      </w:r>
      <w:r w:rsidR="00643B1B">
        <w:t>, which is similar to the results for cancers detected at screening</w:t>
      </w:r>
      <w:r>
        <w:t>, and</w:t>
      </w:r>
    </w:p>
    <w:p w14:paraId="4070F820" w14:textId="36EA838C" w:rsidR="00E33A64" w:rsidRDefault="00E33A64" w:rsidP="00E33A64">
      <w:pPr>
        <w:pStyle w:val="List-BulletLvl1"/>
      </w:pPr>
      <w:r>
        <w:t xml:space="preserve">Size: </w:t>
      </w:r>
      <w:r w:rsidR="004E3929">
        <w:t xml:space="preserve">interval cancers detected only with DBT were more likely to be smaller than </w:t>
      </w:r>
      <w:r w:rsidR="004E3929">
        <w:rPr>
          <w:u w:val="single"/>
        </w:rPr>
        <w:t>&lt;</w:t>
      </w:r>
      <w:r w:rsidR="004E3929">
        <w:t>10mm compared to those detected in the previous two screening rounds using FFDM (51</w:t>
      </w:r>
      <w:r w:rsidR="00C124D2">
        <w:t xml:space="preserve"> percent</w:t>
      </w:r>
      <w:r w:rsidR="004E3929">
        <w:t xml:space="preserve"> compared to 17.2</w:t>
      </w:r>
      <w:r w:rsidR="00C124D2">
        <w:t xml:space="preserve"> percent</w:t>
      </w:r>
      <w:r w:rsidR="0045594F">
        <w:t xml:space="preserve">, </w:t>
      </w:r>
      <w:r w:rsidR="0045594F">
        <w:rPr>
          <w:i/>
          <w:iCs/>
        </w:rPr>
        <w:t>p</w:t>
      </w:r>
      <w:r w:rsidR="0045594F">
        <w:t>&lt;.001</w:t>
      </w:r>
      <w:r w:rsidR="004E3929">
        <w:t>)</w:t>
      </w:r>
      <w:r w:rsidR="00643B1B">
        <w:t>, which is similar to the results for cancers detected at screening</w:t>
      </w:r>
      <w:r>
        <w:t>.</w:t>
      </w:r>
    </w:p>
    <w:p w14:paraId="015BBFAA" w14:textId="77777777" w:rsidR="00935D4C" w:rsidRDefault="00643B1B" w:rsidP="00643B1B">
      <w:pPr>
        <w:pStyle w:val="BodyText"/>
      </w:pPr>
      <w:r>
        <w:t xml:space="preserve">All this data suggests that DBT may not result in the earlier detection of more aggressive cancers compared to FFDM alone. </w:t>
      </w:r>
    </w:p>
    <w:p w14:paraId="305DD88E" w14:textId="4BEA94D0" w:rsidR="00643B1B" w:rsidRDefault="00E33A64" w:rsidP="00643B1B">
      <w:pPr>
        <w:pStyle w:val="BodyText"/>
      </w:pPr>
      <w:r>
        <w:t>Houssami et al.</w:t>
      </w:r>
      <w:r w:rsidR="00715486">
        <w:t xml:space="preserve"> (2018)</w:t>
      </w:r>
      <w:r>
        <w:t xml:space="preserve"> reported on cancer characteristics for the nine interval cancers identified in STORM. Seven cancers were invasive ductal cancers, one was an invasive lobular cancer and one was DCIS (which is similar proportionally to the types of interval cancer detected in the OTS trial). In STORM, interval cancers were generally advanced (i.e., seven tumours were larger than 20mm, five had a Ki-67 above 24, and five were grade 3 although only one cancer had nodal metastases), which (as noted by the authors) is in keeping with the types of interval cancers detected in other biennial screening programs. Houssami et al. makes no comment on whether the interval cancers differed from the screen-detected cancers in the STORM trial.</w:t>
      </w:r>
      <w:r w:rsidR="00643B1B">
        <w:t xml:space="preserve"> </w:t>
      </w:r>
    </w:p>
    <w:p w14:paraId="2017C45F" w14:textId="13D44ED0" w:rsidR="00E33A64" w:rsidRDefault="00E33A64" w:rsidP="00E33A64">
      <w:pPr>
        <w:pStyle w:val="Heading3"/>
      </w:pPr>
      <w:bookmarkStart w:id="226" w:name="_Toc27477588"/>
      <w:bookmarkStart w:id="227" w:name="_Toc27665721"/>
      <w:bookmarkStart w:id="228" w:name="_Toc27844497"/>
      <w:bookmarkStart w:id="229" w:name="_Toc27859627"/>
      <w:bookmarkStart w:id="230" w:name="_Toc27904742"/>
      <w:bookmarkStart w:id="231" w:name="_Toc43376293"/>
      <w:r>
        <w:t>DBT</w:t>
      </w:r>
      <w:r>
        <w:rPr>
          <w:vertAlign w:val="subscript"/>
        </w:rPr>
        <w:t>MLO</w:t>
      </w:r>
      <w:r>
        <w:t xml:space="preserve"> compared to FFDM</w:t>
      </w:r>
      <w:bookmarkEnd w:id="226"/>
      <w:bookmarkEnd w:id="227"/>
      <w:bookmarkEnd w:id="228"/>
      <w:bookmarkEnd w:id="229"/>
      <w:bookmarkEnd w:id="230"/>
      <w:bookmarkEnd w:id="231"/>
    </w:p>
    <w:p w14:paraId="4AD52FAD" w14:textId="77777777" w:rsidR="00E33A64" w:rsidRPr="004F0D75" w:rsidRDefault="00E33A64" w:rsidP="00E33A64">
      <w:pPr>
        <w:pStyle w:val="BodyText-GREEN"/>
        <w:rPr>
          <w:b/>
          <w:bCs/>
        </w:rPr>
      </w:pPr>
      <w:r w:rsidRPr="004F0D75">
        <w:rPr>
          <w:b/>
          <w:bCs/>
        </w:rPr>
        <w:t>Prospective studies embedded in screening programs</w:t>
      </w:r>
    </w:p>
    <w:p w14:paraId="41524F71" w14:textId="4AE74C4C" w:rsidR="00C13DD2" w:rsidRDefault="00E33A64" w:rsidP="00C13DD2">
      <w:pPr>
        <w:pStyle w:val="BodyText"/>
      </w:pPr>
      <w:r>
        <w:t xml:space="preserve">Interval cancer data from the Malmö trial (methodology described in </w:t>
      </w:r>
      <w:r>
        <w:rPr>
          <w:i/>
          <w:iCs/>
        </w:rPr>
        <w:t xml:space="preserve">section </w:t>
      </w:r>
      <w:r w:rsidR="0034054F">
        <w:rPr>
          <w:i/>
          <w:iCs/>
        </w:rPr>
        <w:t>3.1.1</w:t>
      </w:r>
      <w:r>
        <w:t>)  was reported by Zackrisson et al. (2018). Follow-up times differed by age: women age</w:t>
      </w:r>
      <w:r w:rsidR="00F20176">
        <w:t>d</w:t>
      </w:r>
      <w:r>
        <w:t xml:space="preserve"> 40-54 years were re-screened at 18-month intervals, women aged 55</w:t>
      </w:r>
      <w:r w:rsidR="00285D7E">
        <w:t>-</w:t>
      </w:r>
      <w:r>
        <w:t xml:space="preserve">74 years were screened at two-year intervals. The authors reported 22 interval cancers and a study population interval cancer rate of 1.48 cancers per 1000 women screened. No data comparing the rates of interval cancer between </w:t>
      </w:r>
      <w:r>
        <w:lastRenderedPageBreak/>
        <w:t>DBT</w:t>
      </w:r>
      <w:r>
        <w:rPr>
          <w:vertAlign w:val="subscript"/>
        </w:rPr>
        <w:t>MLO</w:t>
      </w:r>
      <w:r>
        <w:t xml:space="preserve"> and FFDM, or between interval cancers detected before/after the use of DBT was provided in this paper, but further analyses are planned. Zackrisson et al. did note that interval cancers compared to screen-detected cancers tended to be invasive and were more advanced. About 90 percent of the interval cancers were invasive (mostly IDC), medium-sized (mean tumour size 17mm), five had nodal metastases and five were grade 3 tumours. An interesting finding was that eight cancers were only detected by FFDM but were noted during the DBT reading </w:t>
      </w:r>
      <w:r w:rsidR="00F20176">
        <w:t xml:space="preserve">but none of these women were </w:t>
      </w:r>
      <w:r>
        <w:t>recalled as the findings were not considered sufficiently suspicious on DBT (presenting as microcalcifications). The authors however do not comment on whether these could have become interval cancers/missed cancers if only the DBT reading protocol was followed.</w:t>
      </w:r>
    </w:p>
    <w:p w14:paraId="480C8E0B" w14:textId="573903C4" w:rsidR="003369CE" w:rsidRDefault="003369CE" w:rsidP="00C13DD2">
      <w:pPr>
        <w:pStyle w:val="NumberedHeading3"/>
      </w:pPr>
      <w:bookmarkStart w:id="232" w:name="_Toc43376294"/>
      <w:r>
        <w:t>Relative sensitivity</w:t>
      </w:r>
      <w:bookmarkEnd w:id="232"/>
    </w:p>
    <w:p w14:paraId="272D16B6" w14:textId="68F30187" w:rsidR="003369CE" w:rsidRDefault="00946786" w:rsidP="003369CE">
      <w:pPr>
        <w:pStyle w:val="BodyText"/>
      </w:pPr>
      <w:r>
        <w:t xml:space="preserve">The sensitivity of a screening test refers to the proportion of breast cancers correctly identified by a test or the true positive rate. Increased sensitivity with DBT (compared to FFDM) indicates </w:t>
      </w:r>
      <w:r w:rsidRPr="00606E1D">
        <w:t>that</w:t>
      </w:r>
      <w:r>
        <w:t xml:space="preserve"> use of DBT correctly identifies more breast cancers.</w:t>
      </w:r>
      <w:r w:rsidR="00090060">
        <w:t xml:space="preserve"> </w:t>
      </w:r>
    </w:p>
    <w:p w14:paraId="476FDEF5" w14:textId="77777777" w:rsidR="003369CE" w:rsidRDefault="003369CE" w:rsidP="00946786">
      <w:pPr>
        <w:pStyle w:val="CV-Heading"/>
      </w:pPr>
      <w:r>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29C938CB" w14:textId="524EC055" w:rsidR="003369CE" w:rsidRDefault="003369CE" w:rsidP="00946786">
      <w:pPr>
        <w:pStyle w:val="BodyText"/>
      </w:pPr>
      <w:r w:rsidRPr="00A45BFC">
        <w:t xml:space="preserve">Because </w:t>
      </w:r>
      <w:r>
        <w:t xml:space="preserve">follow-up and overall study timeframes in the primary studies </w:t>
      </w:r>
      <w:r w:rsidR="00946786">
        <w:t xml:space="preserve">published to 31 December 2017 tended </w:t>
      </w:r>
      <w:r>
        <w:t>to be shorter</w:t>
      </w:r>
      <w:r w:rsidRPr="00A45BFC">
        <w:t xml:space="preserve">, few estimates of absolute sensitivity </w:t>
      </w:r>
      <w:r>
        <w:t xml:space="preserve">for FFDM+DBT </w:t>
      </w:r>
      <w:r w:rsidRPr="00A45BFC">
        <w:t>are available</w:t>
      </w:r>
      <w:r>
        <w:t xml:space="preserve">, but there was </w:t>
      </w:r>
      <w:r w:rsidR="00946786">
        <w:t xml:space="preserve">some </w:t>
      </w:r>
      <w:r>
        <w:t xml:space="preserve">data reporting on </w:t>
      </w:r>
      <w:r w:rsidRPr="00A45BFC">
        <w:t xml:space="preserve">the </w:t>
      </w:r>
      <w:r w:rsidRPr="00A45BFC">
        <w:rPr>
          <w:i/>
        </w:rPr>
        <w:t>relative</w:t>
      </w:r>
      <w:r w:rsidRPr="00A45BFC">
        <w:t xml:space="preserve"> sensitivity of </w:t>
      </w:r>
      <w:r>
        <w:t>FFDM+DBT</w:t>
      </w:r>
      <w:r w:rsidR="00946786">
        <w:t xml:space="preserve"> as a screening test</w:t>
      </w:r>
      <w:r w:rsidRPr="00A45BFC">
        <w:t xml:space="preserve"> compared to FFDM alone</w:t>
      </w:r>
      <w:r>
        <w:t>, DBT+</w:t>
      </w:r>
      <w:r w:rsidR="00176980">
        <w:t>s2DM</w:t>
      </w:r>
      <w:r w:rsidRPr="00A45BFC">
        <w:t xml:space="preserve"> </w:t>
      </w:r>
      <w:r w:rsidR="00946786">
        <w:t xml:space="preserve">as a screening test </w:t>
      </w:r>
      <w:r w:rsidRPr="00A45BFC">
        <w:t>compared to FFDM</w:t>
      </w:r>
      <w:r>
        <w:t xml:space="preserve"> or DBT</w:t>
      </w:r>
      <w:r>
        <w:rPr>
          <w:vertAlign w:val="subscript"/>
        </w:rPr>
        <w:t xml:space="preserve">MLO </w:t>
      </w:r>
      <w:r w:rsidRPr="00CD4F6F">
        <w:t>compared to other imaging combinations</w:t>
      </w:r>
      <w:r w:rsidRPr="00A45BFC">
        <w:t>.</w:t>
      </w:r>
      <w:r>
        <w:t xml:space="preserve"> Mixed results were identified</w:t>
      </w:r>
      <w:r w:rsidR="00946786">
        <w:t>. S</w:t>
      </w:r>
      <w:r>
        <w:t>ome studies (including data from trials embedded in population-based screening programs) reported large increases in relative sensitivity with increases in all readers’ performance when DBT was included in the imaging pathway. Some smaller studies using enriched samples reported no statistically significant change. No GRADE assessment was completed for this outcome due to lack of data.</w:t>
      </w:r>
    </w:p>
    <w:p w14:paraId="3CBD44E4" w14:textId="1AC82425" w:rsidR="00946786" w:rsidRPr="00F34C1B" w:rsidRDefault="00946786" w:rsidP="00946786">
      <w:pPr>
        <w:pStyle w:val="BodyText"/>
      </w:pPr>
      <w:r>
        <w:t>Results from systematic review studies included in the literature review on the role of DBT in the assessment of screen-detected abnormalities reported statistically significant increases in sensitivity with the use of DBT although we note that some of the results were drawn from studies of diagnostic populations. That said, for DBT’s role in assessment, pooled analysis of seven studies using histological results as the reference standard showed a pooled sensitivity of 90</w:t>
      </w:r>
      <w:r w:rsidR="0034054F">
        <w:t xml:space="preserve"> percent</w:t>
      </w:r>
      <w:r>
        <w:t xml:space="preserve"> (95%CI: 87, 92) for DBT compared to 89</w:t>
      </w:r>
      <w:r w:rsidR="00285D7E">
        <w:t xml:space="preserve"> </w:t>
      </w:r>
      <w:r w:rsidR="00285D7E" w:rsidRPr="006557B2">
        <w:t xml:space="preserve">percent </w:t>
      </w:r>
      <w:r w:rsidRPr="006557B2">
        <w:t>(95%CI:</w:t>
      </w:r>
      <w:r>
        <w:t xml:space="preserve"> 86, 91). Phi et al. (2018) </w:t>
      </w:r>
      <w:r w:rsidRPr="00CF1D23">
        <w:t>reported that</w:t>
      </w:r>
      <w:r>
        <w:t>, in diagnostic populations,</w:t>
      </w:r>
      <w:r w:rsidRPr="00CF1D23">
        <w:t xml:space="preserve"> DBT had higher sensitivity compared to DM </w:t>
      </w:r>
      <w:r>
        <w:t>for women with dense breasts</w:t>
      </w:r>
      <w:r w:rsidRPr="00CF1D23">
        <w:t>:</w:t>
      </w:r>
      <w:r>
        <w:t xml:space="preserve"> </w:t>
      </w:r>
      <w:r w:rsidRPr="00CF1D23">
        <w:t>84</w:t>
      </w:r>
      <w:r w:rsidR="00176980">
        <w:t xml:space="preserve"> to </w:t>
      </w:r>
      <w:r w:rsidRPr="00CF1D23">
        <w:t>89</w:t>
      </w:r>
      <w:r w:rsidR="0034054F">
        <w:t xml:space="preserve"> percent</w:t>
      </w:r>
      <w:r w:rsidRPr="00CF1D23">
        <w:t xml:space="preserve"> for DBT compared to 69</w:t>
      </w:r>
      <w:r w:rsidR="00176980">
        <w:t xml:space="preserve"> to </w:t>
      </w:r>
      <w:r w:rsidRPr="00CF1D23">
        <w:t>86</w:t>
      </w:r>
      <w:r w:rsidR="0034054F">
        <w:t xml:space="preserve"> percent</w:t>
      </w:r>
      <w:r w:rsidRPr="00CF1D23">
        <w:t xml:space="preserve"> for DM images.</w:t>
      </w:r>
    </w:p>
    <w:p w14:paraId="27948AC8" w14:textId="77777777" w:rsidR="003369CE" w:rsidRPr="00867836" w:rsidRDefault="003369CE" w:rsidP="00946786">
      <w:pPr>
        <w:pStyle w:val="CV-Heading"/>
      </w:pPr>
      <w:r>
        <w:t>Updated findings</w:t>
      </w:r>
    </w:p>
    <w:p w14:paraId="2A8C30E0" w14:textId="6C1743AE" w:rsidR="00C7191D" w:rsidRDefault="003369CE" w:rsidP="00C7191D">
      <w:pPr>
        <w:pStyle w:val="BodyText"/>
      </w:pPr>
      <w:r>
        <w:t xml:space="preserve">Literature published since 31 December 2017 </w:t>
      </w:r>
      <w:r w:rsidR="00946786">
        <w:t xml:space="preserve">provides </w:t>
      </w:r>
      <w:r w:rsidR="00E37EC7">
        <w:t xml:space="preserve">a little </w:t>
      </w:r>
      <w:r w:rsidR="00946786">
        <w:t xml:space="preserve">more </w:t>
      </w:r>
      <w:r w:rsidR="00E37EC7">
        <w:t xml:space="preserve">(but not much) </w:t>
      </w:r>
      <w:r w:rsidR="00946786">
        <w:t xml:space="preserve">information on sensitivity </w:t>
      </w:r>
      <w:r w:rsidR="00E37EC7">
        <w:t xml:space="preserve">compared to what </w:t>
      </w:r>
      <w:r w:rsidR="00946786">
        <w:t xml:space="preserve">was available in the 2017 literature review on DBT’s sensitivity as a screening test. </w:t>
      </w:r>
      <w:r w:rsidR="00090060">
        <w:t xml:space="preserve">Most of the research discusses sensitivity in relation to the </w:t>
      </w:r>
      <w:r w:rsidR="00604FE1">
        <w:t xml:space="preserve">diagnostic </w:t>
      </w:r>
      <w:r w:rsidR="00090060">
        <w:t xml:space="preserve">performance of DBT within the assessment clinic (i.e., as part of </w:t>
      </w:r>
      <w:r w:rsidR="00885A1C">
        <w:t>investigation</w:t>
      </w:r>
      <w:r w:rsidR="00090060">
        <w:t xml:space="preserve"> of a screen-detected abnormality) rather than in relation to the screening examination itself.</w:t>
      </w:r>
      <w:r w:rsidR="00604FE1">
        <w:t xml:space="preserve"> As such, this section of the report is organised differently with only summary results presented.</w:t>
      </w:r>
      <w:r w:rsidR="00090060">
        <w:t xml:space="preserve"> S</w:t>
      </w:r>
      <w:r>
        <w:t xml:space="preserve">tudies </w:t>
      </w:r>
      <w:r w:rsidR="00090060">
        <w:t xml:space="preserve">that discussed sensitivity in relation to screening or assessment of screen-detected abnormalities </w:t>
      </w:r>
      <w:r>
        <w:t xml:space="preserve">are listed </w:t>
      </w:r>
      <w:r>
        <w:lastRenderedPageBreak/>
        <w:t>below.</w:t>
      </w:r>
      <w:r w:rsidR="00C7191D" w:rsidRPr="00C7191D">
        <w:t xml:space="preserve"> </w:t>
      </w:r>
      <w:r w:rsidR="00C7191D">
        <w:t>No systematic reviews of studies published since December 2017 have considered program sensitivity.</w:t>
      </w:r>
      <w:r w:rsidR="00A4574C">
        <w:t xml:space="preserve"> Detailed methodologies for each of these studies is provided in </w:t>
      </w:r>
      <w:r w:rsidR="00A4574C">
        <w:rPr>
          <w:i/>
          <w:iCs/>
        </w:rPr>
        <w:t>section 3.1.1.</w:t>
      </w:r>
    </w:p>
    <w:p w14:paraId="6600DCA2" w14:textId="1F73B3AC" w:rsidR="003369CE" w:rsidRDefault="00946786" w:rsidP="00946786">
      <w:pPr>
        <w:pStyle w:val="Heading3"/>
        <w:ind w:firstLine="720"/>
      </w:pPr>
      <w:bookmarkStart w:id="233" w:name="_Toc27477590"/>
      <w:bookmarkStart w:id="234" w:name="_Toc27665723"/>
      <w:bookmarkStart w:id="235" w:name="_Toc27844499"/>
      <w:bookmarkStart w:id="236" w:name="_Toc27859629"/>
      <w:bookmarkStart w:id="237" w:name="_Toc27904744"/>
      <w:bookmarkStart w:id="238" w:name="_Toc43376295"/>
      <w:r>
        <w:t>Prospective studies embedded in population screening programs</w:t>
      </w:r>
      <w:bookmarkEnd w:id="233"/>
      <w:bookmarkEnd w:id="234"/>
      <w:bookmarkEnd w:id="235"/>
      <w:bookmarkEnd w:id="236"/>
      <w:bookmarkEnd w:id="237"/>
      <w:bookmarkEnd w:id="238"/>
    </w:p>
    <w:p w14:paraId="6DBED45D" w14:textId="6D212419" w:rsidR="00BA58D1" w:rsidRDefault="005866B2" w:rsidP="00BA58D1">
      <w:pPr>
        <w:pStyle w:val="BodyText"/>
        <w:ind w:left="720"/>
      </w:pPr>
      <w:r>
        <w:t>Four studies (f</w:t>
      </w:r>
      <w:r w:rsidR="004E15CE">
        <w:t>ive</w:t>
      </w:r>
      <w:r w:rsidR="00BA58D1">
        <w:t xml:space="preserve"> </w:t>
      </w:r>
      <w:r>
        <w:t>papers)</w:t>
      </w:r>
      <w:r w:rsidR="00BA58D1">
        <w:t xml:space="preserve">: Bernardi et al., 2019; </w:t>
      </w:r>
      <w:r w:rsidR="004E15CE">
        <w:t xml:space="preserve">Skaane et al., 2019; </w:t>
      </w:r>
      <w:r w:rsidR="00BA58D1">
        <w:t>Houssami et al., 2018; Skaane et al., 2018; Zackrisson et al., 2018</w:t>
      </w:r>
    </w:p>
    <w:p w14:paraId="38EB19DA" w14:textId="7F4D81D2" w:rsidR="008170C1" w:rsidRDefault="00D05C0E" w:rsidP="008170C1">
      <w:pPr>
        <w:pStyle w:val="Heading3"/>
        <w:ind w:firstLine="720"/>
      </w:pPr>
      <w:bookmarkStart w:id="239" w:name="_Toc27477591"/>
      <w:bookmarkStart w:id="240" w:name="_Toc27665724"/>
      <w:bookmarkStart w:id="241" w:name="_Toc27844500"/>
      <w:bookmarkStart w:id="242" w:name="_Toc27859630"/>
      <w:bookmarkStart w:id="243" w:name="_Toc27904745"/>
      <w:bookmarkStart w:id="244" w:name="_Toc43376296"/>
      <w:r>
        <w:t>Observational</w:t>
      </w:r>
      <w:r w:rsidR="008170C1">
        <w:t xml:space="preserve"> studies</w:t>
      </w:r>
      <w:bookmarkEnd w:id="239"/>
      <w:bookmarkEnd w:id="240"/>
      <w:bookmarkEnd w:id="241"/>
      <w:bookmarkEnd w:id="242"/>
      <w:bookmarkEnd w:id="243"/>
      <w:bookmarkEnd w:id="244"/>
    </w:p>
    <w:p w14:paraId="0872D892" w14:textId="0D50B40D" w:rsidR="008170C1" w:rsidRDefault="00862332" w:rsidP="00BA58D1">
      <w:pPr>
        <w:pStyle w:val="BodyText"/>
        <w:ind w:left="720"/>
      </w:pPr>
      <w:r>
        <w:t>Three</w:t>
      </w:r>
      <w:r w:rsidR="008170C1">
        <w:t xml:space="preserve"> stud</w:t>
      </w:r>
      <w:r w:rsidR="001E716E">
        <w:t>ies</w:t>
      </w:r>
      <w:r w:rsidR="00D05C0E">
        <w:t xml:space="preserve"> with a retrospective design</w:t>
      </w:r>
      <w:r w:rsidR="008170C1">
        <w:t>: Bahl et al., 2019</w:t>
      </w:r>
      <w:r>
        <w:t>; Conant et al., 2019; Hovda et al., 2019</w:t>
      </w:r>
    </w:p>
    <w:p w14:paraId="27E02B92" w14:textId="01938F65"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bookmarkStart w:id="245" w:name="_Toc27844501"/>
      <w:bookmarkStart w:id="246" w:name="_Toc27859631"/>
      <w:bookmarkStart w:id="247" w:name="_Toc27904746"/>
      <w:bookmarkStart w:id="248" w:name="_Toc43376297"/>
      <w:r>
        <w:rPr>
          <w:b/>
          <w:bCs/>
        </w:rPr>
        <w:t>S</w:t>
      </w:r>
      <w:r w:rsidRPr="00A235D7">
        <w:rPr>
          <w:b/>
          <w:bCs/>
        </w:rPr>
        <w:t>ummary of key findings published between 1 January 2018 and 31 December 2019</w:t>
      </w:r>
    </w:p>
    <w:p w14:paraId="14F0BB4F" w14:textId="1CAF5C6C" w:rsidR="000942E7" w:rsidRP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Cs/>
        </w:rPr>
      </w:pPr>
      <w:r>
        <w:rPr>
          <w:bCs/>
        </w:rPr>
        <w:t xml:space="preserve">All studies reported increases in sensitivity when DBT was used but non-significant results or wide confidence intervals were also noted. Increases were observed with all reading protocols (i.e., FFDM+DBT, DBT+s2DM). When increases in sensitivity were observed, the increase ranged from less than one percent more to over 16 per cent more. Larger increases in sensitivity were observed in the screening programs most similar to the BSA program (double read, biennial screening). </w:t>
      </w:r>
    </w:p>
    <w:p w14:paraId="5215E1E8" w14:textId="02EBB735" w:rsidR="00E37EC7" w:rsidRPr="00E37EC7" w:rsidRDefault="00E37EC7" w:rsidP="00FA4631">
      <w:pPr>
        <w:pStyle w:val="Heading3"/>
      </w:pPr>
      <w:r>
        <w:t>DBT+</w:t>
      </w:r>
      <w:r w:rsidR="00176980">
        <w:t>s2DM</w:t>
      </w:r>
      <w:r>
        <w:t xml:space="preserve"> </w:t>
      </w:r>
      <w:r w:rsidRPr="00E37EC7">
        <w:t xml:space="preserve">compared to FFDM </w:t>
      </w:r>
      <w:r w:rsidR="00D119F4">
        <w:t>(alone or with DBT)</w:t>
      </w:r>
      <w:bookmarkEnd w:id="245"/>
      <w:bookmarkEnd w:id="246"/>
      <w:bookmarkEnd w:id="247"/>
      <w:bookmarkEnd w:id="248"/>
    </w:p>
    <w:p w14:paraId="08A90895" w14:textId="6CAA4BCA" w:rsidR="00E37EC7" w:rsidRDefault="0063493D" w:rsidP="00E37EC7">
      <w:pPr>
        <w:pStyle w:val="List-BulletLvl1"/>
      </w:pPr>
      <w:r>
        <w:t>Trento pilot evaluation: 88.74 percent with DBT+</w:t>
      </w:r>
      <w:r w:rsidR="00176980">
        <w:t>s2DM</w:t>
      </w:r>
      <w:r>
        <w:t xml:space="preserve"> compared to 80.08 percent (Bernardi et al., 2019)</w:t>
      </w:r>
      <w:r w:rsidR="00F20176">
        <w:t>.</w:t>
      </w:r>
    </w:p>
    <w:p w14:paraId="4130AAA1" w14:textId="6666D494" w:rsidR="00D119F4" w:rsidRDefault="00D119F4" w:rsidP="00E37EC7">
      <w:pPr>
        <w:pStyle w:val="List-BulletLvl1"/>
      </w:pPr>
      <w:r>
        <w:t>OTS: 69.0 percent with DBT+</w:t>
      </w:r>
      <w:r w:rsidR="00176980">
        <w:t>s2DM</w:t>
      </w:r>
      <w:r>
        <w:t xml:space="preserve"> compared to 70.5 percent wither FFDM+DBT (Skaane et al., 2019)</w:t>
      </w:r>
      <w:r w:rsidR="00F20176">
        <w:t>.</w:t>
      </w:r>
    </w:p>
    <w:p w14:paraId="37099C4F" w14:textId="2AA04305" w:rsidR="00F01194" w:rsidRDefault="00F01194" w:rsidP="00E37EC7">
      <w:pPr>
        <w:pStyle w:val="List-BulletLvl1"/>
      </w:pPr>
      <w:r>
        <w:t xml:space="preserve">Hovda et al.’s </w:t>
      </w:r>
      <w:r w:rsidR="00200543">
        <w:t xml:space="preserve">retrospective </w:t>
      </w:r>
      <w:r>
        <w:t>analysis of Norway BreastScreen Program data: sensitivity increased when DBT+</w:t>
      </w:r>
      <w:r w:rsidR="00176980">
        <w:t>s2DM</w:t>
      </w:r>
      <w:r>
        <w:t xml:space="preserve"> or FFDM+DBT was used subsequent to a FFDM round (83.7 percent) compared to when FFDM was used for both screening rounds (67.6 percent)</w:t>
      </w:r>
      <w:r w:rsidR="00F20176">
        <w:t>.</w:t>
      </w:r>
    </w:p>
    <w:p w14:paraId="5ECE0C44" w14:textId="2C886C21" w:rsidR="00E37EC7" w:rsidRPr="00E37EC7" w:rsidRDefault="00E37EC7" w:rsidP="00FA4631">
      <w:pPr>
        <w:pStyle w:val="Heading3"/>
      </w:pPr>
      <w:bookmarkStart w:id="249" w:name="_Toc27844502"/>
      <w:bookmarkStart w:id="250" w:name="_Toc27859632"/>
      <w:bookmarkStart w:id="251" w:name="_Toc27904747"/>
      <w:bookmarkStart w:id="252" w:name="_Toc43376298"/>
      <w:r>
        <w:t xml:space="preserve">FFDM+DBT </w:t>
      </w:r>
      <w:r w:rsidRPr="00E37EC7">
        <w:t>compared to FFDM alone</w:t>
      </w:r>
      <w:bookmarkEnd w:id="249"/>
      <w:bookmarkEnd w:id="250"/>
      <w:bookmarkEnd w:id="251"/>
      <w:bookmarkEnd w:id="252"/>
    </w:p>
    <w:p w14:paraId="1F08B4D3" w14:textId="636CC24B" w:rsidR="00E37EC7" w:rsidRDefault="00E37EC7" w:rsidP="00724130">
      <w:pPr>
        <w:pStyle w:val="List-BulletLvl1"/>
      </w:pPr>
      <w:r w:rsidRPr="00CE39F0">
        <w:t xml:space="preserve">OTS trial: </w:t>
      </w:r>
      <w:r w:rsidR="00605724" w:rsidRPr="00CE39F0">
        <w:t xml:space="preserve">double reading </w:t>
      </w:r>
      <w:r w:rsidRPr="00CE39F0">
        <w:t>of FFDM+DBT increased sensitivity compared to FFDM (80.8</w:t>
      </w:r>
      <w:r w:rsidR="0063493D" w:rsidRPr="00CE39F0">
        <w:t xml:space="preserve"> percent</w:t>
      </w:r>
      <w:r w:rsidRPr="00CE39F0">
        <w:t xml:space="preserve"> with FFDM+DBT compared to 76.2</w:t>
      </w:r>
      <w:r w:rsidR="0063493D" w:rsidRPr="00CE39F0">
        <w:t xml:space="preserve"> percent</w:t>
      </w:r>
      <w:r w:rsidRPr="00CE39F0">
        <w:t xml:space="preserve"> in the previous two screening rounds; +4.6</w:t>
      </w:r>
      <w:r w:rsidR="0034054F">
        <w:t xml:space="preserve"> percent</w:t>
      </w:r>
      <w:r w:rsidRPr="00CE39F0">
        <w:t>;</w:t>
      </w:r>
      <w:r w:rsidR="0034054F" w:rsidRPr="0034054F">
        <w:t xml:space="preserve"> </w:t>
      </w:r>
      <w:r w:rsidR="0034054F">
        <w:t>95%CI:</w:t>
      </w:r>
      <w:r w:rsidRPr="00CE39F0">
        <w:t xml:space="preserve"> -1.4</w:t>
      </w:r>
      <w:r w:rsidR="0034054F">
        <w:t xml:space="preserve">, </w:t>
      </w:r>
      <w:r w:rsidRPr="00CE39F0">
        <w:t xml:space="preserve">10.5, </w:t>
      </w:r>
      <w:r w:rsidRPr="00CE39F0">
        <w:rPr>
          <w:i/>
          <w:iCs/>
        </w:rPr>
        <w:t>p</w:t>
      </w:r>
      <w:r w:rsidRPr="00CE39F0">
        <w:t>=.151) (Skaane et al., 2018)</w:t>
      </w:r>
      <w:r w:rsidR="00F20176">
        <w:t>.</w:t>
      </w:r>
    </w:p>
    <w:p w14:paraId="35062390" w14:textId="38EA5C48" w:rsidR="00CE39F0" w:rsidRPr="00CE39F0" w:rsidRDefault="00CE39F0" w:rsidP="00724130">
      <w:pPr>
        <w:pStyle w:val="List-BulletLvl1"/>
      </w:pPr>
      <w:r>
        <w:t>OTS trial: reader adjusted sensitivity also favoured single reading of FFDM+DBT over a single reading of FFDM alone (70.5</w:t>
      </w:r>
      <w:r w:rsidR="0034054F">
        <w:t xml:space="preserve"> percent</w:t>
      </w:r>
      <w:r>
        <w:t xml:space="preserve"> compared to 54.1 percent) and double reading of the FFDM+DBT and DBT+</w:t>
      </w:r>
      <w:r w:rsidR="00176980">
        <w:t>s2DM</w:t>
      </w:r>
      <w:r>
        <w:t xml:space="preserve"> had a higher sensitivity (83.3 percent) compared to double reading of FFDM alone and FFDM+CAD (65.5 percent) (Skaane et al., 2019)</w:t>
      </w:r>
      <w:r w:rsidR="00F20176">
        <w:t>.</w:t>
      </w:r>
    </w:p>
    <w:p w14:paraId="782DFB71" w14:textId="5554ADF6" w:rsidR="002629E6" w:rsidRPr="004E15CE" w:rsidRDefault="002629E6" w:rsidP="002629E6">
      <w:pPr>
        <w:pStyle w:val="List-BulletLvl1"/>
      </w:pPr>
      <w:r>
        <w:t xml:space="preserve">STORM: use of FFDM+DBT increased sensitivity compared to FFDM: 85.5 </w:t>
      </w:r>
      <w:r w:rsidRPr="004E15CE">
        <w:t>percent (</w:t>
      </w:r>
      <w:r w:rsidR="0034054F">
        <w:t xml:space="preserve">95%CI: </w:t>
      </w:r>
      <w:r w:rsidRPr="004E15CE">
        <w:t>75.0</w:t>
      </w:r>
      <w:r w:rsidR="0034054F">
        <w:t xml:space="preserve">, </w:t>
      </w:r>
      <w:r w:rsidRPr="004E15CE">
        <w:t>92.8) with FFDM+DBT compared to 77.3 percent (</w:t>
      </w:r>
      <w:r w:rsidR="0034054F">
        <w:t xml:space="preserve">95%CI: </w:t>
      </w:r>
      <w:r w:rsidRPr="004E15CE">
        <w:t>70.4</w:t>
      </w:r>
      <w:r w:rsidR="0034054F">
        <w:t xml:space="preserve">, </w:t>
      </w:r>
      <w:r w:rsidRPr="004E15CE">
        <w:t>83.2) with FFDM alone (Houssami et al., 2018)</w:t>
      </w:r>
      <w:r w:rsidR="00F20176">
        <w:t>.</w:t>
      </w:r>
    </w:p>
    <w:p w14:paraId="1A04C47B" w14:textId="59F26070" w:rsidR="008170C1" w:rsidRDefault="008170C1" w:rsidP="002629E6">
      <w:pPr>
        <w:pStyle w:val="List-BulletLvl1"/>
      </w:pPr>
      <w:r>
        <w:t>A retrospective analysis (Bahl et al., 2019): FFDM+DBT increased sensitivity to 90.9 percent (</w:t>
      </w:r>
      <w:r w:rsidR="0034054F">
        <w:t xml:space="preserve">95%CI: </w:t>
      </w:r>
      <w:r>
        <w:t>87.5</w:t>
      </w:r>
      <w:r w:rsidR="0034054F">
        <w:t xml:space="preserve">, </w:t>
      </w:r>
      <w:r>
        <w:t xml:space="preserve">93.4) compared to FFDM alone (88.3 percent; </w:t>
      </w:r>
      <w:r w:rsidR="0034054F">
        <w:t xml:space="preserve">95%CI: </w:t>
      </w:r>
      <w:r>
        <w:t>83.6</w:t>
      </w:r>
      <w:r w:rsidR="0034054F">
        <w:t xml:space="preserve">, </w:t>
      </w:r>
      <w:r>
        <w:t xml:space="preserve">91.8, </w:t>
      </w:r>
      <w:r>
        <w:rPr>
          <w:i/>
          <w:iCs/>
        </w:rPr>
        <w:t>p</w:t>
      </w:r>
      <w:r>
        <w:rPr>
          <w:i/>
          <w:iCs/>
        </w:rPr>
        <w:softHyphen/>
      </w:r>
      <w:r w:rsidRPr="008170C1">
        <w:t>=.39</w:t>
      </w:r>
      <w:r>
        <w:t>).</w:t>
      </w:r>
    </w:p>
    <w:p w14:paraId="4C736D30" w14:textId="3B1DCA86" w:rsidR="001E716E" w:rsidRDefault="001E716E" w:rsidP="002629E6">
      <w:pPr>
        <w:pStyle w:val="List-BulletLvl1"/>
      </w:pPr>
      <w:r>
        <w:lastRenderedPageBreak/>
        <w:t>A retrospective analysis (Conant et al., 2019): sensitivity for FFDM was 91.5 percent compared to 90.6 percent for DBT</w:t>
      </w:r>
      <w:r w:rsidR="004F7392">
        <w:t xml:space="preserve"> for all women, which is counter-intuitive given the higher CDR observed when DBT was used in this study: the authors noted that other imaging was also used (including ultrasound and MRI which may have increased overall program sensitivity for the FFDM arm and as such is unlikely to reflect a true comparison between FFDM+DBT and FFDM alone)</w:t>
      </w:r>
      <w:r w:rsidR="00F20176">
        <w:t>.</w:t>
      </w:r>
    </w:p>
    <w:p w14:paraId="5E77E815" w14:textId="053DC953" w:rsidR="00E37EC7" w:rsidRPr="00E37EC7" w:rsidRDefault="00E37EC7" w:rsidP="00FA4631">
      <w:pPr>
        <w:pStyle w:val="Heading3"/>
      </w:pPr>
      <w:bookmarkStart w:id="253" w:name="_Toc27859633"/>
      <w:bookmarkStart w:id="254" w:name="_Toc27904748"/>
      <w:bookmarkStart w:id="255" w:name="_Toc43376299"/>
      <w:r>
        <w:t>DBT</w:t>
      </w:r>
      <w:r>
        <w:rPr>
          <w:vertAlign w:val="subscript"/>
        </w:rPr>
        <w:t>MLO</w:t>
      </w:r>
      <w:r>
        <w:t xml:space="preserve"> compared to FFDM alone</w:t>
      </w:r>
      <w:bookmarkEnd w:id="253"/>
      <w:bookmarkEnd w:id="254"/>
      <w:bookmarkEnd w:id="255"/>
    </w:p>
    <w:p w14:paraId="76B96564" w14:textId="1DE80E91" w:rsidR="00E37EC7" w:rsidRDefault="00E37EC7" w:rsidP="00E37EC7">
      <w:pPr>
        <w:pStyle w:val="List-BulletLvl1"/>
      </w:pPr>
      <w:r>
        <w:t>Malmö trial: use of DBT</w:t>
      </w:r>
      <w:r>
        <w:rPr>
          <w:vertAlign w:val="subscript"/>
        </w:rPr>
        <w:t>MLO</w:t>
      </w:r>
      <w:r>
        <w:t xml:space="preserve"> increased sensitivity compared to FFDM (81.1</w:t>
      </w:r>
      <w:r w:rsidR="0063493D">
        <w:t xml:space="preserve"> percent</w:t>
      </w:r>
      <w:r>
        <w:t xml:space="preserve">; </w:t>
      </w:r>
      <w:r w:rsidR="0034054F">
        <w:t xml:space="preserve">95%CI: </w:t>
      </w:r>
      <w:r>
        <w:t>74.2</w:t>
      </w:r>
      <w:r w:rsidR="0034054F">
        <w:t xml:space="preserve">, </w:t>
      </w:r>
      <w:r>
        <w:t>86.9 with DBT</w:t>
      </w:r>
      <w:r>
        <w:rPr>
          <w:vertAlign w:val="subscript"/>
        </w:rPr>
        <w:t>MLO</w:t>
      </w:r>
      <w:r>
        <w:t xml:space="preserve"> compared to 60.4</w:t>
      </w:r>
      <w:r w:rsidR="0063493D">
        <w:t xml:space="preserve"> percent; </w:t>
      </w:r>
      <w:r w:rsidR="0034054F">
        <w:t xml:space="preserve">95%CI: </w:t>
      </w:r>
      <w:r>
        <w:t>52.3</w:t>
      </w:r>
      <w:r w:rsidR="0034054F">
        <w:t xml:space="preserve">, </w:t>
      </w:r>
      <w:r>
        <w:t>68) (Zackrisson et al., 2018)</w:t>
      </w:r>
      <w:r w:rsidR="00F20176">
        <w:t>.</w:t>
      </w:r>
    </w:p>
    <w:p w14:paraId="705F972B" w14:textId="3512DE06" w:rsidR="00CA3071" w:rsidRDefault="00F5727D" w:rsidP="006A4BF1">
      <w:pPr>
        <w:pStyle w:val="NumberedHeading2"/>
      </w:pPr>
      <w:bookmarkStart w:id="256" w:name="_Toc43376300"/>
      <w:r>
        <w:t>Cancer type and h</w:t>
      </w:r>
      <w:r w:rsidR="00D77062">
        <w:t>istopathological and prognostic/predictive tumour characteristics</w:t>
      </w:r>
      <w:bookmarkEnd w:id="256"/>
    </w:p>
    <w:p w14:paraId="1E374376" w14:textId="7EED034B" w:rsidR="00CA3071" w:rsidRDefault="00F5727D" w:rsidP="002C6611">
      <w:pPr>
        <w:pStyle w:val="BodyText"/>
      </w:pPr>
      <w:r>
        <w:t xml:space="preserve">There is consistent (but not unequivocal) evidence that use of DBT increases </w:t>
      </w:r>
      <w:r w:rsidR="00687EA2">
        <w:t xml:space="preserve">overall </w:t>
      </w:r>
      <w:r>
        <w:t xml:space="preserve">CDR (see </w:t>
      </w:r>
      <w:r>
        <w:rPr>
          <w:i/>
          <w:iCs/>
        </w:rPr>
        <w:t xml:space="preserve">section </w:t>
      </w:r>
      <w:r w:rsidR="00687EA2">
        <w:rPr>
          <w:i/>
          <w:iCs/>
        </w:rPr>
        <w:t>3.1</w:t>
      </w:r>
      <w:r>
        <w:t>). Breast screening is intended to reduce mortality from breast cancer</w:t>
      </w:r>
      <w:r w:rsidR="00687EA2">
        <w:t xml:space="preserve"> via early detection</w:t>
      </w:r>
      <w:r>
        <w:t xml:space="preserve">. </w:t>
      </w:r>
      <w:r w:rsidR="00687EA2">
        <w:t>W</w:t>
      </w:r>
      <w:r w:rsidR="006C70ED" w:rsidRPr="00566354">
        <w:t xml:space="preserve">hile it is important to know whether an imaging technique </w:t>
      </w:r>
      <w:r w:rsidR="00E472B8">
        <w:t xml:space="preserve">accurately </w:t>
      </w:r>
      <w:r w:rsidR="00687EA2">
        <w:t xml:space="preserve">depicts </w:t>
      </w:r>
      <w:r w:rsidR="006C70ED" w:rsidRPr="00566354">
        <w:t xml:space="preserve">cancers, it is also important to understand the </w:t>
      </w:r>
      <w:r w:rsidR="002C6611">
        <w:t xml:space="preserve">characteristics of that cancer given the heterogeneous nature of breast disease. Some </w:t>
      </w:r>
      <w:r w:rsidR="00687EA2">
        <w:t>cancers have a favourable prognosis even when detected at a fairly large size compared to more aggressive cancers with a poorer prognosis</w:t>
      </w:r>
      <w:r w:rsidR="006C70ED" w:rsidRPr="00566354">
        <w:t>.</w:t>
      </w:r>
      <w:r w:rsidR="00A05F80">
        <w:t xml:space="preserve"> </w:t>
      </w:r>
      <w:r w:rsidR="006B3F51">
        <w:t xml:space="preserve">If use of DBT results in detection of </w:t>
      </w:r>
      <w:r w:rsidR="00504C51">
        <w:t xml:space="preserve">more clinically significant </w:t>
      </w:r>
      <w:r w:rsidR="006B3F51">
        <w:t xml:space="preserve">invasive </w:t>
      </w:r>
      <w:r w:rsidR="00504C51">
        <w:t>cancers at an earlier stage</w:t>
      </w:r>
      <w:r w:rsidR="006B3F51">
        <w:t>, its use may confer an additional morbidity and/or mortality benefit over FFDM alone</w:t>
      </w:r>
      <w:r w:rsidR="0030556C">
        <w:t xml:space="preserve"> </w:t>
      </w:r>
      <w:r w:rsidR="005C660F">
        <w:t xml:space="preserve">(i.e., it </w:t>
      </w:r>
      <w:r w:rsidR="0030556C">
        <w:t>detect</w:t>
      </w:r>
      <w:r w:rsidR="005C660F">
        <w:t>s</w:t>
      </w:r>
      <w:r w:rsidR="0030556C">
        <w:t xml:space="preserve"> ‘killing’ cancers earlier</w:t>
      </w:r>
      <w:r w:rsidR="005C660F">
        <w:t xml:space="preserve"> and enables more aggressive treatment or greater treatment options)</w:t>
      </w:r>
      <w:r w:rsidR="006B3F51">
        <w:t xml:space="preserve">. If more </w:t>
      </w:r>
      <w:r w:rsidR="00DA52CA">
        <w:t>ductal carcinoma in situ (</w:t>
      </w:r>
      <w:r w:rsidR="006B3F51">
        <w:t>DCIS</w:t>
      </w:r>
      <w:r w:rsidR="00DA52CA">
        <w:t>)</w:t>
      </w:r>
      <w:r w:rsidR="006B3F51">
        <w:t xml:space="preserve"> or low-grade</w:t>
      </w:r>
      <w:r>
        <w:t xml:space="preserve">, slow-growing invasive </w:t>
      </w:r>
      <w:r w:rsidR="006B3F51">
        <w:t>cancers are detected, the morbidity or mortality benefit associated with detecting and treating these small cancers may be lower</w:t>
      </w:r>
      <w:r>
        <w:t>. Alternatively,</w:t>
      </w:r>
      <w:r w:rsidR="006B3F51">
        <w:t xml:space="preserve"> slow-growing cancers may be detected earlier </w:t>
      </w:r>
      <w:r w:rsidR="006C70ED">
        <w:t xml:space="preserve">but </w:t>
      </w:r>
      <w:r w:rsidR="006B3F51">
        <w:t xml:space="preserve">the favourability of outcome prognosis may not change compared </w:t>
      </w:r>
      <w:r>
        <w:t>to detecting the cancer at a later date</w:t>
      </w:r>
      <w:r w:rsidR="006B3F51">
        <w:t>.</w:t>
      </w:r>
      <w:r w:rsidR="006B3F51" w:rsidRPr="006B3F51">
        <w:t xml:space="preserve"> </w:t>
      </w:r>
      <w:r w:rsidR="001104BF">
        <w:t>Key dimensions that are used to assess this</w:t>
      </w:r>
      <w:r w:rsidR="00687EA2">
        <w:t xml:space="preserve"> relationship</w:t>
      </w:r>
      <w:r w:rsidR="001104BF">
        <w:t xml:space="preserve"> are:</w:t>
      </w:r>
    </w:p>
    <w:p w14:paraId="24FD3E7D" w14:textId="66CE596B" w:rsidR="00F604E3" w:rsidRDefault="001104BF" w:rsidP="00592E7C">
      <w:pPr>
        <w:pStyle w:val="List-BulletLvl1"/>
      </w:pPr>
      <w:r>
        <w:t>The type of cancer</w:t>
      </w:r>
      <w:r w:rsidR="00A8590A">
        <w:t xml:space="preserve"> (i.e., </w:t>
      </w:r>
      <w:r>
        <w:t>invasive cancer</w:t>
      </w:r>
      <w:r w:rsidR="00A8590A">
        <w:t>s</w:t>
      </w:r>
      <w:r>
        <w:t xml:space="preserve"> or DCIS</w:t>
      </w:r>
      <w:r w:rsidR="00A8590A">
        <w:t>)</w:t>
      </w:r>
      <w:r w:rsidR="00F604E3">
        <w:t xml:space="preserve"> </w:t>
      </w:r>
      <w:r w:rsidR="00E472B8">
        <w:t>and the m</w:t>
      </w:r>
      <w:r w:rsidR="00F604E3">
        <w:t xml:space="preserve">olecular sub-type </w:t>
      </w:r>
    </w:p>
    <w:p w14:paraId="45E2BC9F" w14:textId="117F928F" w:rsidR="00E472B8" w:rsidRDefault="00A05F80" w:rsidP="00E472B8">
      <w:pPr>
        <w:pStyle w:val="List-BulletLvl1"/>
      </w:pPr>
      <w:r>
        <w:t>Tumour s</w:t>
      </w:r>
      <w:r w:rsidR="00E472B8">
        <w:t>taging (t</w:t>
      </w:r>
      <w:r w:rsidR="001104BF">
        <w:t>he histological grade</w:t>
      </w:r>
      <w:r w:rsidR="00E472B8">
        <w:t>, tumour size and l</w:t>
      </w:r>
      <w:r w:rsidR="00F604E3">
        <w:t>ymph node involvement</w:t>
      </w:r>
      <w:r>
        <w:t>)</w:t>
      </w:r>
      <w:r w:rsidR="00E472B8">
        <w:t xml:space="preserve">, and </w:t>
      </w:r>
    </w:p>
    <w:p w14:paraId="629B9937" w14:textId="618DA412" w:rsidR="00E472B8" w:rsidRDefault="00E472B8" w:rsidP="00E472B8">
      <w:pPr>
        <w:pStyle w:val="List-BulletLvl1"/>
      </w:pPr>
      <w:r>
        <w:t>Radiological presentation.</w:t>
      </w:r>
      <w:r w:rsidR="00F604E3">
        <w:t xml:space="preserve"> </w:t>
      </w:r>
    </w:p>
    <w:p w14:paraId="11DC269A" w14:textId="4137CB1C" w:rsidR="00A05F80" w:rsidRDefault="00B76164" w:rsidP="00A05F80">
      <w:pPr>
        <w:pStyle w:val="BodyText"/>
      </w:pPr>
      <w:r>
        <w:t xml:space="preserve">We want to know, based on current evidence, whether DBT detects clinically significant cancers, or whether the additional cancers detected with DBT are not significant and may represent overdiagnosis. </w:t>
      </w:r>
      <w:r w:rsidR="00A05F80">
        <w:t>Papers covered in this literature review reported on the type of cancer and varying dimensions of tumour staging but few reported on radiological presentation.</w:t>
      </w:r>
      <w:r w:rsidR="00A05F80" w:rsidRPr="00A05F80">
        <w:t xml:space="preserve"> </w:t>
      </w:r>
      <w:r w:rsidR="00A05F80">
        <w:t>In</w:t>
      </w:r>
      <w:r w:rsidR="00DA52CA">
        <w:t xml:space="preserve"> this section, </w:t>
      </w:r>
      <w:r w:rsidR="00A05F80">
        <w:t>we explore the current evidence base on whether cancers detected with DBT are likely to be clinically important or whether they are abnormalities that may not likely to become life-threatening or symptomatic within a woman’s lifetime (i.e., they may contribute to overdiagnosis).</w:t>
      </w:r>
    </w:p>
    <w:p w14:paraId="618D1681" w14:textId="77777777" w:rsidR="001104BF" w:rsidRDefault="001104BF" w:rsidP="001104BF">
      <w:pPr>
        <w:pStyle w:val="CV-Heading"/>
      </w:pPr>
      <w:r>
        <w:lastRenderedPageBreak/>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04806EF7" w14:textId="50734997" w:rsidR="00431714" w:rsidRDefault="00CA3071" w:rsidP="00CA3071">
      <w:pPr>
        <w:pStyle w:val="BodyText"/>
      </w:pPr>
      <w:r w:rsidRPr="00A45BFC">
        <w:t xml:space="preserve">There </w:t>
      </w:r>
      <w:r>
        <w:t xml:space="preserve">was </w:t>
      </w:r>
      <w:r w:rsidR="00547E99">
        <w:t xml:space="preserve">some </w:t>
      </w:r>
      <w:r w:rsidRPr="00A45BFC">
        <w:t xml:space="preserve">evidence that </w:t>
      </w:r>
      <w:r w:rsidR="00547E99">
        <w:t xml:space="preserve">detection of invasive cancers </w:t>
      </w:r>
      <w:r w:rsidRPr="00A45BFC">
        <w:t xml:space="preserve">increased when using </w:t>
      </w:r>
      <w:r>
        <w:t xml:space="preserve">DBT </w:t>
      </w:r>
      <w:r w:rsidRPr="00A45BFC">
        <w:t xml:space="preserve">compared to FFDM alone. Increases were reported in </w:t>
      </w:r>
      <w:r w:rsidR="00431714">
        <w:t xml:space="preserve">both screening and assessment settings and </w:t>
      </w:r>
      <w:r w:rsidRPr="00A45BFC">
        <w:t xml:space="preserve">for different combinations of screening strategies </w:t>
      </w:r>
      <w:r w:rsidR="00431714">
        <w:t xml:space="preserve">(i.e., </w:t>
      </w:r>
      <w:r>
        <w:t>FFDM+DBT</w:t>
      </w:r>
      <w:r w:rsidRPr="00A45BFC">
        <w:t xml:space="preserve">, </w:t>
      </w:r>
      <w:r>
        <w:t>DBT+</w:t>
      </w:r>
      <w:r w:rsidR="00176980">
        <w:t>s2DM</w:t>
      </w:r>
      <w:r w:rsidRPr="00A45BFC">
        <w:t xml:space="preserve">, and </w:t>
      </w:r>
      <w:r>
        <w:t>DBT</w:t>
      </w:r>
      <w:r w:rsidRPr="003509DB">
        <w:rPr>
          <w:vertAlign w:val="subscript"/>
        </w:rPr>
        <w:t>MLO</w:t>
      </w:r>
      <w:r w:rsidDel="00D67315">
        <w:t xml:space="preserve"> </w:t>
      </w:r>
      <w:r w:rsidRPr="00A45BFC">
        <w:t xml:space="preserve">compared to </w:t>
      </w:r>
      <w:r w:rsidRPr="00547E99">
        <w:t>FFDM alone</w:t>
      </w:r>
      <w:r w:rsidR="00431714">
        <w:t>)</w:t>
      </w:r>
      <w:r w:rsidRPr="00547E99">
        <w:t xml:space="preserve">. </w:t>
      </w:r>
    </w:p>
    <w:p w14:paraId="265983A5" w14:textId="538C4BC4" w:rsidR="00431714" w:rsidRDefault="00431714" w:rsidP="00431714">
      <w:pPr>
        <w:pStyle w:val="BodyText"/>
      </w:pPr>
      <w:r w:rsidRPr="00547E99">
        <w:t xml:space="preserve">Early evidence from the primary </w:t>
      </w:r>
      <w:r>
        <w:t xml:space="preserve">screening </w:t>
      </w:r>
      <w:r w:rsidRPr="00547E99">
        <w:t>studies indicated that DBT may detect smaller cancers</w:t>
      </w:r>
      <w:r>
        <w:t xml:space="preserve"> </w:t>
      </w:r>
      <w:r w:rsidRPr="00547E99">
        <w:t>which are more likely to be invasive</w:t>
      </w:r>
      <w:r>
        <w:t>. A</w:t>
      </w:r>
      <w:r w:rsidR="00CA3071" w:rsidRPr="00547E99">
        <w:t xml:space="preserve"> fixed effect meta-analysis of data from the STORM and OTS trials (Hodgson et al., 2016) found a statistically significant increase in invasive CDR detected by FFDM+DBT compared to FFDM alone</w:t>
      </w:r>
      <w:r>
        <w:t xml:space="preserve"> (i.e., an</w:t>
      </w:r>
      <w:r w:rsidR="00CA3071" w:rsidRPr="00547E99">
        <w:t xml:space="preserve"> additional 2.33 </w:t>
      </w:r>
      <w:r w:rsidR="00547E99" w:rsidRPr="00547E99">
        <w:t xml:space="preserve">invasive </w:t>
      </w:r>
      <w:r w:rsidR="00CA3071" w:rsidRPr="00547E99">
        <w:t>cancers per 1000 screening examinations</w:t>
      </w:r>
      <w:r>
        <w:t>)</w:t>
      </w:r>
      <w:r w:rsidR="00CA3071" w:rsidRPr="00547E99">
        <w:t xml:space="preserve">. </w:t>
      </w:r>
      <w:r>
        <w:t>Interim d</w:t>
      </w:r>
      <w:r w:rsidR="00547E99" w:rsidRPr="00547E99">
        <w:t xml:space="preserve">ata from STORM and Malmö trials reported that DBT appears to detect microcalcifications as well as FFDM. Other studies, including data from the OTS trial, reported no differences in grade, size or radiologic signs for cancers detected either with DBT or FFDM but the OTS trial did report that the incremental cancers detected with FFDM+DBT were predominantly invasive. </w:t>
      </w:r>
      <w:r>
        <w:t>R</w:t>
      </w:r>
      <w:r w:rsidR="00CA3071" w:rsidRPr="00547E99">
        <w:t xml:space="preserve">etrospective studies </w:t>
      </w:r>
      <w:r>
        <w:t xml:space="preserve">also reported </w:t>
      </w:r>
      <w:r w:rsidR="00CA3071" w:rsidRPr="00547E99">
        <w:t xml:space="preserve">that invasive CDR increased </w:t>
      </w:r>
      <w:r>
        <w:t xml:space="preserve">with the use of </w:t>
      </w:r>
      <w:r w:rsidR="00CA3071" w:rsidRPr="00547E99">
        <w:t>FFDM+DBT</w:t>
      </w:r>
      <w:r>
        <w:t xml:space="preserve"> </w:t>
      </w:r>
      <w:r w:rsidR="00CA3071" w:rsidRPr="00547E99">
        <w:t xml:space="preserve">but not all results achieved statistical significance. </w:t>
      </w:r>
      <w:r w:rsidRPr="00A45BFC">
        <w:t xml:space="preserve">Bernardi </w:t>
      </w:r>
      <w:r w:rsidR="003C5E21">
        <w:t>&amp;</w:t>
      </w:r>
      <w:r w:rsidRPr="00A45BFC">
        <w:t xml:space="preserve"> Houssami (2017) described cancers detected </w:t>
      </w:r>
      <w:r>
        <w:t xml:space="preserve">in </w:t>
      </w:r>
      <w:r w:rsidRPr="00A45BFC">
        <w:t xml:space="preserve">the STORM-2 trial. They reported that DBT detected most small invasive cancers (depicted as irregular masses or distortions) that could not be seen on FFDM images (although </w:t>
      </w:r>
      <w:r>
        <w:t xml:space="preserve">the authors noted that </w:t>
      </w:r>
      <w:r w:rsidRPr="00A45BFC">
        <w:t xml:space="preserve">these were also difficult to detect with DBT). </w:t>
      </w:r>
      <w:r w:rsidRPr="001809B2">
        <w:t xml:space="preserve">Findings regarding </w:t>
      </w:r>
      <w:r>
        <w:t xml:space="preserve">detected </w:t>
      </w:r>
      <w:r w:rsidRPr="001809B2">
        <w:t>DCIS were mixed</w:t>
      </w:r>
      <w:r>
        <w:t xml:space="preserve">, but no statistically significant results suggested that </w:t>
      </w:r>
      <w:r w:rsidRPr="001809B2">
        <w:t>DBT increase</w:t>
      </w:r>
      <w:r>
        <w:t>d</w:t>
      </w:r>
      <w:r w:rsidRPr="001809B2">
        <w:t xml:space="preserve"> detection of DCIS</w:t>
      </w:r>
      <w:r>
        <w:t xml:space="preserve"> </w:t>
      </w:r>
      <w:r w:rsidR="00713E0D">
        <w:t xml:space="preserve">and </w:t>
      </w:r>
      <w:r>
        <w:t>there was insufficient evidence to describe the relationship between DBT and overdiagnosis</w:t>
      </w:r>
      <w:r w:rsidR="00713E0D">
        <w:t>,</w:t>
      </w:r>
      <w:r>
        <w:t xml:space="preserve"> as few studies reported on specific cancer types and/or characteristics (including no studies that reported on molecular subtype). </w:t>
      </w:r>
      <w:r w:rsidR="00547E99" w:rsidRPr="00547E99">
        <w:t xml:space="preserve">The literature review concluded that more research was needed to understand the differences </w:t>
      </w:r>
      <w:r w:rsidR="00547E99" w:rsidRPr="001809B2">
        <w:t>between cancers detected with/without DBT.</w:t>
      </w:r>
      <w:r>
        <w:t xml:space="preserve"> </w:t>
      </w:r>
    </w:p>
    <w:p w14:paraId="693A8005" w14:textId="3F2E4B70" w:rsidR="00431714" w:rsidRPr="00465496" w:rsidRDefault="00431714" w:rsidP="001A2820">
      <w:pPr>
        <w:pStyle w:val="BodyText"/>
        <w:rPr>
          <w:b/>
          <w:i/>
          <w:sz w:val="24"/>
          <w:szCs w:val="24"/>
        </w:rPr>
      </w:pPr>
      <w:r>
        <w:t>In the assessment setting</w:t>
      </w:r>
      <w:r w:rsidR="000F1F3F">
        <w:t xml:space="preserve"> (and base</w:t>
      </w:r>
      <w:r w:rsidR="00A41BFE">
        <w:t xml:space="preserve">d </w:t>
      </w:r>
      <w:r w:rsidR="00DA52CA">
        <w:t xml:space="preserve">on </w:t>
      </w:r>
      <w:r w:rsidR="000F1F3F">
        <w:t xml:space="preserve">studies which included screening populations, </w:t>
      </w:r>
      <w:r w:rsidR="00A41BFE">
        <w:t>mixed</w:t>
      </w:r>
      <w:r w:rsidR="000F1F3F">
        <w:t xml:space="preserve"> populations, and diagnostic populations alone)</w:t>
      </w:r>
      <w:r>
        <w:t xml:space="preserve"> DBT, alone or in combination with FFDM, detect</w:t>
      </w:r>
      <w:r w:rsidR="00A41BFE">
        <w:t>ed</w:t>
      </w:r>
      <w:r>
        <w:t xml:space="preserve"> significantly more invasive cancers compared to FFDM. Key results included</w:t>
      </w:r>
      <w:r w:rsidR="00A41BFE">
        <w:t xml:space="preserve"> </w:t>
      </w:r>
      <w:r>
        <w:t>a RR</w:t>
      </w:r>
      <w:r w:rsidR="00285D7E">
        <w:t>=</w:t>
      </w:r>
      <w:r>
        <w:t>1.327 for the increase of invasive cancer with FFDM+DBT compared to FFDM</w:t>
      </w:r>
      <w:r w:rsidR="00A41BFE">
        <w:t xml:space="preserve"> and </w:t>
      </w:r>
      <w:r>
        <w:t>significant increases in detection of invasive ductal carcinoma (RR</w:t>
      </w:r>
      <w:r w:rsidR="00285D7E">
        <w:t>=</w:t>
      </w:r>
      <w:r>
        <w:t>1.437) and special type carcinomas</w:t>
      </w:r>
      <w:r w:rsidRPr="0012380C">
        <w:t>.</w:t>
      </w:r>
      <w:r w:rsidR="00997058">
        <w:t xml:space="preserve"> </w:t>
      </w:r>
      <w:r>
        <w:t>DBT detect</w:t>
      </w:r>
      <w:r w:rsidR="00997058">
        <w:t>ed</w:t>
      </w:r>
      <w:r>
        <w:t xml:space="preserve"> </w:t>
      </w:r>
      <w:r w:rsidR="00997058">
        <w:t xml:space="preserve">more </w:t>
      </w:r>
      <w:r>
        <w:t>T1 cancer (RR</w:t>
      </w:r>
      <w:r w:rsidR="00285D7E">
        <w:t>=</w:t>
      </w:r>
      <w:r>
        <w:t xml:space="preserve">1.388) </w:t>
      </w:r>
      <w:r w:rsidR="00997058">
        <w:t xml:space="preserve">and </w:t>
      </w:r>
      <w:r>
        <w:t xml:space="preserve">T1NO cancers. T1N0 cancers </w:t>
      </w:r>
      <w:r w:rsidR="00997058">
        <w:t>we</w:t>
      </w:r>
      <w:r>
        <w:t>re smaller and are likely to not have spread to auxiliary lymph nodes</w:t>
      </w:r>
      <w:r w:rsidR="00C97CCE">
        <w:t>,</w:t>
      </w:r>
      <w:r>
        <w:t xml:space="preserve"> making them clinically important as these cancers detected at screening are more likely to have a better prognosis.</w:t>
      </w:r>
      <w:r w:rsidR="00997058">
        <w:t xml:space="preserve"> </w:t>
      </w:r>
      <w:r>
        <w:t xml:space="preserve">DBT’s benefit in detecting cancers T2 or larger was less certain </w:t>
      </w:r>
      <w:r w:rsidR="00997058">
        <w:t xml:space="preserve">and no </w:t>
      </w:r>
      <w:r>
        <w:t xml:space="preserve">consistent differences in detection were reported for Grade </w:t>
      </w:r>
      <w:r w:rsidR="0034054F">
        <w:t>2</w:t>
      </w:r>
      <w:r>
        <w:t xml:space="preserve"> or </w:t>
      </w:r>
      <w:r w:rsidR="0034054F">
        <w:t>3</w:t>
      </w:r>
      <w:r>
        <w:t xml:space="preserve"> cancers. There were mixed results for the detection of node negative disease</w:t>
      </w:r>
      <w:r w:rsidR="001A2820">
        <w:t xml:space="preserve"> and by molecular subtype (although there was limited evidence on these characteristics).</w:t>
      </w:r>
      <w:r>
        <w:t xml:space="preserve"> </w:t>
      </w:r>
    </w:p>
    <w:p w14:paraId="555FDC16" w14:textId="77777777" w:rsidR="0034054F" w:rsidRDefault="0034054F">
      <w:pPr>
        <w:rPr>
          <w:b/>
          <w:bCs/>
        </w:rPr>
      </w:pPr>
      <w:r>
        <w:rPr>
          <w:b/>
          <w:bCs/>
        </w:rPr>
        <w:br w:type="page"/>
      </w:r>
    </w:p>
    <w:p w14:paraId="17793E29" w14:textId="6A8397B5" w:rsidR="00CA3071" w:rsidRDefault="00CA3071" w:rsidP="00CA3071">
      <w:pPr>
        <w:pStyle w:val="BodyText"/>
        <w:rPr>
          <w:b/>
          <w:bCs/>
        </w:rPr>
      </w:pPr>
      <w:r w:rsidRPr="00A235D7">
        <w:rPr>
          <w:b/>
          <w:bCs/>
        </w:rPr>
        <w:lastRenderedPageBreak/>
        <w:t>GRADE assessment</w:t>
      </w:r>
      <w:r>
        <w:rPr>
          <w:b/>
          <w:bCs/>
        </w:rPr>
        <w:t xml:space="preserve">: invasive </w:t>
      </w:r>
      <w:r w:rsidR="00E2634B">
        <w:rPr>
          <w:b/>
          <w:bCs/>
        </w:rPr>
        <w:t>CDR</w:t>
      </w:r>
      <w:r>
        <w:rPr>
          <w:b/>
          <w:bCs/>
        </w:rPr>
        <w:t>: FFDM+DBT compared to FFDM alone</w:t>
      </w:r>
    </w:p>
    <w:tbl>
      <w:tblPr>
        <w:tblStyle w:val="ACGreen-BasicTable"/>
        <w:tblW w:w="9209" w:type="dxa"/>
        <w:tblLook w:val="04A0" w:firstRow="1" w:lastRow="0" w:firstColumn="1" w:lastColumn="0" w:noHBand="0" w:noVBand="1"/>
        <w:tblDescription w:val="GRADE assessment: invasive CDR: FFDM+ compared to FFDM alone. The participants studies included 881,525 participants. There were 10 studies. The quality of evidence was strong. The overall results were pooled analysis of data from two prospective, fully paired studies embedded in population-based screening programs: FFDM+DBT increases invasive CDR by 2.33 cancers per 1000 screening examinations. Data from 7 other retrospective studies of different design and variable quality report increased incremental CDR.&#10;"/>
      </w:tblPr>
      <w:tblGrid>
        <w:gridCol w:w="1701"/>
        <w:gridCol w:w="1134"/>
        <w:gridCol w:w="6374"/>
      </w:tblGrid>
      <w:tr w:rsidR="00CA3071" w14:paraId="1020CC36" w14:textId="77777777" w:rsidTr="00645C4F">
        <w:trPr>
          <w:cnfStyle w:val="100000000000" w:firstRow="1" w:lastRow="0" w:firstColumn="0" w:lastColumn="0" w:oddVBand="0" w:evenVBand="0" w:oddHBand="0" w:evenHBand="0" w:firstRowFirstColumn="0" w:firstRowLastColumn="0" w:lastRowFirstColumn="0" w:lastRowLastColumn="0"/>
        </w:trPr>
        <w:tc>
          <w:tcPr>
            <w:tcW w:w="1701" w:type="dxa"/>
          </w:tcPr>
          <w:p w14:paraId="21526351" w14:textId="77777777" w:rsidR="00CA3071" w:rsidRPr="00BB08AB" w:rsidRDefault="00CA3071" w:rsidP="00285D7E">
            <w:pPr>
              <w:rPr>
                <w:rFonts w:cstheme="majorHAnsi"/>
                <w:b w:val="0"/>
                <w:sz w:val="18"/>
                <w:szCs w:val="18"/>
              </w:rPr>
            </w:pPr>
            <w:r w:rsidRPr="00BB08AB">
              <w:rPr>
                <w:rFonts w:cstheme="majorHAnsi"/>
                <w:sz w:val="18"/>
                <w:szCs w:val="18"/>
              </w:rPr>
              <w:t xml:space="preserve">Participants </w:t>
            </w:r>
          </w:p>
          <w:p w14:paraId="01351540" w14:textId="64CEEAD6" w:rsidR="00CA3071" w:rsidRPr="00285D7E" w:rsidRDefault="00CA3071" w:rsidP="00285D7E">
            <w:pPr>
              <w:rPr>
                <w:rFonts w:cstheme="majorHAnsi"/>
                <w:b w:val="0"/>
                <w:sz w:val="18"/>
                <w:szCs w:val="18"/>
              </w:rPr>
            </w:pPr>
            <w:r w:rsidRPr="00BB08AB">
              <w:rPr>
                <w:rFonts w:cstheme="majorHAnsi"/>
                <w:sz w:val="18"/>
                <w:szCs w:val="18"/>
              </w:rPr>
              <w:t>Studies</w:t>
            </w:r>
          </w:p>
        </w:tc>
        <w:tc>
          <w:tcPr>
            <w:tcW w:w="1134" w:type="dxa"/>
          </w:tcPr>
          <w:p w14:paraId="6C7CF8E9" w14:textId="77777777" w:rsidR="00CA3071" w:rsidRDefault="00CA3071" w:rsidP="00285D7E">
            <w:pPr>
              <w:pStyle w:val="BodyText"/>
              <w:spacing w:before="0" w:after="0" w:line="240" w:lineRule="auto"/>
              <w:jc w:val="left"/>
            </w:pPr>
            <w:r w:rsidRPr="00BB08AB">
              <w:rPr>
                <w:rFonts w:cstheme="majorHAnsi"/>
                <w:sz w:val="18"/>
                <w:szCs w:val="18"/>
              </w:rPr>
              <w:t xml:space="preserve">Quality of evidence </w:t>
            </w:r>
          </w:p>
        </w:tc>
        <w:tc>
          <w:tcPr>
            <w:tcW w:w="6374" w:type="dxa"/>
          </w:tcPr>
          <w:p w14:paraId="1165F97C" w14:textId="77777777" w:rsidR="00CA3071" w:rsidRDefault="00CA3071" w:rsidP="00285D7E">
            <w:pPr>
              <w:pStyle w:val="BodyText"/>
              <w:spacing w:before="0" w:after="0" w:line="240" w:lineRule="auto"/>
            </w:pPr>
            <w:r w:rsidRPr="00BB08AB">
              <w:rPr>
                <w:rFonts w:cstheme="majorHAnsi"/>
                <w:sz w:val="18"/>
                <w:szCs w:val="18"/>
              </w:rPr>
              <w:t xml:space="preserve">Overall results </w:t>
            </w:r>
          </w:p>
        </w:tc>
      </w:tr>
      <w:tr w:rsidR="00CA3071" w14:paraId="5383889B" w14:textId="77777777" w:rsidTr="00645C4F">
        <w:tc>
          <w:tcPr>
            <w:tcW w:w="1701" w:type="dxa"/>
          </w:tcPr>
          <w:p w14:paraId="5546F601" w14:textId="77777777" w:rsidR="00CA3071" w:rsidRPr="00BB08AB" w:rsidRDefault="00CA3071" w:rsidP="00645C4F">
            <w:pPr>
              <w:rPr>
                <w:rFonts w:cstheme="majorHAnsi"/>
                <w:sz w:val="18"/>
                <w:szCs w:val="18"/>
              </w:rPr>
            </w:pPr>
            <w:r w:rsidRPr="00BB08AB">
              <w:rPr>
                <w:rFonts w:cstheme="majorHAnsi"/>
                <w:sz w:val="18"/>
                <w:szCs w:val="18"/>
              </w:rPr>
              <w:t>881,525 participants</w:t>
            </w:r>
          </w:p>
          <w:p w14:paraId="1E585BA8" w14:textId="77777777" w:rsidR="00CA3071" w:rsidRPr="00BB08AB" w:rsidRDefault="00CA3071" w:rsidP="00645C4F">
            <w:pPr>
              <w:rPr>
                <w:rFonts w:cstheme="majorHAnsi"/>
                <w:sz w:val="18"/>
                <w:szCs w:val="18"/>
              </w:rPr>
            </w:pPr>
            <w:r w:rsidRPr="00BB08AB">
              <w:rPr>
                <w:rFonts w:cstheme="majorHAnsi"/>
                <w:sz w:val="18"/>
                <w:szCs w:val="18"/>
              </w:rPr>
              <w:t>10 studies</w:t>
            </w:r>
          </w:p>
        </w:tc>
        <w:tc>
          <w:tcPr>
            <w:tcW w:w="1134" w:type="dxa"/>
          </w:tcPr>
          <w:p w14:paraId="3EC106F6" w14:textId="77777777" w:rsidR="00CA3071" w:rsidRPr="00BB08AB" w:rsidRDefault="00CA3071" w:rsidP="00645C4F">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0E34D76C" w14:textId="77777777" w:rsidR="00CA3071" w:rsidRPr="00BB08AB" w:rsidRDefault="00CA3071" w:rsidP="00645C4F">
            <w:pPr>
              <w:pStyle w:val="BodyText"/>
              <w:jc w:val="left"/>
              <w:rPr>
                <w:rFonts w:cstheme="majorHAnsi"/>
                <w:sz w:val="18"/>
                <w:szCs w:val="18"/>
              </w:rPr>
            </w:pPr>
            <w:r w:rsidRPr="00BB08AB">
              <w:rPr>
                <w:rFonts w:cstheme="majorHAnsi"/>
                <w:sz w:val="18"/>
                <w:szCs w:val="18"/>
              </w:rPr>
              <w:t>Strong</w:t>
            </w:r>
          </w:p>
        </w:tc>
        <w:tc>
          <w:tcPr>
            <w:tcW w:w="6374" w:type="dxa"/>
          </w:tcPr>
          <w:p w14:paraId="1C390BB9" w14:textId="77777777" w:rsidR="00CA3071" w:rsidRPr="00BB08AB" w:rsidRDefault="00CA3071" w:rsidP="00645C4F">
            <w:pPr>
              <w:pStyle w:val="BodyText"/>
              <w:spacing w:before="0" w:after="0"/>
              <w:rPr>
                <w:rFonts w:cstheme="majorHAnsi"/>
                <w:sz w:val="18"/>
                <w:szCs w:val="18"/>
              </w:rPr>
            </w:pPr>
            <w:r w:rsidRPr="00BB08AB">
              <w:rPr>
                <w:rFonts w:cstheme="majorHAnsi"/>
                <w:sz w:val="18"/>
                <w:szCs w:val="18"/>
              </w:rPr>
              <w:t xml:space="preserve">Pooled analysis of data from two prospective, fully paired studies embedded in population-based screening programs: </w:t>
            </w:r>
            <w:r>
              <w:rPr>
                <w:rFonts w:cstheme="majorHAnsi"/>
                <w:sz w:val="18"/>
                <w:szCs w:val="18"/>
              </w:rPr>
              <w:t>FFDM+DBT</w:t>
            </w:r>
            <w:r w:rsidRPr="00BB08AB">
              <w:rPr>
                <w:rFonts w:cstheme="majorHAnsi"/>
                <w:sz w:val="18"/>
                <w:szCs w:val="18"/>
              </w:rPr>
              <w:t xml:space="preserve"> increases invasive CDR by 2.33 cancers per 1000 screening examinations. Data from 7 other retrospective studies of different design and variable quality report increased incremental CDR.</w:t>
            </w:r>
          </w:p>
        </w:tc>
      </w:tr>
    </w:tbl>
    <w:p w14:paraId="781C7853" w14:textId="7B1FAF5B" w:rsidR="00CA3071" w:rsidRDefault="00CA3071" w:rsidP="00CA3071">
      <w:pPr>
        <w:pStyle w:val="BodyText"/>
        <w:rPr>
          <w:b/>
          <w:bCs/>
        </w:rPr>
      </w:pPr>
      <w:r w:rsidRPr="00A235D7">
        <w:rPr>
          <w:b/>
          <w:bCs/>
        </w:rPr>
        <w:t>GRADE assessment</w:t>
      </w:r>
      <w:r>
        <w:rPr>
          <w:b/>
          <w:bCs/>
        </w:rPr>
        <w:t xml:space="preserve">: </w:t>
      </w:r>
      <w:r w:rsidR="00E2634B">
        <w:rPr>
          <w:b/>
          <w:bCs/>
        </w:rPr>
        <w:t>invasive CDR</w:t>
      </w:r>
      <w:r>
        <w:rPr>
          <w:b/>
          <w:bCs/>
        </w:rPr>
        <w:t>: DBT+</w:t>
      </w:r>
      <w:r w:rsidR="00176980">
        <w:rPr>
          <w:b/>
          <w:bCs/>
        </w:rPr>
        <w:t>s2DM</w:t>
      </w:r>
      <w:r>
        <w:rPr>
          <w:b/>
          <w:bCs/>
        </w:rPr>
        <w:t xml:space="preserve"> compared to FFDM+DBT or FFDM alone</w:t>
      </w:r>
    </w:p>
    <w:tbl>
      <w:tblPr>
        <w:tblStyle w:val="ACGreen-BasicTable"/>
        <w:tblW w:w="9209" w:type="dxa"/>
        <w:tblLook w:val="04A0" w:firstRow="1" w:lastRow="0" w:firstColumn="1" w:lastColumn="0" w:noHBand="0" w:noVBand="1"/>
        <w:tblDescription w:val="GRADE assessment: invasive CDR: DBT+s2DM compared to FFDM+DBT or FFDM alone. The participants studies included 131,726 participants, There were three studies. The quality of evidence was very low. The overall was no systematic review or pooled analysis was available. Results from individual studies reported that CDR increased for DBT+s2DM compared to FFDM in the results from two prospective, fully paired studies. &#10;"/>
      </w:tblPr>
      <w:tblGrid>
        <w:gridCol w:w="1701"/>
        <w:gridCol w:w="1134"/>
        <w:gridCol w:w="6374"/>
      </w:tblGrid>
      <w:tr w:rsidR="00CA3071" w14:paraId="5802E7A6" w14:textId="77777777" w:rsidTr="00645C4F">
        <w:trPr>
          <w:cnfStyle w:val="100000000000" w:firstRow="1" w:lastRow="0" w:firstColumn="0" w:lastColumn="0" w:oddVBand="0" w:evenVBand="0" w:oddHBand="0" w:evenHBand="0" w:firstRowFirstColumn="0" w:firstRowLastColumn="0" w:lastRowFirstColumn="0" w:lastRowLastColumn="0"/>
        </w:trPr>
        <w:tc>
          <w:tcPr>
            <w:tcW w:w="1701" w:type="dxa"/>
          </w:tcPr>
          <w:p w14:paraId="7740F612" w14:textId="77777777" w:rsidR="00CA3071" w:rsidRPr="00BB08AB" w:rsidRDefault="00CA3071" w:rsidP="00645C4F">
            <w:pPr>
              <w:rPr>
                <w:rFonts w:cstheme="majorHAnsi"/>
                <w:b w:val="0"/>
                <w:sz w:val="18"/>
                <w:szCs w:val="18"/>
              </w:rPr>
            </w:pPr>
            <w:r w:rsidRPr="00BB08AB">
              <w:rPr>
                <w:rFonts w:cstheme="majorHAnsi"/>
                <w:sz w:val="18"/>
                <w:szCs w:val="18"/>
              </w:rPr>
              <w:t xml:space="preserve">Participants </w:t>
            </w:r>
          </w:p>
          <w:p w14:paraId="62DA3DF2" w14:textId="6EAFAEB9" w:rsidR="00CA3071" w:rsidRPr="00285D7E" w:rsidRDefault="00CA3071" w:rsidP="00645C4F">
            <w:pPr>
              <w:rPr>
                <w:rFonts w:cstheme="majorHAnsi"/>
                <w:b w:val="0"/>
                <w:sz w:val="18"/>
                <w:szCs w:val="18"/>
              </w:rPr>
            </w:pPr>
            <w:r w:rsidRPr="00BB08AB">
              <w:rPr>
                <w:rFonts w:cstheme="majorHAnsi"/>
                <w:sz w:val="18"/>
                <w:szCs w:val="18"/>
              </w:rPr>
              <w:t>Studies</w:t>
            </w:r>
          </w:p>
        </w:tc>
        <w:tc>
          <w:tcPr>
            <w:tcW w:w="1134" w:type="dxa"/>
          </w:tcPr>
          <w:p w14:paraId="698755A9" w14:textId="77777777" w:rsidR="00CA3071" w:rsidRPr="00BB08AB" w:rsidRDefault="00CA3071" w:rsidP="00645C4F">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07EE320E" w14:textId="77777777" w:rsidR="00CA3071" w:rsidRPr="00BB08AB" w:rsidRDefault="00CA3071" w:rsidP="00645C4F">
            <w:pPr>
              <w:pStyle w:val="BodyText"/>
              <w:rPr>
                <w:rFonts w:cstheme="majorHAnsi"/>
                <w:sz w:val="18"/>
                <w:szCs w:val="18"/>
              </w:rPr>
            </w:pPr>
            <w:r w:rsidRPr="00BB08AB">
              <w:rPr>
                <w:rFonts w:cstheme="majorHAnsi"/>
                <w:sz w:val="18"/>
                <w:szCs w:val="18"/>
              </w:rPr>
              <w:t xml:space="preserve">Overall results </w:t>
            </w:r>
          </w:p>
        </w:tc>
      </w:tr>
      <w:tr w:rsidR="00CA3071" w:rsidRPr="00BB08AB" w14:paraId="1691BA02" w14:textId="77777777" w:rsidTr="00645C4F">
        <w:tc>
          <w:tcPr>
            <w:tcW w:w="1701" w:type="dxa"/>
          </w:tcPr>
          <w:p w14:paraId="027DBDB9" w14:textId="77777777" w:rsidR="00CA3071" w:rsidRPr="00BB08AB" w:rsidRDefault="00CA3071" w:rsidP="00645C4F">
            <w:pPr>
              <w:rPr>
                <w:rFonts w:cstheme="majorHAnsi"/>
                <w:sz w:val="18"/>
                <w:szCs w:val="18"/>
              </w:rPr>
            </w:pPr>
            <w:r w:rsidRPr="00BB08AB">
              <w:rPr>
                <w:rFonts w:cstheme="majorHAnsi"/>
                <w:sz w:val="18"/>
                <w:szCs w:val="18"/>
              </w:rPr>
              <w:t>131,726 participants</w:t>
            </w:r>
          </w:p>
          <w:p w14:paraId="2CE423B2" w14:textId="77777777" w:rsidR="00CA3071" w:rsidRPr="00BB08AB" w:rsidRDefault="00CA3071" w:rsidP="00645C4F">
            <w:pPr>
              <w:rPr>
                <w:rFonts w:cstheme="majorHAnsi"/>
                <w:sz w:val="18"/>
                <w:szCs w:val="18"/>
              </w:rPr>
            </w:pPr>
            <w:r w:rsidRPr="00BB08AB">
              <w:rPr>
                <w:rFonts w:cstheme="majorHAnsi"/>
                <w:sz w:val="18"/>
                <w:szCs w:val="18"/>
              </w:rPr>
              <w:t>3 studies</w:t>
            </w:r>
          </w:p>
        </w:tc>
        <w:tc>
          <w:tcPr>
            <w:tcW w:w="1134" w:type="dxa"/>
          </w:tcPr>
          <w:p w14:paraId="473A3410" w14:textId="77777777" w:rsidR="00CA3071" w:rsidRPr="00BB08AB" w:rsidRDefault="00CA3071" w:rsidP="00645C4F">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1EEC36D6" w14:textId="77777777" w:rsidR="00CA3071" w:rsidRPr="00BB08AB" w:rsidRDefault="00CA3071" w:rsidP="00645C4F">
            <w:pPr>
              <w:rPr>
                <w:rFonts w:cstheme="majorHAnsi"/>
                <w:sz w:val="18"/>
                <w:szCs w:val="18"/>
              </w:rPr>
            </w:pPr>
            <w:r w:rsidRPr="00BB08AB">
              <w:rPr>
                <w:rFonts w:cstheme="majorHAnsi"/>
                <w:sz w:val="18"/>
                <w:szCs w:val="18"/>
              </w:rPr>
              <w:t>Very low</w:t>
            </w:r>
          </w:p>
        </w:tc>
        <w:tc>
          <w:tcPr>
            <w:tcW w:w="6374" w:type="dxa"/>
          </w:tcPr>
          <w:p w14:paraId="67006E3B" w14:textId="095FB636" w:rsidR="00CA3071" w:rsidRPr="00BB08AB" w:rsidRDefault="00CA3071" w:rsidP="00645C4F">
            <w:pPr>
              <w:spacing w:line="280" w:lineRule="atLeast"/>
              <w:jc w:val="both"/>
              <w:rPr>
                <w:rFonts w:cstheme="majorHAnsi"/>
                <w:sz w:val="18"/>
                <w:szCs w:val="18"/>
              </w:rPr>
            </w:pPr>
            <w:r w:rsidRPr="00BB08AB">
              <w:rPr>
                <w:rFonts w:cstheme="majorHAnsi"/>
                <w:sz w:val="18"/>
                <w:szCs w:val="18"/>
              </w:rPr>
              <w:t xml:space="preserve">No systematic review or pooled analysis was available. Results from individual studies reported that CDR increased for </w:t>
            </w:r>
            <w:r>
              <w:rPr>
                <w:rFonts w:cstheme="majorHAnsi"/>
                <w:sz w:val="18"/>
                <w:szCs w:val="18"/>
              </w:rPr>
              <w:t>DBT+</w:t>
            </w:r>
            <w:r w:rsidR="00176980">
              <w:rPr>
                <w:rFonts w:cstheme="majorHAnsi"/>
                <w:sz w:val="18"/>
                <w:szCs w:val="18"/>
              </w:rPr>
              <w:t>s2DM</w:t>
            </w:r>
            <w:r w:rsidRPr="00BB08AB">
              <w:rPr>
                <w:rFonts w:cstheme="majorHAnsi"/>
                <w:sz w:val="18"/>
                <w:szCs w:val="18"/>
              </w:rPr>
              <w:t xml:space="preserve"> compared to FFDM in the results from two prospective, fully paired studies. </w:t>
            </w:r>
          </w:p>
        </w:tc>
      </w:tr>
    </w:tbl>
    <w:p w14:paraId="6F9999C4" w14:textId="3BAB2E9D" w:rsidR="00CA3071" w:rsidRPr="000F446C" w:rsidRDefault="00CA3071" w:rsidP="00CA3071">
      <w:pPr>
        <w:pStyle w:val="BodyText"/>
        <w:rPr>
          <w:b/>
          <w:bCs/>
        </w:rPr>
      </w:pPr>
      <w:r w:rsidRPr="00A235D7">
        <w:rPr>
          <w:b/>
          <w:bCs/>
        </w:rPr>
        <w:t>GRADE assessment</w:t>
      </w:r>
      <w:r>
        <w:rPr>
          <w:b/>
          <w:bCs/>
        </w:rPr>
        <w:t xml:space="preserve">: invasive </w:t>
      </w:r>
      <w:r w:rsidR="00E2634B">
        <w:rPr>
          <w:b/>
          <w:bCs/>
        </w:rPr>
        <w:t>CDR</w:t>
      </w:r>
      <w:r>
        <w:rPr>
          <w:b/>
          <w:bCs/>
        </w:rPr>
        <w:t>: DBT</w:t>
      </w:r>
      <w:r>
        <w:rPr>
          <w:b/>
          <w:bCs/>
          <w:vertAlign w:val="subscript"/>
        </w:rPr>
        <w:t>MLO</w:t>
      </w:r>
      <w:r>
        <w:rPr>
          <w:b/>
          <w:bCs/>
        </w:rPr>
        <w:t xml:space="preserve"> compared to </w:t>
      </w:r>
      <w:r w:rsidR="00E95926">
        <w:rPr>
          <w:b/>
          <w:bCs/>
        </w:rPr>
        <w:t>FFDM</w:t>
      </w:r>
    </w:p>
    <w:tbl>
      <w:tblPr>
        <w:tblStyle w:val="ACGreen-BasicTable"/>
        <w:tblW w:w="9209" w:type="dxa"/>
        <w:tblLook w:val="04A0" w:firstRow="1" w:lastRow="0" w:firstColumn="1" w:lastColumn="0" w:noHBand="0" w:noVBand="1"/>
        <w:tblDescription w:val="GRADE assessment: invasive CDR:DBTMLO compared to FFDM. The participants studies included 7,681 participants.There were two studies. The quality of evidence was very low. The overall results was no systematic review or pooled analysis was available. &#10;"/>
      </w:tblPr>
      <w:tblGrid>
        <w:gridCol w:w="1701"/>
        <w:gridCol w:w="1134"/>
        <w:gridCol w:w="6374"/>
      </w:tblGrid>
      <w:tr w:rsidR="00CA3071" w14:paraId="4503F063" w14:textId="77777777" w:rsidTr="00645C4F">
        <w:trPr>
          <w:cnfStyle w:val="100000000000" w:firstRow="1" w:lastRow="0" w:firstColumn="0" w:lastColumn="0" w:oddVBand="0" w:evenVBand="0" w:oddHBand="0" w:evenHBand="0" w:firstRowFirstColumn="0" w:firstRowLastColumn="0" w:lastRowFirstColumn="0" w:lastRowLastColumn="0"/>
        </w:trPr>
        <w:tc>
          <w:tcPr>
            <w:tcW w:w="1701" w:type="dxa"/>
          </w:tcPr>
          <w:p w14:paraId="72ACF97F" w14:textId="77777777" w:rsidR="00CA3071" w:rsidRPr="00BB08AB" w:rsidRDefault="00CA3071" w:rsidP="00645C4F">
            <w:pPr>
              <w:rPr>
                <w:rFonts w:cstheme="majorHAnsi"/>
                <w:b w:val="0"/>
                <w:sz w:val="18"/>
                <w:szCs w:val="18"/>
              </w:rPr>
            </w:pPr>
            <w:r w:rsidRPr="00BB08AB">
              <w:rPr>
                <w:rFonts w:cstheme="majorHAnsi"/>
                <w:sz w:val="18"/>
                <w:szCs w:val="18"/>
              </w:rPr>
              <w:t xml:space="preserve">Participants </w:t>
            </w:r>
          </w:p>
          <w:p w14:paraId="3C603B0B" w14:textId="778E164B" w:rsidR="00CA3071" w:rsidRPr="00285D7E" w:rsidRDefault="00CA3071" w:rsidP="00645C4F">
            <w:pPr>
              <w:rPr>
                <w:rFonts w:cstheme="majorHAnsi"/>
                <w:b w:val="0"/>
                <w:sz w:val="18"/>
                <w:szCs w:val="18"/>
              </w:rPr>
            </w:pPr>
            <w:r w:rsidRPr="00BB08AB">
              <w:rPr>
                <w:rFonts w:cstheme="majorHAnsi"/>
                <w:sz w:val="18"/>
                <w:szCs w:val="18"/>
              </w:rPr>
              <w:t>Studies</w:t>
            </w:r>
          </w:p>
        </w:tc>
        <w:tc>
          <w:tcPr>
            <w:tcW w:w="1134" w:type="dxa"/>
          </w:tcPr>
          <w:p w14:paraId="52C5D941" w14:textId="77777777" w:rsidR="00CA3071" w:rsidRPr="00BB08AB" w:rsidRDefault="00CA3071" w:rsidP="00645C4F">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0B2C7EAA" w14:textId="77777777" w:rsidR="00CA3071" w:rsidRPr="00BB08AB" w:rsidRDefault="00CA3071" w:rsidP="00645C4F">
            <w:pPr>
              <w:pStyle w:val="BodyText"/>
              <w:spacing w:before="0"/>
              <w:rPr>
                <w:rFonts w:cstheme="majorHAnsi"/>
                <w:sz w:val="18"/>
                <w:szCs w:val="18"/>
              </w:rPr>
            </w:pPr>
            <w:r w:rsidRPr="00BB08AB">
              <w:rPr>
                <w:rFonts w:cstheme="majorHAnsi"/>
                <w:sz w:val="18"/>
                <w:szCs w:val="18"/>
              </w:rPr>
              <w:t xml:space="preserve">Overall results </w:t>
            </w:r>
          </w:p>
        </w:tc>
      </w:tr>
      <w:tr w:rsidR="00CA3071" w:rsidRPr="00BB08AB" w14:paraId="07EE033D" w14:textId="77777777" w:rsidTr="00645C4F">
        <w:tc>
          <w:tcPr>
            <w:tcW w:w="1701" w:type="dxa"/>
          </w:tcPr>
          <w:p w14:paraId="4329DB62" w14:textId="77777777" w:rsidR="00CA3071" w:rsidRPr="00BB08AB" w:rsidRDefault="00CA3071" w:rsidP="00645C4F">
            <w:pPr>
              <w:rPr>
                <w:rFonts w:cstheme="majorHAnsi"/>
                <w:sz w:val="18"/>
                <w:szCs w:val="18"/>
              </w:rPr>
            </w:pPr>
            <w:r w:rsidRPr="00BB08AB">
              <w:rPr>
                <w:rFonts w:cstheme="majorHAnsi"/>
                <w:sz w:val="18"/>
                <w:szCs w:val="18"/>
              </w:rPr>
              <w:t>7,681</w:t>
            </w:r>
          </w:p>
          <w:p w14:paraId="37D21B24" w14:textId="7FD3AE8B" w:rsidR="00CA3071" w:rsidRPr="00BB08AB" w:rsidRDefault="00CA3071" w:rsidP="00645C4F">
            <w:pPr>
              <w:rPr>
                <w:rFonts w:cstheme="majorHAnsi"/>
                <w:sz w:val="18"/>
                <w:szCs w:val="18"/>
              </w:rPr>
            </w:pPr>
            <w:r w:rsidRPr="00BB08AB">
              <w:rPr>
                <w:rFonts w:cstheme="majorHAnsi"/>
                <w:sz w:val="18"/>
                <w:szCs w:val="18"/>
              </w:rPr>
              <w:t>2</w:t>
            </w:r>
            <w:r w:rsidR="00DA52CA">
              <w:rPr>
                <w:rFonts w:cstheme="majorHAnsi"/>
                <w:sz w:val="18"/>
                <w:szCs w:val="18"/>
              </w:rPr>
              <w:t xml:space="preserve"> studies</w:t>
            </w:r>
          </w:p>
        </w:tc>
        <w:tc>
          <w:tcPr>
            <w:tcW w:w="1134" w:type="dxa"/>
          </w:tcPr>
          <w:p w14:paraId="1267F412" w14:textId="77777777" w:rsidR="00CA3071" w:rsidRPr="00BB08AB" w:rsidRDefault="00CA3071" w:rsidP="00645C4F">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390B0EA9" w14:textId="77777777" w:rsidR="00CA3071" w:rsidRPr="00BB08AB" w:rsidRDefault="00CA3071" w:rsidP="00645C4F">
            <w:pPr>
              <w:rPr>
                <w:rFonts w:cstheme="majorHAnsi"/>
                <w:sz w:val="18"/>
                <w:szCs w:val="18"/>
              </w:rPr>
            </w:pPr>
            <w:r w:rsidRPr="00BB08AB">
              <w:rPr>
                <w:rFonts w:cstheme="majorHAnsi"/>
                <w:sz w:val="18"/>
                <w:szCs w:val="18"/>
              </w:rPr>
              <w:t>Very low</w:t>
            </w:r>
          </w:p>
        </w:tc>
        <w:tc>
          <w:tcPr>
            <w:tcW w:w="6374" w:type="dxa"/>
          </w:tcPr>
          <w:p w14:paraId="783E451B" w14:textId="77777777" w:rsidR="00CA3071" w:rsidRPr="00BB08AB" w:rsidRDefault="00CA3071" w:rsidP="00645C4F">
            <w:pPr>
              <w:rPr>
                <w:rFonts w:cstheme="majorHAnsi"/>
                <w:sz w:val="18"/>
                <w:szCs w:val="18"/>
              </w:rPr>
            </w:pPr>
            <w:r w:rsidRPr="00BB08AB">
              <w:rPr>
                <w:rFonts w:cstheme="majorHAnsi"/>
                <w:sz w:val="18"/>
                <w:szCs w:val="18"/>
              </w:rPr>
              <w:t xml:space="preserve">No systematic review or pooled analysis was available. </w:t>
            </w:r>
          </w:p>
        </w:tc>
      </w:tr>
    </w:tbl>
    <w:p w14:paraId="50FEFA53" w14:textId="77777777" w:rsidR="00CA3071" w:rsidRDefault="00CA3071" w:rsidP="00CA3071">
      <w:pPr>
        <w:pStyle w:val="CV-Heading"/>
      </w:pPr>
      <w:r>
        <w:t>Updated findings</w:t>
      </w:r>
    </w:p>
    <w:p w14:paraId="142925A4" w14:textId="0DF98977" w:rsidR="00D7125F" w:rsidRDefault="00F604E3" w:rsidP="00CA3071">
      <w:pPr>
        <w:pStyle w:val="BodyText"/>
      </w:pPr>
      <w:r>
        <w:t xml:space="preserve">The </w:t>
      </w:r>
      <w:r w:rsidR="00815FC2">
        <w:t>To-Be-1</w:t>
      </w:r>
      <w:r>
        <w:t xml:space="preserve"> RCT and most of the prospective studies embedded in population-based screening programs reported on at least some cancer characteristics (notably cancer type, grade, size and lymph node involvement). Only a small number of studies reported on molecular sub-type. </w:t>
      </w:r>
    </w:p>
    <w:p w14:paraId="34102213" w14:textId="5521110E" w:rsidR="00EC6C3D" w:rsidRDefault="00F604E3" w:rsidP="00EC6C3D">
      <w:pPr>
        <w:pStyle w:val="BodyText"/>
      </w:pPr>
      <w:r>
        <w:t>Most studies provide descriptive results by imaging protocol</w:t>
      </w:r>
      <w:r w:rsidR="0017460D">
        <w:t>. In most of the study designs</w:t>
      </w:r>
      <w:r w:rsidR="0017460D">
        <w:rPr>
          <w:rStyle w:val="FootnoteReference"/>
        </w:rPr>
        <w:footnoteReference w:id="13"/>
      </w:r>
      <w:r w:rsidR="0017460D">
        <w:t>, cancers were analysed by whether they were detected in the DBT arm or the study or the FFDM arm (i.e., cancers detected in the DBT arm are not ‘additional’ cancers</w:t>
      </w:r>
      <w:r w:rsidR="00555218">
        <w:t xml:space="preserve"> to those detected in the FFDM arm</w:t>
      </w:r>
      <w:r w:rsidR="0017460D">
        <w:t xml:space="preserve">). It makes it more challenging to determine </w:t>
      </w:r>
      <w:r w:rsidR="00B707B8">
        <w:t xml:space="preserve">cancers that are </w:t>
      </w:r>
      <w:r w:rsidR="0017460D">
        <w:t>only detected with DBT</w:t>
      </w:r>
      <w:r w:rsidR="00B707B8">
        <w:t xml:space="preserve"> are different from those detected with DBT+</w:t>
      </w:r>
      <w:r w:rsidR="00176980">
        <w:t>s2DM</w:t>
      </w:r>
      <w:r w:rsidR="00B707B8">
        <w:t xml:space="preserve"> or FFDM</w:t>
      </w:r>
      <w:r w:rsidR="0017460D">
        <w:t>.</w:t>
      </w:r>
      <w:r w:rsidR="00555218">
        <w:t xml:space="preserve"> F</w:t>
      </w:r>
      <w:r>
        <w:t xml:space="preserve">ew </w:t>
      </w:r>
      <w:r w:rsidR="00555218">
        <w:t xml:space="preserve">studies included </w:t>
      </w:r>
      <w:r>
        <w:t>statistical analysis</w:t>
      </w:r>
      <w:r w:rsidR="00C82FF9">
        <w:t>.</w:t>
      </w:r>
      <w:r>
        <w:t xml:space="preserve"> This is not a criticism of these studies but a reflection that the number of cancers detected in most studies was small and studies were not sufficiently powered for robust analysis by cancer type and characteristics. </w:t>
      </w:r>
      <w:r w:rsidR="00C7191D">
        <w:t xml:space="preserve">No systematic reviews of studies published since December 2017 have considered cancer type or tumour characteristics. </w:t>
      </w:r>
      <w:r>
        <w:t>Included studies are listed below.</w:t>
      </w:r>
      <w:r w:rsidR="00EC6C3D">
        <w:t xml:space="preserve"> </w:t>
      </w:r>
      <w:r w:rsidR="00EC6C3D">
        <w:rPr>
          <w:i/>
          <w:iCs/>
        </w:rPr>
        <w:t xml:space="preserve">Tables </w:t>
      </w:r>
      <w:r w:rsidR="00E45406">
        <w:rPr>
          <w:i/>
          <w:iCs/>
        </w:rPr>
        <w:t>10 – 14</w:t>
      </w:r>
      <w:r w:rsidR="00EC6C3D">
        <w:t xml:space="preserve"> include a summary of all</w:t>
      </w:r>
      <w:r w:rsidR="00EC6C3D">
        <w:rPr>
          <w:i/>
          <w:iCs/>
        </w:rPr>
        <w:t xml:space="preserve"> </w:t>
      </w:r>
      <w:r w:rsidR="00EC6C3D">
        <w:t>study results b</w:t>
      </w:r>
      <w:r w:rsidR="00384CF1">
        <w:t>y</w:t>
      </w:r>
      <w:r w:rsidR="00EC6C3D">
        <w:t xml:space="preserve"> key characteristics.</w:t>
      </w:r>
    </w:p>
    <w:p w14:paraId="3C6F2CF8" w14:textId="77777777" w:rsidR="00D77062" w:rsidRDefault="00D77062" w:rsidP="00D77062">
      <w:pPr>
        <w:pStyle w:val="Heading3"/>
        <w:ind w:left="720"/>
      </w:pPr>
      <w:bookmarkStart w:id="257" w:name="_Toc27477593"/>
      <w:bookmarkStart w:id="258" w:name="_Toc27665726"/>
      <w:bookmarkStart w:id="259" w:name="_Toc27844505"/>
      <w:bookmarkStart w:id="260" w:name="_Toc27859635"/>
      <w:bookmarkStart w:id="261" w:name="_Toc27904750"/>
      <w:bookmarkStart w:id="262" w:name="_Toc43376301"/>
      <w:r>
        <w:t>Randomized controlled trials</w:t>
      </w:r>
      <w:bookmarkEnd w:id="257"/>
      <w:bookmarkEnd w:id="258"/>
      <w:bookmarkEnd w:id="259"/>
      <w:bookmarkEnd w:id="260"/>
      <w:bookmarkEnd w:id="261"/>
      <w:bookmarkEnd w:id="262"/>
      <w:r>
        <w:t xml:space="preserve"> </w:t>
      </w:r>
    </w:p>
    <w:p w14:paraId="101D0C39" w14:textId="24FC70D5" w:rsidR="00D77062" w:rsidRDefault="00D77062" w:rsidP="00D77062">
      <w:pPr>
        <w:pStyle w:val="BodyText"/>
      </w:pPr>
      <w:r>
        <w:tab/>
        <w:t>One RCT (</w:t>
      </w:r>
      <w:r w:rsidR="008E505A">
        <w:t xml:space="preserve">one </w:t>
      </w:r>
      <w:r>
        <w:t>paper): Hofvind et al., 2019</w:t>
      </w:r>
    </w:p>
    <w:p w14:paraId="456AB049" w14:textId="77777777" w:rsidR="00D77062" w:rsidRPr="00623971" w:rsidRDefault="00D77062" w:rsidP="00D77062">
      <w:pPr>
        <w:pStyle w:val="BodyText"/>
        <w:ind w:left="720"/>
      </w:pPr>
      <w:r>
        <w:t>One randomized study embedded in a population screening program: Pattacini et al., 2018</w:t>
      </w:r>
    </w:p>
    <w:p w14:paraId="28F9C899" w14:textId="77777777" w:rsidR="00D77062" w:rsidRDefault="00D77062" w:rsidP="00D77062">
      <w:pPr>
        <w:pStyle w:val="Heading3"/>
        <w:ind w:left="720"/>
      </w:pPr>
      <w:bookmarkStart w:id="263" w:name="_Toc27477594"/>
      <w:bookmarkStart w:id="264" w:name="_Toc27665727"/>
      <w:bookmarkStart w:id="265" w:name="_Toc27844506"/>
      <w:bookmarkStart w:id="266" w:name="_Toc27859636"/>
      <w:bookmarkStart w:id="267" w:name="_Toc27904751"/>
      <w:bookmarkStart w:id="268" w:name="_Toc43376302"/>
      <w:r>
        <w:lastRenderedPageBreak/>
        <w:t>Prospective studies embedded in population screening programs</w:t>
      </w:r>
      <w:bookmarkEnd w:id="263"/>
      <w:bookmarkEnd w:id="264"/>
      <w:bookmarkEnd w:id="265"/>
      <w:bookmarkEnd w:id="266"/>
      <w:bookmarkEnd w:id="267"/>
      <w:bookmarkEnd w:id="268"/>
    </w:p>
    <w:p w14:paraId="11915486" w14:textId="5AEA1EBD" w:rsidR="00D77062" w:rsidRPr="00623971" w:rsidRDefault="005866B2" w:rsidP="00D77062">
      <w:pPr>
        <w:pStyle w:val="BodyText"/>
        <w:ind w:left="720"/>
      </w:pPr>
      <w:r>
        <w:t>Seven studies (e</w:t>
      </w:r>
      <w:r w:rsidR="006D0905">
        <w:t xml:space="preserve">ight </w:t>
      </w:r>
      <w:r>
        <w:t>papers)</w:t>
      </w:r>
      <w:r w:rsidR="00D77062">
        <w:t xml:space="preserve">: Bernardi et al., 2019; Houssami et al., 2019; </w:t>
      </w:r>
      <w:r w:rsidR="006D0905">
        <w:t xml:space="preserve">Johnson et al., 2019; </w:t>
      </w:r>
      <w:r w:rsidR="00D77062">
        <w:t>Caumo et al., 2018;</w:t>
      </w:r>
      <w:r w:rsidR="00D77062" w:rsidRPr="00816932">
        <w:t xml:space="preserve"> </w:t>
      </w:r>
      <w:r w:rsidR="00D77062">
        <w:t>Hofvind et al., 2018; Romero Martín et al., 2018; Skaane et al., 2018; Zackrisson et al., 2018</w:t>
      </w:r>
    </w:p>
    <w:p w14:paraId="0F646256" w14:textId="77777777" w:rsidR="00D77062" w:rsidRDefault="00D77062" w:rsidP="00D77062">
      <w:pPr>
        <w:pStyle w:val="Heading3"/>
        <w:ind w:firstLine="720"/>
      </w:pPr>
      <w:bookmarkStart w:id="269" w:name="_Toc27477595"/>
      <w:bookmarkStart w:id="270" w:name="_Toc27665728"/>
      <w:bookmarkStart w:id="271" w:name="_Toc27844507"/>
      <w:bookmarkStart w:id="272" w:name="_Toc27859637"/>
      <w:bookmarkStart w:id="273" w:name="_Toc27904752"/>
      <w:bookmarkStart w:id="274" w:name="_Toc43376303"/>
      <w:r>
        <w:t>Observational studies</w:t>
      </w:r>
      <w:bookmarkEnd w:id="269"/>
      <w:bookmarkEnd w:id="270"/>
      <w:bookmarkEnd w:id="271"/>
      <w:bookmarkEnd w:id="272"/>
      <w:bookmarkEnd w:id="273"/>
      <w:bookmarkEnd w:id="274"/>
    </w:p>
    <w:p w14:paraId="191D45ED" w14:textId="48B5F3CC" w:rsidR="00D77062" w:rsidRDefault="006D0905" w:rsidP="00D77062">
      <w:pPr>
        <w:pStyle w:val="BodyText"/>
        <w:ind w:left="720"/>
      </w:pPr>
      <w:r>
        <w:t>Six s</w:t>
      </w:r>
      <w:r w:rsidR="00D77062">
        <w:t>tudies with a retrospective design: Bahl et al., 2019; Conant et al., 2019; Dang et al., 2019; Fuiji et al., 2019; Hovda et al., 2019; Rose &amp; Shisler 2018</w:t>
      </w:r>
    </w:p>
    <w:p w14:paraId="5AF3E6DF"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A235D7">
        <w:rPr>
          <w:b/>
          <w:bCs/>
        </w:rPr>
        <w:t>Summary of key findings published between 1 January 2018 and 31 December 2019</w:t>
      </w:r>
    </w:p>
    <w:p w14:paraId="59ECEC2D"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Overall, use of DBT appears to detect more invasive disease than FFDM (including when DBT is used in combination with FFDM or s2DM or if DBT</w:t>
      </w:r>
      <w:r>
        <w:rPr>
          <w:vertAlign w:val="subscript"/>
        </w:rPr>
        <w:t>MLO</w:t>
      </w:r>
      <w:r>
        <w:t xml:space="preserve"> is used alone). Evidence describing whether DBT detects more DCIS is inconsistent: most study results achieving statistical significance suggested that more DCIS is detected with DBT, but more studies suggest there is no increase or less detection with DCIS. More research is needed to fully unpick these results. It is also clear that DBT+s2DM does not result in less detection of either invasive cancers or DCIS (i.e., s2DM can probably be used instead of FFDM, reducing radiation dose).</w:t>
      </w:r>
    </w:p>
    <w:p w14:paraId="712D5B27"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Information relating to molecular subtype, grade, size and lymph node status is also important in assessing whether cancers detected are clinically significant. While data was grouped in different bands making it difficult to fully assess this relationship, there is sufficient evidence to suggest that cancers detected with DBT are likely to be slightly smaller, lower grade and node-negative (i.e., potentially earlier stage cancer) than those detected with FFDM. Most studies reported no or only small differences in the proportion of node negative and node positive disease, regardless of the imaging used (i.e., DBT+s2DM, FFDM+DBT or DBT</w:t>
      </w:r>
      <w:r>
        <w:rPr>
          <w:vertAlign w:val="subscript"/>
        </w:rPr>
        <w:t>MLO</w:t>
      </w:r>
      <w:r>
        <w:t xml:space="preserve">). If there was a difference, it usually favoured the DBT imaging arm (i.e., DBT detected more node-negative disease). Mixed results were also presented for grade, with some studies suggesting that DBT detected more low-grade cancers compared to those detected with FFDM. </w:t>
      </w:r>
    </w:p>
    <w:p w14:paraId="740EDB14"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Pr>
          <w:lang w:eastAsia="en-NZ"/>
        </w:rPr>
        <w:t xml:space="preserve">Generally, it appears that the cancers detected by DBT are similar in terms of histological type to those detected with FFDM (although more cancers presenting as spiculated masses and architectural distortion are detected with DBT). </w:t>
      </w:r>
      <w:r>
        <w:t xml:space="preserve">Across all studies (regardless of the way DBT was used), increases in IDC were usually observed with the use of DBT. Mixed results were presented for ILC, with some studies demonstrating a statistically significant increase in ILC detection with FFDM, but others noting an increase in ILC detection when DBT was used (including results from the Malmö trial). Mixed results were also presented about </w:t>
      </w:r>
      <w:r>
        <w:rPr>
          <w:lang w:eastAsia="en-NZ"/>
        </w:rPr>
        <w:t>molecular subtype. Some studies (including Hofvind et al.’s 2018 and Hovda et al.’s 2019 analysis of data from the Norway BreastScreen Program and baseline data from Pattacini et al.’s 2018 RCT) showed an increase in cancers with a molecular profile more favourable to good prognosis (i.e., more Luminal A cancers, more Luminal B Her-2 negative cancers and more cancers with Ki67%</w:t>
      </w:r>
      <w:r>
        <w:rPr>
          <w:u w:val="single"/>
          <w:lang w:eastAsia="en-NZ"/>
        </w:rPr>
        <w:t>&lt;</w:t>
      </w:r>
      <w:r w:rsidRPr="00DA1B34">
        <w:rPr>
          <w:lang w:eastAsia="en-NZ"/>
        </w:rPr>
        <w:t>20</w:t>
      </w:r>
      <w:r>
        <w:rPr>
          <w:lang w:eastAsia="en-NZ"/>
        </w:rPr>
        <w:t xml:space="preserve">). Others, including data from the To-Be-1 RCT and the Malmö trial showed no significant differences in molecular subtype or receptor status. </w:t>
      </w:r>
    </w:p>
    <w:p w14:paraId="0756BE44" w14:textId="78F78E77" w:rsidR="000942E7" w:rsidRPr="000C0773"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Pr>
          <w:lang w:eastAsia="en-NZ"/>
        </w:rPr>
        <w:t xml:space="preserve">Some of these differences may be due to insufficient powering, descriptive rather than comparative analysis, or the way that cancers are grouped according to the imaging in which they were detected. There is not yet sufficient evidence to determine if additional cancers detected with DBT alone are more aggressive ‘killing’ cancers, if they are comparable to the types of cancers </w:t>
      </w:r>
      <w:r>
        <w:rPr>
          <w:lang w:eastAsia="en-NZ"/>
        </w:rPr>
        <w:lastRenderedPageBreak/>
        <w:t>detected with FFDM (but more are detected) or if additional cancers detected may add to the overdiagnosis burden; however, there is accumulating evidence that use of DBT does not contribute to an increase in detection of DCIS (although it could still contribute to overdiagnosis through the detection of less aggressive cancers like Luminal A cancer).</w:t>
      </w:r>
    </w:p>
    <w:p w14:paraId="2551F24E" w14:textId="4CE23A90" w:rsidR="00CA3071" w:rsidRDefault="002239AE" w:rsidP="00E472B8">
      <w:pPr>
        <w:pStyle w:val="NumberedHeading3"/>
      </w:pPr>
      <w:bookmarkStart w:id="275" w:name="_Toc43376304"/>
      <w:r>
        <w:t xml:space="preserve">Histological </w:t>
      </w:r>
      <w:r w:rsidR="00201646">
        <w:t>type</w:t>
      </w:r>
      <w:bookmarkEnd w:id="275"/>
    </w:p>
    <w:p w14:paraId="3ADFCFB4" w14:textId="36A15F3D" w:rsidR="00DB2501" w:rsidRDefault="006C70ED" w:rsidP="006C70ED">
      <w:pPr>
        <w:pStyle w:val="BodyText"/>
      </w:pPr>
      <w:r w:rsidRPr="00566354">
        <w:t xml:space="preserve">Invasive cancer detection rate refers to the total number of invasive cancers that can be identified using a specific imaging technique(s). </w:t>
      </w:r>
      <w:r w:rsidR="00DB2501">
        <w:t>In the literature, most studies only distinguished between invasive cancers and DCIS, although some data from the prospective studies embedded in population-based screening programs also talked about specific histological types like invasive ductal carcinoma (IDC), invasive lobular carcinoma (ILC) and other special</w:t>
      </w:r>
      <w:r w:rsidR="00E24D85">
        <w:t>-type</w:t>
      </w:r>
      <w:r w:rsidR="00DB2501">
        <w:t xml:space="preserve"> cancers like papillary, tubal and mucinous carcinomas (see </w:t>
      </w:r>
      <w:r w:rsidR="00DB2501">
        <w:rPr>
          <w:i/>
          <w:iCs/>
        </w:rPr>
        <w:t>Table</w:t>
      </w:r>
      <w:r w:rsidR="006557B2">
        <w:rPr>
          <w:i/>
          <w:iCs/>
        </w:rPr>
        <w:t>s</w:t>
      </w:r>
      <w:r w:rsidR="00DB2501">
        <w:rPr>
          <w:i/>
          <w:iCs/>
        </w:rPr>
        <w:t xml:space="preserve"> </w:t>
      </w:r>
      <w:r w:rsidR="00C124D2">
        <w:rPr>
          <w:i/>
          <w:iCs/>
        </w:rPr>
        <w:t>9</w:t>
      </w:r>
      <w:r w:rsidR="006557B2">
        <w:rPr>
          <w:i/>
          <w:iCs/>
        </w:rPr>
        <w:t>a</w:t>
      </w:r>
      <w:r w:rsidR="00C124D2">
        <w:rPr>
          <w:i/>
          <w:iCs/>
        </w:rPr>
        <w:t xml:space="preserve"> </w:t>
      </w:r>
      <w:r w:rsidR="006557B2">
        <w:t xml:space="preserve">to </w:t>
      </w:r>
      <w:r w:rsidR="006557B2">
        <w:rPr>
          <w:i/>
          <w:iCs/>
        </w:rPr>
        <w:t xml:space="preserve">9c </w:t>
      </w:r>
      <w:r w:rsidR="00AD6615">
        <w:t xml:space="preserve">for overall data on invasive CDR by imaging protocol and study, and </w:t>
      </w:r>
      <w:r w:rsidR="00AD6615">
        <w:rPr>
          <w:i/>
          <w:iCs/>
        </w:rPr>
        <w:t xml:space="preserve">Table </w:t>
      </w:r>
      <w:r w:rsidR="00C124D2">
        <w:rPr>
          <w:i/>
          <w:iCs/>
        </w:rPr>
        <w:t xml:space="preserve">10 </w:t>
      </w:r>
      <w:r w:rsidR="00AD6615">
        <w:t>for information about specific histological type</w:t>
      </w:r>
      <w:r w:rsidR="00E24D85">
        <w:t xml:space="preserve"> where this was reported</w:t>
      </w:r>
      <w:r w:rsidR="00DB2501">
        <w:t>). This additional detail is important as some types of cancer have a worse prognosis than others</w:t>
      </w:r>
      <w:r w:rsidR="00C86D05">
        <w:t>,</w:t>
      </w:r>
      <w:r w:rsidR="00DB2501">
        <w:t xml:space="preserve"> and earlier detection </w:t>
      </w:r>
      <w:r w:rsidR="00C86D05">
        <w:t xml:space="preserve">of these ‘killing’ cancers </w:t>
      </w:r>
      <w:r w:rsidR="00DB2501">
        <w:t xml:space="preserve">may result </w:t>
      </w:r>
      <w:r w:rsidR="00C86D05">
        <w:t xml:space="preserve">more treatment options for the women and a commensurate </w:t>
      </w:r>
      <w:r w:rsidR="00DB2501">
        <w:t>reduction</w:t>
      </w:r>
      <w:r w:rsidR="00C86D05">
        <w:t xml:space="preserve"> in mortality for the program</w:t>
      </w:r>
      <w:r w:rsidR="00DB2501">
        <w:t>.</w:t>
      </w:r>
    </w:p>
    <w:p w14:paraId="110F4665" w14:textId="6807A7BF" w:rsidR="006A4B82" w:rsidRDefault="006A4B82" w:rsidP="006C70ED">
      <w:pPr>
        <w:pStyle w:val="BodyText"/>
      </w:pPr>
      <w:r>
        <w:t>Across all studies (regardless of the way DBT was used), increases in IDC were usually observed with the use of DBT. Mixed results were presented for ILC, with some studies demonstrating a statistically significant increase in ILC detection with FFDM, but others noting an increase in ILC detection when was DBT used (including results from the Malmö trial).</w:t>
      </w:r>
    </w:p>
    <w:p w14:paraId="1A7CABAD" w14:textId="10DC26FF" w:rsidR="00DB2501" w:rsidRPr="00DB2501" w:rsidRDefault="00DB2501" w:rsidP="00604FE1">
      <w:pPr>
        <w:pStyle w:val="Heading3"/>
      </w:pPr>
      <w:bookmarkStart w:id="276" w:name="_Toc27477597"/>
      <w:bookmarkStart w:id="277" w:name="_Toc27665730"/>
      <w:bookmarkStart w:id="278" w:name="_Toc27844509"/>
      <w:bookmarkStart w:id="279" w:name="_Toc27859639"/>
      <w:bookmarkStart w:id="280" w:name="_Toc27904754"/>
      <w:bookmarkStart w:id="281" w:name="_Toc43376305"/>
      <w:r w:rsidRPr="00DB2501">
        <w:t>DBT+</w:t>
      </w:r>
      <w:r w:rsidR="00176980">
        <w:t>s2DM</w:t>
      </w:r>
      <w:r w:rsidRPr="00DB2501">
        <w:t xml:space="preserve"> compared to FFDM alone</w:t>
      </w:r>
      <w:bookmarkEnd w:id="276"/>
      <w:bookmarkEnd w:id="277"/>
      <w:bookmarkEnd w:id="278"/>
      <w:bookmarkEnd w:id="279"/>
      <w:bookmarkEnd w:id="280"/>
      <w:bookmarkEnd w:id="281"/>
    </w:p>
    <w:p w14:paraId="1EDEC8C2" w14:textId="5758D133" w:rsidR="009A4306" w:rsidRDefault="009A4306" w:rsidP="009A4306">
      <w:pPr>
        <w:pStyle w:val="BodyText"/>
      </w:pPr>
      <w:r>
        <w:t>Most population-based studies embedded in screening programs reported that use of DBT+</w:t>
      </w:r>
      <w:r w:rsidR="00176980">
        <w:t>s2DM</w:t>
      </w:r>
      <w:r>
        <w:t xml:space="preserve"> </w:t>
      </w:r>
      <w:r w:rsidR="008527B8">
        <w:t xml:space="preserve">detected more </w:t>
      </w:r>
      <w:r>
        <w:t xml:space="preserve">invasive cancers </w:t>
      </w:r>
      <w:r w:rsidR="008527B8">
        <w:t xml:space="preserve">and the same amount or less DCIS compared to cancers detected in the FFDM arm </w:t>
      </w:r>
      <w:r w:rsidR="00D6491C">
        <w:t>(</w:t>
      </w:r>
      <w:r w:rsidR="008527B8">
        <w:t xml:space="preserve">Bernardi et al., 2019; Caumo et al., 2018; </w:t>
      </w:r>
      <w:r w:rsidR="00D6491C">
        <w:t>Romero Martín et al., 2018)</w:t>
      </w:r>
      <w:r>
        <w:t xml:space="preserve">. </w:t>
      </w:r>
      <w:r w:rsidR="00D6491C">
        <w:t>Some studies reported an increase in DCIS detected as well when DBT+</w:t>
      </w:r>
      <w:r w:rsidR="00176980">
        <w:t>s2DM</w:t>
      </w:r>
      <w:r w:rsidR="00D6491C">
        <w:t xml:space="preserve"> was used (Houssami et al., 2019</w:t>
      </w:r>
      <w:r w:rsidR="008527B8">
        <w:t>; Hofvind et al., 2018</w:t>
      </w:r>
      <w:r w:rsidR="00D6491C">
        <w:t>)</w:t>
      </w:r>
      <w:r w:rsidR="00A02BFF">
        <w:t xml:space="preserve">. </w:t>
      </w:r>
      <w:r>
        <w:t xml:space="preserve">Increased detection of invasive cancers is consistent with </w:t>
      </w:r>
      <w:r>
        <w:rPr>
          <w:i/>
          <w:iCs/>
        </w:rPr>
        <w:t>Allen + Clarke</w:t>
      </w:r>
      <w:r>
        <w:t>’s</w:t>
      </w:r>
      <w:r>
        <w:rPr>
          <w:i/>
          <w:iCs/>
        </w:rPr>
        <w:t xml:space="preserve"> </w:t>
      </w:r>
      <w:r>
        <w:t>previous two literature reviews; however, some studies still reported inconsistent results</w:t>
      </w:r>
      <w:r w:rsidR="00D6491C">
        <w:t xml:space="preserve"> (including results from the </w:t>
      </w:r>
      <w:r w:rsidR="00815FC2">
        <w:t>To-Be-1</w:t>
      </w:r>
      <w:r w:rsidR="00D6491C">
        <w:t xml:space="preserve"> RCT</w:t>
      </w:r>
      <w:r w:rsidR="005B56EF">
        <w:t xml:space="preserve"> which showed no statistically significant increases</w:t>
      </w:r>
      <w:r w:rsidR="00D6491C">
        <w:t>)</w:t>
      </w:r>
      <w:r>
        <w:t xml:space="preserve">. It is also important to understand whether the increase in invasive cancers represented an increase in those with a more aggressive or worse prognosis. Information relating to molecular subtype, grade, size and lymph node status is also important. </w:t>
      </w:r>
    </w:p>
    <w:p w14:paraId="1FF46310" w14:textId="60387391" w:rsidR="009A4306" w:rsidRPr="009A4306" w:rsidRDefault="009A4306" w:rsidP="009A4306">
      <w:pPr>
        <w:pStyle w:val="BodyText-GREEN"/>
        <w:rPr>
          <w:b/>
          <w:bCs/>
        </w:rPr>
      </w:pPr>
      <w:r w:rsidRPr="009A4306">
        <w:rPr>
          <w:b/>
          <w:bCs/>
        </w:rPr>
        <w:t>RCT</w:t>
      </w:r>
    </w:p>
    <w:p w14:paraId="2BC3E920" w14:textId="6ADB4758" w:rsidR="009A4306" w:rsidRDefault="009A4306" w:rsidP="009A4306">
      <w:pPr>
        <w:pStyle w:val="BodyText"/>
      </w:pPr>
      <w:r>
        <w:t xml:space="preserve">The </w:t>
      </w:r>
      <w:r w:rsidR="00815FC2">
        <w:t>To-Be-1</w:t>
      </w:r>
      <w:r>
        <w:t xml:space="preserve"> RCT (which compared DBT+</w:t>
      </w:r>
      <w:r w:rsidR="00176980">
        <w:t>s2DM</w:t>
      </w:r>
      <w:r>
        <w:t xml:space="preserve"> to FFDM alone) reported</w:t>
      </w:r>
      <w:r w:rsidR="0040689E">
        <w:t xml:space="preserve"> a</w:t>
      </w:r>
      <w:r>
        <w:t xml:space="preserve"> non-significant increase in invasive CDR</w:t>
      </w:r>
      <w:r w:rsidR="00D7125F">
        <w:t xml:space="preserve"> (</w:t>
      </w:r>
      <w:r w:rsidR="005B56EF">
        <w:t>DBT+</w:t>
      </w:r>
      <w:r w:rsidR="00176980">
        <w:t>s2DM</w:t>
      </w:r>
      <w:r w:rsidR="005B56EF">
        <w:t xml:space="preserve"> detected </w:t>
      </w:r>
      <w:r w:rsidR="00D7125F">
        <w:t xml:space="preserve">5.6 </w:t>
      </w:r>
      <w:r w:rsidR="005B56EF">
        <w:t xml:space="preserve">invasive </w:t>
      </w:r>
      <w:r w:rsidR="00D7125F">
        <w:t>cancers per 1000 screening examinations</w:t>
      </w:r>
      <w:r w:rsidR="005B56EF">
        <w:t>; FFDM detected 4.9 cancers per 1000 screening examination</w:t>
      </w:r>
      <w:r w:rsidR="00D7125F">
        <w:t>)</w:t>
      </w:r>
      <w:r>
        <w:t xml:space="preserve"> and DCIS </w:t>
      </w:r>
      <w:r w:rsidR="00D7125F">
        <w:t>CDR (</w:t>
      </w:r>
      <w:r w:rsidR="00BE3697">
        <w:t>DBT+</w:t>
      </w:r>
      <w:r w:rsidR="00176980">
        <w:t>s2DM</w:t>
      </w:r>
      <w:r w:rsidR="00BE3697">
        <w:t xml:space="preserve"> detected 5.6 </w:t>
      </w:r>
      <w:r w:rsidR="0040689E">
        <w:t>DCIS</w:t>
      </w:r>
      <w:r w:rsidR="00BE3697">
        <w:t xml:space="preserve"> per 1000 screening examinations; FFDM detected 4.9 </w:t>
      </w:r>
      <w:r w:rsidR="0040689E">
        <w:t xml:space="preserve">DCIS </w:t>
      </w:r>
      <w:r w:rsidR="00BE3697">
        <w:t>per 1000 screening examination</w:t>
      </w:r>
      <w:r w:rsidR="00D7125F">
        <w:t>). N</w:t>
      </w:r>
      <w:r>
        <w:t xml:space="preserve">o differences </w:t>
      </w:r>
      <w:r w:rsidR="002603C7">
        <w:t xml:space="preserve">were observed </w:t>
      </w:r>
      <w:r>
        <w:t xml:space="preserve">by cancer type or molecular subtype, grade, mean tumour size or lymph node status between cancers detected with the DBT </w:t>
      </w:r>
      <w:r w:rsidR="002603C7">
        <w:t xml:space="preserve">or FFDM arms </w:t>
      </w:r>
      <w:r>
        <w:t xml:space="preserve">(Hofvind et al., 2019). Hofvind et al.’s paper was also the only </w:t>
      </w:r>
      <w:r w:rsidR="00C124D2">
        <w:t xml:space="preserve">prospective study </w:t>
      </w:r>
      <w:r>
        <w:t>to separately report on DCIS size and grade, but they did not report any significant differences in size (although 50 percent of the DCIS detected with DBT+</w:t>
      </w:r>
      <w:r w:rsidR="00176980">
        <w:t>s2DM</w:t>
      </w:r>
      <w:r>
        <w:t xml:space="preserve"> was </w:t>
      </w:r>
      <w:r>
        <w:rPr>
          <w:u w:val="single"/>
        </w:rPr>
        <w:t>&gt;</w:t>
      </w:r>
      <w:r>
        <w:t xml:space="preserve">20mm compared to 76.9 percent of the DCIS detected with FFDM, which suggested that the DBT arm may detect more smaller DCIS). </w:t>
      </w:r>
    </w:p>
    <w:p w14:paraId="70761326" w14:textId="77777777" w:rsidR="0007628E" w:rsidRDefault="0007628E" w:rsidP="009A4306">
      <w:pPr>
        <w:pStyle w:val="BodyText-GREEN"/>
        <w:rPr>
          <w:b/>
          <w:bCs/>
        </w:rPr>
      </w:pPr>
    </w:p>
    <w:p w14:paraId="193FCDB3" w14:textId="634F3376" w:rsidR="009A4306" w:rsidRPr="004F0D75" w:rsidRDefault="009A4306" w:rsidP="009A4306">
      <w:pPr>
        <w:pStyle w:val="BodyText-GREEN"/>
        <w:rPr>
          <w:b/>
          <w:bCs/>
        </w:rPr>
      </w:pPr>
      <w:r w:rsidRPr="004F0D75">
        <w:rPr>
          <w:b/>
          <w:bCs/>
        </w:rPr>
        <w:lastRenderedPageBreak/>
        <w:t>Prospective studies embedded in screening programs</w:t>
      </w:r>
    </w:p>
    <w:p w14:paraId="753F7784" w14:textId="3FC30499" w:rsidR="00604FE1" w:rsidRDefault="00604FE1" w:rsidP="00604FE1">
      <w:pPr>
        <w:pStyle w:val="BodyText"/>
      </w:pPr>
      <w:r>
        <w:t>Summaries of the main trials/evaluations set in population-based screening programs are summarised below:</w:t>
      </w:r>
    </w:p>
    <w:p w14:paraId="0C064733" w14:textId="15F6DF38" w:rsidR="00AD6615" w:rsidRDefault="00AD6615" w:rsidP="00DB2501">
      <w:pPr>
        <w:pStyle w:val="List-BulletLvl1"/>
      </w:pPr>
      <w:r>
        <w:t xml:space="preserve">Cordoba (Romero Martín et al., 2018): </w:t>
      </w:r>
      <w:r w:rsidR="00911379">
        <w:t xml:space="preserve">use of </w:t>
      </w:r>
      <w:r>
        <w:t>DBT+</w:t>
      </w:r>
      <w:r w:rsidR="00176980">
        <w:t>s2DM</w:t>
      </w:r>
      <w:r>
        <w:t xml:space="preserve"> </w:t>
      </w:r>
      <w:r w:rsidR="00911379">
        <w:t xml:space="preserve">resulted in a statistically significant </w:t>
      </w:r>
      <w:r>
        <w:t>increase</w:t>
      </w:r>
      <w:r w:rsidR="00911379">
        <w:t xml:space="preserve"> in the</w:t>
      </w:r>
      <w:r>
        <w:t xml:space="preserve"> detection of invasive cancers, most of which were low-grade cancers </w:t>
      </w:r>
      <w:r>
        <w:rPr>
          <w:u w:val="single"/>
        </w:rPr>
        <w:t>&lt;</w:t>
      </w:r>
      <w:r>
        <w:t>1</w:t>
      </w:r>
      <w:r w:rsidR="00911379">
        <w:t>0</w:t>
      </w:r>
      <w:r>
        <w:t>mm with statistically significant increases in IDC</w:t>
      </w:r>
      <w:r w:rsidR="00911379">
        <w:t xml:space="preserve"> detection</w:t>
      </w:r>
      <w:r>
        <w:t xml:space="preserve"> (but not other cancer types</w:t>
      </w:r>
      <w:r w:rsidR="00911379">
        <w:t xml:space="preserve"> and </w:t>
      </w:r>
      <w:r>
        <w:t>no molecular subtyping provided) and no</w:t>
      </w:r>
      <w:r w:rsidR="00911379">
        <w:t xml:space="preserve"> statistically significant </w:t>
      </w:r>
      <w:r>
        <w:t>increase in detection of DCIS.</w:t>
      </w:r>
    </w:p>
    <w:p w14:paraId="03CE48C9" w14:textId="77332AE3" w:rsidR="00911379" w:rsidRDefault="0041539B" w:rsidP="002C6611">
      <w:pPr>
        <w:pStyle w:val="List-BulletLvl1"/>
      </w:pPr>
      <w:r>
        <w:t>Maroondah (Houssami et al., 2019): using DBT+</w:t>
      </w:r>
      <w:r w:rsidR="00176980">
        <w:t>s2DM</w:t>
      </w:r>
      <w:r>
        <w:t xml:space="preserve"> resulted in the detection of more low-grade</w:t>
      </w:r>
      <w:r w:rsidR="00CD135E">
        <w:t>, node negative</w:t>
      </w:r>
      <w:r>
        <w:t xml:space="preserve"> invasive cancers (especially IDC and special-type cancers and HER-2 positive cancers) and low to intermediate grade DCIS compared to FFDM alone but no statistical analysis was completed</w:t>
      </w:r>
      <w:r w:rsidR="00D6491C">
        <w:t xml:space="preserve"> due to the small number of cancers (n=49 detected in the DBT arm and 34 in the FFDM alone arm)</w:t>
      </w:r>
      <w:r>
        <w:t xml:space="preserve">. </w:t>
      </w:r>
    </w:p>
    <w:p w14:paraId="237BE839" w14:textId="77777777" w:rsidR="00A43F3E" w:rsidRDefault="00DB2501" w:rsidP="00DB2501">
      <w:pPr>
        <w:pStyle w:val="List-BulletLvl1"/>
      </w:pPr>
      <w:r>
        <w:t>Norway BreastScreen Program analysis</w:t>
      </w:r>
      <w:r w:rsidR="00A43F3E">
        <w:t>:</w:t>
      </w:r>
    </w:p>
    <w:p w14:paraId="453D900A" w14:textId="35EE33C1" w:rsidR="00DB2501" w:rsidRDefault="00DB2501" w:rsidP="00A43F3E">
      <w:pPr>
        <w:pStyle w:val="List-BulletLvl2"/>
      </w:pPr>
      <w:r>
        <w:t>Hofvind et al.</w:t>
      </w:r>
      <w:r w:rsidR="006D0905">
        <w:t xml:space="preserve"> (</w:t>
      </w:r>
      <w:r>
        <w:t xml:space="preserve">2018): more grade </w:t>
      </w:r>
      <w:r w:rsidR="0058627F">
        <w:t xml:space="preserve">1 </w:t>
      </w:r>
      <w:r>
        <w:t xml:space="preserve">invasive cancers </w:t>
      </w:r>
      <w:r>
        <w:rPr>
          <w:u w:val="single"/>
        </w:rPr>
        <w:t>&lt;</w:t>
      </w:r>
      <w:r>
        <w:t>10mm (including statistically significant increases in IDC and some special cancers like tubular cancers) and an increase in all molecular subtypes with use of DBT (including subtypes that have a good prognosis or which may not become clinically significant in a woman’s lifetime) and increased DCIS detection</w:t>
      </w:r>
      <w:r w:rsidR="00E24D85">
        <w:t>.</w:t>
      </w:r>
    </w:p>
    <w:p w14:paraId="6A3B217D" w14:textId="4869F676" w:rsidR="006B1F48" w:rsidRDefault="006B1F48" w:rsidP="006B1F48">
      <w:pPr>
        <w:pStyle w:val="List-BulletLvl2"/>
      </w:pPr>
      <w:r>
        <w:t>Hovda et al. (2019): their retrospective analysis reported non-significant but higher rates of invasive cancers detected with DBT</w:t>
      </w:r>
      <w:r w:rsidR="00D05C0E">
        <w:t>+</w:t>
      </w:r>
      <w:r w:rsidR="00176980">
        <w:t>s2DM</w:t>
      </w:r>
      <w:r>
        <w:t xml:space="preserve"> compared to FFDM. This included more small (</w:t>
      </w:r>
      <w:r>
        <w:rPr>
          <w:u w:val="single"/>
        </w:rPr>
        <w:t>&lt;</w:t>
      </w:r>
      <w:r>
        <w:t>20mm), grade 1 and grade 2 invasive cancers (&lt;20mm), including cancers with a molecular subtype with good prognosis (Luminal A, Luminal B HER-2 negative for women undergoing DBT+</w:t>
      </w:r>
      <w:r w:rsidR="00176980">
        <w:t>s2DM</w:t>
      </w:r>
      <w:r>
        <w:t xml:space="preserve"> after an earlier FFDM screen) (i.e., cancers that may progress clinically are being detected earlier with the use of DBT), and</w:t>
      </w:r>
    </w:p>
    <w:p w14:paraId="7ADA27E0" w14:textId="1D5F1E01" w:rsidR="00E24D85" w:rsidRDefault="00E24D85" w:rsidP="00E24D85">
      <w:pPr>
        <w:pStyle w:val="List-BulletLvl1"/>
      </w:pPr>
      <w:r>
        <w:t>Trento (Bernardi et al., 2019): DBT+</w:t>
      </w:r>
      <w:r w:rsidR="00176980">
        <w:t>s2DM</w:t>
      </w:r>
      <w:r w:rsidR="00911379">
        <w:t xml:space="preserve"> </w:t>
      </w:r>
      <w:r>
        <w:t>detected</w:t>
      </w:r>
      <w:r w:rsidR="00911379">
        <w:t xml:space="preserve"> </w:t>
      </w:r>
      <w:r w:rsidR="00C876A6">
        <w:t xml:space="preserve">slightly more </w:t>
      </w:r>
      <w:r w:rsidR="00911379">
        <w:t>Grade 1</w:t>
      </w:r>
      <w:r>
        <w:t xml:space="preserve">, </w:t>
      </w:r>
      <w:r w:rsidR="00911379">
        <w:t xml:space="preserve">node negative, </w:t>
      </w:r>
      <w:r>
        <w:t xml:space="preserve">stage 1 and 2 invasive cancers </w:t>
      </w:r>
      <w:r w:rsidR="00911379">
        <w:t xml:space="preserve">(particularly those </w:t>
      </w:r>
      <w:r w:rsidR="00911379">
        <w:rPr>
          <w:u w:val="single"/>
        </w:rPr>
        <w:t>&lt;</w:t>
      </w:r>
      <w:r w:rsidR="00911379">
        <w:t xml:space="preserve">10mm and stage I and II) </w:t>
      </w:r>
      <w:r>
        <w:t>compared to FFDM alone without an increase in DCIS detection.</w:t>
      </w:r>
    </w:p>
    <w:p w14:paraId="7D4C8012" w14:textId="0685975F" w:rsidR="00E24D85" w:rsidRDefault="000D2833" w:rsidP="00DB2501">
      <w:pPr>
        <w:pStyle w:val="List-BulletLvl1"/>
      </w:pPr>
      <w:r>
        <w:t>Verona</w:t>
      </w:r>
      <w:r w:rsidR="0004229B">
        <w:t xml:space="preserve"> (Caumo et al., 2018)</w:t>
      </w:r>
      <w:r>
        <w:t>:</w:t>
      </w:r>
      <w:r w:rsidR="0004229B">
        <w:t xml:space="preserve"> DBT+</w:t>
      </w:r>
      <w:r w:rsidR="00176980">
        <w:t>s2DM</w:t>
      </w:r>
      <w:r w:rsidR="0004229B">
        <w:t xml:space="preserve"> detected more smaller invasive cancers (mean=15.1mm compared to 18.6mm), less pT2+ cancers, and less DCIS compared to FFDM alone but statistical significance was not achieved for many of these cancer characteristics (including the staging findings).</w:t>
      </w:r>
    </w:p>
    <w:p w14:paraId="5F00F2AF" w14:textId="3A6EC94A" w:rsidR="00DB2501" w:rsidRDefault="00DB2501" w:rsidP="00604FE1">
      <w:pPr>
        <w:pStyle w:val="Heading3"/>
      </w:pPr>
      <w:bookmarkStart w:id="282" w:name="_Toc27477598"/>
      <w:bookmarkStart w:id="283" w:name="_Toc27665731"/>
      <w:bookmarkStart w:id="284" w:name="_Toc27844510"/>
      <w:bookmarkStart w:id="285" w:name="_Toc27859640"/>
      <w:bookmarkStart w:id="286" w:name="_Toc27904755"/>
      <w:bookmarkStart w:id="287" w:name="_Toc43376306"/>
      <w:r w:rsidRPr="00E24D85">
        <w:t>FFDM+DBT compared to FFDM alone</w:t>
      </w:r>
      <w:bookmarkEnd w:id="282"/>
      <w:bookmarkEnd w:id="283"/>
      <w:bookmarkEnd w:id="284"/>
      <w:bookmarkEnd w:id="285"/>
      <w:bookmarkEnd w:id="286"/>
      <w:bookmarkEnd w:id="287"/>
    </w:p>
    <w:p w14:paraId="58E22ADC" w14:textId="0437DC31" w:rsidR="004D4492" w:rsidRDefault="004D4492" w:rsidP="004D4492">
      <w:pPr>
        <w:pStyle w:val="BodyText"/>
      </w:pPr>
      <w:r>
        <w:t>Results from the trials comparing FFDM+DBT to FFDM alone</w:t>
      </w:r>
      <w:r w:rsidR="00FC6EF4">
        <w:t xml:space="preserve"> reported that use of DBT increased detection of some types of invasive cancers as well as detecting more DCIS compared to FFDM alone.</w:t>
      </w:r>
      <w:r w:rsidR="00D41F92">
        <w:t xml:space="preserve"> Not all results indicating an increase in DCIS detection were significant (and several studies reported no differences in terms of DCIS detection with FFDM+DBT).</w:t>
      </w:r>
    </w:p>
    <w:p w14:paraId="270B70B0" w14:textId="77777777" w:rsidR="0034054F" w:rsidRDefault="0034054F">
      <w:pPr>
        <w:rPr>
          <w:b/>
          <w:bCs/>
          <w:color w:val="77B800" w:themeColor="background2"/>
        </w:rPr>
      </w:pPr>
      <w:r>
        <w:rPr>
          <w:b/>
          <w:bCs/>
        </w:rPr>
        <w:br w:type="page"/>
      </w:r>
    </w:p>
    <w:p w14:paraId="749BC0C1" w14:textId="0E42783D" w:rsidR="004D4492" w:rsidRDefault="004D4492" w:rsidP="004D4492">
      <w:pPr>
        <w:pStyle w:val="BodyText-GREEN"/>
        <w:rPr>
          <w:b/>
          <w:bCs/>
        </w:rPr>
      </w:pPr>
      <w:r>
        <w:rPr>
          <w:b/>
          <w:bCs/>
        </w:rPr>
        <w:lastRenderedPageBreak/>
        <w:t>RCT</w:t>
      </w:r>
    </w:p>
    <w:p w14:paraId="59A23A1F" w14:textId="5E891F9C" w:rsidR="004D4492" w:rsidRPr="00E24D85" w:rsidRDefault="00A9108F" w:rsidP="004D4492">
      <w:pPr>
        <w:pStyle w:val="BodyText"/>
      </w:pPr>
      <w:r>
        <w:t xml:space="preserve">In the </w:t>
      </w:r>
      <w:r w:rsidR="004D4492" w:rsidRPr="00E24D85">
        <w:t>Reggio</w:t>
      </w:r>
      <w:r>
        <w:t xml:space="preserve"> </w:t>
      </w:r>
      <w:r w:rsidR="004D4492" w:rsidRPr="00E24D85">
        <w:t>Emilia RCT (Pattacini et al., 2018)</w:t>
      </w:r>
      <w:r>
        <w:t>,</w:t>
      </w:r>
      <w:r w:rsidR="004D4492" w:rsidRPr="00E24D85">
        <w:t xml:space="preserve"> </w:t>
      </w:r>
      <w:r w:rsidR="004D4492">
        <w:t xml:space="preserve">there was significant </w:t>
      </w:r>
      <w:r w:rsidR="004D4492" w:rsidRPr="00E24D85">
        <w:t>difference</w:t>
      </w:r>
      <w:r w:rsidR="004D4492">
        <w:t>s</w:t>
      </w:r>
      <w:r w:rsidR="004D4492" w:rsidRPr="00E24D85">
        <w:t xml:space="preserve"> </w:t>
      </w:r>
      <w:r w:rsidR="004D4492">
        <w:t xml:space="preserve">in the number of grade 2 </w:t>
      </w:r>
      <w:r w:rsidR="004D4492" w:rsidRPr="00E24D85">
        <w:t>invasive cancers</w:t>
      </w:r>
      <w:r w:rsidR="004D4492">
        <w:t xml:space="preserve"> (and in cancers with PR</w:t>
      </w:r>
      <w:r>
        <w:t xml:space="preserve"> negati</w:t>
      </w:r>
      <w:r w:rsidR="004D4492">
        <w:t>ve, ER</w:t>
      </w:r>
      <w:r>
        <w:t xml:space="preserve"> negati</w:t>
      </w:r>
      <w:r w:rsidR="004D4492">
        <w:t>ve and HER-2</w:t>
      </w:r>
      <w:r>
        <w:t xml:space="preserve"> positi</w:t>
      </w:r>
      <w:r w:rsidR="004D4492">
        <w:t>ve molecular subtypes)</w:t>
      </w:r>
      <w:r w:rsidR="004D4492" w:rsidRPr="00E24D85">
        <w:t xml:space="preserve"> detected with DBT+</w:t>
      </w:r>
      <w:r w:rsidR="00176980">
        <w:t>s2DM</w:t>
      </w:r>
      <w:r w:rsidR="004D4492" w:rsidRPr="00E24D85">
        <w:t xml:space="preserve"> compared to FFDM </w:t>
      </w:r>
      <w:r w:rsidR="004D4492">
        <w:t xml:space="preserve">as well as </w:t>
      </w:r>
      <w:r w:rsidR="004D4492" w:rsidRPr="00E24D85">
        <w:t>more DCIS was detected with DBT+</w:t>
      </w:r>
      <w:r w:rsidR="00176980">
        <w:t>s2DM</w:t>
      </w:r>
      <w:r w:rsidR="004D4492">
        <w:t xml:space="preserve"> (although the authors noted that the increase of +1 DCIS case per 1000 screening examinations was within the range of DCIS detection needed to identify progressing invasive disease)</w:t>
      </w:r>
      <w:r w:rsidR="004D4492" w:rsidRPr="00E24D85">
        <w:t>.</w:t>
      </w:r>
      <w:r w:rsidR="004D4492">
        <w:t xml:space="preserve"> Ki67</w:t>
      </w:r>
      <w:r w:rsidR="004D4492">
        <w:rPr>
          <w:u w:val="single"/>
        </w:rPr>
        <w:t>&lt;</w:t>
      </w:r>
      <w:r w:rsidR="004D4492">
        <w:t>20 percent was higher when DBT+</w:t>
      </w:r>
      <w:r w:rsidR="00176980">
        <w:t>s2DM</w:t>
      </w:r>
      <w:r w:rsidR="004D4492">
        <w:t xml:space="preserve"> was used, suggesting potential for DBT to identify less aggressive tumours but the authors concluded that, taken together, the weight of evidence suggested earlier diagnosis of invasive cancers.</w:t>
      </w:r>
    </w:p>
    <w:p w14:paraId="163E95D7" w14:textId="77777777" w:rsidR="004D4492" w:rsidRPr="004F0D75" w:rsidRDefault="004D4492" w:rsidP="004D4492">
      <w:pPr>
        <w:pStyle w:val="BodyText-GREEN"/>
        <w:rPr>
          <w:b/>
          <w:bCs/>
        </w:rPr>
      </w:pPr>
      <w:r w:rsidRPr="004F0D75">
        <w:rPr>
          <w:b/>
          <w:bCs/>
        </w:rPr>
        <w:t>Prospective studies embedded in screening programs</w:t>
      </w:r>
    </w:p>
    <w:p w14:paraId="433637A4" w14:textId="4C9EC25D" w:rsidR="00DB2501" w:rsidRDefault="000C6FF6" w:rsidP="000C6FF6">
      <w:pPr>
        <w:pStyle w:val="BodyText"/>
      </w:pPr>
      <w:r>
        <w:t xml:space="preserve">Final data from the </w:t>
      </w:r>
      <w:r w:rsidR="00DB2501">
        <w:t xml:space="preserve">OTS </w:t>
      </w:r>
      <w:r>
        <w:t xml:space="preserve">trial </w:t>
      </w:r>
      <w:r w:rsidR="00DB2501">
        <w:t>(Skaane et al., 201</w:t>
      </w:r>
      <w:r w:rsidR="006D0905">
        <w:t>8</w:t>
      </w:r>
      <w:r w:rsidR="00DB2501">
        <w:t>)</w:t>
      </w:r>
      <w:r>
        <w:t xml:space="preserve"> reported that </w:t>
      </w:r>
      <w:r w:rsidR="00DB2501">
        <w:t xml:space="preserve">FFDM+DBT detected more invasive cancers (including IDC and Luminal A subtype) with </w:t>
      </w:r>
      <w:r w:rsidR="00EE66AA">
        <w:t>more</w:t>
      </w:r>
      <w:r w:rsidR="00DB2501">
        <w:t xml:space="preserve"> node negative disease</w:t>
      </w:r>
      <w:r w:rsidR="00EE66AA">
        <w:t xml:space="preserve">, </w:t>
      </w:r>
      <w:r w:rsidR="00F26AA3">
        <w:t xml:space="preserve">and less DCIS </w:t>
      </w:r>
      <w:r w:rsidR="00EE66AA">
        <w:t xml:space="preserve">but no difference in tumour size grade </w:t>
      </w:r>
      <w:r w:rsidR="00DB2501">
        <w:t xml:space="preserve">than </w:t>
      </w:r>
      <w:r w:rsidR="00F26AA3">
        <w:t xml:space="preserve">was detected in the two previous </w:t>
      </w:r>
      <w:r w:rsidR="00DB2501">
        <w:t xml:space="preserve">FFDM </w:t>
      </w:r>
      <w:r w:rsidR="00F26AA3">
        <w:t>rounds</w:t>
      </w:r>
      <w:r w:rsidR="00DB2501">
        <w:t>, suggesting the earlier detection of invasive cancers with a better prognosis</w:t>
      </w:r>
      <w:r w:rsidR="00F26AA3">
        <w:t>.</w:t>
      </w:r>
    </w:p>
    <w:p w14:paraId="01934B59" w14:textId="5F18B0EC" w:rsidR="00B05A51" w:rsidRDefault="006557B2" w:rsidP="006557B2">
      <w:pPr>
        <w:pStyle w:val="BodyText-GREEN"/>
        <w:rPr>
          <w:b/>
          <w:bCs/>
        </w:rPr>
      </w:pPr>
      <w:r w:rsidRPr="006557B2">
        <w:rPr>
          <w:b/>
          <w:bCs/>
        </w:rPr>
        <w:t>Retrospective analysis</w:t>
      </w:r>
    </w:p>
    <w:p w14:paraId="213D65DA" w14:textId="77777777" w:rsidR="006557B2" w:rsidRDefault="006557B2" w:rsidP="006557B2">
      <w:pPr>
        <w:pStyle w:val="BodyText"/>
      </w:pPr>
      <w:r>
        <w:t xml:space="preserve">Bahl et al. (2019) reported on their matched patient cohort analysis and observed that CDR for invasive cancers was higher when DBT was used as part of the screening examination: an invasive CDR of 2.8 invasive cancers per 1000 screening examinations was reported for DBT imaging compared to 1.3 invasive cancers with FFDM (RR=2.2; 95%CI: 1.2, 3.9, </w:t>
      </w:r>
      <w:r>
        <w:rPr>
          <w:i/>
          <w:iCs/>
        </w:rPr>
        <w:t>p=</w:t>
      </w:r>
      <w:r>
        <w:t>.01). No statistically significant difference in DCIS (defined in this study as non-minimal cancers) was reported. No information on cancer type was reported in this study (beyond ‘invasive’).</w:t>
      </w:r>
    </w:p>
    <w:p w14:paraId="5F8FE73A" w14:textId="08F67901" w:rsidR="00DB2501" w:rsidRPr="00DB2501" w:rsidRDefault="00DB2501" w:rsidP="009A4306">
      <w:pPr>
        <w:pStyle w:val="Heading3"/>
      </w:pPr>
      <w:bookmarkStart w:id="288" w:name="_Toc27477599"/>
      <w:bookmarkStart w:id="289" w:name="_Toc27665732"/>
      <w:bookmarkStart w:id="290" w:name="_Toc27844511"/>
      <w:bookmarkStart w:id="291" w:name="_Toc27859641"/>
      <w:bookmarkStart w:id="292" w:name="_Toc27904756"/>
      <w:bookmarkStart w:id="293" w:name="_Toc43376307"/>
      <w:r>
        <w:t>DBT</w:t>
      </w:r>
      <w:r>
        <w:rPr>
          <w:vertAlign w:val="subscript"/>
        </w:rPr>
        <w:t xml:space="preserve">MLO </w:t>
      </w:r>
      <w:r>
        <w:t>compared to FFDM alone</w:t>
      </w:r>
      <w:bookmarkEnd w:id="288"/>
      <w:bookmarkEnd w:id="289"/>
      <w:bookmarkEnd w:id="290"/>
      <w:bookmarkEnd w:id="291"/>
      <w:bookmarkEnd w:id="292"/>
      <w:bookmarkEnd w:id="293"/>
    </w:p>
    <w:p w14:paraId="7C5C1B99" w14:textId="77777777" w:rsidR="004D4492" w:rsidRPr="004F0D75" w:rsidRDefault="004D4492" w:rsidP="004D4492">
      <w:pPr>
        <w:pStyle w:val="BodyText-GREEN"/>
        <w:rPr>
          <w:b/>
          <w:bCs/>
        </w:rPr>
      </w:pPr>
      <w:r w:rsidRPr="004F0D75">
        <w:rPr>
          <w:b/>
          <w:bCs/>
        </w:rPr>
        <w:t>Prospective studies embedded in screening programs</w:t>
      </w:r>
    </w:p>
    <w:p w14:paraId="2667CFEB" w14:textId="4B9A9A72" w:rsidR="00DB2501" w:rsidRPr="00F56EA8" w:rsidRDefault="00AE472C" w:rsidP="00AE472C">
      <w:pPr>
        <w:pStyle w:val="BodyText"/>
        <w:rPr>
          <w:vertAlign w:val="subscript"/>
        </w:rPr>
      </w:pPr>
      <w:r>
        <w:t xml:space="preserve">Two papers reported results about tumour characteristics and molecular subtypes for the </w:t>
      </w:r>
      <w:r w:rsidR="00DB2501">
        <w:t xml:space="preserve">Malmö </w:t>
      </w:r>
      <w:r>
        <w:t xml:space="preserve">trial </w:t>
      </w:r>
      <w:r w:rsidR="00DB2501">
        <w:t>(</w:t>
      </w:r>
      <w:r w:rsidR="00591AFA">
        <w:t xml:space="preserve">Johnson et al., 2019; </w:t>
      </w:r>
      <w:r w:rsidR="00DB2501">
        <w:t>Zackrisson et al., 2018)</w:t>
      </w:r>
      <w:r>
        <w:t xml:space="preserve">. </w:t>
      </w:r>
      <w:r w:rsidR="00F56EA8">
        <w:t xml:space="preserve">Overall, </w:t>
      </w:r>
      <w:r w:rsidR="00F56EA8" w:rsidRPr="00F56EA8">
        <w:t>DBT</w:t>
      </w:r>
      <w:r w:rsidR="00F56EA8">
        <w:rPr>
          <w:vertAlign w:val="subscript"/>
        </w:rPr>
        <w:t xml:space="preserve">MLO </w:t>
      </w:r>
      <w:r w:rsidR="00F56EA8">
        <w:t>detected more invasive cancers than FFDM (87 percent of cancers detected were invasive compared to 82 percent with FFDM). Slightly less DCIS was detected with DBT</w:t>
      </w:r>
      <w:r w:rsidR="00F56EA8">
        <w:rPr>
          <w:vertAlign w:val="subscript"/>
        </w:rPr>
        <w:t xml:space="preserve">MLO </w:t>
      </w:r>
      <w:r w:rsidR="00F56EA8">
        <w:t xml:space="preserve">(13 percent compared to 18 percent). </w:t>
      </w:r>
      <w:r>
        <w:t>In this trial, the DBT</w:t>
      </w:r>
      <w:r>
        <w:rPr>
          <w:vertAlign w:val="subscript"/>
        </w:rPr>
        <w:t xml:space="preserve">MLO </w:t>
      </w:r>
      <w:r w:rsidRPr="00AE472C">
        <w:t>arm</w:t>
      </w:r>
      <w:r>
        <w:t xml:space="preserve"> </w:t>
      </w:r>
      <w:r w:rsidR="000D2833">
        <w:t>detected</w:t>
      </w:r>
      <w:r w:rsidR="00DB2501">
        <w:t xml:space="preserve"> more </w:t>
      </w:r>
      <w:r w:rsidR="00591AFA">
        <w:t xml:space="preserve">early-stage </w:t>
      </w:r>
      <w:r w:rsidR="00DB2501">
        <w:t>invasive</w:t>
      </w:r>
      <w:r w:rsidR="00591AFA">
        <w:t>, Luminal A</w:t>
      </w:r>
      <w:r w:rsidR="00DB2501">
        <w:t xml:space="preserve"> cancers </w:t>
      </w:r>
      <w:r w:rsidR="00CD135E">
        <w:t>compared to those detected in the FFDM arm, with slightly more ILC</w:t>
      </w:r>
      <w:r w:rsidR="000D12D6">
        <w:t xml:space="preserve"> but there was no difference in the grade, tumour size or nodal </w:t>
      </w:r>
      <w:r w:rsidR="00047587">
        <w:t>involvement</w:t>
      </w:r>
      <w:r w:rsidR="00591AFA">
        <w:t>, or in molecular subtype (although more triple negative cancers were detected only by DBT)</w:t>
      </w:r>
      <w:r w:rsidR="000D12D6">
        <w:t>.</w:t>
      </w:r>
      <w:r w:rsidR="008F4B4A">
        <w:t xml:space="preserve"> While no statistically significant increase in ILC was observed, the authors reported that additional detection of these cancers could be clinically important as they are harder to see on FFDM and increased conspicuity on DBT</w:t>
      </w:r>
      <w:r w:rsidR="008F4B4A">
        <w:rPr>
          <w:vertAlign w:val="subscript"/>
        </w:rPr>
        <w:t xml:space="preserve">MLO </w:t>
      </w:r>
      <w:r w:rsidR="008F4B4A" w:rsidRPr="008F4B4A">
        <w:t>cou</w:t>
      </w:r>
      <w:r w:rsidR="008F4B4A">
        <w:t>ld result in earlier detection.</w:t>
      </w:r>
      <w:r w:rsidR="000D12D6">
        <w:t xml:space="preserve"> The DBT arm resulted in detection of </w:t>
      </w:r>
      <w:r w:rsidR="00591AFA">
        <w:t xml:space="preserve">slightly less </w:t>
      </w:r>
      <w:r w:rsidR="000D12D6">
        <w:t>DCIS.</w:t>
      </w:r>
      <w:r w:rsidR="00591AFA">
        <w:t xml:space="preserve"> Johnson et al. concluded that more Luminal A cancers were detected with DBT (51</w:t>
      </w:r>
      <w:r w:rsidR="0034054F">
        <w:t xml:space="preserve"> percent</w:t>
      </w:r>
      <w:r w:rsidR="00591AFA">
        <w:t xml:space="preserve"> compared to 46</w:t>
      </w:r>
      <w:r w:rsidR="0034054F">
        <w:t xml:space="preserve"> percent</w:t>
      </w:r>
      <w:r w:rsidR="00591AFA">
        <w:t>; no significance testing) and this could contribute to overdiagnosis (rather than overdiagnosis from additional DCIS detection).</w:t>
      </w:r>
    </w:p>
    <w:p w14:paraId="1C4BBE74" w14:textId="77777777" w:rsidR="00D41F92" w:rsidRDefault="00D41F92">
      <w:pPr>
        <w:rPr>
          <w:b/>
          <w:bCs/>
          <w:color w:val="36424A" w:themeColor="accent1"/>
          <w:sz w:val="18"/>
          <w:szCs w:val="18"/>
        </w:rPr>
      </w:pPr>
      <w:r>
        <w:br w:type="page"/>
      </w:r>
    </w:p>
    <w:p w14:paraId="7131C5AF" w14:textId="6DD4EB17" w:rsidR="00AD6615" w:rsidRDefault="00AD6615" w:rsidP="00AD6615">
      <w:pPr>
        <w:pStyle w:val="Caption"/>
      </w:pPr>
      <w:r>
        <w:lastRenderedPageBreak/>
        <w:t xml:space="preserve">Table </w:t>
      </w:r>
      <w:r w:rsidR="00C124D2">
        <w:t>10</w:t>
      </w:r>
      <w:r>
        <w:t>: Histological type for a range of imaging protocols</w:t>
      </w:r>
    </w:p>
    <w:tbl>
      <w:tblPr>
        <w:tblStyle w:val="ACGreen-BasicTable"/>
        <w:tblW w:w="0" w:type="auto"/>
        <w:tblLook w:val="04A0" w:firstRow="1" w:lastRow="0" w:firstColumn="1" w:lastColumn="0" w:noHBand="0" w:noVBand="1"/>
        <w:tblDescription w:val="Table 10 shows histological type for a range of imaging protocols. The DBT+s2DM compared to FFDM alone for the RCT.&#10;&#10;The study by Hofvind et al. (2019) To-Be-1 (main analysis). For the Cancer type (%) for IDC - DBT arm was 77.5% and for FFDM are was 71.8% (p=.11).&#10;For ILC the DBT arm was 7.5% and the FFDM arm was 18.3%. &#10;For Specials14, the DBT arm was Tubular: 2.5%, Other 2.5%. For the FFDM arm Tubular: 5.6%, other 4.2%.&#10;For DCIS the DBT arm was 1.0 DCIS per 1000 screens and for FFDM arm, 1.1 DCIS per 1000 screens.&#10;&#10;The Prospective studies embedded in population-based screening has the following studies:&#10;The study by Houssami et al. (2019) Maroondah, for IDC the DBT arm was 75%, the FFDM arm was 70%.&#10;For ILC the DBT arm was 13%, the FFDM arm was 23%.&#10;For Specials14 the DBT arm was 13%, the FFDM arm was 7%.&#10;For DCIS the DBT arm was 9%, the FFDM arm was 4%.&#10;&#10;The study by Hofvind et al. (2018) Norway BSP, for IDC the DBT arm was 5.6 per 1000, the FFDM arm was 4.9 (p=.014).&#10;For ILC, the DBT arm was 1.1 per 1000, the FFDM arm was 0.9 per 1000 (p=.061).&#10;For Specials14, the DBT arm was 0.9 per 1000, the FFDM arm was 0.3 for tubular carcinoma per 1000 (p&lt;.001).&#10;For DCIS, the DBT arm was 1.7 per 1000, the FFDM arm was 0.8 (p&lt;.001).&#10;&#10;The study by Romero Martin et al. (2018), Cordoba for IDC the DBT arm was 67 cancers, FFDM arm was 55 cancers (p=.001).&#10;For ILC, the DBT arm was 4 cancers, FFDM arm was 2 cancers (p=.102).&#10;For Specials14, the DBT arm had no data, FDDM arm had no data.&#10;For DCIS, the DBT arm was 21 cancers, the FFDM arm was 19 cancers (p=.774).&#10;&#10;FFDM+DBT compared to FFDM alone for retrospective analysis. &#10;The study by Dang et al. (2019) for IDC the DBT arm was 75%, the FFDM arm was 72%. &#10;The ILC DBT arm had no data, the FFDM arm had no data.&#10;The Specials14 DBT arm had no data, FFDM had no data.&#10;The DCIS DBT arm was 25%, FFDM arm was 28%.&#10;&#10;The study by Fuiji et al. (2018) Vermont the IDC DBT arm was 265 cancers, the FFDM arm was 335 cancers.&#10;The ILC DBT arm was 42 cancers, FFDM arm was 42 cancers.&#10;The Specials14 DBT arm was 26 mixed cancers and 12 other cancers, the FFDM arm was 24 other cancers and 30 mixed cancers.&#10;The DCIS DBT arm was 91 cancers, FFDM arm 117 cancers.&#10;&#10;DBTMLO compared to FFDM alone for Prospective studies embedded in population-based screening has the following studies.&#10;The study by Johnson et al. (2019) Malmö for IDC, DBT arm was 52% FFDM arm was 67%.&#10;For ILC, DBT arm was 67%, FFDM arm was 30%.&#10;For Specials14, DBT arm was 17% (p=.13), FFDM arm was 15%.&#10;For DCIS, DBT arm was 8%, FFDM arm was 18%.&#10;&#10;The study by Zackrisson et al. (2018) Malmö18, For the ILC, DBT arm was 52%, FFDM arm was 55%.&#10;For ILC, DBT arm was 26%, FFDM arm was 14%.&#10;For Specials14, DBT arm was12%, FFDM arm was 12% (tubular) and 1 (other).&#10;For DCIS, DBT arm was 10%, FFDM arm was 18%.&#10;&#10;"/>
      </w:tblPr>
      <w:tblGrid>
        <w:gridCol w:w="1911"/>
        <w:gridCol w:w="889"/>
        <w:gridCol w:w="893"/>
        <w:gridCol w:w="882"/>
        <w:gridCol w:w="890"/>
        <w:gridCol w:w="882"/>
        <w:gridCol w:w="941"/>
        <w:gridCol w:w="882"/>
        <w:gridCol w:w="891"/>
      </w:tblGrid>
      <w:tr w:rsidR="009B1F5A" w:rsidRPr="006E02AA" w14:paraId="2B2E7906" w14:textId="77777777" w:rsidTr="0004229B">
        <w:trPr>
          <w:cnfStyle w:val="100000000000" w:firstRow="1" w:lastRow="0" w:firstColumn="0" w:lastColumn="0" w:oddVBand="0" w:evenVBand="0" w:oddHBand="0" w:evenHBand="0" w:firstRowFirstColumn="0" w:firstRowLastColumn="0" w:lastRowFirstColumn="0" w:lastRowLastColumn="0"/>
        </w:trPr>
        <w:tc>
          <w:tcPr>
            <w:tcW w:w="1911" w:type="dxa"/>
          </w:tcPr>
          <w:p w14:paraId="36ABF303" w14:textId="6F9CED6B" w:rsidR="009B1F5A" w:rsidRPr="006E02AA" w:rsidRDefault="009B1F5A" w:rsidP="0034054F">
            <w:pPr>
              <w:pStyle w:val="BodyText"/>
              <w:spacing w:before="0" w:after="0" w:line="240" w:lineRule="auto"/>
              <w:jc w:val="center"/>
              <w:rPr>
                <w:sz w:val="18"/>
                <w:szCs w:val="18"/>
              </w:rPr>
            </w:pPr>
            <w:r w:rsidRPr="006E02AA">
              <w:rPr>
                <w:sz w:val="18"/>
                <w:szCs w:val="18"/>
              </w:rPr>
              <w:t>Study</w:t>
            </w:r>
          </w:p>
        </w:tc>
        <w:tc>
          <w:tcPr>
            <w:tcW w:w="7150" w:type="dxa"/>
            <w:gridSpan w:val="8"/>
          </w:tcPr>
          <w:p w14:paraId="153847FD" w14:textId="6B33F7F2" w:rsidR="009B1F5A" w:rsidRPr="006E02AA" w:rsidRDefault="009B1F5A" w:rsidP="0034054F">
            <w:pPr>
              <w:pStyle w:val="BodyText"/>
              <w:spacing w:before="0" w:after="0" w:line="240" w:lineRule="auto"/>
              <w:jc w:val="center"/>
              <w:rPr>
                <w:sz w:val="18"/>
                <w:szCs w:val="18"/>
              </w:rPr>
            </w:pPr>
            <w:r w:rsidRPr="006E02AA">
              <w:rPr>
                <w:sz w:val="18"/>
                <w:szCs w:val="18"/>
              </w:rPr>
              <w:t>Cancer type (%)</w:t>
            </w:r>
          </w:p>
        </w:tc>
      </w:tr>
      <w:tr w:rsidR="009B1F5A" w:rsidRPr="00DB2501" w14:paraId="5028FFDB" w14:textId="77777777" w:rsidTr="0004229B">
        <w:tc>
          <w:tcPr>
            <w:tcW w:w="1911" w:type="dxa"/>
            <w:shd w:val="clear" w:color="auto" w:fill="E7FFBD" w:themeFill="background2" w:themeFillTint="33"/>
          </w:tcPr>
          <w:p w14:paraId="30E592ED" w14:textId="040D668C" w:rsidR="009B1F5A" w:rsidRPr="00DB2501" w:rsidRDefault="009B1F5A" w:rsidP="009B1F5A">
            <w:pPr>
              <w:pStyle w:val="BodyText"/>
              <w:spacing w:before="0" w:after="0" w:line="240" w:lineRule="auto"/>
              <w:rPr>
                <w:sz w:val="18"/>
                <w:szCs w:val="18"/>
              </w:rPr>
            </w:pPr>
          </w:p>
        </w:tc>
        <w:tc>
          <w:tcPr>
            <w:tcW w:w="1782" w:type="dxa"/>
            <w:gridSpan w:val="2"/>
            <w:shd w:val="clear" w:color="auto" w:fill="E7FFBD" w:themeFill="background2" w:themeFillTint="33"/>
          </w:tcPr>
          <w:p w14:paraId="72426D54" w14:textId="0178DBB8" w:rsidR="009B1F5A" w:rsidRPr="00DB2501" w:rsidRDefault="009B1F5A" w:rsidP="00DB2501">
            <w:pPr>
              <w:pStyle w:val="BodyText"/>
              <w:spacing w:before="0" w:after="0" w:line="240" w:lineRule="auto"/>
              <w:jc w:val="center"/>
              <w:rPr>
                <w:sz w:val="18"/>
                <w:szCs w:val="18"/>
              </w:rPr>
            </w:pPr>
            <w:r w:rsidRPr="00DB2501">
              <w:rPr>
                <w:sz w:val="18"/>
                <w:szCs w:val="18"/>
              </w:rPr>
              <w:t>IDC</w:t>
            </w:r>
          </w:p>
        </w:tc>
        <w:tc>
          <w:tcPr>
            <w:tcW w:w="1772" w:type="dxa"/>
            <w:gridSpan w:val="2"/>
            <w:shd w:val="clear" w:color="auto" w:fill="E7FFBD" w:themeFill="background2" w:themeFillTint="33"/>
          </w:tcPr>
          <w:p w14:paraId="79692A8B" w14:textId="06FD5A01" w:rsidR="009B1F5A" w:rsidRPr="00DB2501" w:rsidRDefault="009B1F5A" w:rsidP="00DB2501">
            <w:pPr>
              <w:pStyle w:val="BodyText"/>
              <w:spacing w:before="0" w:after="0" w:line="240" w:lineRule="auto"/>
              <w:jc w:val="center"/>
              <w:rPr>
                <w:sz w:val="18"/>
                <w:szCs w:val="18"/>
              </w:rPr>
            </w:pPr>
            <w:r w:rsidRPr="00DB2501">
              <w:rPr>
                <w:sz w:val="18"/>
                <w:szCs w:val="18"/>
              </w:rPr>
              <w:t>ILC</w:t>
            </w:r>
          </w:p>
        </w:tc>
        <w:tc>
          <w:tcPr>
            <w:tcW w:w="1823" w:type="dxa"/>
            <w:gridSpan w:val="2"/>
            <w:shd w:val="clear" w:color="auto" w:fill="E7FFBD" w:themeFill="background2" w:themeFillTint="33"/>
          </w:tcPr>
          <w:p w14:paraId="52922097" w14:textId="1C03577B" w:rsidR="009B1F5A" w:rsidRPr="00DB2501" w:rsidRDefault="009B1F5A" w:rsidP="00DB2501">
            <w:pPr>
              <w:pStyle w:val="BodyText"/>
              <w:spacing w:before="0" w:after="0" w:line="240" w:lineRule="auto"/>
              <w:jc w:val="center"/>
              <w:rPr>
                <w:sz w:val="18"/>
                <w:szCs w:val="18"/>
              </w:rPr>
            </w:pPr>
            <w:r w:rsidRPr="00DB2501">
              <w:rPr>
                <w:sz w:val="18"/>
                <w:szCs w:val="18"/>
              </w:rPr>
              <w:t>Specials</w:t>
            </w:r>
            <w:r w:rsidRPr="00DB2501">
              <w:rPr>
                <w:rStyle w:val="FootnoteReference"/>
                <w:sz w:val="18"/>
                <w:szCs w:val="18"/>
              </w:rPr>
              <w:footnoteReference w:id="14"/>
            </w:r>
          </w:p>
        </w:tc>
        <w:tc>
          <w:tcPr>
            <w:tcW w:w="1773" w:type="dxa"/>
            <w:gridSpan w:val="2"/>
            <w:shd w:val="clear" w:color="auto" w:fill="E7FFBD" w:themeFill="background2" w:themeFillTint="33"/>
          </w:tcPr>
          <w:p w14:paraId="4AF911B4" w14:textId="50280109" w:rsidR="009B1F5A" w:rsidRPr="00DB2501" w:rsidRDefault="009B1F5A" w:rsidP="00DB2501">
            <w:pPr>
              <w:pStyle w:val="BodyText"/>
              <w:spacing w:before="0" w:after="0" w:line="240" w:lineRule="auto"/>
              <w:jc w:val="center"/>
              <w:rPr>
                <w:sz w:val="18"/>
                <w:szCs w:val="18"/>
              </w:rPr>
            </w:pPr>
            <w:r w:rsidRPr="00DB2501">
              <w:rPr>
                <w:sz w:val="18"/>
                <w:szCs w:val="18"/>
              </w:rPr>
              <w:t>DCIS</w:t>
            </w:r>
          </w:p>
        </w:tc>
      </w:tr>
      <w:tr w:rsidR="00DB2501" w:rsidRPr="00DB2501" w14:paraId="30EA578B" w14:textId="77777777" w:rsidTr="0004229B">
        <w:tc>
          <w:tcPr>
            <w:tcW w:w="1911" w:type="dxa"/>
          </w:tcPr>
          <w:p w14:paraId="3DD3A37A" w14:textId="77777777" w:rsidR="00DB2501" w:rsidRPr="00DB2501" w:rsidRDefault="00DB2501" w:rsidP="00DB2501">
            <w:pPr>
              <w:pStyle w:val="BodyText"/>
              <w:spacing w:before="0" w:after="0" w:line="240" w:lineRule="auto"/>
              <w:jc w:val="left"/>
              <w:rPr>
                <w:b/>
                <w:bCs/>
                <w:sz w:val="18"/>
                <w:szCs w:val="18"/>
              </w:rPr>
            </w:pPr>
          </w:p>
        </w:tc>
        <w:tc>
          <w:tcPr>
            <w:tcW w:w="889" w:type="dxa"/>
          </w:tcPr>
          <w:p w14:paraId="395000B0" w14:textId="770F80E2" w:rsidR="00DB2501" w:rsidRPr="00DB2501" w:rsidRDefault="00DB2501" w:rsidP="00DB2501">
            <w:pPr>
              <w:pStyle w:val="BodyText"/>
              <w:spacing w:before="0" w:after="0" w:line="240" w:lineRule="auto"/>
              <w:rPr>
                <w:b/>
                <w:bCs/>
                <w:sz w:val="18"/>
                <w:szCs w:val="18"/>
              </w:rPr>
            </w:pPr>
            <w:r w:rsidRPr="00DB2501">
              <w:rPr>
                <w:b/>
                <w:bCs/>
                <w:sz w:val="18"/>
                <w:szCs w:val="18"/>
              </w:rPr>
              <w:t>DBT</w:t>
            </w:r>
            <w:r>
              <w:rPr>
                <w:b/>
                <w:bCs/>
                <w:sz w:val="18"/>
                <w:szCs w:val="18"/>
              </w:rPr>
              <w:t xml:space="preserve"> arm</w:t>
            </w:r>
          </w:p>
        </w:tc>
        <w:tc>
          <w:tcPr>
            <w:tcW w:w="893" w:type="dxa"/>
          </w:tcPr>
          <w:p w14:paraId="4D372878" w14:textId="0A8EBABB" w:rsidR="00DB2501" w:rsidRPr="00DB2501" w:rsidRDefault="00DB2501" w:rsidP="00DB2501">
            <w:pPr>
              <w:pStyle w:val="BodyText"/>
              <w:spacing w:before="0" w:after="0" w:line="240" w:lineRule="auto"/>
              <w:rPr>
                <w:b/>
                <w:bCs/>
                <w:sz w:val="18"/>
                <w:szCs w:val="18"/>
              </w:rPr>
            </w:pPr>
            <w:r w:rsidRPr="00DB2501">
              <w:rPr>
                <w:b/>
                <w:bCs/>
                <w:sz w:val="18"/>
                <w:szCs w:val="18"/>
              </w:rPr>
              <w:t>FFDM</w:t>
            </w:r>
            <w:r>
              <w:rPr>
                <w:b/>
                <w:bCs/>
                <w:sz w:val="18"/>
                <w:szCs w:val="18"/>
              </w:rPr>
              <w:t xml:space="preserve"> arm</w:t>
            </w:r>
          </w:p>
        </w:tc>
        <w:tc>
          <w:tcPr>
            <w:tcW w:w="882" w:type="dxa"/>
          </w:tcPr>
          <w:p w14:paraId="581856D7" w14:textId="020DEE9F" w:rsidR="00DB2501" w:rsidRPr="00DB2501" w:rsidRDefault="00DB2501" w:rsidP="00DB2501">
            <w:pPr>
              <w:pStyle w:val="BodyText"/>
              <w:spacing w:before="0" w:after="0" w:line="240" w:lineRule="auto"/>
              <w:rPr>
                <w:b/>
                <w:bCs/>
                <w:sz w:val="18"/>
                <w:szCs w:val="18"/>
              </w:rPr>
            </w:pPr>
            <w:r w:rsidRPr="00DB2501">
              <w:rPr>
                <w:b/>
                <w:bCs/>
                <w:sz w:val="18"/>
                <w:szCs w:val="18"/>
              </w:rPr>
              <w:t>DBT</w:t>
            </w:r>
            <w:r>
              <w:rPr>
                <w:b/>
                <w:bCs/>
                <w:sz w:val="18"/>
                <w:szCs w:val="18"/>
              </w:rPr>
              <w:t xml:space="preserve"> arm</w:t>
            </w:r>
          </w:p>
        </w:tc>
        <w:tc>
          <w:tcPr>
            <w:tcW w:w="890" w:type="dxa"/>
          </w:tcPr>
          <w:p w14:paraId="38C84861" w14:textId="57DD636F" w:rsidR="00DB2501" w:rsidRPr="00DB2501" w:rsidRDefault="00DB2501" w:rsidP="00DB2501">
            <w:pPr>
              <w:pStyle w:val="BodyText"/>
              <w:spacing w:before="0" w:after="0" w:line="240" w:lineRule="auto"/>
              <w:rPr>
                <w:b/>
                <w:bCs/>
                <w:sz w:val="18"/>
                <w:szCs w:val="18"/>
              </w:rPr>
            </w:pPr>
            <w:r w:rsidRPr="00DB2501">
              <w:rPr>
                <w:b/>
                <w:bCs/>
                <w:sz w:val="18"/>
                <w:szCs w:val="18"/>
              </w:rPr>
              <w:t>FFDM</w:t>
            </w:r>
            <w:r>
              <w:rPr>
                <w:b/>
                <w:bCs/>
                <w:sz w:val="18"/>
                <w:szCs w:val="18"/>
              </w:rPr>
              <w:t xml:space="preserve"> arm</w:t>
            </w:r>
          </w:p>
        </w:tc>
        <w:tc>
          <w:tcPr>
            <w:tcW w:w="882" w:type="dxa"/>
          </w:tcPr>
          <w:p w14:paraId="768D75A5" w14:textId="5F0BD972" w:rsidR="00DB2501" w:rsidRPr="00DB2501" w:rsidRDefault="00DB2501" w:rsidP="00DB2501">
            <w:pPr>
              <w:pStyle w:val="BodyText"/>
              <w:spacing w:before="0" w:after="0" w:line="240" w:lineRule="auto"/>
              <w:rPr>
                <w:b/>
                <w:bCs/>
                <w:sz w:val="18"/>
                <w:szCs w:val="18"/>
              </w:rPr>
            </w:pPr>
            <w:r w:rsidRPr="00DB2501">
              <w:rPr>
                <w:b/>
                <w:bCs/>
                <w:sz w:val="18"/>
                <w:szCs w:val="18"/>
              </w:rPr>
              <w:t>DBT</w:t>
            </w:r>
            <w:r>
              <w:rPr>
                <w:b/>
                <w:bCs/>
                <w:sz w:val="18"/>
                <w:szCs w:val="18"/>
              </w:rPr>
              <w:t xml:space="preserve"> arm</w:t>
            </w:r>
          </w:p>
        </w:tc>
        <w:tc>
          <w:tcPr>
            <w:tcW w:w="941" w:type="dxa"/>
          </w:tcPr>
          <w:p w14:paraId="2BE734ED" w14:textId="32118850" w:rsidR="00DB2501" w:rsidRPr="00DB2501" w:rsidRDefault="00DB2501" w:rsidP="00DB2501">
            <w:pPr>
              <w:pStyle w:val="BodyText"/>
              <w:spacing w:before="0" w:after="0" w:line="240" w:lineRule="auto"/>
              <w:rPr>
                <w:b/>
                <w:bCs/>
                <w:sz w:val="18"/>
                <w:szCs w:val="18"/>
              </w:rPr>
            </w:pPr>
            <w:r w:rsidRPr="00DB2501">
              <w:rPr>
                <w:b/>
                <w:bCs/>
                <w:sz w:val="18"/>
                <w:szCs w:val="18"/>
              </w:rPr>
              <w:t>FFDM</w:t>
            </w:r>
            <w:r>
              <w:rPr>
                <w:b/>
                <w:bCs/>
                <w:sz w:val="18"/>
                <w:szCs w:val="18"/>
              </w:rPr>
              <w:t xml:space="preserve"> arm</w:t>
            </w:r>
          </w:p>
        </w:tc>
        <w:tc>
          <w:tcPr>
            <w:tcW w:w="882" w:type="dxa"/>
          </w:tcPr>
          <w:p w14:paraId="5FE636D8" w14:textId="44371A6A" w:rsidR="00DB2501" w:rsidRPr="00DB2501" w:rsidRDefault="00DB2501" w:rsidP="00DB2501">
            <w:pPr>
              <w:pStyle w:val="BodyText"/>
              <w:spacing w:before="0" w:after="0" w:line="240" w:lineRule="auto"/>
              <w:rPr>
                <w:b/>
                <w:bCs/>
                <w:sz w:val="18"/>
                <w:szCs w:val="18"/>
              </w:rPr>
            </w:pPr>
            <w:r w:rsidRPr="00DB2501">
              <w:rPr>
                <w:b/>
                <w:bCs/>
                <w:sz w:val="18"/>
                <w:szCs w:val="18"/>
              </w:rPr>
              <w:t>DBT</w:t>
            </w:r>
            <w:r>
              <w:rPr>
                <w:b/>
                <w:bCs/>
                <w:sz w:val="18"/>
                <w:szCs w:val="18"/>
              </w:rPr>
              <w:t xml:space="preserve"> arm</w:t>
            </w:r>
          </w:p>
        </w:tc>
        <w:tc>
          <w:tcPr>
            <w:tcW w:w="891" w:type="dxa"/>
          </w:tcPr>
          <w:p w14:paraId="38E128E3" w14:textId="5C4F5959" w:rsidR="00DB2501" w:rsidRPr="00DB2501" w:rsidRDefault="00DB2501" w:rsidP="00DB2501">
            <w:pPr>
              <w:pStyle w:val="BodyText"/>
              <w:spacing w:before="0" w:after="0" w:line="240" w:lineRule="auto"/>
              <w:rPr>
                <w:b/>
                <w:bCs/>
                <w:sz w:val="18"/>
                <w:szCs w:val="18"/>
              </w:rPr>
            </w:pPr>
            <w:r w:rsidRPr="00DB2501">
              <w:rPr>
                <w:b/>
                <w:bCs/>
                <w:sz w:val="18"/>
                <w:szCs w:val="18"/>
              </w:rPr>
              <w:t>FFDM</w:t>
            </w:r>
            <w:r>
              <w:rPr>
                <w:b/>
                <w:bCs/>
                <w:sz w:val="18"/>
                <w:szCs w:val="18"/>
              </w:rPr>
              <w:t xml:space="preserve"> arm</w:t>
            </w:r>
          </w:p>
        </w:tc>
      </w:tr>
      <w:tr w:rsidR="0014429B" w:rsidRPr="00DB2501" w14:paraId="432DF084" w14:textId="77777777" w:rsidTr="002C6611">
        <w:tc>
          <w:tcPr>
            <w:tcW w:w="9061" w:type="dxa"/>
            <w:gridSpan w:val="9"/>
            <w:shd w:val="clear" w:color="auto" w:fill="E7FFBD" w:themeFill="background2" w:themeFillTint="33"/>
          </w:tcPr>
          <w:p w14:paraId="00010BCA" w14:textId="204F8901" w:rsidR="0014429B" w:rsidRPr="0004229B" w:rsidRDefault="0014429B" w:rsidP="002C6611">
            <w:pPr>
              <w:pStyle w:val="BodyText"/>
              <w:spacing w:before="0" w:after="0" w:line="240" w:lineRule="auto"/>
              <w:jc w:val="center"/>
              <w:rPr>
                <w:sz w:val="18"/>
                <w:szCs w:val="18"/>
              </w:rPr>
            </w:pPr>
            <w:r w:rsidRPr="0004229B">
              <w:rPr>
                <w:sz w:val="18"/>
                <w:szCs w:val="18"/>
              </w:rPr>
              <w:t>DBT+</w:t>
            </w:r>
            <w:r w:rsidR="00176980">
              <w:rPr>
                <w:sz w:val="18"/>
                <w:szCs w:val="18"/>
              </w:rPr>
              <w:t>s2DM</w:t>
            </w:r>
            <w:r w:rsidRPr="0004229B">
              <w:rPr>
                <w:sz w:val="18"/>
                <w:szCs w:val="18"/>
              </w:rPr>
              <w:t xml:space="preserve"> compared to FFDM alone</w:t>
            </w:r>
          </w:p>
        </w:tc>
      </w:tr>
      <w:tr w:rsidR="0004229B" w:rsidRPr="00201646" w14:paraId="05C4086A" w14:textId="77777777" w:rsidTr="002C6611">
        <w:tc>
          <w:tcPr>
            <w:tcW w:w="9061" w:type="dxa"/>
            <w:gridSpan w:val="9"/>
          </w:tcPr>
          <w:p w14:paraId="22252332" w14:textId="68C3ED0A" w:rsidR="0004229B" w:rsidRPr="00201646" w:rsidRDefault="0004229B" w:rsidP="002C6611">
            <w:pPr>
              <w:pStyle w:val="BodyText"/>
              <w:spacing w:before="0" w:after="0" w:line="240" w:lineRule="auto"/>
              <w:rPr>
                <w:b/>
                <w:bCs/>
                <w:sz w:val="18"/>
                <w:szCs w:val="18"/>
              </w:rPr>
            </w:pPr>
            <w:r>
              <w:rPr>
                <w:b/>
                <w:bCs/>
                <w:sz w:val="18"/>
                <w:szCs w:val="18"/>
              </w:rPr>
              <w:t>RCT</w:t>
            </w:r>
          </w:p>
        </w:tc>
      </w:tr>
      <w:tr w:rsidR="0004229B" w:rsidRPr="0004229B" w14:paraId="21C2A275" w14:textId="77777777" w:rsidTr="0004229B">
        <w:tc>
          <w:tcPr>
            <w:tcW w:w="1911" w:type="dxa"/>
          </w:tcPr>
          <w:p w14:paraId="517FEFDA" w14:textId="77777777" w:rsidR="0004229B" w:rsidRPr="0004229B" w:rsidRDefault="0004229B" w:rsidP="0004229B">
            <w:pPr>
              <w:pStyle w:val="BodyText"/>
              <w:spacing w:before="0" w:after="0" w:line="240" w:lineRule="auto"/>
              <w:jc w:val="left"/>
              <w:rPr>
                <w:sz w:val="18"/>
                <w:szCs w:val="18"/>
              </w:rPr>
            </w:pPr>
            <w:r w:rsidRPr="0004229B">
              <w:rPr>
                <w:sz w:val="18"/>
                <w:szCs w:val="18"/>
              </w:rPr>
              <w:t>Hofvind et al. (2019)</w:t>
            </w:r>
          </w:p>
          <w:p w14:paraId="272CB844" w14:textId="5F172F8A" w:rsidR="0004229B" w:rsidRDefault="00815FC2" w:rsidP="0004229B">
            <w:pPr>
              <w:pStyle w:val="BodyText"/>
              <w:spacing w:before="0" w:after="0" w:line="240" w:lineRule="auto"/>
              <w:jc w:val="left"/>
              <w:rPr>
                <w:sz w:val="18"/>
                <w:szCs w:val="18"/>
              </w:rPr>
            </w:pPr>
            <w:r>
              <w:rPr>
                <w:sz w:val="18"/>
                <w:szCs w:val="18"/>
              </w:rPr>
              <w:t>To-Be-1</w:t>
            </w:r>
            <w:r w:rsidR="0004229B" w:rsidRPr="0004229B">
              <w:rPr>
                <w:sz w:val="18"/>
                <w:szCs w:val="18"/>
              </w:rPr>
              <w:t xml:space="preserve"> </w:t>
            </w:r>
          </w:p>
          <w:p w14:paraId="5489C88C" w14:textId="567C37D0" w:rsidR="0004229B" w:rsidRPr="0004229B" w:rsidRDefault="000C5381" w:rsidP="000C503A">
            <w:pPr>
              <w:pStyle w:val="BodyText"/>
              <w:spacing w:before="0" w:after="0" w:line="240" w:lineRule="auto"/>
              <w:jc w:val="left"/>
              <w:rPr>
                <w:sz w:val="18"/>
                <w:szCs w:val="18"/>
              </w:rPr>
            </w:pPr>
            <w:r>
              <w:rPr>
                <w:sz w:val="18"/>
                <w:szCs w:val="18"/>
              </w:rPr>
              <w:t>(main analysis)</w:t>
            </w:r>
          </w:p>
        </w:tc>
        <w:tc>
          <w:tcPr>
            <w:tcW w:w="889" w:type="dxa"/>
          </w:tcPr>
          <w:p w14:paraId="44DF8F6E" w14:textId="6B50C365" w:rsidR="0004229B" w:rsidRPr="0004229B" w:rsidRDefault="0004229B" w:rsidP="0004229B">
            <w:pPr>
              <w:pStyle w:val="BodyText"/>
              <w:spacing w:before="0" w:after="0" w:line="240" w:lineRule="auto"/>
              <w:rPr>
                <w:sz w:val="18"/>
                <w:szCs w:val="18"/>
              </w:rPr>
            </w:pPr>
            <w:r w:rsidRPr="0004229B">
              <w:rPr>
                <w:sz w:val="18"/>
                <w:szCs w:val="18"/>
              </w:rPr>
              <w:t>77.5%</w:t>
            </w:r>
          </w:p>
        </w:tc>
        <w:tc>
          <w:tcPr>
            <w:tcW w:w="893" w:type="dxa"/>
          </w:tcPr>
          <w:p w14:paraId="4F8E505E" w14:textId="4B7CD82F" w:rsidR="0004229B" w:rsidRPr="0004229B" w:rsidRDefault="0004229B" w:rsidP="00C876A6">
            <w:pPr>
              <w:pStyle w:val="BodyText"/>
              <w:spacing w:before="0" w:after="0" w:line="240" w:lineRule="auto"/>
              <w:rPr>
                <w:sz w:val="18"/>
                <w:szCs w:val="18"/>
              </w:rPr>
            </w:pPr>
            <w:r w:rsidRPr="0004229B">
              <w:rPr>
                <w:sz w:val="18"/>
                <w:szCs w:val="18"/>
              </w:rPr>
              <w:t xml:space="preserve">71.8% </w:t>
            </w:r>
            <w:r w:rsidR="0034054F">
              <w:rPr>
                <w:sz w:val="18"/>
                <w:szCs w:val="18"/>
              </w:rPr>
              <w:t>(</w:t>
            </w:r>
            <w:r w:rsidRPr="0004229B">
              <w:rPr>
                <w:i/>
                <w:iCs/>
                <w:sz w:val="18"/>
                <w:szCs w:val="18"/>
              </w:rPr>
              <w:t>p</w:t>
            </w:r>
            <w:r w:rsidRPr="0004229B">
              <w:rPr>
                <w:sz w:val="18"/>
                <w:szCs w:val="18"/>
              </w:rPr>
              <w:t>=.11</w:t>
            </w:r>
            <w:r w:rsidR="0034054F">
              <w:rPr>
                <w:sz w:val="18"/>
                <w:szCs w:val="18"/>
              </w:rPr>
              <w:t>)</w:t>
            </w:r>
          </w:p>
        </w:tc>
        <w:tc>
          <w:tcPr>
            <w:tcW w:w="882" w:type="dxa"/>
          </w:tcPr>
          <w:p w14:paraId="21AE0516" w14:textId="197004EA" w:rsidR="0004229B" w:rsidRPr="0004229B" w:rsidRDefault="0004229B" w:rsidP="0004229B">
            <w:pPr>
              <w:pStyle w:val="BodyText"/>
              <w:spacing w:before="0" w:after="0" w:line="240" w:lineRule="auto"/>
              <w:rPr>
                <w:sz w:val="18"/>
                <w:szCs w:val="18"/>
              </w:rPr>
            </w:pPr>
            <w:r w:rsidRPr="0004229B">
              <w:rPr>
                <w:sz w:val="18"/>
                <w:szCs w:val="18"/>
              </w:rPr>
              <w:t>7.5%</w:t>
            </w:r>
          </w:p>
        </w:tc>
        <w:tc>
          <w:tcPr>
            <w:tcW w:w="890" w:type="dxa"/>
          </w:tcPr>
          <w:p w14:paraId="2C05D5CA" w14:textId="01B948F2" w:rsidR="0004229B" w:rsidRPr="0004229B" w:rsidRDefault="0004229B" w:rsidP="0004229B">
            <w:pPr>
              <w:pStyle w:val="BodyText"/>
              <w:spacing w:before="0" w:after="0" w:line="240" w:lineRule="auto"/>
              <w:rPr>
                <w:sz w:val="18"/>
                <w:szCs w:val="18"/>
              </w:rPr>
            </w:pPr>
            <w:r w:rsidRPr="0004229B">
              <w:rPr>
                <w:sz w:val="18"/>
                <w:szCs w:val="18"/>
              </w:rPr>
              <w:t>18.3%</w:t>
            </w:r>
          </w:p>
        </w:tc>
        <w:tc>
          <w:tcPr>
            <w:tcW w:w="882" w:type="dxa"/>
          </w:tcPr>
          <w:p w14:paraId="75CA4EBE" w14:textId="77777777" w:rsidR="0004229B" w:rsidRPr="0004229B" w:rsidRDefault="0004229B" w:rsidP="0004229B">
            <w:pPr>
              <w:pStyle w:val="BodyText"/>
              <w:spacing w:before="0" w:after="0" w:line="240" w:lineRule="auto"/>
              <w:rPr>
                <w:sz w:val="18"/>
                <w:szCs w:val="18"/>
              </w:rPr>
            </w:pPr>
            <w:r w:rsidRPr="0004229B">
              <w:rPr>
                <w:sz w:val="18"/>
                <w:szCs w:val="18"/>
              </w:rPr>
              <w:t>Tubular: 2.5%</w:t>
            </w:r>
          </w:p>
          <w:p w14:paraId="76E77415" w14:textId="51E88044" w:rsidR="0004229B" w:rsidRPr="0004229B" w:rsidRDefault="0004229B" w:rsidP="0004229B">
            <w:pPr>
              <w:pStyle w:val="BodyText"/>
              <w:spacing w:before="0" w:after="0" w:line="240" w:lineRule="auto"/>
              <w:rPr>
                <w:sz w:val="18"/>
                <w:szCs w:val="18"/>
              </w:rPr>
            </w:pPr>
            <w:r w:rsidRPr="0004229B">
              <w:rPr>
                <w:sz w:val="18"/>
                <w:szCs w:val="18"/>
              </w:rPr>
              <w:t>Other: 12.5%</w:t>
            </w:r>
          </w:p>
        </w:tc>
        <w:tc>
          <w:tcPr>
            <w:tcW w:w="941" w:type="dxa"/>
          </w:tcPr>
          <w:p w14:paraId="51ADC371" w14:textId="77777777" w:rsidR="0004229B" w:rsidRPr="0004229B" w:rsidRDefault="0004229B" w:rsidP="0004229B">
            <w:pPr>
              <w:pStyle w:val="BodyText"/>
              <w:spacing w:before="0" w:after="0" w:line="240" w:lineRule="auto"/>
              <w:rPr>
                <w:sz w:val="18"/>
                <w:szCs w:val="18"/>
              </w:rPr>
            </w:pPr>
            <w:r w:rsidRPr="0004229B">
              <w:rPr>
                <w:sz w:val="18"/>
                <w:szCs w:val="18"/>
              </w:rPr>
              <w:t>Tubular: 5.6%</w:t>
            </w:r>
          </w:p>
          <w:p w14:paraId="285D3155" w14:textId="323360CF" w:rsidR="0004229B" w:rsidRPr="0004229B" w:rsidRDefault="0004229B" w:rsidP="0004229B">
            <w:pPr>
              <w:pStyle w:val="BodyText"/>
              <w:spacing w:before="0" w:after="0" w:line="240" w:lineRule="auto"/>
              <w:rPr>
                <w:sz w:val="18"/>
                <w:szCs w:val="18"/>
              </w:rPr>
            </w:pPr>
            <w:r w:rsidRPr="0004229B">
              <w:rPr>
                <w:sz w:val="18"/>
                <w:szCs w:val="18"/>
              </w:rPr>
              <w:t>Other: 4.2%</w:t>
            </w:r>
          </w:p>
        </w:tc>
        <w:tc>
          <w:tcPr>
            <w:tcW w:w="882" w:type="dxa"/>
          </w:tcPr>
          <w:p w14:paraId="1A3A4C58" w14:textId="283900B2" w:rsidR="0004229B" w:rsidRPr="0004229B" w:rsidRDefault="003520C8" w:rsidP="0004229B">
            <w:pPr>
              <w:pStyle w:val="BodyText"/>
              <w:spacing w:before="0" w:after="0" w:line="240" w:lineRule="auto"/>
              <w:rPr>
                <w:sz w:val="18"/>
                <w:szCs w:val="18"/>
              </w:rPr>
            </w:pPr>
            <w:r>
              <w:rPr>
                <w:sz w:val="18"/>
                <w:szCs w:val="18"/>
              </w:rPr>
              <w:t>1.0 DCIS per 1000 screens</w:t>
            </w:r>
          </w:p>
        </w:tc>
        <w:tc>
          <w:tcPr>
            <w:tcW w:w="891" w:type="dxa"/>
          </w:tcPr>
          <w:p w14:paraId="498F83DD" w14:textId="030DC13F" w:rsidR="0004229B" w:rsidRPr="0004229B" w:rsidRDefault="003520C8" w:rsidP="0004229B">
            <w:pPr>
              <w:pStyle w:val="BodyText"/>
              <w:spacing w:before="0" w:after="0" w:line="240" w:lineRule="auto"/>
              <w:rPr>
                <w:sz w:val="18"/>
                <w:szCs w:val="18"/>
              </w:rPr>
            </w:pPr>
            <w:r>
              <w:rPr>
                <w:sz w:val="18"/>
                <w:szCs w:val="18"/>
              </w:rPr>
              <w:t>1.1 DCIS per 1000 screens</w:t>
            </w:r>
          </w:p>
        </w:tc>
      </w:tr>
      <w:tr w:rsidR="0004229B" w:rsidRPr="00201646" w14:paraId="1DFD86B2" w14:textId="77777777" w:rsidTr="002C6611">
        <w:tc>
          <w:tcPr>
            <w:tcW w:w="9061" w:type="dxa"/>
            <w:gridSpan w:val="9"/>
          </w:tcPr>
          <w:p w14:paraId="410CAAB4" w14:textId="77777777" w:rsidR="0004229B" w:rsidRPr="00201646" w:rsidRDefault="0004229B" w:rsidP="0004229B">
            <w:pPr>
              <w:pStyle w:val="BodyText"/>
              <w:spacing w:before="0" w:after="0" w:line="240" w:lineRule="auto"/>
              <w:rPr>
                <w:b/>
                <w:bCs/>
                <w:sz w:val="18"/>
                <w:szCs w:val="18"/>
              </w:rPr>
            </w:pPr>
            <w:r>
              <w:rPr>
                <w:b/>
                <w:bCs/>
                <w:sz w:val="18"/>
                <w:szCs w:val="18"/>
              </w:rPr>
              <w:t>Prospective studies embedded in population-based screening</w:t>
            </w:r>
          </w:p>
        </w:tc>
      </w:tr>
      <w:tr w:rsidR="0004229B" w:rsidRPr="00DB2501" w14:paraId="45C3987C" w14:textId="77777777" w:rsidTr="0004229B">
        <w:tc>
          <w:tcPr>
            <w:tcW w:w="1911" w:type="dxa"/>
          </w:tcPr>
          <w:p w14:paraId="7AB4E91B" w14:textId="77777777" w:rsidR="0004229B" w:rsidRDefault="0004229B" w:rsidP="0004229B">
            <w:pPr>
              <w:pStyle w:val="BodyText"/>
              <w:spacing w:before="0" w:after="0" w:line="240" w:lineRule="auto"/>
              <w:jc w:val="left"/>
              <w:rPr>
                <w:sz w:val="18"/>
                <w:szCs w:val="18"/>
              </w:rPr>
            </w:pPr>
            <w:r>
              <w:rPr>
                <w:sz w:val="18"/>
                <w:szCs w:val="18"/>
              </w:rPr>
              <w:t>Houssami et al. (2019)</w:t>
            </w:r>
          </w:p>
          <w:p w14:paraId="0A2D3C45" w14:textId="15F88938" w:rsidR="0004229B" w:rsidRPr="00DB2501" w:rsidRDefault="0004229B" w:rsidP="0004229B">
            <w:pPr>
              <w:pStyle w:val="BodyText"/>
              <w:spacing w:before="0" w:after="0" w:line="240" w:lineRule="auto"/>
              <w:jc w:val="left"/>
              <w:rPr>
                <w:sz w:val="18"/>
                <w:szCs w:val="18"/>
              </w:rPr>
            </w:pPr>
            <w:r w:rsidRPr="00DB2501">
              <w:rPr>
                <w:sz w:val="18"/>
                <w:szCs w:val="18"/>
              </w:rPr>
              <w:t>Maroondah</w:t>
            </w:r>
          </w:p>
        </w:tc>
        <w:tc>
          <w:tcPr>
            <w:tcW w:w="889" w:type="dxa"/>
          </w:tcPr>
          <w:p w14:paraId="046DC862" w14:textId="2B86C528" w:rsidR="0004229B" w:rsidRPr="00DB2501" w:rsidRDefault="0004229B" w:rsidP="0004229B">
            <w:pPr>
              <w:pStyle w:val="BodyText"/>
              <w:spacing w:before="0" w:after="0" w:line="240" w:lineRule="auto"/>
              <w:rPr>
                <w:sz w:val="18"/>
                <w:szCs w:val="18"/>
              </w:rPr>
            </w:pPr>
            <w:r w:rsidRPr="00DB2501">
              <w:rPr>
                <w:sz w:val="18"/>
                <w:szCs w:val="18"/>
              </w:rPr>
              <w:t>75</w:t>
            </w:r>
            <w:r w:rsidR="00305807">
              <w:rPr>
                <w:sz w:val="18"/>
                <w:szCs w:val="18"/>
              </w:rPr>
              <w:t>%</w:t>
            </w:r>
          </w:p>
        </w:tc>
        <w:tc>
          <w:tcPr>
            <w:tcW w:w="893" w:type="dxa"/>
          </w:tcPr>
          <w:p w14:paraId="02AD1C9D" w14:textId="6C466027" w:rsidR="0004229B" w:rsidRPr="00DB2501" w:rsidRDefault="0004229B" w:rsidP="0004229B">
            <w:pPr>
              <w:pStyle w:val="BodyText"/>
              <w:spacing w:before="0" w:after="0" w:line="240" w:lineRule="auto"/>
              <w:rPr>
                <w:sz w:val="18"/>
                <w:szCs w:val="18"/>
              </w:rPr>
            </w:pPr>
            <w:r w:rsidRPr="00DB2501">
              <w:rPr>
                <w:sz w:val="18"/>
                <w:szCs w:val="18"/>
              </w:rPr>
              <w:t>70</w:t>
            </w:r>
            <w:r w:rsidR="00305807">
              <w:rPr>
                <w:sz w:val="18"/>
                <w:szCs w:val="18"/>
              </w:rPr>
              <w:t>%</w:t>
            </w:r>
          </w:p>
        </w:tc>
        <w:tc>
          <w:tcPr>
            <w:tcW w:w="882" w:type="dxa"/>
          </w:tcPr>
          <w:p w14:paraId="462F71AD" w14:textId="62E3A317" w:rsidR="0004229B" w:rsidRPr="00DB2501" w:rsidRDefault="0004229B" w:rsidP="0004229B">
            <w:pPr>
              <w:pStyle w:val="BodyText"/>
              <w:spacing w:before="0" w:after="0" w:line="240" w:lineRule="auto"/>
              <w:rPr>
                <w:sz w:val="18"/>
                <w:szCs w:val="18"/>
              </w:rPr>
            </w:pPr>
            <w:r w:rsidRPr="00DB2501">
              <w:rPr>
                <w:sz w:val="18"/>
                <w:szCs w:val="18"/>
              </w:rPr>
              <w:t>13</w:t>
            </w:r>
            <w:r w:rsidR="00305807">
              <w:rPr>
                <w:sz w:val="18"/>
                <w:szCs w:val="18"/>
              </w:rPr>
              <w:t>%</w:t>
            </w:r>
          </w:p>
        </w:tc>
        <w:tc>
          <w:tcPr>
            <w:tcW w:w="890" w:type="dxa"/>
          </w:tcPr>
          <w:p w14:paraId="2528CDFF" w14:textId="51F48AFC" w:rsidR="0004229B" w:rsidRPr="00DB2501" w:rsidRDefault="0004229B" w:rsidP="0004229B">
            <w:pPr>
              <w:pStyle w:val="BodyText"/>
              <w:spacing w:before="0" w:after="0" w:line="240" w:lineRule="auto"/>
              <w:rPr>
                <w:sz w:val="18"/>
                <w:szCs w:val="18"/>
              </w:rPr>
            </w:pPr>
            <w:r w:rsidRPr="00DB2501">
              <w:rPr>
                <w:sz w:val="18"/>
                <w:szCs w:val="18"/>
              </w:rPr>
              <w:t>23</w:t>
            </w:r>
            <w:r w:rsidR="00305807">
              <w:rPr>
                <w:sz w:val="18"/>
                <w:szCs w:val="18"/>
              </w:rPr>
              <w:t>%</w:t>
            </w:r>
          </w:p>
        </w:tc>
        <w:tc>
          <w:tcPr>
            <w:tcW w:w="882" w:type="dxa"/>
          </w:tcPr>
          <w:p w14:paraId="29737971" w14:textId="2D84D963" w:rsidR="0004229B" w:rsidRPr="00DB2501" w:rsidRDefault="0004229B" w:rsidP="0004229B">
            <w:pPr>
              <w:pStyle w:val="BodyText"/>
              <w:spacing w:before="0" w:after="0" w:line="240" w:lineRule="auto"/>
              <w:rPr>
                <w:sz w:val="18"/>
                <w:szCs w:val="18"/>
              </w:rPr>
            </w:pPr>
            <w:r w:rsidRPr="00DB2501">
              <w:rPr>
                <w:sz w:val="18"/>
                <w:szCs w:val="18"/>
              </w:rPr>
              <w:t>13</w:t>
            </w:r>
            <w:r w:rsidR="00305807">
              <w:rPr>
                <w:sz w:val="18"/>
                <w:szCs w:val="18"/>
              </w:rPr>
              <w:t>%</w:t>
            </w:r>
          </w:p>
        </w:tc>
        <w:tc>
          <w:tcPr>
            <w:tcW w:w="941" w:type="dxa"/>
          </w:tcPr>
          <w:p w14:paraId="4E06BAAB" w14:textId="5C947DC2" w:rsidR="0004229B" w:rsidRPr="00DB2501" w:rsidRDefault="0004229B" w:rsidP="0004229B">
            <w:pPr>
              <w:pStyle w:val="BodyText"/>
              <w:spacing w:before="0" w:after="0" w:line="240" w:lineRule="auto"/>
              <w:rPr>
                <w:sz w:val="18"/>
                <w:szCs w:val="18"/>
              </w:rPr>
            </w:pPr>
            <w:r w:rsidRPr="00DB2501">
              <w:rPr>
                <w:sz w:val="18"/>
                <w:szCs w:val="18"/>
              </w:rPr>
              <w:t>7</w:t>
            </w:r>
            <w:r w:rsidR="00305807">
              <w:rPr>
                <w:sz w:val="18"/>
                <w:szCs w:val="18"/>
              </w:rPr>
              <w:t>%</w:t>
            </w:r>
          </w:p>
        </w:tc>
        <w:tc>
          <w:tcPr>
            <w:tcW w:w="882" w:type="dxa"/>
          </w:tcPr>
          <w:p w14:paraId="73340B0F" w14:textId="47A970AA" w:rsidR="0004229B" w:rsidRPr="00DB2501" w:rsidRDefault="003520C8" w:rsidP="0004229B">
            <w:pPr>
              <w:pStyle w:val="BodyText"/>
              <w:spacing w:before="0" w:after="0" w:line="240" w:lineRule="auto"/>
              <w:rPr>
                <w:sz w:val="18"/>
                <w:szCs w:val="18"/>
              </w:rPr>
            </w:pPr>
            <w:r>
              <w:rPr>
                <w:sz w:val="18"/>
                <w:szCs w:val="18"/>
              </w:rPr>
              <w:t>9</w:t>
            </w:r>
            <w:r w:rsidR="00305807">
              <w:rPr>
                <w:sz w:val="18"/>
                <w:szCs w:val="18"/>
              </w:rPr>
              <w:t>%</w:t>
            </w:r>
          </w:p>
        </w:tc>
        <w:tc>
          <w:tcPr>
            <w:tcW w:w="891" w:type="dxa"/>
          </w:tcPr>
          <w:p w14:paraId="2E992F98" w14:textId="4A5406E5" w:rsidR="0004229B" w:rsidRPr="00DB2501" w:rsidRDefault="003520C8" w:rsidP="0004229B">
            <w:pPr>
              <w:pStyle w:val="BodyText"/>
              <w:spacing w:before="0" w:after="0" w:line="240" w:lineRule="auto"/>
              <w:rPr>
                <w:sz w:val="18"/>
                <w:szCs w:val="18"/>
              </w:rPr>
            </w:pPr>
            <w:r>
              <w:rPr>
                <w:sz w:val="18"/>
                <w:szCs w:val="18"/>
              </w:rPr>
              <w:t>4</w:t>
            </w:r>
            <w:r w:rsidR="00305807">
              <w:rPr>
                <w:sz w:val="18"/>
                <w:szCs w:val="18"/>
              </w:rPr>
              <w:t>%</w:t>
            </w:r>
          </w:p>
        </w:tc>
      </w:tr>
      <w:tr w:rsidR="0004229B" w:rsidRPr="00DB2501" w14:paraId="76B72791" w14:textId="77777777" w:rsidTr="0004229B">
        <w:tc>
          <w:tcPr>
            <w:tcW w:w="1911" w:type="dxa"/>
          </w:tcPr>
          <w:p w14:paraId="7FD8C7B6" w14:textId="77777777" w:rsidR="0004229B" w:rsidRDefault="0004229B" w:rsidP="0004229B">
            <w:pPr>
              <w:pStyle w:val="BodyText"/>
              <w:spacing w:before="0" w:after="0" w:line="240" w:lineRule="auto"/>
              <w:jc w:val="left"/>
              <w:rPr>
                <w:sz w:val="18"/>
                <w:szCs w:val="18"/>
              </w:rPr>
            </w:pPr>
            <w:r>
              <w:rPr>
                <w:sz w:val="18"/>
                <w:szCs w:val="18"/>
              </w:rPr>
              <w:t>Hofvind et al. (2018)</w:t>
            </w:r>
          </w:p>
          <w:p w14:paraId="3A728D59" w14:textId="77777777" w:rsidR="0004229B" w:rsidRPr="00DB2501" w:rsidRDefault="0004229B" w:rsidP="0004229B">
            <w:pPr>
              <w:pStyle w:val="BodyText"/>
              <w:spacing w:before="0" w:after="0" w:line="240" w:lineRule="auto"/>
              <w:jc w:val="left"/>
              <w:rPr>
                <w:sz w:val="18"/>
                <w:szCs w:val="18"/>
              </w:rPr>
            </w:pPr>
            <w:r w:rsidRPr="00DB2501">
              <w:rPr>
                <w:sz w:val="18"/>
                <w:szCs w:val="18"/>
              </w:rPr>
              <w:t xml:space="preserve">Norway </w:t>
            </w:r>
            <w:r>
              <w:rPr>
                <w:sz w:val="18"/>
                <w:szCs w:val="18"/>
              </w:rPr>
              <w:t>BSP</w:t>
            </w:r>
          </w:p>
        </w:tc>
        <w:tc>
          <w:tcPr>
            <w:tcW w:w="889" w:type="dxa"/>
          </w:tcPr>
          <w:p w14:paraId="57A56F77" w14:textId="77777777" w:rsidR="0004229B" w:rsidRPr="00DB2501" w:rsidRDefault="0004229B" w:rsidP="0004229B">
            <w:pPr>
              <w:pStyle w:val="BodyText"/>
              <w:spacing w:before="0" w:after="0" w:line="240" w:lineRule="auto"/>
              <w:rPr>
                <w:sz w:val="18"/>
                <w:szCs w:val="18"/>
              </w:rPr>
            </w:pPr>
            <w:r w:rsidRPr="00DB2501">
              <w:rPr>
                <w:sz w:val="18"/>
                <w:szCs w:val="18"/>
              </w:rPr>
              <w:t>5.6 per 1000</w:t>
            </w:r>
          </w:p>
        </w:tc>
        <w:tc>
          <w:tcPr>
            <w:tcW w:w="893" w:type="dxa"/>
          </w:tcPr>
          <w:p w14:paraId="00B203CC" w14:textId="7D019736" w:rsidR="0004229B" w:rsidRPr="00DB2501" w:rsidRDefault="0004229B" w:rsidP="0004229B">
            <w:pPr>
              <w:pStyle w:val="BodyText"/>
              <w:spacing w:before="0" w:after="0" w:line="240" w:lineRule="auto"/>
              <w:rPr>
                <w:sz w:val="18"/>
                <w:szCs w:val="18"/>
              </w:rPr>
            </w:pPr>
            <w:r w:rsidRPr="00DB2501">
              <w:rPr>
                <w:sz w:val="18"/>
                <w:szCs w:val="18"/>
              </w:rPr>
              <w:t xml:space="preserve">4.9 </w:t>
            </w:r>
            <w:r w:rsidR="0034054F">
              <w:rPr>
                <w:sz w:val="18"/>
                <w:szCs w:val="18"/>
              </w:rPr>
              <w:t>(</w:t>
            </w:r>
            <w:r w:rsidRPr="0034054F">
              <w:rPr>
                <w:i/>
                <w:iCs/>
                <w:sz w:val="18"/>
                <w:szCs w:val="18"/>
              </w:rPr>
              <w:t>p</w:t>
            </w:r>
            <w:r w:rsidRPr="00DB2501">
              <w:rPr>
                <w:sz w:val="18"/>
                <w:szCs w:val="18"/>
              </w:rPr>
              <w:t>=.014</w:t>
            </w:r>
            <w:r w:rsidR="0034054F">
              <w:rPr>
                <w:sz w:val="18"/>
                <w:szCs w:val="18"/>
              </w:rPr>
              <w:t>)</w:t>
            </w:r>
          </w:p>
        </w:tc>
        <w:tc>
          <w:tcPr>
            <w:tcW w:w="882" w:type="dxa"/>
          </w:tcPr>
          <w:p w14:paraId="48485B3C" w14:textId="77777777" w:rsidR="0004229B" w:rsidRPr="00DB2501" w:rsidRDefault="0004229B" w:rsidP="0004229B">
            <w:pPr>
              <w:pStyle w:val="BodyText"/>
              <w:spacing w:before="0" w:after="0" w:line="240" w:lineRule="auto"/>
              <w:rPr>
                <w:sz w:val="18"/>
                <w:szCs w:val="18"/>
              </w:rPr>
            </w:pPr>
            <w:r w:rsidRPr="00DB2501">
              <w:rPr>
                <w:sz w:val="18"/>
                <w:szCs w:val="18"/>
              </w:rPr>
              <w:t>1.1 per 1000</w:t>
            </w:r>
          </w:p>
        </w:tc>
        <w:tc>
          <w:tcPr>
            <w:tcW w:w="890" w:type="dxa"/>
          </w:tcPr>
          <w:p w14:paraId="1AE0FA7F" w14:textId="0F6D2EDE" w:rsidR="0004229B" w:rsidRPr="00DB2501" w:rsidRDefault="0004229B" w:rsidP="0004229B">
            <w:pPr>
              <w:pStyle w:val="BodyText"/>
              <w:spacing w:before="0" w:after="0" w:line="240" w:lineRule="auto"/>
              <w:rPr>
                <w:sz w:val="18"/>
                <w:szCs w:val="18"/>
              </w:rPr>
            </w:pPr>
            <w:r w:rsidRPr="00DB2501">
              <w:rPr>
                <w:sz w:val="18"/>
                <w:szCs w:val="18"/>
              </w:rPr>
              <w:t xml:space="preserve">0.9 per 1000 </w:t>
            </w:r>
            <w:r w:rsidR="0034054F">
              <w:rPr>
                <w:sz w:val="18"/>
                <w:szCs w:val="18"/>
              </w:rPr>
              <w:t>(</w:t>
            </w:r>
            <w:r w:rsidRPr="0034054F">
              <w:rPr>
                <w:i/>
                <w:iCs/>
                <w:sz w:val="18"/>
                <w:szCs w:val="18"/>
              </w:rPr>
              <w:t>p</w:t>
            </w:r>
            <w:r w:rsidRPr="00DB2501">
              <w:rPr>
                <w:sz w:val="18"/>
                <w:szCs w:val="18"/>
              </w:rPr>
              <w:t>=.061</w:t>
            </w:r>
            <w:r w:rsidR="0034054F">
              <w:rPr>
                <w:sz w:val="18"/>
                <w:szCs w:val="18"/>
              </w:rPr>
              <w:t>)</w:t>
            </w:r>
          </w:p>
        </w:tc>
        <w:tc>
          <w:tcPr>
            <w:tcW w:w="882" w:type="dxa"/>
          </w:tcPr>
          <w:p w14:paraId="43F69614" w14:textId="77777777" w:rsidR="0004229B" w:rsidRPr="00DB2501" w:rsidRDefault="0004229B" w:rsidP="0004229B">
            <w:pPr>
              <w:pStyle w:val="BodyText"/>
              <w:spacing w:before="0" w:after="0" w:line="240" w:lineRule="auto"/>
              <w:rPr>
                <w:sz w:val="18"/>
                <w:szCs w:val="18"/>
              </w:rPr>
            </w:pPr>
            <w:r w:rsidRPr="00DB2501">
              <w:rPr>
                <w:sz w:val="18"/>
                <w:szCs w:val="18"/>
              </w:rPr>
              <w:t>0.9 per 1000</w:t>
            </w:r>
          </w:p>
        </w:tc>
        <w:tc>
          <w:tcPr>
            <w:tcW w:w="941" w:type="dxa"/>
          </w:tcPr>
          <w:p w14:paraId="65E86317" w14:textId="5688FBB4" w:rsidR="0004229B" w:rsidRPr="00DB2501" w:rsidRDefault="0004229B" w:rsidP="0004229B">
            <w:pPr>
              <w:pStyle w:val="BodyText"/>
              <w:spacing w:before="0" w:after="0" w:line="240" w:lineRule="auto"/>
              <w:rPr>
                <w:sz w:val="18"/>
                <w:szCs w:val="18"/>
              </w:rPr>
            </w:pPr>
            <w:r w:rsidRPr="00DB2501">
              <w:rPr>
                <w:sz w:val="18"/>
                <w:szCs w:val="18"/>
              </w:rPr>
              <w:t>0.3 for tub</w:t>
            </w:r>
            <w:r>
              <w:rPr>
                <w:sz w:val="18"/>
                <w:szCs w:val="18"/>
              </w:rPr>
              <w:t xml:space="preserve">ular </w:t>
            </w:r>
            <w:r w:rsidRPr="00DB2501">
              <w:rPr>
                <w:sz w:val="18"/>
                <w:szCs w:val="18"/>
              </w:rPr>
              <w:t xml:space="preserve">carcinoma per 1000 </w:t>
            </w:r>
            <w:r w:rsidR="0034054F">
              <w:rPr>
                <w:sz w:val="18"/>
                <w:szCs w:val="18"/>
              </w:rPr>
              <w:t>(</w:t>
            </w:r>
            <w:r w:rsidRPr="00FC0076">
              <w:rPr>
                <w:i/>
                <w:iCs/>
                <w:sz w:val="18"/>
                <w:szCs w:val="18"/>
              </w:rPr>
              <w:t>p</w:t>
            </w:r>
            <w:r w:rsidRPr="00DB2501">
              <w:rPr>
                <w:sz w:val="18"/>
                <w:szCs w:val="18"/>
              </w:rPr>
              <w:t>&lt;.001</w:t>
            </w:r>
            <w:r w:rsidR="0034054F">
              <w:rPr>
                <w:sz w:val="18"/>
                <w:szCs w:val="18"/>
              </w:rPr>
              <w:t>)</w:t>
            </w:r>
          </w:p>
        </w:tc>
        <w:tc>
          <w:tcPr>
            <w:tcW w:w="882" w:type="dxa"/>
          </w:tcPr>
          <w:p w14:paraId="1F2E63CA" w14:textId="2C6EB2EE" w:rsidR="0004229B" w:rsidRPr="00DB2501" w:rsidRDefault="0004229B" w:rsidP="0004229B">
            <w:pPr>
              <w:pStyle w:val="BodyText"/>
              <w:spacing w:before="0" w:after="0" w:line="240" w:lineRule="auto"/>
              <w:rPr>
                <w:sz w:val="18"/>
                <w:szCs w:val="18"/>
              </w:rPr>
            </w:pPr>
            <w:r w:rsidRPr="00DB2501">
              <w:rPr>
                <w:sz w:val="18"/>
                <w:szCs w:val="18"/>
              </w:rPr>
              <w:t>1.7 per 1000</w:t>
            </w:r>
          </w:p>
        </w:tc>
        <w:tc>
          <w:tcPr>
            <w:tcW w:w="891" w:type="dxa"/>
          </w:tcPr>
          <w:p w14:paraId="51B70E94" w14:textId="3990450C" w:rsidR="0004229B" w:rsidRPr="00DB2501" w:rsidRDefault="0004229B" w:rsidP="0004229B">
            <w:pPr>
              <w:pStyle w:val="BodyText"/>
              <w:spacing w:before="0" w:after="0" w:line="240" w:lineRule="auto"/>
              <w:rPr>
                <w:sz w:val="18"/>
                <w:szCs w:val="18"/>
              </w:rPr>
            </w:pPr>
            <w:r w:rsidRPr="00DB2501">
              <w:rPr>
                <w:sz w:val="18"/>
                <w:szCs w:val="18"/>
              </w:rPr>
              <w:t xml:space="preserve">0.8 </w:t>
            </w:r>
            <w:r w:rsidR="0034054F">
              <w:rPr>
                <w:sz w:val="18"/>
                <w:szCs w:val="18"/>
              </w:rPr>
              <w:t>(</w:t>
            </w:r>
            <w:r w:rsidRPr="0034054F">
              <w:rPr>
                <w:i/>
                <w:iCs/>
                <w:sz w:val="18"/>
                <w:szCs w:val="18"/>
              </w:rPr>
              <w:t>p</w:t>
            </w:r>
            <w:r w:rsidRPr="00DB2501">
              <w:rPr>
                <w:sz w:val="18"/>
                <w:szCs w:val="18"/>
              </w:rPr>
              <w:t>&lt;.001</w:t>
            </w:r>
            <w:r w:rsidR="0034054F">
              <w:rPr>
                <w:sz w:val="18"/>
                <w:szCs w:val="18"/>
              </w:rPr>
              <w:t>)</w:t>
            </w:r>
          </w:p>
        </w:tc>
      </w:tr>
      <w:tr w:rsidR="000533DE" w:rsidRPr="00DB2501" w14:paraId="5930CE72" w14:textId="77777777" w:rsidTr="0004229B">
        <w:tc>
          <w:tcPr>
            <w:tcW w:w="1911" w:type="dxa"/>
          </w:tcPr>
          <w:p w14:paraId="2F605928" w14:textId="5241482E" w:rsidR="000533DE" w:rsidRPr="00DB2501" w:rsidRDefault="000533DE" w:rsidP="00D41F92">
            <w:pPr>
              <w:pStyle w:val="BodyText"/>
              <w:spacing w:before="0" w:after="0" w:line="240" w:lineRule="auto"/>
              <w:jc w:val="left"/>
              <w:rPr>
                <w:sz w:val="18"/>
                <w:szCs w:val="18"/>
              </w:rPr>
            </w:pPr>
            <w:r w:rsidRPr="00DB2501">
              <w:rPr>
                <w:sz w:val="18"/>
                <w:szCs w:val="18"/>
              </w:rPr>
              <w:t>Romero Mart</w:t>
            </w:r>
            <w:r w:rsidRPr="00DB2501">
              <w:rPr>
                <w:rFonts w:cstheme="majorHAnsi"/>
                <w:sz w:val="18"/>
                <w:szCs w:val="18"/>
              </w:rPr>
              <w:t>í</w:t>
            </w:r>
            <w:r w:rsidRPr="00DB2501">
              <w:rPr>
                <w:sz w:val="18"/>
                <w:szCs w:val="18"/>
              </w:rPr>
              <w:t>n et al. (2018)</w:t>
            </w:r>
            <w:r w:rsidR="00D41F92">
              <w:rPr>
                <w:sz w:val="18"/>
                <w:szCs w:val="18"/>
              </w:rPr>
              <w:t xml:space="preserve">, </w:t>
            </w:r>
            <w:r>
              <w:rPr>
                <w:sz w:val="18"/>
                <w:szCs w:val="18"/>
              </w:rPr>
              <w:t>Cordoba</w:t>
            </w:r>
          </w:p>
        </w:tc>
        <w:tc>
          <w:tcPr>
            <w:tcW w:w="889" w:type="dxa"/>
          </w:tcPr>
          <w:p w14:paraId="1E4930F8" w14:textId="77777777" w:rsidR="000533DE" w:rsidRPr="00DB2501" w:rsidRDefault="000533DE" w:rsidP="000533DE">
            <w:pPr>
              <w:pStyle w:val="BodyText"/>
              <w:spacing w:before="0" w:after="0" w:line="240" w:lineRule="auto"/>
              <w:rPr>
                <w:sz w:val="18"/>
                <w:szCs w:val="18"/>
              </w:rPr>
            </w:pPr>
            <w:r w:rsidRPr="00DB2501">
              <w:rPr>
                <w:sz w:val="18"/>
                <w:szCs w:val="18"/>
              </w:rPr>
              <w:t>67 cancers</w:t>
            </w:r>
          </w:p>
        </w:tc>
        <w:tc>
          <w:tcPr>
            <w:tcW w:w="893" w:type="dxa"/>
          </w:tcPr>
          <w:p w14:paraId="78E860F9" w14:textId="4A6C3F68" w:rsidR="000533DE" w:rsidRPr="00DB2501" w:rsidRDefault="000533DE" w:rsidP="000533DE">
            <w:pPr>
              <w:pStyle w:val="BodyText"/>
              <w:spacing w:before="0" w:after="0" w:line="240" w:lineRule="auto"/>
              <w:rPr>
                <w:sz w:val="18"/>
                <w:szCs w:val="18"/>
              </w:rPr>
            </w:pPr>
            <w:r w:rsidRPr="00DB2501">
              <w:rPr>
                <w:sz w:val="18"/>
                <w:szCs w:val="18"/>
              </w:rPr>
              <w:t xml:space="preserve">55 cancers </w:t>
            </w:r>
            <w:r w:rsidR="0034054F">
              <w:rPr>
                <w:sz w:val="18"/>
                <w:szCs w:val="18"/>
              </w:rPr>
              <w:t>(</w:t>
            </w:r>
            <w:r w:rsidRPr="003520C8">
              <w:rPr>
                <w:i/>
                <w:iCs/>
                <w:sz w:val="18"/>
                <w:szCs w:val="18"/>
              </w:rPr>
              <w:t>p</w:t>
            </w:r>
            <w:r w:rsidRPr="00DB2501">
              <w:rPr>
                <w:sz w:val="18"/>
                <w:szCs w:val="18"/>
              </w:rPr>
              <w:t>=.001</w:t>
            </w:r>
            <w:r w:rsidR="0034054F">
              <w:rPr>
                <w:sz w:val="18"/>
                <w:szCs w:val="18"/>
              </w:rPr>
              <w:t>)</w:t>
            </w:r>
          </w:p>
        </w:tc>
        <w:tc>
          <w:tcPr>
            <w:tcW w:w="882" w:type="dxa"/>
          </w:tcPr>
          <w:p w14:paraId="05DD2A38" w14:textId="2C6500CC" w:rsidR="000533DE" w:rsidRPr="00DB2501" w:rsidRDefault="00705ED5" w:rsidP="000533DE">
            <w:pPr>
              <w:pStyle w:val="BodyText"/>
              <w:spacing w:before="0" w:after="0" w:line="240" w:lineRule="auto"/>
              <w:rPr>
                <w:sz w:val="18"/>
                <w:szCs w:val="18"/>
              </w:rPr>
            </w:pPr>
            <w:r>
              <w:rPr>
                <w:sz w:val="18"/>
                <w:szCs w:val="18"/>
              </w:rPr>
              <w:t>4 cancers</w:t>
            </w:r>
          </w:p>
        </w:tc>
        <w:tc>
          <w:tcPr>
            <w:tcW w:w="890" w:type="dxa"/>
          </w:tcPr>
          <w:p w14:paraId="10A96044" w14:textId="15C41291" w:rsidR="000533DE" w:rsidRPr="00DB2501" w:rsidRDefault="00705ED5" w:rsidP="000533DE">
            <w:pPr>
              <w:pStyle w:val="BodyText"/>
              <w:spacing w:before="0" w:after="0" w:line="240" w:lineRule="auto"/>
              <w:rPr>
                <w:sz w:val="18"/>
                <w:szCs w:val="18"/>
              </w:rPr>
            </w:pPr>
            <w:r>
              <w:rPr>
                <w:sz w:val="18"/>
                <w:szCs w:val="18"/>
              </w:rPr>
              <w:t>2 cancers</w:t>
            </w:r>
            <w:r w:rsidR="000533DE" w:rsidRPr="00DB2501">
              <w:rPr>
                <w:sz w:val="18"/>
                <w:szCs w:val="18"/>
              </w:rPr>
              <w:t xml:space="preserve"> </w:t>
            </w:r>
            <w:r w:rsidR="0034054F">
              <w:rPr>
                <w:sz w:val="18"/>
                <w:szCs w:val="18"/>
              </w:rPr>
              <w:t>(</w:t>
            </w:r>
            <w:r w:rsidR="000533DE" w:rsidRPr="00705ED5">
              <w:rPr>
                <w:i/>
                <w:iCs/>
                <w:sz w:val="18"/>
                <w:szCs w:val="18"/>
              </w:rPr>
              <w:t>p</w:t>
            </w:r>
            <w:r>
              <w:rPr>
                <w:i/>
                <w:iCs/>
                <w:sz w:val="18"/>
                <w:szCs w:val="18"/>
              </w:rPr>
              <w:t>=</w:t>
            </w:r>
            <w:r w:rsidR="000533DE" w:rsidRPr="00DB2501">
              <w:rPr>
                <w:sz w:val="18"/>
                <w:szCs w:val="18"/>
              </w:rPr>
              <w:t>.102</w:t>
            </w:r>
            <w:r w:rsidR="0034054F">
              <w:rPr>
                <w:sz w:val="18"/>
                <w:szCs w:val="18"/>
              </w:rPr>
              <w:t>)</w:t>
            </w:r>
          </w:p>
        </w:tc>
        <w:tc>
          <w:tcPr>
            <w:tcW w:w="882" w:type="dxa"/>
          </w:tcPr>
          <w:p w14:paraId="4CDED3D7" w14:textId="2E7AD33E" w:rsidR="000533DE" w:rsidRPr="00DB2501" w:rsidRDefault="00705ED5" w:rsidP="00705ED5">
            <w:pPr>
              <w:pStyle w:val="BodyText"/>
              <w:spacing w:before="0" w:after="0" w:line="240" w:lineRule="auto"/>
              <w:jc w:val="center"/>
              <w:rPr>
                <w:sz w:val="18"/>
                <w:szCs w:val="18"/>
              </w:rPr>
            </w:pPr>
            <w:r>
              <w:rPr>
                <w:sz w:val="18"/>
                <w:szCs w:val="18"/>
              </w:rPr>
              <w:t>No data</w:t>
            </w:r>
          </w:p>
        </w:tc>
        <w:tc>
          <w:tcPr>
            <w:tcW w:w="941" w:type="dxa"/>
          </w:tcPr>
          <w:p w14:paraId="1B71AF5B" w14:textId="6CE9736C" w:rsidR="000533DE" w:rsidRPr="00DB2501" w:rsidRDefault="00705ED5" w:rsidP="00705ED5">
            <w:pPr>
              <w:pStyle w:val="BodyText"/>
              <w:spacing w:before="0" w:after="0" w:line="240" w:lineRule="auto"/>
              <w:jc w:val="center"/>
              <w:rPr>
                <w:sz w:val="18"/>
                <w:szCs w:val="18"/>
              </w:rPr>
            </w:pPr>
            <w:r>
              <w:rPr>
                <w:sz w:val="18"/>
                <w:szCs w:val="18"/>
              </w:rPr>
              <w:t>No data</w:t>
            </w:r>
          </w:p>
        </w:tc>
        <w:tc>
          <w:tcPr>
            <w:tcW w:w="882" w:type="dxa"/>
          </w:tcPr>
          <w:p w14:paraId="7360FE23" w14:textId="2B8834A6" w:rsidR="000533DE" w:rsidRPr="00DB2501" w:rsidRDefault="00705ED5" w:rsidP="000533DE">
            <w:pPr>
              <w:pStyle w:val="BodyText"/>
              <w:spacing w:before="0" w:after="0" w:line="240" w:lineRule="auto"/>
              <w:rPr>
                <w:sz w:val="18"/>
                <w:szCs w:val="18"/>
              </w:rPr>
            </w:pPr>
            <w:r>
              <w:rPr>
                <w:sz w:val="18"/>
                <w:szCs w:val="18"/>
              </w:rPr>
              <w:t>21 cancers</w:t>
            </w:r>
          </w:p>
        </w:tc>
        <w:tc>
          <w:tcPr>
            <w:tcW w:w="891" w:type="dxa"/>
          </w:tcPr>
          <w:p w14:paraId="6B027AE0" w14:textId="73B9BB42" w:rsidR="000533DE" w:rsidRPr="00DB2501" w:rsidRDefault="00705ED5" w:rsidP="000533DE">
            <w:pPr>
              <w:pStyle w:val="BodyText"/>
              <w:spacing w:before="0" w:after="0" w:line="240" w:lineRule="auto"/>
              <w:rPr>
                <w:sz w:val="18"/>
                <w:szCs w:val="18"/>
              </w:rPr>
            </w:pPr>
            <w:r>
              <w:rPr>
                <w:sz w:val="18"/>
                <w:szCs w:val="18"/>
              </w:rPr>
              <w:t>19 cancers</w:t>
            </w:r>
            <w:r w:rsidR="0034054F">
              <w:rPr>
                <w:sz w:val="18"/>
                <w:szCs w:val="18"/>
              </w:rPr>
              <w:t xml:space="preserve"> (</w:t>
            </w:r>
            <w:r w:rsidR="000533DE" w:rsidRPr="00705ED5">
              <w:rPr>
                <w:i/>
                <w:iCs/>
                <w:sz w:val="18"/>
                <w:szCs w:val="18"/>
              </w:rPr>
              <w:t>p</w:t>
            </w:r>
            <w:r>
              <w:rPr>
                <w:sz w:val="18"/>
                <w:szCs w:val="18"/>
              </w:rPr>
              <w:t>=</w:t>
            </w:r>
            <w:r w:rsidR="000533DE" w:rsidRPr="00DB2501">
              <w:rPr>
                <w:sz w:val="18"/>
                <w:szCs w:val="18"/>
              </w:rPr>
              <w:t>.774</w:t>
            </w:r>
            <w:r w:rsidR="0034054F">
              <w:rPr>
                <w:sz w:val="18"/>
                <w:szCs w:val="18"/>
              </w:rPr>
              <w:t>)</w:t>
            </w:r>
          </w:p>
        </w:tc>
      </w:tr>
      <w:tr w:rsidR="00200543" w:rsidRPr="00201646" w14:paraId="0952EBB6" w14:textId="77777777" w:rsidTr="00B90EDF">
        <w:tc>
          <w:tcPr>
            <w:tcW w:w="9061" w:type="dxa"/>
            <w:gridSpan w:val="9"/>
          </w:tcPr>
          <w:p w14:paraId="5FE5AE0C" w14:textId="77777777" w:rsidR="00200543" w:rsidRPr="00201646" w:rsidRDefault="00200543" w:rsidP="00B90EDF">
            <w:pPr>
              <w:pStyle w:val="BodyText"/>
              <w:spacing w:before="0" w:after="0" w:line="240" w:lineRule="auto"/>
              <w:rPr>
                <w:b/>
                <w:bCs/>
                <w:sz w:val="18"/>
                <w:szCs w:val="18"/>
              </w:rPr>
            </w:pPr>
            <w:r>
              <w:rPr>
                <w:b/>
                <w:bCs/>
                <w:sz w:val="18"/>
                <w:szCs w:val="18"/>
              </w:rPr>
              <w:t>Retrospective analysis</w:t>
            </w:r>
          </w:p>
        </w:tc>
      </w:tr>
      <w:tr w:rsidR="00200543" w:rsidRPr="00DB2501" w14:paraId="47E1D250" w14:textId="77777777" w:rsidTr="00B90EDF">
        <w:tc>
          <w:tcPr>
            <w:tcW w:w="1911" w:type="dxa"/>
          </w:tcPr>
          <w:p w14:paraId="3A15FF4F" w14:textId="11283225" w:rsidR="00200543" w:rsidRDefault="00200543" w:rsidP="00B90EDF">
            <w:pPr>
              <w:pStyle w:val="BodyText"/>
              <w:spacing w:before="0" w:after="0" w:line="240" w:lineRule="auto"/>
              <w:jc w:val="left"/>
              <w:rPr>
                <w:sz w:val="18"/>
                <w:szCs w:val="18"/>
              </w:rPr>
            </w:pPr>
            <w:r>
              <w:rPr>
                <w:sz w:val="18"/>
                <w:szCs w:val="18"/>
              </w:rPr>
              <w:t>Hovda et al. (2019)</w:t>
            </w:r>
          </w:p>
          <w:p w14:paraId="78F03FC1" w14:textId="77777777" w:rsidR="00200543" w:rsidRDefault="00200543" w:rsidP="00B90EDF">
            <w:pPr>
              <w:pStyle w:val="BodyText"/>
              <w:spacing w:before="0" w:after="0" w:line="240" w:lineRule="auto"/>
              <w:jc w:val="left"/>
              <w:rPr>
                <w:sz w:val="18"/>
                <w:szCs w:val="18"/>
              </w:rPr>
            </w:pPr>
            <w:r>
              <w:rPr>
                <w:sz w:val="18"/>
                <w:szCs w:val="18"/>
              </w:rPr>
              <w:t>Norway BSP</w:t>
            </w:r>
          </w:p>
        </w:tc>
        <w:tc>
          <w:tcPr>
            <w:tcW w:w="889" w:type="dxa"/>
          </w:tcPr>
          <w:p w14:paraId="33CAC8F3" w14:textId="77777777" w:rsidR="00200543" w:rsidRPr="00DB2501" w:rsidRDefault="00200543" w:rsidP="00B90EDF">
            <w:pPr>
              <w:pStyle w:val="BodyText"/>
              <w:spacing w:before="0" w:after="0" w:line="240" w:lineRule="auto"/>
              <w:rPr>
                <w:sz w:val="18"/>
                <w:szCs w:val="18"/>
              </w:rPr>
            </w:pPr>
            <w:r>
              <w:rPr>
                <w:sz w:val="18"/>
                <w:szCs w:val="18"/>
              </w:rPr>
              <w:t>6.43 per 1000</w:t>
            </w:r>
          </w:p>
        </w:tc>
        <w:tc>
          <w:tcPr>
            <w:tcW w:w="893" w:type="dxa"/>
          </w:tcPr>
          <w:p w14:paraId="058BD33E" w14:textId="7F7D6AF0" w:rsidR="00200543" w:rsidRPr="00DB2501" w:rsidRDefault="00200543" w:rsidP="00B90EDF">
            <w:pPr>
              <w:pStyle w:val="BodyText"/>
              <w:spacing w:before="0" w:after="0" w:line="240" w:lineRule="auto"/>
              <w:rPr>
                <w:sz w:val="18"/>
                <w:szCs w:val="18"/>
              </w:rPr>
            </w:pPr>
            <w:r>
              <w:rPr>
                <w:sz w:val="18"/>
                <w:szCs w:val="18"/>
              </w:rPr>
              <w:t xml:space="preserve">2.48 per 1000, </w:t>
            </w:r>
            <w:r w:rsidR="0034054F">
              <w:rPr>
                <w:sz w:val="18"/>
                <w:szCs w:val="18"/>
              </w:rPr>
              <w:t>(</w:t>
            </w:r>
            <w:r>
              <w:rPr>
                <w:i/>
                <w:iCs/>
                <w:sz w:val="18"/>
                <w:szCs w:val="18"/>
              </w:rPr>
              <w:t>p</w:t>
            </w:r>
            <w:r>
              <w:rPr>
                <w:sz w:val="18"/>
                <w:szCs w:val="18"/>
              </w:rPr>
              <w:t>=.001</w:t>
            </w:r>
            <w:r w:rsidR="0034054F">
              <w:rPr>
                <w:sz w:val="18"/>
                <w:szCs w:val="18"/>
              </w:rPr>
              <w:t>)</w:t>
            </w:r>
          </w:p>
        </w:tc>
        <w:tc>
          <w:tcPr>
            <w:tcW w:w="882" w:type="dxa"/>
          </w:tcPr>
          <w:p w14:paraId="6033B781" w14:textId="77777777" w:rsidR="00200543" w:rsidRPr="00DB2501" w:rsidRDefault="00200543" w:rsidP="00B90EDF">
            <w:pPr>
              <w:pStyle w:val="BodyText"/>
              <w:spacing w:before="0" w:after="0" w:line="240" w:lineRule="auto"/>
              <w:rPr>
                <w:sz w:val="18"/>
                <w:szCs w:val="18"/>
              </w:rPr>
            </w:pPr>
            <w:r>
              <w:rPr>
                <w:sz w:val="18"/>
                <w:szCs w:val="18"/>
              </w:rPr>
              <w:t>0.94 per 1000</w:t>
            </w:r>
          </w:p>
        </w:tc>
        <w:tc>
          <w:tcPr>
            <w:tcW w:w="890" w:type="dxa"/>
          </w:tcPr>
          <w:p w14:paraId="3B13C2BB" w14:textId="77777777" w:rsidR="00200543" w:rsidRPr="00DB2501" w:rsidRDefault="00200543" w:rsidP="00B90EDF">
            <w:pPr>
              <w:pStyle w:val="BodyText"/>
              <w:spacing w:before="0" w:after="0" w:line="240" w:lineRule="auto"/>
              <w:rPr>
                <w:sz w:val="18"/>
                <w:szCs w:val="18"/>
              </w:rPr>
            </w:pPr>
            <w:r>
              <w:rPr>
                <w:sz w:val="18"/>
                <w:szCs w:val="18"/>
              </w:rPr>
              <w:t>1.14 per 1000</w:t>
            </w:r>
          </w:p>
        </w:tc>
        <w:tc>
          <w:tcPr>
            <w:tcW w:w="882" w:type="dxa"/>
          </w:tcPr>
          <w:p w14:paraId="002244DF" w14:textId="08329887" w:rsidR="00200543" w:rsidRPr="00305807" w:rsidRDefault="00200543" w:rsidP="00B90EDF">
            <w:pPr>
              <w:pStyle w:val="BodyText"/>
              <w:spacing w:before="0" w:after="0" w:line="240" w:lineRule="auto"/>
              <w:rPr>
                <w:sz w:val="18"/>
                <w:szCs w:val="18"/>
              </w:rPr>
            </w:pPr>
            <w:r>
              <w:rPr>
                <w:sz w:val="18"/>
                <w:szCs w:val="18"/>
              </w:rPr>
              <w:t xml:space="preserve">Tubular: 0.74 per 1000, </w:t>
            </w:r>
            <w:r w:rsidR="0034054F">
              <w:rPr>
                <w:sz w:val="18"/>
                <w:szCs w:val="18"/>
              </w:rPr>
              <w:t>(</w:t>
            </w:r>
            <w:r>
              <w:rPr>
                <w:i/>
                <w:iCs/>
                <w:sz w:val="18"/>
                <w:szCs w:val="18"/>
              </w:rPr>
              <w:t>p</w:t>
            </w:r>
            <w:r>
              <w:rPr>
                <w:sz w:val="18"/>
                <w:szCs w:val="18"/>
              </w:rPr>
              <w:t>=.01</w:t>
            </w:r>
            <w:r w:rsidR="0034054F">
              <w:rPr>
                <w:sz w:val="18"/>
                <w:szCs w:val="18"/>
              </w:rPr>
              <w:t>)</w:t>
            </w:r>
          </w:p>
          <w:p w14:paraId="3DB8D6AF" w14:textId="77777777" w:rsidR="00200543" w:rsidRPr="00DB2501" w:rsidRDefault="00200543" w:rsidP="00B90EDF">
            <w:pPr>
              <w:pStyle w:val="BodyText"/>
              <w:spacing w:before="0" w:after="0" w:line="240" w:lineRule="auto"/>
              <w:rPr>
                <w:sz w:val="18"/>
                <w:szCs w:val="18"/>
              </w:rPr>
            </w:pPr>
            <w:r>
              <w:rPr>
                <w:sz w:val="18"/>
                <w:szCs w:val="18"/>
              </w:rPr>
              <w:t>Other: 0.24 per 1000</w:t>
            </w:r>
          </w:p>
        </w:tc>
        <w:tc>
          <w:tcPr>
            <w:tcW w:w="941" w:type="dxa"/>
          </w:tcPr>
          <w:p w14:paraId="7710CFD7" w14:textId="77777777" w:rsidR="00200543" w:rsidRDefault="00200543" w:rsidP="00B90EDF">
            <w:pPr>
              <w:pStyle w:val="BodyText"/>
              <w:spacing w:before="0" w:after="0" w:line="240" w:lineRule="auto"/>
              <w:rPr>
                <w:sz w:val="18"/>
                <w:szCs w:val="18"/>
              </w:rPr>
            </w:pPr>
            <w:r>
              <w:rPr>
                <w:sz w:val="18"/>
                <w:szCs w:val="18"/>
              </w:rPr>
              <w:t>Tubular: 0</w:t>
            </w:r>
          </w:p>
          <w:p w14:paraId="5B025248" w14:textId="77777777" w:rsidR="00200543" w:rsidRPr="00DB2501" w:rsidRDefault="00200543" w:rsidP="00B90EDF">
            <w:pPr>
              <w:pStyle w:val="BodyText"/>
              <w:spacing w:before="0" w:after="0" w:line="240" w:lineRule="auto"/>
              <w:rPr>
                <w:sz w:val="18"/>
                <w:szCs w:val="18"/>
              </w:rPr>
            </w:pPr>
            <w:r>
              <w:rPr>
                <w:sz w:val="18"/>
                <w:szCs w:val="18"/>
              </w:rPr>
              <w:t>Other: 0.10 per 1000</w:t>
            </w:r>
          </w:p>
        </w:tc>
        <w:tc>
          <w:tcPr>
            <w:tcW w:w="882" w:type="dxa"/>
          </w:tcPr>
          <w:p w14:paraId="031B72A5" w14:textId="77777777" w:rsidR="00200543" w:rsidRPr="00DB2501" w:rsidRDefault="00200543" w:rsidP="00B90EDF">
            <w:pPr>
              <w:pStyle w:val="BodyText"/>
              <w:spacing w:before="0" w:after="0" w:line="240" w:lineRule="auto"/>
              <w:rPr>
                <w:sz w:val="18"/>
                <w:szCs w:val="18"/>
              </w:rPr>
            </w:pPr>
            <w:r>
              <w:rPr>
                <w:sz w:val="18"/>
                <w:szCs w:val="18"/>
              </w:rPr>
              <w:t>1.6 per 1000</w:t>
            </w:r>
          </w:p>
        </w:tc>
        <w:tc>
          <w:tcPr>
            <w:tcW w:w="891" w:type="dxa"/>
          </w:tcPr>
          <w:p w14:paraId="0091B562" w14:textId="77777777" w:rsidR="0034054F" w:rsidRDefault="00200543" w:rsidP="00B90EDF">
            <w:pPr>
              <w:pStyle w:val="BodyText"/>
              <w:spacing w:before="0" w:after="0" w:line="240" w:lineRule="auto"/>
              <w:rPr>
                <w:sz w:val="18"/>
                <w:szCs w:val="18"/>
              </w:rPr>
            </w:pPr>
            <w:r>
              <w:rPr>
                <w:sz w:val="18"/>
                <w:szCs w:val="18"/>
              </w:rPr>
              <w:t>0.9 per 1000</w:t>
            </w:r>
          </w:p>
          <w:p w14:paraId="4F09D94A" w14:textId="6E20EF85" w:rsidR="00200543" w:rsidRPr="00305807" w:rsidRDefault="0034054F" w:rsidP="00B90EDF">
            <w:pPr>
              <w:pStyle w:val="BodyText"/>
              <w:spacing w:before="0" w:after="0" w:line="240" w:lineRule="auto"/>
              <w:rPr>
                <w:sz w:val="18"/>
                <w:szCs w:val="18"/>
              </w:rPr>
            </w:pPr>
            <w:r>
              <w:rPr>
                <w:sz w:val="18"/>
                <w:szCs w:val="18"/>
              </w:rPr>
              <w:t>(</w:t>
            </w:r>
            <w:r w:rsidR="00200543">
              <w:rPr>
                <w:i/>
                <w:iCs/>
                <w:sz w:val="18"/>
                <w:szCs w:val="18"/>
              </w:rPr>
              <w:t>p</w:t>
            </w:r>
            <w:r w:rsidR="00200543">
              <w:rPr>
                <w:sz w:val="18"/>
                <w:szCs w:val="18"/>
              </w:rPr>
              <w:t>=.001</w:t>
            </w:r>
            <w:r>
              <w:rPr>
                <w:sz w:val="18"/>
                <w:szCs w:val="18"/>
              </w:rPr>
              <w:t>)</w:t>
            </w:r>
          </w:p>
        </w:tc>
      </w:tr>
      <w:tr w:rsidR="00590D7B" w:rsidRPr="00DB2501" w14:paraId="12F9102D" w14:textId="77777777" w:rsidTr="002C6611">
        <w:tc>
          <w:tcPr>
            <w:tcW w:w="9061" w:type="dxa"/>
            <w:gridSpan w:val="9"/>
            <w:shd w:val="clear" w:color="auto" w:fill="E7FFBD" w:themeFill="background2" w:themeFillTint="33"/>
          </w:tcPr>
          <w:p w14:paraId="2278E515" w14:textId="50C02998" w:rsidR="00590D7B" w:rsidRPr="0004229B" w:rsidRDefault="00590D7B" w:rsidP="002C6611">
            <w:pPr>
              <w:pStyle w:val="BodyText"/>
              <w:spacing w:before="0" w:after="0" w:line="240" w:lineRule="auto"/>
              <w:jc w:val="center"/>
              <w:rPr>
                <w:sz w:val="18"/>
                <w:szCs w:val="18"/>
              </w:rPr>
            </w:pPr>
            <w:r>
              <w:rPr>
                <w:sz w:val="18"/>
                <w:szCs w:val="18"/>
              </w:rPr>
              <w:t>FFDM+DBT compared to FFDM alone</w:t>
            </w:r>
          </w:p>
        </w:tc>
      </w:tr>
      <w:tr w:rsidR="00590D7B" w:rsidRPr="00201646" w14:paraId="0D3FEC38" w14:textId="77777777" w:rsidTr="002C6611">
        <w:tc>
          <w:tcPr>
            <w:tcW w:w="9061" w:type="dxa"/>
            <w:gridSpan w:val="9"/>
          </w:tcPr>
          <w:p w14:paraId="77EE5500" w14:textId="1AC6EC5F" w:rsidR="00590D7B" w:rsidRPr="00201646" w:rsidRDefault="00590D7B" w:rsidP="002C6611">
            <w:pPr>
              <w:pStyle w:val="BodyText"/>
              <w:spacing w:before="0" w:after="0" w:line="240" w:lineRule="auto"/>
              <w:rPr>
                <w:b/>
                <w:bCs/>
                <w:sz w:val="18"/>
                <w:szCs w:val="18"/>
              </w:rPr>
            </w:pPr>
            <w:r>
              <w:rPr>
                <w:b/>
                <w:bCs/>
                <w:sz w:val="18"/>
                <w:szCs w:val="18"/>
              </w:rPr>
              <w:t>Retrospective analysis</w:t>
            </w:r>
          </w:p>
        </w:tc>
      </w:tr>
      <w:tr w:rsidR="00CB7C8B" w:rsidRPr="00DB2501" w14:paraId="5EC6EEF6" w14:textId="77777777" w:rsidTr="00724130">
        <w:tc>
          <w:tcPr>
            <w:tcW w:w="1911" w:type="dxa"/>
          </w:tcPr>
          <w:p w14:paraId="4F1D076B" w14:textId="072A1F8D" w:rsidR="00CB7C8B" w:rsidRDefault="00CB7C8B" w:rsidP="00CB7C8B">
            <w:pPr>
              <w:pStyle w:val="BodyText"/>
              <w:spacing w:before="0" w:after="0" w:line="240" w:lineRule="auto"/>
              <w:jc w:val="left"/>
              <w:rPr>
                <w:sz w:val="18"/>
                <w:szCs w:val="18"/>
              </w:rPr>
            </w:pPr>
            <w:r>
              <w:rPr>
                <w:sz w:val="18"/>
                <w:szCs w:val="18"/>
              </w:rPr>
              <w:t xml:space="preserve">Dang </w:t>
            </w:r>
            <w:r w:rsidRPr="00DB2501">
              <w:rPr>
                <w:sz w:val="18"/>
                <w:szCs w:val="18"/>
              </w:rPr>
              <w:t>et al. (201</w:t>
            </w:r>
            <w:r>
              <w:rPr>
                <w:sz w:val="18"/>
                <w:szCs w:val="18"/>
              </w:rPr>
              <w:t>9</w:t>
            </w:r>
            <w:r w:rsidRPr="00DB2501">
              <w:rPr>
                <w:sz w:val="18"/>
                <w:szCs w:val="18"/>
              </w:rPr>
              <w:t>)</w:t>
            </w:r>
          </w:p>
          <w:p w14:paraId="27B26984" w14:textId="3125C79F" w:rsidR="00CB7C8B" w:rsidRPr="00DB2501" w:rsidRDefault="00CB7C8B" w:rsidP="00CB7C8B">
            <w:pPr>
              <w:pStyle w:val="BodyText"/>
              <w:spacing w:before="0" w:after="0" w:line="240" w:lineRule="auto"/>
              <w:jc w:val="left"/>
              <w:rPr>
                <w:sz w:val="18"/>
                <w:szCs w:val="18"/>
              </w:rPr>
            </w:pPr>
          </w:p>
        </w:tc>
        <w:tc>
          <w:tcPr>
            <w:tcW w:w="889" w:type="dxa"/>
          </w:tcPr>
          <w:p w14:paraId="0286B809" w14:textId="2A98EF54" w:rsidR="00CB7C8B" w:rsidRPr="00DB2501" w:rsidRDefault="00CB7C8B" w:rsidP="00CB7C8B">
            <w:pPr>
              <w:pStyle w:val="BodyText"/>
              <w:spacing w:before="0" w:after="0" w:line="240" w:lineRule="auto"/>
              <w:rPr>
                <w:sz w:val="18"/>
                <w:szCs w:val="18"/>
              </w:rPr>
            </w:pPr>
            <w:r>
              <w:rPr>
                <w:sz w:val="18"/>
                <w:szCs w:val="18"/>
              </w:rPr>
              <w:t>75%</w:t>
            </w:r>
          </w:p>
        </w:tc>
        <w:tc>
          <w:tcPr>
            <w:tcW w:w="893" w:type="dxa"/>
          </w:tcPr>
          <w:p w14:paraId="054EE4E6" w14:textId="1186A936" w:rsidR="00CB7C8B" w:rsidRPr="00DB2501" w:rsidRDefault="00CB7C8B" w:rsidP="00CB7C8B">
            <w:pPr>
              <w:pStyle w:val="BodyText"/>
              <w:spacing w:before="0" w:after="0" w:line="240" w:lineRule="auto"/>
              <w:rPr>
                <w:sz w:val="18"/>
                <w:szCs w:val="18"/>
              </w:rPr>
            </w:pPr>
            <w:r>
              <w:rPr>
                <w:sz w:val="18"/>
                <w:szCs w:val="18"/>
              </w:rPr>
              <w:t>72%</w:t>
            </w:r>
          </w:p>
        </w:tc>
        <w:tc>
          <w:tcPr>
            <w:tcW w:w="882" w:type="dxa"/>
          </w:tcPr>
          <w:p w14:paraId="3EB004CD" w14:textId="3484DE5E" w:rsidR="00CB7C8B" w:rsidRPr="00DB2501" w:rsidRDefault="00CB7C8B" w:rsidP="00CB7C8B">
            <w:pPr>
              <w:pStyle w:val="BodyText"/>
              <w:spacing w:before="0" w:after="0" w:line="240" w:lineRule="auto"/>
              <w:jc w:val="center"/>
              <w:rPr>
                <w:sz w:val="18"/>
                <w:szCs w:val="18"/>
              </w:rPr>
            </w:pPr>
            <w:r>
              <w:rPr>
                <w:sz w:val="18"/>
                <w:szCs w:val="18"/>
              </w:rPr>
              <w:t>N</w:t>
            </w:r>
            <w:r w:rsidR="00D41F92">
              <w:rPr>
                <w:sz w:val="18"/>
                <w:szCs w:val="18"/>
              </w:rPr>
              <w:t>o data</w:t>
            </w:r>
          </w:p>
        </w:tc>
        <w:tc>
          <w:tcPr>
            <w:tcW w:w="890" w:type="dxa"/>
          </w:tcPr>
          <w:p w14:paraId="01B5149E" w14:textId="3E84CBCF" w:rsidR="00CB7C8B" w:rsidRPr="00DB2501" w:rsidRDefault="00D41F92" w:rsidP="00CB7C8B">
            <w:pPr>
              <w:pStyle w:val="BodyText"/>
              <w:spacing w:before="0" w:after="0" w:line="240" w:lineRule="auto"/>
              <w:jc w:val="center"/>
              <w:rPr>
                <w:sz w:val="18"/>
                <w:szCs w:val="18"/>
              </w:rPr>
            </w:pPr>
            <w:r>
              <w:rPr>
                <w:sz w:val="18"/>
                <w:szCs w:val="18"/>
              </w:rPr>
              <w:t>No data</w:t>
            </w:r>
          </w:p>
        </w:tc>
        <w:tc>
          <w:tcPr>
            <w:tcW w:w="882" w:type="dxa"/>
          </w:tcPr>
          <w:p w14:paraId="510EB19E" w14:textId="04E00AD8" w:rsidR="00CB7C8B" w:rsidRPr="00DB2501" w:rsidRDefault="00D41F92" w:rsidP="00CB7C8B">
            <w:pPr>
              <w:pStyle w:val="BodyText"/>
              <w:spacing w:before="0" w:after="0" w:line="240" w:lineRule="auto"/>
              <w:jc w:val="center"/>
              <w:rPr>
                <w:sz w:val="18"/>
                <w:szCs w:val="18"/>
              </w:rPr>
            </w:pPr>
            <w:r>
              <w:rPr>
                <w:sz w:val="18"/>
                <w:szCs w:val="18"/>
              </w:rPr>
              <w:t>No data</w:t>
            </w:r>
          </w:p>
        </w:tc>
        <w:tc>
          <w:tcPr>
            <w:tcW w:w="941" w:type="dxa"/>
          </w:tcPr>
          <w:p w14:paraId="700B14C9" w14:textId="42129D9B" w:rsidR="00CB7C8B" w:rsidRPr="00DB2501" w:rsidRDefault="00D41F92" w:rsidP="00CB7C8B">
            <w:pPr>
              <w:pStyle w:val="BodyText"/>
              <w:spacing w:before="0" w:after="0" w:line="240" w:lineRule="auto"/>
              <w:jc w:val="center"/>
              <w:rPr>
                <w:sz w:val="18"/>
                <w:szCs w:val="18"/>
              </w:rPr>
            </w:pPr>
            <w:r>
              <w:rPr>
                <w:sz w:val="18"/>
                <w:szCs w:val="18"/>
              </w:rPr>
              <w:t>No data</w:t>
            </w:r>
          </w:p>
        </w:tc>
        <w:tc>
          <w:tcPr>
            <w:tcW w:w="882" w:type="dxa"/>
          </w:tcPr>
          <w:p w14:paraId="74295B80" w14:textId="1B09CE90" w:rsidR="00CB7C8B" w:rsidRPr="00DB2501" w:rsidRDefault="00CB7C8B" w:rsidP="00CB7C8B">
            <w:pPr>
              <w:pStyle w:val="BodyText"/>
              <w:spacing w:before="0" w:after="0" w:line="240" w:lineRule="auto"/>
              <w:rPr>
                <w:sz w:val="18"/>
                <w:szCs w:val="18"/>
              </w:rPr>
            </w:pPr>
            <w:r>
              <w:rPr>
                <w:sz w:val="18"/>
                <w:szCs w:val="18"/>
              </w:rPr>
              <w:t>25%</w:t>
            </w:r>
          </w:p>
        </w:tc>
        <w:tc>
          <w:tcPr>
            <w:tcW w:w="891" w:type="dxa"/>
          </w:tcPr>
          <w:p w14:paraId="71A840B2" w14:textId="56B34C58" w:rsidR="00CB7C8B" w:rsidRPr="00DB2501" w:rsidRDefault="00CB7C8B" w:rsidP="00CB7C8B">
            <w:pPr>
              <w:pStyle w:val="BodyText"/>
              <w:spacing w:before="0" w:after="0" w:line="240" w:lineRule="auto"/>
              <w:rPr>
                <w:sz w:val="18"/>
                <w:szCs w:val="18"/>
              </w:rPr>
            </w:pPr>
            <w:r>
              <w:rPr>
                <w:sz w:val="18"/>
                <w:szCs w:val="18"/>
              </w:rPr>
              <w:t>28%</w:t>
            </w:r>
          </w:p>
        </w:tc>
      </w:tr>
      <w:tr w:rsidR="00CB7C8B" w:rsidRPr="00DB2501" w14:paraId="36BFA334" w14:textId="77777777" w:rsidTr="002C6611">
        <w:tc>
          <w:tcPr>
            <w:tcW w:w="1911" w:type="dxa"/>
          </w:tcPr>
          <w:p w14:paraId="0A3DFEC5" w14:textId="5638174A" w:rsidR="00CB7C8B" w:rsidRDefault="00CB7C8B" w:rsidP="00CB7C8B">
            <w:pPr>
              <w:pStyle w:val="BodyText"/>
              <w:spacing w:before="0" w:after="0" w:line="240" w:lineRule="auto"/>
              <w:jc w:val="left"/>
              <w:rPr>
                <w:sz w:val="18"/>
                <w:szCs w:val="18"/>
              </w:rPr>
            </w:pPr>
            <w:r>
              <w:rPr>
                <w:sz w:val="18"/>
                <w:szCs w:val="18"/>
              </w:rPr>
              <w:t xml:space="preserve">Fuiji </w:t>
            </w:r>
            <w:r w:rsidRPr="00DB2501">
              <w:rPr>
                <w:sz w:val="18"/>
                <w:szCs w:val="18"/>
              </w:rPr>
              <w:t>et al. (2018)</w:t>
            </w:r>
            <w:r>
              <w:rPr>
                <w:rStyle w:val="FootnoteReference"/>
                <w:sz w:val="18"/>
                <w:szCs w:val="18"/>
              </w:rPr>
              <w:footnoteReference w:id="15"/>
            </w:r>
          </w:p>
          <w:p w14:paraId="0763717C" w14:textId="5D3981FE" w:rsidR="00CB7C8B" w:rsidRPr="00DB2501" w:rsidRDefault="00CB7C8B" w:rsidP="00CB7C8B">
            <w:pPr>
              <w:pStyle w:val="BodyText"/>
              <w:spacing w:before="0" w:after="0" w:line="240" w:lineRule="auto"/>
              <w:jc w:val="left"/>
              <w:rPr>
                <w:sz w:val="18"/>
                <w:szCs w:val="18"/>
              </w:rPr>
            </w:pPr>
            <w:r>
              <w:rPr>
                <w:sz w:val="18"/>
                <w:szCs w:val="18"/>
              </w:rPr>
              <w:t>Vermont</w:t>
            </w:r>
          </w:p>
        </w:tc>
        <w:tc>
          <w:tcPr>
            <w:tcW w:w="889" w:type="dxa"/>
          </w:tcPr>
          <w:p w14:paraId="0D055214" w14:textId="07129EC1" w:rsidR="00CB7C8B" w:rsidRPr="00DB2501" w:rsidRDefault="00CB7C8B" w:rsidP="00CB7C8B">
            <w:pPr>
              <w:pStyle w:val="BodyText"/>
              <w:spacing w:before="0" w:after="0" w:line="240" w:lineRule="auto"/>
              <w:rPr>
                <w:sz w:val="18"/>
                <w:szCs w:val="18"/>
              </w:rPr>
            </w:pPr>
            <w:r>
              <w:rPr>
                <w:sz w:val="18"/>
                <w:szCs w:val="18"/>
              </w:rPr>
              <w:t>265</w:t>
            </w:r>
            <w:r w:rsidR="00305807">
              <w:rPr>
                <w:sz w:val="18"/>
                <w:szCs w:val="18"/>
              </w:rPr>
              <w:t xml:space="preserve"> cancers</w:t>
            </w:r>
          </w:p>
        </w:tc>
        <w:tc>
          <w:tcPr>
            <w:tcW w:w="893" w:type="dxa"/>
          </w:tcPr>
          <w:p w14:paraId="202A8D4E" w14:textId="1D425A08" w:rsidR="00CB7C8B" w:rsidRPr="00DB2501" w:rsidRDefault="00CB7C8B" w:rsidP="00CB7C8B">
            <w:pPr>
              <w:pStyle w:val="BodyText"/>
              <w:spacing w:before="0" w:after="0" w:line="240" w:lineRule="auto"/>
              <w:rPr>
                <w:sz w:val="18"/>
                <w:szCs w:val="18"/>
              </w:rPr>
            </w:pPr>
            <w:r>
              <w:rPr>
                <w:sz w:val="18"/>
                <w:szCs w:val="18"/>
              </w:rPr>
              <w:t>335</w:t>
            </w:r>
            <w:r w:rsidR="00305807">
              <w:rPr>
                <w:sz w:val="18"/>
                <w:szCs w:val="18"/>
              </w:rPr>
              <w:t xml:space="preserve"> cancers</w:t>
            </w:r>
          </w:p>
        </w:tc>
        <w:tc>
          <w:tcPr>
            <w:tcW w:w="882" w:type="dxa"/>
          </w:tcPr>
          <w:p w14:paraId="1B7B9A1E" w14:textId="5CB2DE87" w:rsidR="00CB7C8B" w:rsidRPr="00DB2501" w:rsidRDefault="00CB7C8B" w:rsidP="00CB7C8B">
            <w:pPr>
              <w:pStyle w:val="BodyText"/>
              <w:spacing w:before="0" w:after="0" w:line="240" w:lineRule="auto"/>
              <w:rPr>
                <w:sz w:val="18"/>
                <w:szCs w:val="18"/>
              </w:rPr>
            </w:pPr>
            <w:r>
              <w:rPr>
                <w:sz w:val="18"/>
                <w:szCs w:val="18"/>
              </w:rPr>
              <w:t>42</w:t>
            </w:r>
            <w:r w:rsidR="00305807">
              <w:rPr>
                <w:sz w:val="18"/>
                <w:szCs w:val="18"/>
              </w:rPr>
              <w:t xml:space="preserve"> cancers</w:t>
            </w:r>
          </w:p>
        </w:tc>
        <w:tc>
          <w:tcPr>
            <w:tcW w:w="890" w:type="dxa"/>
          </w:tcPr>
          <w:p w14:paraId="6FD42DE3" w14:textId="755EC1CB" w:rsidR="00CB7C8B" w:rsidRPr="00DB2501" w:rsidRDefault="00CB7C8B" w:rsidP="00CB7C8B">
            <w:pPr>
              <w:pStyle w:val="BodyText"/>
              <w:spacing w:before="0" w:after="0" w:line="240" w:lineRule="auto"/>
              <w:rPr>
                <w:sz w:val="18"/>
                <w:szCs w:val="18"/>
              </w:rPr>
            </w:pPr>
            <w:r>
              <w:rPr>
                <w:sz w:val="18"/>
                <w:szCs w:val="18"/>
              </w:rPr>
              <w:t>42</w:t>
            </w:r>
            <w:r w:rsidR="00305807">
              <w:rPr>
                <w:sz w:val="18"/>
                <w:szCs w:val="18"/>
              </w:rPr>
              <w:t xml:space="preserve"> cancers</w:t>
            </w:r>
          </w:p>
        </w:tc>
        <w:tc>
          <w:tcPr>
            <w:tcW w:w="882" w:type="dxa"/>
          </w:tcPr>
          <w:p w14:paraId="260A066C" w14:textId="466465F6" w:rsidR="00CB7C8B" w:rsidRDefault="00CB7C8B" w:rsidP="00CB7C8B">
            <w:pPr>
              <w:pStyle w:val="BodyText"/>
              <w:spacing w:before="0" w:after="0" w:line="240" w:lineRule="auto"/>
              <w:rPr>
                <w:sz w:val="18"/>
                <w:szCs w:val="18"/>
              </w:rPr>
            </w:pPr>
            <w:r>
              <w:rPr>
                <w:sz w:val="18"/>
                <w:szCs w:val="18"/>
              </w:rPr>
              <w:t>26 mixed</w:t>
            </w:r>
            <w:r w:rsidR="00305807">
              <w:rPr>
                <w:sz w:val="18"/>
                <w:szCs w:val="18"/>
              </w:rPr>
              <w:t xml:space="preserve"> cancers </w:t>
            </w:r>
          </w:p>
          <w:p w14:paraId="39F15820" w14:textId="109E7665" w:rsidR="00CB7C8B" w:rsidRPr="00DB2501" w:rsidRDefault="00CB7C8B" w:rsidP="00CB7C8B">
            <w:pPr>
              <w:pStyle w:val="BodyText"/>
              <w:spacing w:before="0" w:after="0" w:line="240" w:lineRule="auto"/>
              <w:rPr>
                <w:sz w:val="18"/>
                <w:szCs w:val="18"/>
              </w:rPr>
            </w:pPr>
            <w:r>
              <w:rPr>
                <w:sz w:val="18"/>
                <w:szCs w:val="18"/>
              </w:rPr>
              <w:t>12 other</w:t>
            </w:r>
            <w:r w:rsidR="00305807">
              <w:rPr>
                <w:sz w:val="18"/>
                <w:szCs w:val="18"/>
              </w:rPr>
              <w:t xml:space="preserve"> cancers</w:t>
            </w:r>
          </w:p>
        </w:tc>
        <w:tc>
          <w:tcPr>
            <w:tcW w:w="941" w:type="dxa"/>
          </w:tcPr>
          <w:p w14:paraId="371E7A79" w14:textId="0760E3C8" w:rsidR="00CB7C8B" w:rsidRDefault="00CB7C8B" w:rsidP="00CB7C8B">
            <w:pPr>
              <w:pStyle w:val="BodyText"/>
              <w:spacing w:before="0" w:after="0" w:line="240" w:lineRule="auto"/>
              <w:rPr>
                <w:sz w:val="18"/>
                <w:szCs w:val="18"/>
              </w:rPr>
            </w:pPr>
            <w:r>
              <w:rPr>
                <w:sz w:val="18"/>
                <w:szCs w:val="18"/>
              </w:rPr>
              <w:t>24 other</w:t>
            </w:r>
            <w:r w:rsidR="00305807">
              <w:rPr>
                <w:sz w:val="18"/>
                <w:szCs w:val="18"/>
              </w:rPr>
              <w:t xml:space="preserve"> cancers</w:t>
            </w:r>
          </w:p>
          <w:p w14:paraId="7ACE846F" w14:textId="706BCD49" w:rsidR="00CB7C8B" w:rsidRPr="00DB2501" w:rsidRDefault="00CB7C8B" w:rsidP="00CB7C8B">
            <w:pPr>
              <w:pStyle w:val="BodyText"/>
              <w:spacing w:before="0" w:after="0" w:line="240" w:lineRule="auto"/>
              <w:rPr>
                <w:sz w:val="18"/>
                <w:szCs w:val="18"/>
              </w:rPr>
            </w:pPr>
            <w:r>
              <w:rPr>
                <w:sz w:val="18"/>
                <w:szCs w:val="18"/>
              </w:rPr>
              <w:t>30 mixed</w:t>
            </w:r>
            <w:r w:rsidR="00305807">
              <w:rPr>
                <w:sz w:val="18"/>
                <w:szCs w:val="18"/>
              </w:rPr>
              <w:t xml:space="preserve"> cancers</w:t>
            </w:r>
          </w:p>
        </w:tc>
        <w:tc>
          <w:tcPr>
            <w:tcW w:w="882" w:type="dxa"/>
          </w:tcPr>
          <w:p w14:paraId="5FBB9B18" w14:textId="41C4B58D" w:rsidR="00CB7C8B" w:rsidRPr="00DB2501" w:rsidRDefault="00CB7C8B" w:rsidP="00CB7C8B">
            <w:pPr>
              <w:pStyle w:val="BodyText"/>
              <w:spacing w:before="0" w:after="0" w:line="240" w:lineRule="auto"/>
              <w:rPr>
                <w:sz w:val="18"/>
                <w:szCs w:val="18"/>
              </w:rPr>
            </w:pPr>
            <w:r>
              <w:rPr>
                <w:sz w:val="18"/>
                <w:szCs w:val="18"/>
              </w:rPr>
              <w:t>91</w:t>
            </w:r>
            <w:r w:rsidR="00305807">
              <w:rPr>
                <w:sz w:val="18"/>
                <w:szCs w:val="18"/>
              </w:rPr>
              <w:t xml:space="preserve"> cancers</w:t>
            </w:r>
          </w:p>
        </w:tc>
        <w:tc>
          <w:tcPr>
            <w:tcW w:w="891" w:type="dxa"/>
          </w:tcPr>
          <w:p w14:paraId="3B39E2D4" w14:textId="72BDDD0A" w:rsidR="00CB7C8B" w:rsidRPr="00DB2501" w:rsidRDefault="00CB7C8B" w:rsidP="00CB7C8B">
            <w:pPr>
              <w:pStyle w:val="BodyText"/>
              <w:spacing w:before="0" w:after="0" w:line="240" w:lineRule="auto"/>
              <w:rPr>
                <w:sz w:val="18"/>
                <w:szCs w:val="18"/>
              </w:rPr>
            </w:pPr>
            <w:r>
              <w:rPr>
                <w:sz w:val="18"/>
                <w:szCs w:val="18"/>
              </w:rPr>
              <w:t>117</w:t>
            </w:r>
            <w:r w:rsidR="00305807">
              <w:rPr>
                <w:sz w:val="18"/>
                <w:szCs w:val="18"/>
              </w:rPr>
              <w:t xml:space="preserve"> cancers</w:t>
            </w:r>
          </w:p>
        </w:tc>
      </w:tr>
      <w:tr w:rsidR="00CB7C8B" w:rsidRPr="00DB2501" w14:paraId="159C8756" w14:textId="77777777" w:rsidTr="00911379">
        <w:tc>
          <w:tcPr>
            <w:tcW w:w="9061" w:type="dxa"/>
            <w:gridSpan w:val="9"/>
            <w:shd w:val="clear" w:color="auto" w:fill="E7FFBD" w:themeFill="background2" w:themeFillTint="33"/>
          </w:tcPr>
          <w:p w14:paraId="75DC0AF0" w14:textId="728CD9A0" w:rsidR="00CB7C8B" w:rsidRPr="0004229B" w:rsidRDefault="00CB7C8B" w:rsidP="00CB7C8B">
            <w:pPr>
              <w:pStyle w:val="BodyText"/>
              <w:spacing w:before="0" w:after="0" w:line="240" w:lineRule="auto"/>
              <w:jc w:val="center"/>
              <w:rPr>
                <w:sz w:val="18"/>
                <w:szCs w:val="18"/>
              </w:rPr>
            </w:pPr>
            <w:r w:rsidRPr="0004229B">
              <w:rPr>
                <w:sz w:val="18"/>
                <w:szCs w:val="18"/>
              </w:rPr>
              <w:t>DBT</w:t>
            </w:r>
            <w:r w:rsidRPr="0004229B">
              <w:rPr>
                <w:sz w:val="18"/>
                <w:szCs w:val="18"/>
                <w:vertAlign w:val="subscript"/>
              </w:rPr>
              <w:t xml:space="preserve">MLO </w:t>
            </w:r>
            <w:r w:rsidRPr="0004229B">
              <w:rPr>
                <w:sz w:val="18"/>
                <w:szCs w:val="18"/>
              </w:rPr>
              <w:t>compared to FFDM alone</w:t>
            </w:r>
          </w:p>
        </w:tc>
      </w:tr>
      <w:tr w:rsidR="00CB7C8B" w:rsidRPr="00201646" w14:paraId="4171AD28" w14:textId="77777777" w:rsidTr="002C6611">
        <w:tc>
          <w:tcPr>
            <w:tcW w:w="9061" w:type="dxa"/>
            <w:gridSpan w:val="9"/>
          </w:tcPr>
          <w:p w14:paraId="0562FC32" w14:textId="77777777" w:rsidR="00CB7C8B" w:rsidRPr="00201646" w:rsidRDefault="00CB7C8B" w:rsidP="00CB7C8B">
            <w:pPr>
              <w:pStyle w:val="BodyText"/>
              <w:spacing w:before="0" w:after="0" w:line="240" w:lineRule="auto"/>
              <w:rPr>
                <w:b/>
                <w:bCs/>
                <w:sz w:val="18"/>
                <w:szCs w:val="18"/>
              </w:rPr>
            </w:pPr>
            <w:r>
              <w:rPr>
                <w:b/>
                <w:bCs/>
                <w:sz w:val="18"/>
                <w:szCs w:val="18"/>
              </w:rPr>
              <w:t>Prospective studies embedded in population-based screening</w:t>
            </w:r>
          </w:p>
        </w:tc>
      </w:tr>
      <w:tr w:rsidR="00E16337" w:rsidRPr="00DB2501" w14:paraId="102F1739" w14:textId="77777777" w:rsidTr="00724130">
        <w:tc>
          <w:tcPr>
            <w:tcW w:w="1911" w:type="dxa"/>
          </w:tcPr>
          <w:p w14:paraId="7496F820" w14:textId="3ADD691F" w:rsidR="00E16337" w:rsidRDefault="00E16337" w:rsidP="00724130">
            <w:pPr>
              <w:pStyle w:val="BodyText"/>
              <w:spacing w:before="0" w:after="0" w:line="240" w:lineRule="auto"/>
              <w:jc w:val="left"/>
              <w:rPr>
                <w:sz w:val="18"/>
                <w:szCs w:val="18"/>
              </w:rPr>
            </w:pPr>
            <w:r>
              <w:rPr>
                <w:sz w:val="18"/>
                <w:szCs w:val="18"/>
              </w:rPr>
              <w:t>Johnson et al. (2019)</w:t>
            </w:r>
          </w:p>
          <w:p w14:paraId="5EB9E519" w14:textId="43E61484" w:rsidR="00A03872" w:rsidRPr="00A03872" w:rsidRDefault="00E16337" w:rsidP="00724130">
            <w:pPr>
              <w:pStyle w:val="BodyText"/>
              <w:spacing w:before="0" w:after="0" w:line="240" w:lineRule="auto"/>
              <w:jc w:val="left"/>
              <w:rPr>
                <w:rFonts w:cstheme="majorHAnsi"/>
                <w:sz w:val="18"/>
                <w:szCs w:val="18"/>
              </w:rPr>
            </w:pPr>
            <w:r w:rsidRPr="00DB2501">
              <w:rPr>
                <w:sz w:val="18"/>
                <w:szCs w:val="18"/>
              </w:rPr>
              <w:t>Malm</w:t>
            </w:r>
            <w:r>
              <w:rPr>
                <w:rFonts w:cstheme="majorHAnsi"/>
                <w:sz w:val="18"/>
                <w:szCs w:val="18"/>
              </w:rPr>
              <w:t>ö</w:t>
            </w:r>
            <w:r w:rsidR="00A03872">
              <w:rPr>
                <w:rStyle w:val="FootnoteReference"/>
                <w:rFonts w:cstheme="majorHAnsi"/>
                <w:sz w:val="18"/>
                <w:szCs w:val="18"/>
              </w:rPr>
              <w:footnoteReference w:id="16"/>
            </w:r>
          </w:p>
        </w:tc>
        <w:tc>
          <w:tcPr>
            <w:tcW w:w="889" w:type="dxa"/>
          </w:tcPr>
          <w:p w14:paraId="1C96EB7E" w14:textId="70814065" w:rsidR="00E16337" w:rsidRPr="00DB2501" w:rsidRDefault="00E16337" w:rsidP="00724130">
            <w:pPr>
              <w:pStyle w:val="BodyText"/>
              <w:spacing w:before="0" w:after="0" w:line="240" w:lineRule="auto"/>
              <w:rPr>
                <w:sz w:val="18"/>
                <w:szCs w:val="18"/>
              </w:rPr>
            </w:pPr>
            <w:r>
              <w:rPr>
                <w:sz w:val="18"/>
                <w:szCs w:val="18"/>
              </w:rPr>
              <w:t>57</w:t>
            </w:r>
            <w:r w:rsidR="00B4056E">
              <w:rPr>
                <w:sz w:val="18"/>
                <w:szCs w:val="18"/>
              </w:rPr>
              <w:t>%</w:t>
            </w:r>
          </w:p>
        </w:tc>
        <w:tc>
          <w:tcPr>
            <w:tcW w:w="893" w:type="dxa"/>
          </w:tcPr>
          <w:p w14:paraId="64D4FA77" w14:textId="790975AD" w:rsidR="00E16337" w:rsidRPr="00DB2501" w:rsidRDefault="00E16337" w:rsidP="00724130">
            <w:pPr>
              <w:pStyle w:val="BodyText"/>
              <w:spacing w:before="0" w:after="0" w:line="240" w:lineRule="auto"/>
              <w:rPr>
                <w:sz w:val="18"/>
                <w:szCs w:val="18"/>
              </w:rPr>
            </w:pPr>
            <w:r>
              <w:rPr>
                <w:sz w:val="18"/>
                <w:szCs w:val="18"/>
              </w:rPr>
              <w:t>67</w:t>
            </w:r>
            <w:r w:rsidR="00B4056E">
              <w:rPr>
                <w:sz w:val="18"/>
                <w:szCs w:val="18"/>
              </w:rPr>
              <w:t>%</w:t>
            </w:r>
          </w:p>
        </w:tc>
        <w:tc>
          <w:tcPr>
            <w:tcW w:w="882" w:type="dxa"/>
          </w:tcPr>
          <w:p w14:paraId="5999A230" w14:textId="49FC7C13" w:rsidR="00E16337" w:rsidRPr="00DB2501" w:rsidRDefault="00E16337" w:rsidP="00724130">
            <w:pPr>
              <w:pStyle w:val="BodyText"/>
              <w:spacing w:before="0" w:after="0" w:line="240" w:lineRule="auto"/>
              <w:rPr>
                <w:sz w:val="18"/>
                <w:szCs w:val="18"/>
              </w:rPr>
            </w:pPr>
            <w:r>
              <w:rPr>
                <w:sz w:val="18"/>
                <w:szCs w:val="18"/>
              </w:rPr>
              <w:t>30</w:t>
            </w:r>
            <w:r w:rsidR="0034054F">
              <w:rPr>
                <w:sz w:val="18"/>
                <w:szCs w:val="18"/>
              </w:rPr>
              <w:t>%</w:t>
            </w:r>
          </w:p>
        </w:tc>
        <w:tc>
          <w:tcPr>
            <w:tcW w:w="890" w:type="dxa"/>
          </w:tcPr>
          <w:p w14:paraId="75EFE80C" w14:textId="5E181D53" w:rsidR="00E16337" w:rsidRPr="00301B16" w:rsidRDefault="00E16337" w:rsidP="00724130">
            <w:pPr>
              <w:pStyle w:val="BodyText"/>
              <w:spacing w:before="0" w:after="0" w:line="240" w:lineRule="auto"/>
              <w:rPr>
                <w:i/>
                <w:iCs/>
                <w:sz w:val="18"/>
                <w:szCs w:val="18"/>
              </w:rPr>
            </w:pPr>
            <w:r>
              <w:rPr>
                <w:sz w:val="18"/>
                <w:szCs w:val="18"/>
              </w:rPr>
              <w:t>17</w:t>
            </w:r>
            <w:r w:rsidR="00B4056E">
              <w:rPr>
                <w:sz w:val="18"/>
                <w:szCs w:val="18"/>
              </w:rPr>
              <w:t>%</w:t>
            </w:r>
            <w:r w:rsidR="0034054F">
              <w:rPr>
                <w:sz w:val="18"/>
                <w:szCs w:val="18"/>
              </w:rPr>
              <w:t xml:space="preserve"> (</w:t>
            </w:r>
            <w:r w:rsidR="00301B16">
              <w:rPr>
                <w:i/>
                <w:iCs/>
                <w:sz w:val="18"/>
                <w:szCs w:val="18"/>
              </w:rPr>
              <w:t>p</w:t>
            </w:r>
            <w:r w:rsidR="00301B16" w:rsidRPr="00301B16">
              <w:rPr>
                <w:sz w:val="18"/>
                <w:szCs w:val="18"/>
              </w:rPr>
              <w:t>=.13</w:t>
            </w:r>
            <w:r w:rsidR="0034054F">
              <w:rPr>
                <w:sz w:val="18"/>
                <w:szCs w:val="18"/>
              </w:rPr>
              <w:t>)</w:t>
            </w:r>
          </w:p>
        </w:tc>
        <w:tc>
          <w:tcPr>
            <w:tcW w:w="882" w:type="dxa"/>
          </w:tcPr>
          <w:p w14:paraId="0FA601AF" w14:textId="2F8238CD" w:rsidR="00E16337" w:rsidRPr="00DB2501" w:rsidRDefault="00E16337" w:rsidP="00724130">
            <w:pPr>
              <w:pStyle w:val="BodyText"/>
              <w:spacing w:before="0" w:after="0" w:line="240" w:lineRule="auto"/>
              <w:rPr>
                <w:sz w:val="18"/>
                <w:szCs w:val="18"/>
              </w:rPr>
            </w:pPr>
            <w:r w:rsidRPr="00DB2501">
              <w:rPr>
                <w:sz w:val="18"/>
                <w:szCs w:val="18"/>
              </w:rPr>
              <w:t>14</w:t>
            </w:r>
            <w:r w:rsidR="00B4056E">
              <w:rPr>
                <w:sz w:val="18"/>
                <w:szCs w:val="18"/>
              </w:rPr>
              <w:t>%</w:t>
            </w:r>
          </w:p>
        </w:tc>
        <w:tc>
          <w:tcPr>
            <w:tcW w:w="941" w:type="dxa"/>
          </w:tcPr>
          <w:p w14:paraId="6E9B4AA6" w14:textId="2AF527D0" w:rsidR="00E16337" w:rsidRPr="00DB2501" w:rsidRDefault="00E16337" w:rsidP="00724130">
            <w:pPr>
              <w:pStyle w:val="BodyText"/>
              <w:spacing w:before="0" w:after="0" w:line="240" w:lineRule="auto"/>
              <w:rPr>
                <w:sz w:val="18"/>
                <w:szCs w:val="18"/>
              </w:rPr>
            </w:pPr>
            <w:r w:rsidRPr="00DB2501">
              <w:rPr>
                <w:sz w:val="18"/>
                <w:szCs w:val="18"/>
              </w:rPr>
              <w:t>1</w:t>
            </w:r>
            <w:r>
              <w:rPr>
                <w:sz w:val="18"/>
                <w:szCs w:val="18"/>
              </w:rPr>
              <w:t>5</w:t>
            </w:r>
            <w:r w:rsidR="00B4056E">
              <w:rPr>
                <w:sz w:val="18"/>
                <w:szCs w:val="18"/>
              </w:rPr>
              <w:t>%</w:t>
            </w:r>
          </w:p>
        </w:tc>
        <w:tc>
          <w:tcPr>
            <w:tcW w:w="882" w:type="dxa"/>
          </w:tcPr>
          <w:p w14:paraId="568BA55C" w14:textId="7208B1A9" w:rsidR="00E16337" w:rsidRPr="00DB2501" w:rsidRDefault="00B4056E" w:rsidP="00724130">
            <w:pPr>
              <w:pStyle w:val="BodyText"/>
              <w:spacing w:before="0" w:after="0" w:line="240" w:lineRule="auto"/>
              <w:rPr>
                <w:sz w:val="18"/>
                <w:szCs w:val="18"/>
              </w:rPr>
            </w:pPr>
            <w:r>
              <w:rPr>
                <w:sz w:val="18"/>
                <w:szCs w:val="18"/>
              </w:rPr>
              <w:t>8%</w:t>
            </w:r>
          </w:p>
        </w:tc>
        <w:tc>
          <w:tcPr>
            <w:tcW w:w="891" w:type="dxa"/>
          </w:tcPr>
          <w:p w14:paraId="4653995B" w14:textId="28835A8B" w:rsidR="00E16337" w:rsidRPr="00DB2501" w:rsidRDefault="00B4056E" w:rsidP="00724130">
            <w:pPr>
              <w:pStyle w:val="BodyText"/>
              <w:spacing w:before="0" w:after="0" w:line="240" w:lineRule="auto"/>
              <w:rPr>
                <w:sz w:val="18"/>
                <w:szCs w:val="18"/>
              </w:rPr>
            </w:pPr>
            <w:r>
              <w:rPr>
                <w:sz w:val="18"/>
                <w:szCs w:val="18"/>
              </w:rPr>
              <w:t>18%</w:t>
            </w:r>
          </w:p>
        </w:tc>
      </w:tr>
      <w:tr w:rsidR="00CB7C8B" w:rsidRPr="00DB2501" w14:paraId="0B433D3D" w14:textId="77777777" w:rsidTr="0004229B">
        <w:tc>
          <w:tcPr>
            <w:tcW w:w="1911" w:type="dxa"/>
          </w:tcPr>
          <w:p w14:paraId="4C63F49F" w14:textId="77777777" w:rsidR="00CB7C8B" w:rsidRDefault="00CB7C8B" w:rsidP="00CB7C8B">
            <w:pPr>
              <w:pStyle w:val="BodyText"/>
              <w:spacing w:before="0" w:after="0" w:line="240" w:lineRule="auto"/>
              <w:jc w:val="left"/>
              <w:rPr>
                <w:sz w:val="18"/>
                <w:szCs w:val="18"/>
              </w:rPr>
            </w:pPr>
            <w:r>
              <w:rPr>
                <w:sz w:val="18"/>
                <w:szCs w:val="18"/>
              </w:rPr>
              <w:t>Zackrisson et al. (2018)</w:t>
            </w:r>
          </w:p>
          <w:p w14:paraId="4FEC49C0" w14:textId="565D3D76" w:rsidR="00CB7C8B" w:rsidRPr="00BC39EF" w:rsidRDefault="00CB7C8B" w:rsidP="00CB7C8B">
            <w:pPr>
              <w:pStyle w:val="BodyText"/>
              <w:spacing w:before="0" w:after="0" w:line="240" w:lineRule="auto"/>
              <w:jc w:val="left"/>
              <w:rPr>
                <w:sz w:val="18"/>
                <w:szCs w:val="18"/>
                <w:vertAlign w:val="superscript"/>
              </w:rPr>
            </w:pPr>
            <w:r w:rsidRPr="00DB2501">
              <w:rPr>
                <w:sz w:val="18"/>
                <w:szCs w:val="18"/>
              </w:rPr>
              <w:t>Malm</w:t>
            </w:r>
            <w:r>
              <w:rPr>
                <w:rFonts w:cstheme="majorHAnsi"/>
                <w:sz w:val="18"/>
                <w:szCs w:val="18"/>
              </w:rPr>
              <w:t>ö</w:t>
            </w:r>
            <w:r w:rsidR="00BC39EF">
              <w:rPr>
                <w:rFonts w:cstheme="majorHAnsi"/>
                <w:sz w:val="18"/>
                <w:szCs w:val="18"/>
                <w:vertAlign w:val="superscript"/>
              </w:rPr>
              <w:t>18</w:t>
            </w:r>
          </w:p>
        </w:tc>
        <w:tc>
          <w:tcPr>
            <w:tcW w:w="889" w:type="dxa"/>
          </w:tcPr>
          <w:p w14:paraId="70497EB2" w14:textId="06B53364" w:rsidR="00CB7C8B" w:rsidRPr="00DB2501" w:rsidRDefault="00CB7C8B" w:rsidP="00CB7C8B">
            <w:pPr>
              <w:pStyle w:val="BodyText"/>
              <w:spacing w:before="0" w:after="0" w:line="240" w:lineRule="auto"/>
              <w:rPr>
                <w:sz w:val="18"/>
                <w:szCs w:val="18"/>
              </w:rPr>
            </w:pPr>
            <w:r w:rsidRPr="00DB2501">
              <w:rPr>
                <w:sz w:val="18"/>
                <w:szCs w:val="18"/>
              </w:rPr>
              <w:t>5</w:t>
            </w:r>
            <w:r w:rsidR="00505245">
              <w:rPr>
                <w:sz w:val="18"/>
                <w:szCs w:val="18"/>
              </w:rPr>
              <w:t>2%</w:t>
            </w:r>
          </w:p>
        </w:tc>
        <w:tc>
          <w:tcPr>
            <w:tcW w:w="893" w:type="dxa"/>
          </w:tcPr>
          <w:p w14:paraId="4E8E5A97" w14:textId="7AF453F9" w:rsidR="00CB7C8B" w:rsidRPr="00DB2501" w:rsidRDefault="00CB7C8B" w:rsidP="00CB7C8B">
            <w:pPr>
              <w:pStyle w:val="BodyText"/>
              <w:spacing w:before="0" w:after="0" w:line="240" w:lineRule="auto"/>
              <w:rPr>
                <w:sz w:val="18"/>
                <w:szCs w:val="18"/>
              </w:rPr>
            </w:pPr>
            <w:r w:rsidRPr="00DB2501">
              <w:rPr>
                <w:sz w:val="18"/>
                <w:szCs w:val="18"/>
              </w:rPr>
              <w:t>55</w:t>
            </w:r>
            <w:r w:rsidR="00505245">
              <w:rPr>
                <w:sz w:val="18"/>
                <w:szCs w:val="18"/>
              </w:rPr>
              <w:t>%</w:t>
            </w:r>
          </w:p>
        </w:tc>
        <w:tc>
          <w:tcPr>
            <w:tcW w:w="882" w:type="dxa"/>
          </w:tcPr>
          <w:p w14:paraId="46362A4C" w14:textId="493757FE" w:rsidR="00CB7C8B" w:rsidRPr="00DB2501" w:rsidRDefault="00505245" w:rsidP="00CB7C8B">
            <w:pPr>
              <w:pStyle w:val="BodyText"/>
              <w:spacing w:before="0" w:after="0" w:line="240" w:lineRule="auto"/>
              <w:rPr>
                <w:sz w:val="18"/>
                <w:szCs w:val="18"/>
              </w:rPr>
            </w:pPr>
            <w:r>
              <w:rPr>
                <w:sz w:val="18"/>
                <w:szCs w:val="18"/>
              </w:rPr>
              <w:t>26%</w:t>
            </w:r>
          </w:p>
        </w:tc>
        <w:tc>
          <w:tcPr>
            <w:tcW w:w="890" w:type="dxa"/>
          </w:tcPr>
          <w:p w14:paraId="27017E7A" w14:textId="09787EF2" w:rsidR="00CB7C8B" w:rsidRPr="00DB2501" w:rsidRDefault="00CB7C8B" w:rsidP="00CB7C8B">
            <w:pPr>
              <w:pStyle w:val="BodyText"/>
              <w:spacing w:before="0" w:after="0" w:line="240" w:lineRule="auto"/>
              <w:rPr>
                <w:sz w:val="18"/>
                <w:szCs w:val="18"/>
              </w:rPr>
            </w:pPr>
            <w:r w:rsidRPr="00DB2501">
              <w:rPr>
                <w:sz w:val="18"/>
                <w:szCs w:val="18"/>
              </w:rPr>
              <w:t>14</w:t>
            </w:r>
            <w:r w:rsidR="00505245">
              <w:rPr>
                <w:sz w:val="18"/>
                <w:szCs w:val="18"/>
              </w:rPr>
              <w:t>%</w:t>
            </w:r>
          </w:p>
        </w:tc>
        <w:tc>
          <w:tcPr>
            <w:tcW w:w="882" w:type="dxa"/>
          </w:tcPr>
          <w:p w14:paraId="24253A43" w14:textId="12ADC599" w:rsidR="00505245" w:rsidRPr="00DB2501" w:rsidRDefault="00CB7C8B" w:rsidP="00505245">
            <w:pPr>
              <w:pStyle w:val="BodyText"/>
              <w:spacing w:before="0" w:after="0" w:line="240" w:lineRule="auto"/>
              <w:rPr>
                <w:sz w:val="18"/>
                <w:szCs w:val="18"/>
              </w:rPr>
            </w:pPr>
            <w:r w:rsidRPr="00DB2501">
              <w:rPr>
                <w:sz w:val="18"/>
                <w:szCs w:val="18"/>
              </w:rPr>
              <w:t>1</w:t>
            </w:r>
            <w:r w:rsidR="00505245">
              <w:rPr>
                <w:sz w:val="18"/>
                <w:szCs w:val="18"/>
              </w:rPr>
              <w:t>2%</w:t>
            </w:r>
          </w:p>
          <w:p w14:paraId="7F5DD220" w14:textId="3B20FD83" w:rsidR="00505245" w:rsidRPr="00DB2501" w:rsidRDefault="00505245" w:rsidP="00CB7C8B">
            <w:pPr>
              <w:pStyle w:val="BodyText"/>
              <w:spacing w:before="0" w:after="0" w:line="240" w:lineRule="auto"/>
              <w:rPr>
                <w:sz w:val="18"/>
                <w:szCs w:val="18"/>
              </w:rPr>
            </w:pPr>
          </w:p>
        </w:tc>
        <w:tc>
          <w:tcPr>
            <w:tcW w:w="941" w:type="dxa"/>
          </w:tcPr>
          <w:p w14:paraId="776EDD1A" w14:textId="51AEED27" w:rsidR="00CB7C8B" w:rsidRDefault="00CB7C8B" w:rsidP="00CB7C8B">
            <w:pPr>
              <w:pStyle w:val="BodyText"/>
              <w:spacing w:before="0" w:after="0" w:line="240" w:lineRule="auto"/>
              <w:rPr>
                <w:sz w:val="18"/>
                <w:szCs w:val="18"/>
              </w:rPr>
            </w:pPr>
            <w:r w:rsidRPr="00DB2501">
              <w:rPr>
                <w:sz w:val="18"/>
                <w:szCs w:val="18"/>
              </w:rPr>
              <w:t>1</w:t>
            </w:r>
            <w:r w:rsidR="00505245">
              <w:rPr>
                <w:sz w:val="18"/>
                <w:szCs w:val="18"/>
              </w:rPr>
              <w:t>2%</w:t>
            </w:r>
          </w:p>
          <w:p w14:paraId="732513D2" w14:textId="77777777" w:rsidR="00505245" w:rsidRDefault="00505245" w:rsidP="00505245">
            <w:pPr>
              <w:pStyle w:val="BodyText"/>
              <w:spacing w:before="0" w:after="0" w:line="240" w:lineRule="auto"/>
              <w:rPr>
                <w:sz w:val="18"/>
                <w:szCs w:val="18"/>
              </w:rPr>
            </w:pPr>
            <w:r>
              <w:rPr>
                <w:sz w:val="18"/>
                <w:szCs w:val="18"/>
              </w:rPr>
              <w:t>(tubular)</w:t>
            </w:r>
          </w:p>
          <w:p w14:paraId="4D532496" w14:textId="009522DB" w:rsidR="00505245" w:rsidRPr="00DB2501" w:rsidRDefault="00505245" w:rsidP="00505245">
            <w:pPr>
              <w:pStyle w:val="BodyText"/>
              <w:spacing w:before="0" w:after="0" w:line="240" w:lineRule="auto"/>
              <w:rPr>
                <w:sz w:val="18"/>
                <w:szCs w:val="18"/>
              </w:rPr>
            </w:pPr>
            <w:r>
              <w:rPr>
                <w:sz w:val="18"/>
                <w:szCs w:val="18"/>
              </w:rPr>
              <w:t>1 (other)</w:t>
            </w:r>
          </w:p>
        </w:tc>
        <w:tc>
          <w:tcPr>
            <w:tcW w:w="882" w:type="dxa"/>
          </w:tcPr>
          <w:p w14:paraId="09AF7E37" w14:textId="3F13B4B7" w:rsidR="00CB7C8B" w:rsidRPr="00DB2501" w:rsidRDefault="00505245" w:rsidP="00CB7C8B">
            <w:pPr>
              <w:pStyle w:val="BodyText"/>
              <w:spacing w:before="0" w:after="0" w:line="240" w:lineRule="auto"/>
              <w:rPr>
                <w:sz w:val="18"/>
                <w:szCs w:val="18"/>
              </w:rPr>
            </w:pPr>
            <w:r>
              <w:rPr>
                <w:sz w:val="18"/>
                <w:szCs w:val="18"/>
              </w:rPr>
              <w:t>10%</w:t>
            </w:r>
          </w:p>
        </w:tc>
        <w:tc>
          <w:tcPr>
            <w:tcW w:w="891" w:type="dxa"/>
          </w:tcPr>
          <w:p w14:paraId="68973117" w14:textId="62C0CBCE" w:rsidR="00CB7C8B" w:rsidRPr="00DB2501" w:rsidRDefault="00CB7C8B" w:rsidP="00CB7C8B">
            <w:pPr>
              <w:pStyle w:val="BodyText"/>
              <w:spacing w:before="0" w:after="0" w:line="240" w:lineRule="auto"/>
              <w:rPr>
                <w:sz w:val="18"/>
                <w:szCs w:val="18"/>
              </w:rPr>
            </w:pPr>
            <w:r w:rsidRPr="00DB2501">
              <w:rPr>
                <w:sz w:val="18"/>
                <w:szCs w:val="18"/>
              </w:rPr>
              <w:t>18</w:t>
            </w:r>
            <w:r w:rsidR="00505245">
              <w:rPr>
                <w:sz w:val="18"/>
                <w:szCs w:val="18"/>
              </w:rPr>
              <w:t>%</w:t>
            </w:r>
          </w:p>
        </w:tc>
      </w:tr>
    </w:tbl>
    <w:p w14:paraId="3DE68CD1" w14:textId="77777777" w:rsidR="00AD6615" w:rsidRDefault="00AD6615" w:rsidP="00AD6615">
      <w:pPr>
        <w:pStyle w:val="BodyText"/>
      </w:pPr>
      <w:r>
        <w:lastRenderedPageBreak/>
        <w:t>While most of these studies suggest that DBT increases detection of invasive cancers compared to in-situ cancers, many studies reported descriptively rather than providing a comparative statistical analysis of the additional cancers only detected with DBT due to the overall small number of cancers detected in studies. Also, it is unclear whether the cancers detected represent additional and earlier detection of clinically significant cancers (which would favour use of DBT as a screening test), or whether the cancers detected in the DBT arms of the study represent an increased lead time (i.e., these cancers would have been detected with FFDM eventually and they are the type of cancer than has a good prognosis). While evidence continues to emerge that DBT may increase the detection of invasive cancers (and not DCIS), the contribution of DBT to potential overdiagnosis or increased lead time (rather than increased detection of ‘killing’ cancers) requires additional research.</w:t>
      </w:r>
    </w:p>
    <w:p w14:paraId="7576B739" w14:textId="77777777" w:rsidR="00984E91" w:rsidRDefault="00984E91" w:rsidP="00783E1A">
      <w:pPr>
        <w:pStyle w:val="NumberedHeading3"/>
      </w:pPr>
      <w:bookmarkStart w:id="294" w:name="_Toc43376308"/>
      <w:r>
        <w:t>Molecular subtype</w:t>
      </w:r>
      <w:bookmarkEnd w:id="294"/>
      <w:r>
        <w:t xml:space="preserve"> </w:t>
      </w:r>
    </w:p>
    <w:p w14:paraId="56608CAF" w14:textId="057CED27" w:rsidR="00F50906" w:rsidRDefault="002E44F2" w:rsidP="00F50906">
      <w:pPr>
        <w:pStyle w:val="BodyText"/>
        <w:rPr>
          <w:rFonts w:ascii="Arial" w:eastAsia="Times New Roman" w:hAnsi="Arial" w:cs="Arial"/>
          <w:color w:val="111111"/>
          <w:sz w:val="23"/>
          <w:szCs w:val="23"/>
          <w:lang w:eastAsia="en-NZ"/>
        </w:rPr>
      </w:pPr>
      <w:r>
        <w:t>Approximately 70</w:t>
      </w:r>
      <w:r w:rsidR="00285D7E">
        <w:t xml:space="preserve"> percent</w:t>
      </w:r>
      <w:r>
        <w:t xml:space="preserve"> of breast cancers are sensitive to specific hormones, meaning that presence of </w:t>
      </w:r>
      <w:r w:rsidR="00CB63D6">
        <w:t xml:space="preserve">receptor-positive cells </w:t>
      </w:r>
      <w:r>
        <w:t xml:space="preserve">in a breast cancer may result in faster proliferation of cancerous cells. </w:t>
      </w:r>
      <w:r w:rsidR="00984E91">
        <w:t>Molecular subtype</w:t>
      </w:r>
      <w:r w:rsidR="00F50906">
        <w:t xml:space="preserve">s are based on the genes expressed by a cancer and are </w:t>
      </w:r>
      <w:r w:rsidR="00984E91">
        <w:t xml:space="preserve">important </w:t>
      </w:r>
      <w:r w:rsidR="00F50906">
        <w:t>bio</w:t>
      </w:r>
      <w:r w:rsidR="00984E91">
        <w:t>marker</w:t>
      </w:r>
      <w:r w:rsidR="00F50906">
        <w:t>s used to determine prognosis following diagnosis. There are four key biomarkers</w:t>
      </w:r>
      <w:r w:rsidR="00417C9A">
        <w:t xml:space="preserve"> based on different configurations of receptors</w:t>
      </w:r>
      <w:r w:rsidR="00854CD0">
        <w:rPr>
          <w:rStyle w:val="FootnoteReference"/>
        </w:rPr>
        <w:footnoteReference w:id="17"/>
      </w:r>
      <w:r w:rsidR="00F50906">
        <w:t xml:space="preserve">: </w:t>
      </w:r>
    </w:p>
    <w:p w14:paraId="7DD49CDB" w14:textId="213A55D9" w:rsidR="00F50906" w:rsidRDefault="00984E91" w:rsidP="00F50906">
      <w:pPr>
        <w:pStyle w:val="List-BulletLvl1"/>
        <w:rPr>
          <w:lang w:eastAsia="en-NZ"/>
        </w:rPr>
      </w:pPr>
      <w:r w:rsidRPr="00F672EA">
        <w:rPr>
          <w:b/>
          <w:bCs/>
          <w:lang w:eastAsia="en-NZ"/>
        </w:rPr>
        <w:t>Luminal A</w:t>
      </w:r>
      <w:r w:rsidRPr="00F672EA">
        <w:rPr>
          <w:lang w:eastAsia="en-NZ"/>
        </w:rPr>
        <w:t xml:space="preserve"> breast cancer </w:t>
      </w:r>
      <w:r w:rsidR="00F50906">
        <w:rPr>
          <w:lang w:eastAsia="en-NZ"/>
        </w:rPr>
        <w:t>(ER positive, PR positive, HER-2 negative, low Ki67</w:t>
      </w:r>
      <w:r w:rsidR="00F50906">
        <w:rPr>
          <w:rStyle w:val="FootnoteReference"/>
          <w:lang w:eastAsia="en-NZ"/>
        </w:rPr>
        <w:footnoteReference w:id="18"/>
      </w:r>
      <w:r w:rsidR="00F50906">
        <w:rPr>
          <w:lang w:eastAsia="en-NZ"/>
        </w:rPr>
        <w:t>) is usually associated with low-grade, slow-growing cancers with an excellent prognosis</w:t>
      </w:r>
    </w:p>
    <w:p w14:paraId="054D85F0" w14:textId="4972570A" w:rsidR="00F50906" w:rsidRDefault="00F50906" w:rsidP="00F50906">
      <w:pPr>
        <w:pStyle w:val="List-BulletLvl1"/>
        <w:rPr>
          <w:lang w:eastAsia="en-NZ"/>
        </w:rPr>
      </w:pPr>
      <w:r>
        <w:rPr>
          <w:b/>
          <w:bCs/>
          <w:lang w:eastAsia="en-NZ"/>
        </w:rPr>
        <w:t>Luminal B</w:t>
      </w:r>
      <w:r>
        <w:rPr>
          <w:lang w:eastAsia="en-NZ"/>
        </w:rPr>
        <w:t xml:space="preserve"> breast cancer (ER positive and/or PR positive, HER-2 negative or positive, high Ki67) is usually associate with slightly faster growing cancers (compared to Luminal A)</w:t>
      </w:r>
    </w:p>
    <w:p w14:paraId="4281F67F" w14:textId="7D8FE10C" w:rsidR="00F50906" w:rsidRPr="00F50906" w:rsidRDefault="00F50906" w:rsidP="00F50906">
      <w:pPr>
        <w:pStyle w:val="List-BulletLvl1"/>
        <w:rPr>
          <w:b/>
          <w:bCs/>
          <w:lang w:eastAsia="en-NZ"/>
        </w:rPr>
      </w:pPr>
      <w:r w:rsidRPr="00F50906">
        <w:rPr>
          <w:b/>
          <w:bCs/>
          <w:lang w:eastAsia="en-NZ"/>
        </w:rPr>
        <w:t>Triple n</w:t>
      </w:r>
      <w:r>
        <w:rPr>
          <w:b/>
          <w:bCs/>
          <w:lang w:eastAsia="en-NZ"/>
        </w:rPr>
        <w:t xml:space="preserve">egative </w:t>
      </w:r>
      <w:r>
        <w:rPr>
          <w:lang w:eastAsia="en-NZ"/>
        </w:rPr>
        <w:t xml:space="preserve">breast cancer (ER negative, PR negative, HER-2 negative) is usually an aggressive cancer, </w:t>
      </w:r>
      <w:r w:rsidR="00417C9A">
        <w:rPr>
          <w:lang w:eastAsia="en-NZ"/>
        </w:rPr>
        <w:t xml:space="preserve">is </w:t>
      </w:r>
      <w:r>
        <w:rPr>
          <w:lang w:eastAsia="en-NZ"/>
        </w:rPr>
        <w:t xml:space="preserve">often associated with BRCA1 mutations and in younger women: it has poor outcomes as </w:t>
      </w:r>
      <w:r w:rsidR="00EC4E94">
        <w:rPr>
          <w:lang w:eastAsia="en-NZ"/>
        </w:rPr>
        <w:t>there are fewer medicines available</w:t>
      </w:r>
      <w:r w:rsidR="00417C9A">
        <w:rPr>
          <w:lang w:eastAsia="en-NZ"/>
        </w:rPr>
        <w:t>, and</w:t>
      </w:r>
    </w:p>
    <w:p w14:paraId="77C5C82E" w14:textId="04380B18" w:rsidR="00F50906" w:rsidRPr="00F50906" w:rsidRDefault="00F50906" w:rsidP="00F50906">
      <w:pPr>
        <w:pStyle w:val="List-BulletLvl1"/>
        <w:rPr>
          <w:b/>
          <w:bCs/>
          <w:lang w:eastAsia="en-NZ"/>
        </w:rPr>
      </w:pPr>
      <w:r>
        <w:rPr>
          <w:b/>
          <w:bCs/>
          <w:lang w:eastAsia="en-NZ"/>
        </w:rPr>
        <w:t>HER-2</w:t>
      </w:r>
      <w:r w:rsidR="00EC4E94">
        <w:rPr>
          <w:b/>
          <w:bCs/>
          <w:lang w:eastAsia="en-NZ"/>
        </w:rPr>
        <w:t xml:space="preserve"> positive</w:t>
      </w:r>
      <w:r>
        <w:rPr>
          <w:b/>
          <w:bCs/>
          <w:lang w:eastAsia="en-NZ"/>
        </w:rPr>
        <w:t xml:space="preserve"> </w:t>
      </w:r>
      <w:r>
        <w:rPr>
          <w:lang w:eastAsia="en-NZ"/>
        </w:rPr>
        <w:t>breast cancers (ER negative, PR negative, HER-2 positive) grow fast but are treatable with targeted hormonal therapies.</w:t>
      </w:r>
    </w:p>
    <w:p w14:paraId="30E98DF2" w14:textId="62C0A3B9" w:rsidR="002C6611" w:rsidRDefault="00F50906" w:rsidP="00417C9A">
      <w:pPr>
        <w:pStyle w:val="BodyText"/>
        <w:rPr>
          <w:lang w:eastAsia="en-NZ"/>
        </w:rPr>
      </w:pPr>
      <w:r>
        <w:rPr>
          <w:lang w:eastAsia="en-NZ"/>
        </w:rPr>
        <w:t>Most of the studies included in this literature review did not comment on the molecular subtype of detected cancers</w:t>
      </w:r>
      <w:r w:rsidR="00CB63D6">
        <w:rPr>
          <w:lang w:eastAsia="en-NZ"/>
        </w:rPr>
        <w:t xml:space="preserve"> but </w:t>
      </w:r>
      <w:r w:rsidR="009A1486">
        <w:rPr>
          <w:lang w:eastAsia="en-NZ"/>
        </w:rPr>
        <w:t>five</w:t>
      </w:r>
      <w:r w:rsidR="00CB63D6">
        <w:rPr>
          <w:lang w:eastAsia="en-NZ"/>
        </w:rPr>
        <w:t xml:space="preserve"> studies did. B</w:t>
      </w:r>
      <w:r w:rsidR="00972C1B">
        <w:rPr>
          <w:lang w:eastAsia="en-NZ"/>
        </w:rPr>
        <w:t>oth RCTs</w:t>
      </w:r>
      <w:r w:rsidR="009A1486">
        <w:rPr>
          <w:lang w:eastAsia="en-NZ"/>
        </w:rPr>
        <w:t>, the Malmö trial</w:t>
      </w:r>
      <w:r w:rsidR="00972C1B">
        <w:rPr>
          <w:lang w:eastAsia="en-NZ"/>
        </w:rPr>
        <w:t xml:space="preserve"> and one other </w:t>
      </w:r>
      <w:r w:rsidR="00B07D11">
        <w:rPr>
          <w:lang w:eastAsia="en-NZ"/>
        </w:rPr>
        <w:t>Norwegian stud</w:t>
      </w:r>
      <w:r w:rsidR="00972C1B">
        <w:rPr>
          <w:lang w:eastAsia="en-NZ"/>
        </w:rPr>
        <w:t>y</w:t>
      </w:r>
      <w:r>
        <w:rPr>
          <w:lang w:eastAsia="en-NZ"/>
        </w:rPr>
        <w:t xml:space="preserve"> </w:t>
      </w:r>
      <w:r w:rsidR="00B07D11">
        <w:rPr>
          <w:lang w:eastAsia="en-NZ"/>
        </w:rPr>
        <w:t xml:space="preserve">reported data by molecular subtype (Hofvind et al., 2019; </w:t>
      </w:r>
      <w:r w:rsidR="009A1486">
        <w:rPr>
          <w:lang w:eastAsia="en-NZ"/>
        </w:rPr>
        <w:t xml:space="preserve">Johnson et al., 2019; </w:t>
      </w:r>
      <w:r w:rsidR="00B07D11">
        <w:rPr>
          <w:lang w:eastAsia="en-NZ"/>
        </w:rPr>
        <w:t>Hofvind et al., 2018</w:t>
      </w:r>
      <w:r w:rsidR="00972C1B">
        <w:rPr>
          <w:lang w:eastAsia="en-NZ"/>
        </w:rPr>
        <w:t>; Pattacini et al., 2018</w:t>
      </w:r>
      <w:r w:rsidR="00B07D11">
        <w:rPr>
          <w:lang w:eastAsia="en-NZ"/>
        </w:rPr>
        <w:t>)</w:t>
      </w:r>
      <w:r w:rsidR="00EC4E94">
        <w:rPr>
          <w:lang w:eastAsia="en-NZ"/>
        </w:rPr>
        <w:t xml:space="preserve">. </w:t>
      </w:r>
      <w:r w:rsidR="00972C1B">
        <w:rPr>
          <w:lang w:eastAsia="en-NZ"/>
        </w:rPr>
        <w:t xml:space="preserve">One </w:t>
      </w:r>
      <w:r w:rsidR="00B07D11">
        <w:rPr>
          <w:lang w:eastAsia="en-NZ"/>
        </w:rPr>
        <w:t>other stud</w:t>
      </w:r>
      <w:r w:rsidR="00972C1B">
        <w:rPr>
          <w:lang w:eastAsia="en-NZ"/>
        </w:rPr>
        <w:t>y</w:t>
      </w:r>
      <w:r w:rsidR="00B07D11">
        <w:rPr>
          <w:lang w:eastAsia="en-NZ"/>
        </w:rPr>
        <w:t xml:space="preserve"> (Houssami et al., 2019) reported on </w:t>
      </w:r>
      <w:r w:rsidR="00EC4E94">
        <w:rPr>
          <w:lang w:eastAsia="en-NZ"/>
        </w:rPr>
        <w:t xml:space="preserve">dominant </w:t>
      </w:r>
      <w:r w:rsidR="00B07D11">
        <w:rPr>
          <w:lang w:eastAsia="en-NZ"/>
        </w:rPr>
        <w:t>receptors</w:t>
      </w:r>
      <w:r w:rsidR="00417C9A">
        <w:rPr>
          <w:lang w:eastAsia="en-NZ"/>
        </w:rPr>
        <w:t xml:space="preserve"> but not molecular subtype.</w:t>
      </w:r>
      <w:r w:rsidR="00EC4E94">
        <w:rPr>
          <w:lang w:eastAsia="en-NZ"/>
        </w:rPr>
        <w:t xml:space="preserve"> Data from individual studies is presented in </w:t>
      </w:r>
      <w:r w:rsidR="00EC4E94">
        <w:rPr>
          <w:i/>
          <w:iCs/>
          <w:lang w:eastAsia="en-NZ"/>
        </w:rPr>
        <w:t>Table</w:t>
      </w:r>
      <w:r w:rsidR="00C124D2">
        <w:rPr>
          <w:i/>
          <w:iCs/>
          <w:lang w:eastAsia="en-NZ"/>
        </w:rPr>
        <w:t xml:space="preserve">s 11a </w:t>
      </w:r>
      <w:r w:rsidR="00C124D2" w:rsidRPr="00C124D2">
        <w:rPr>
          <w:lang w:eastAsia="en-NZ"/>
        </w:rPr>
        <w:t>and</w:t>
      </w:r>
      <w:r w:rsidR="00C124D2">
        <w:rPr>
          <w:i/>
          <w:iCs/>
          <w:lang w:eastAsia="en-NZ"/>
        </w:rPr>
        <w:t xml:space="preserve"> 11b</w:t>
      </w:r>
      <w:r w:rsidR="00972C1B">
        <w:rPr>
          <w:i/>
          <w:iCs/>
          <w:lang w:eastAsia="en-NZ"/>
        </w:rPr>
        <w:t xml:space="preserve"> </w:t>
      </w:r>
      <w:r w:rsidR="00972C1B">
        <w:rPr>
          <w:lang w:eastAsia="en-NZ"/>
        </w:rPr>
        <w:t>(</w:t>
      </w:r>
      <w:r w:rsidR="00D41F92">
        <w:rPr>
          <w:lang w:eastAsia="en-NZ"/>
        </w:rPr>
        <w:t>overleaf</w:t>
      </w:r>
      <w:r w:rsidR="00972C1B">
        <w:rPr>
          <w:lang w:eastAsia="en-NZ"/>
        </w:rPr>
        <w:t>)</w:t>
      </w:r>
      <w:r w:rsidR="00EC4E94">
        <w:rPr>
          <w:lang w:eastAsia="en-NZ"/>
        </w:rPr>
        <w:t>.</w:t>
      </w:r>
    </w:p>
    <w:p w14:paraId="2B6419C7" w14:textId="77777777" w:rsidR="000C503A" w:rsidRDefault="000C503A">
      <w:pPr>
        <w:rPr>
          <w:b/>
          <w:bCs/>
          <w:color w:val="36424A" w:themeColor="accent1"/>
          <w:sz w:val="18"/>
          <w:szCs w:val="18"/>
        </w:rPr>
      </w:pPr>
      <w:r>
        <w:br w:type="page"/>
      </w:r>
    </w:p>
    <w:p w14:paraId="0C6BA999" w14:textId="7676172D" w:rsidR="00AD6615" w:rsidRDefault="00972C1B" w:rsidP="00AD6615">
      <w:pPr>
        <w:pStyle w:val="Caption"/>
      </w:pPr>
      <w:r>
        <w:lastRenderedPageBreak/>
        <w:t xml:space="preserve">Table </w:t>
      </w:r>
      <w:r w:rsidR="00C124D2">
        <w:t>11a</w:t>
      </w:r>
      <w:r>
        <w:t>: Molecular subtype and/or receptor status</w:t>
      </w:r>
      <w:r w:rsidR="00AD6615" w:rsidRPr="00AD6615">
        <w:t xml:space="preserve"> </w:t>
      </w:r>
      <w:r w:rsidR="00AD6615">
        <w:t>for a range of imaging protocols</w:t>
      </w:r>
    </w:p>
    <w:tbl>
      <w:tblPr>
        <w:tblStyle w:val="ACGreen-BasicTable"/>
        <w:tblW w:w="0" w:type="auto"/>
        <w:tblLook w:val="04A0" w:firstRow="1" w:lastRow="0" w:firstColumn="1" w:lastColumn="0" w:noHBand="0" w:noVBand="1"/>
        <w:tblDescription w:val="Table 11a is the molecular subtype and/or receptor status for a range of imaging protocols.&#10;DBT+s2DM compared to FFDM alone for RCT are:&#10;The study by Hofvind et al. (2019), To-Be-1, (main analysis) included the number of cancers which were total of 182, (DBT+s2DM: 95, FFDM: 87).&#10;The DBT+s2DM was  Luminal A: 58.7% (46.7, 69.9), Luminal B HER-2-ve: 24%, (14.9, 35.3), Luminal B HER-2+ve: 6.7% (2.2, 14.9), Triple negative: 6.7 % (2.2, 14.9), HER-2+: 10.1% (4.5, 19), OR+: 89.9% (81.0, 95.5), PR+: 77.2% (66.4, 85.9), Ki67&gt;30%: 29.6% (19.3, 41.6).&#10;For FFDM+DBT it was NA.&#10;For FFDM alone was Luminal A: 61.4% (49, 72.8, p=.43), Luminal B HER-2-ve: 25.7% (16.0, 37.6), Luminal B HER-2+ve: 10.0% (4.1, 19.5), Triple negative: 1.4% (0.04, 7.7), HER-2+: 11.3% (11.1, 13.8; p=.82), OR+: 97.2% (90.2, 99.7; p=.07), PR+: 87.3% (77.3, 94.0; p=.11), Ki67&gt;30%: 20.0% (11.1, 31.8; p=.20).&#10;&#10;Prospective studies embedded in population-based screening included the following studies:&#10;A study by Houssami et al. (2019) Maroondah included the number of cancers of DBT+s2DM: 49, FFDM: 34.&#10;For DBT+s2DM it was HER-2+: 14%, HER-2-: 87%, OR/PR+: 97%, OR/PR-: 3%.&#10;For FFDM+DBT it was NA.&#10;For FFDM alone it was HER-2+: 0, HER-2-: 100%, OR/PR+: 93%, OR/PR-: 7%.&#10;&#10;A study by Hofvind et al. (2018) Norway BSP included the number of cancers of DBT+s@DM: 348, FFDM: 379.&#10;For DBT+s2DM  it was Luminal A: 4.2 per 1000, Luminal B HER-2-ve: 2.6 per 1000, Luminal B HER-2 +ve: 0.3 per 1000, HER-2 +ve: 0.03 per 1000, Triple negative: 0.3 per 1000.&#10;For FFDM+DBT it was NA.&#10;For FDDM alone it was Luminal A: 3.2 per 1000 (p=.001), Luminal B HER-2 -ve: 1.5 per 1000 (p=.05), Luminal B HER-2 +ve: 0.3 per 1000, HER-2 +ve: 0.1 per 1000, Triple negative: 0.2 per 1000.&#10;&#10;For Retrospective analysis a study by Hoyda et al. (2019) Norway BSP included the number of cancers of FFDM+FFDM: 39, FFDM+DBT or DBT+s2DM: 248.&#10;For DBT+s2DM it was Luminal A: 6.06 per 1000, Luminal B HER-2+ve: 0.25 per 1000, Luminal B HER-2-ve: 1.25 per 1000, HER-2+ve: 0.07 per 1000, Triple negative: 0.47 per 1000.&#10;For FFDM+DBT it was NA.&#10;For FFDM alone it was Luminal A: 2.09 per 1000, Luminal B HER-2+ve: 0.29 per 1000, Luminal B HER-2-ve: 0.48 per 1000, HER-2+ve: 0.19 per 1000, Triple negative: 0.67 per 1000.&#10;&#10;For FFDM+DBT to FFDM alone for RCT, a study by Pattacini et al. (2018) Reggio Emilia included the number of cancers - Total: 127, FFDM+DBT: 83, FFDM: 44.&#10;For DBT+s2DM it was NA.&#10;For FFDM+DBT it was PR&gt;10%: 62 cancers, ER&gt;10%: 75 cancers, HER-2 -ve: 58 cancers, Ki67 &lt;20%: 50 cancers.&#10;For FFDM alone it was PR&gt;10%: 26 cancers (RR=2.30; 1.5, 3.77), ER&gt;10%: 40 cancers (RR=1.88; 1.28, 2.75), HER-2 -ve: 28 cancers (RR=2.07; 1.32, 3.25), Ki67 &lt;20%: 27 cancers (RR=1.85; 1.16, 2.96).&#10;&#10;For Retrospective analysis a study by Dang et al. (2019) included a number of cancers - FFDM+DBT: 37, FFDM: 26.&#10;For DBT+s2DM it was NA.&#10;For FFDM+DBT it was PR+ve: 74%, ER+ve: 93%.&#10;For FFDM alone it was PR+ve: 83% (p=.46), ER+ve: 93% (p=.34)."/>
      </w:tblPr>
      <w:tblGrid>
        <w:gridCol w:w="1129"/>
        <w:gridCol w:w="1276"/>
        <w:gridCol w:w="2410"/>
        <w:gridCol w:w="1843"/>
        <w:gridCol w:w="2403"/>
      </w:tblGrid>
      <w:tr w:rsidR="00972C1B" w:rsidRPr="00201646" w14:paraId="3153B6AE" w14:textId="77777777" w:rsidTr="00B028EF">
        <w:trPr>
          <w:cnfStyle w:val="100000000000" w:firstRow="1" w:lastRow="0" w:firstColumn="0" w:lastColumn="0" w:oddVBand="0" w:evenVBand="0" w:oddHBand="0" w:evenHBand="0" w:firstRowFirstColumn="0" w:firstRowLastColumn="0" w:lastRowFirstColumn="0" w:lastRowLastColumn="0"/>
        </w:trPr>
        <w:tc>
          <w:tcPr>
            <w:tcW w:w="1129" w:type="dxa"/>
          </w:tcPr>
          <w:p w14:paraId="05DAB436" w14:textId="77777777" w:rsidR="00972C1B" w:rsidRPr="006E02AA" w:rsidRDefault="00972C1B" w:rsidP="00592E7C">
            <w:pPr>
              <w:pStyle w:val="BodyText"/>
              <w:spacing w:before="0" w:after="0" w:line="240" w:lineRule="auto"/>
              <w:jc w:val="center"/>
              <w:rPr>
                <w:sz w:val="18"/>
                <w:szCs w:val="18"/>
              </w:rPr>
            </w:pPr>
            <w:r w:rsidRPr="006E02AA">
              <w:rPr>
                <w:sz w:val="18"/>
                <w:szCs w:val="18"/>
              </w:rPr>
              <w:t>Study</w:t>
            </w:r>
          </w:p>
        </w:tc>
        <w:tc>
          <w:tcPr>
            <w:tcW w:w="1276" w:type="dxa"/>
          </w:tcPr>
          <w:p w14:paraId="32402607" w14:textId="77777777" w:rsidR="00972C1B" w:rsidRPr="006E02AA" w:rsidRDefault="00972C1B" w:rsidP="00592E7C">
            <w:pPr>
              <w:pStyle w:val="BodyText"/>
              <w:spacing w:before="0" w:after="0" w:line="240" w:lineRule="auto"/>
              <w:jc w:val="center"/>
              <w:rPr>
                <w:sz w:val="18"/>
                <w:szCs w:val="18"/>
              </w:rPr>
            </w:pPr>
            <w:r w:rsidRPr="006E02AA">
              <w:rPr>
                <w:sz w:val="18"/>
                <w:szCs w:val="18"/>
              </w:rPr>
              <w:t>Number of cancers</w:t>
            </w:r>
          </w:p>
        </w:tc>
        <w:tc>
          <w:tcPr>
            <w:tcW w:w="2410" w:type="dxa"/>
          </w:tcPr>
          <w:p w14:paraId="61FFAD0A" w14:textId="25D06254" w:rsidR="00972C1B" w:rsidRPr="006E02AA" w:rsidRDefault="00972C1B" w:rsidP="00592E7C">
            <w:pPr>
              <w:pStyle w:val="BodyText"/>
              <w:spacing w:before="0" w:after="0" w:line="240" w:lineRule="auto"/>
              <w:jc w:val="center"/>
              <w:rPr>
                <w:b w:val="0"/>
                <w:sz w:val="18"/>
                <w:szCs w:val="18"/>
              </w:rPr>
            </w:pPr>
            <w:r w:rsidRPr="006E02AA">
              <w:rPr>
                <w:sz w:val="18"/>
                <w:szCs w:val="18"/>
              </w:rPr>
              <w:t>DBT+</w:t>
            </w:r>
            <w:r w:rsidR="00176980">
              <w:rPr>
                <w:sz w:val="18"/>
                <w:szCs w:val="18"/>
              </w:rPr>
              <w:t>s2DM</w:t>
            </w:r>
          </w:p>
          <w:p w14:paraId="289E31F3" w14:textId="77777777" w:rsidR="00972C1B" w:rsidRPr="006E02AA" w:rsidRDefault="00972C1B" w:rsidP="00592E7C">
            <w:pPr>
              <w:pStyle w:val="BodyText"/>
              <w:spacing w:before="0" w:after="0" w:line="240" w:lineRule="auto"/>
              <w:jc w:val="center"/>
              <w:rPr>
                <w:b w:val="0"/>
                <w:bCs/>
                <w:sz w:val="18"/>
                <w:szCs w:val="18"/>
              </w:rPr>
            </w:pPr>
          </w:p>
        </w:tc>
        <w:tc>
          <w:tcPr>
            <w:tcW w:w="1843" w:type="dxa"/>
          </w:tcPr>
          <w:p w14:paraId="57EEFE88" w14:textId="77777777" w:rsidR="00972C1B" w:rsidRPr="006E02AA" w:rsidRDefault="00972C1B" w:rsidP="00592E7C">
            <w:pPr>
              <w:pStyle w:val="BodyText"/>
              <w:spacing w:before="0" w:after="0" w:line="240" w:lineRule="auto"/>
              <w:jc w:val="center"/>
              <w:rPr>
                <w:b w:val="0"/>
                <w:sz w:val="18"/>
                <w:szCs w:val="18"/>
              </w:rPr>
            </w:pPr>
            <w:r w:rsidRPr="006E02AA">
              <w:rPr>
                <w:sz w:val="18"/>
                <w:szCs w:val="18"/>
              </w:rPr>
              <w:t>FFDM+DBT</w:t>
            </w:r>
          </w:p>
          <w:p w14:paraId="06A79DA6" w14:textId="77777777" w:rsidR="00972C1B" w:rsidRPr="006E02AA" w:rsidRDefault="00972C1B" w:rsidP="00592E7C">
            <w:pPr>
              <w:pStyle w:val="BodyText"/>
              <w:spacing w:before="0" w:after="0" w:line="240" w:lineRule="auto"/>
              <w:jc w:val="center"/>
              <w:rPr>
                <w:sz w:val="18"/>
                <w:szCs w:val="18"/>
              </w:rPr>
            </w:pPr>
          </w:p>
        </w:tc>
        <w:tc>
          <w:tcPr>
            <w:tcW w:w="2403" w:type="dxa"/>
          </w:tcPr>
          <w:p w14:paraId="67578E8B" w14:textId="77777777" w:rsidR="00972C1B" w:rsidRPr="006E02AA" w:rsidRDefault="00972C1B" w:rsidP="00592E7C">
            <w:pPr>
              <w:pStyle w:val="BodyText"/>
              <w:spacing w:before="0" w:after="0" w:line="240" w:lineRule="auto"/>
              <w:jc w:val="center"/>
              <w:rPr>
                <w:b w:val="0"/>
                <w:sz w:val="18"/>
                <w:szCs w:val="18"/>
              </w:rPr>
            </w:pPr>
            <w:r w:rsidRPr="006E02AA">
              <w:rPr>
                <w:sz w:val="18"/>
                <w:szCs w:val="18"/>
              </w:rPr>
              <w:t>FFDM alone</w:t>
            </w:r>
          </w:p>
          <w:p w14:paraId="25044EE7" w14:textId="77777777" w:rsidR="00972C1B" w:rsidRPr="006E02AA" w:rsidRDefault="00972C1B" w:rsidP="00592E7C">
            <w:pPr>
              <w:pStyle w:val="BodyText"/>
              <w:spacing w:before="0" w:after="0" w:line="240" w:lineRule="auto"/>
              <w:jc w:val="center"/>
              <w:rPr>
                <w:sz w:val="18"/>
                <w:szCs w:val="18"/>
              </w:rPr>
            </w:pPr>
          </w:p>
        </w:tc>
      </w:tr>
      <w:tr w:rsidR="000D2833" w:rsidRPr="00911379" w14:paraId="127A8AB6" w14:textId="77777777" w:rsidTr="00911379">
        <w:tc>
          <w:tcPr>
            <w:tcW w:w="9061" w:type="dxa"/>
            <w:gridSpan w:val="5"/>
            <w:shd w:val="clear" w:color="auto" w:fill="E7FFBD" w:themeFill="background2" w:themeFillTint="33"/>
          </w:tcPr>
          <w:p w14:paraId="609014CB" w14:textId="5FE0E2E3" w:rsidR="000D2833" w:rsidRPr="006E02AA" w:rsidRDefault="000D2833" w:rsidP="00911379">
            <w:pPr>
              <w:pStyle w:val="BodyText"/>
              <w:spacing w:before="0" w:after="0" w:line="240" w:lineRule="auto"/>
              <w:jc w:val="center"/>
              <w:rPr>
                <w:sz w:val="18"/>
                <w:szCs w:val="18"/>
              </w:rPr>
            </w:pPr>
            <w:r w:rsidRPr="006E02AA">
              <w:rPr>
                <w:sz w:val="18"/>
                <w:szCs w:val="18"/>
              </w:rPr>
              <w:t>DBT+</w:t>
            </w:r>
            <w:r w:rsidR="00176980">
              <w:rPr>
                <w:sz w:val="18"/>
                <w:szCs w:val="18"/>
              </w:rPr>
              <w:t>s2DM</w:t>
            </w:r>
            <w:r w:rsidRPr="006E02AA">
              <w:rPr>
                <w:sz w:val="18"/>
                <w:szCs w:val="18"/>
              </w:rPr>
              <w:t xml:space="preserve"> compared to FFDM alone</w:t>
            </w:r>
          </w:p>
        </w:tc>
      </w:tr>
      <w:tr w:rsidR="00972C1B" w:rsidRPr="00201646" w14:paraId="108FEDE0" w14:textId="77777777" w:rsidTr="00592E7C">
        <w:tc>
          <w:tcPr>
            <w:tcW w:w="9061" w:type="dxa"/>
            <w:gridSpan w:val="5"/>
          </w:tcPr>
          <w:p w14:paraId="739404FA" w14:textId="77777777" w:rsidR="00972C1B" w:rsidRPr="006E02AA" w:rsidRDefault="00972C1B" w:rsidP="00592E7C">
            <w:pPr>
              <w:pStyle w:val="BodyText"/>
              <w:spacing w:before="0" w:after="0" w:line="240" w:lineRule="auto"/>
              <w:rPr>
                <w:b/>
                <w:bCs/>
                <w:sz w:val="18"/>
                <w:szCs w:val="18"/>
              </w:rPr>
            </w:pPr>
            <w:r w:rsidRPr="006E02AA">
              <w:rPr>
                <w:b/>
                <w:bCs/>
                <w:sz w:val="18"/>
                <w:szCs w:val="18"/>
              </w:rPr>
              <w:t>RCT</w:t>
            </w:r>
          </w:p>
        </w:tc>
      </w:tr>
      <w:tr w:rsidR="00972C1B" w:rsidRPr="00201646" w14:paraId="36364EF1" w14:textId="77777777" w:rsidTr="00B028EF">
        <w:tc>
          <w:tcPr>
            <w:tcW w:w="1129" w:type="dxa"/>
          </w:tcPr>
          <w:p w14:paraId="7CA55202" w14:textId="77777777" w:rsidR="00972C1B" w:rsidRPr="006E02AA" w:rsidRDefault="00972C1B" w:rsidP="00592E7C">
            <w:pPr>
              <w:pStyle w:val="BodyText"/>
              <w:spacing w:before="0" w:after="0" w:line="240" w:lineRule="auto"/>
              <w:rPr>
                <w:sz w:val="18"/>
                <w:szCs w:val="18"/>
              </w:rPr>
            </w:pPr>
            <w:r w:rsidRPr="006E02AA">
              <w:rPr>
                <w:sz w:val="18"/>
                <w:szCs w:val="18"/>
              </w:rPr>
              <w:t>Hofvind et al. (2019)</w:t>
            </w:r>
          </w:p>
          <w:p w14:paraId="04690140" w14:textId="77777777" w:rsidR="000C5381" w:rsidRDefault="00815FC2" w:rsidP="00592E7C">
            <w:pPr>
              <w:pStyle w:val="BodyText"/>
              <w:spacing w:before="0" w:after="0" w:line="240" w:lineRule="auto"/>
              <w:rPr>
                <w:sz w:val="18"/>
                <w:szCs w:val="18"/>
              </w:rPr>
            </w:pPr>
            <w:r w:rsidRPr="006E02AA">
              <w:rPr>
                <w:sz w:val="18"/>
                <w:szCs w:val="18"/>
              </w:rPr>
              <w:t>To-Be-1</w:t>
            </w:r>
          </w:p>
          <w:p w14:paraId="6D481A4C" w14:textId="537881AA" w:rsidR="00972C1B" w:rsidRPr="006E02AA" w:rsidRDefault="000C5381" w:rsidP="00592E7C">
            <w:pPr>
              <w:pStyle w:val="BodyText"/>
              <w:spacing w:before="0" w:after="0" w:line="240" w:lineRule="auto"/>
              <w:rPr>
                <w:sz w:val="18"/>
                <w:szCs w:val="18"/>
              </w:rPr>
            </w:pPr>
            <w:r>
              <w:rPr>
                <w:sz w:val="18"/>
                <w:szCs w:val="18"/>
              </w:rPr>
              <w:t>(main analysis)</w:t>
            </w:r>
            <w:r w:rsidR="00972C1B" w:rsidRPr="006E02AA">
              <w:rPr>
                <w:sz w:val="18"/>
                <w:szCs w:val="18"/>
              </w:rPr>
              <w:t xml:space="preserve"> </w:t>
            </w:r>
          </w:p>
          <w:p w14:paraId="0225D451" w14:textId="77777777" w:rsidR="00972C1B" w:rsidRPr="006E02AA" w:rsidRDefault="00972C1B" w:rsidP="00592E7C">
            <w:pPr>
              <w:pStyle w:val="BodyText"/>
              <w:spacing w:before="0" w:after="0" w:line="240" w:lineRule="auto"/>
              <w:rPr>
                <w:sz w:val="18"/>
                <w:szCs w:val="18"/>
              </w:rPr>
            </w:pPr>
          </w:p>
        </w:tc>
        <w:tc>
          <w:tcPr>
            <w:tcW w:w="1276" w:type="dxa"/>
          </w:tcPr>
          <w:p w14:paraId="004EE0E6" w14:textId="77777777" w:rsidR="00972C1B" w:rsidRPr="006E02AA" w:rsidRDefault="00972C1B" w:rsidP="00592E7C">
            <w:pPr>
              <w:pStyle w:val="BodyText"/>
              <w:spacing w:before="0" w:after="0" w:line="240" w:lineRule="auto"/>
              <w:jc w:val="left"/>
              <w:rPr>
                <w:sz w:val="18"/>
                <w:szCs w:val="18"/>
              </w:rPr>
            </w:pPr>
            <w:r w:rsidRPr="006E02AA">
              <w:rPr>
                <w:sz w:val="18"/>
                <w:szCs w:val="18"/>
              </w:rPr>
              <w:t xml:space="preserve">Total: 182 </w:t>
            </w:r>
          </w:p>
          <w:p w14:paraId="6D16973E" w14:textId="5CFD1451" w:rsidR="00972C1B" w:rsidRPr="006E02AA" w:rsidRDefault="00972C1B" w:rsidP="00592E7C">
            <w:pPr>
              <w:pStyle w:val="BodyText"/>
              <w:spacing w:before="0" w:after="0" w:line="240" w:lineRule="auto"/>
              <w:jc w:val="left"/>
              <w:rPr>
                <w:sz w:val="18"/>
                <w:szCs w:val="18"/>
              </w:rPr>
            </w:pPr>
            <w:r w:rsidRPr="006E02AA">
              <w:rPr>
                <w:sz w:val="18"/>
                <w:szCs w:val="18"/>
              </w:rPr>
              <w:t>DBT+</w:t>
            </w:r>
            <w:r w:rsidR="00176980">
              <w:rPr>
                <w:sz w:val="18"/>
                <w:szCs w:val="18"/>
              </w:rPr>
              <w:t>s2DM</w:t>
            </w:r>
            <w:r w:rsidRPr="006E02AA">
              <w:rPr>
                <w:sz w:val="18"/>
                <w:szCs w:val="18"/>
              </w:rPr>
              <w:t xml:space="preserve">: 95 </w:t>
            </w:r>
          </w:p>
          <w:p w14:paraId="16B52580" w14:textId="77777777" w:rsidR="00972C1B" w:rsidRPr="006E02AA" w:rsidRDefault="00972C1B" w:rsidP="00592E7C">
            <w:pPr>
              <w:pStyle w:val="BodyText"/>
              <w:spacing w:before="0" w:after="0" w:line="240" w:lineRule="auto"/>
              <w:jc w:val="left"/>
              <w:rPr>
                <w:sz w:val="18"/>
                <w:szCs w:val="18"/>
              </w:rPr>
            </w:pPr>
            <w:r w:rsidRPr="006E02AA">
              <w:rPr>
                <w:sz w:val="18"/>
                <w:szCs w:val="18"/>
              </w:rPr>
              <w:t xml:space="preserve">FFDM: 87 </w:t>
            </w:r>
          </w:p>
          <w:p w14:paraId="5BAF9E64" w14:textId="5B790187" w:rsidR="00972C1B" w:rsidRPr="006E02AA" w:rsidRDefault="00972C1B" w:rsidP="00592E7C">
            <w:pPr>
              <w:pStyle w:val="BodyText"/>
              <w:spacing w:before="0" w:after="0" w:line="240" w:lineRule="auto"/>
              <w:jc w:val="left"/>
              <w:rPr>
                <w:sz w:val="18"/>
                <w:szCs w:val="18"/>
              </w:rPr>
            </w:pPr>
          </w:p>
          <w:p w14:paraId="7B5C3738" w14:textId="77777777" w:rsidR="00972C1B" w:rsidRPr="006E02AA" w:rsidRDefault="00972C1B" w:rsidP="00592E7C">
            <w:pPr>
              <w:pStyle w:val="BodyText"/>
              <w:spacing w:before="0" w:after="0" w:line="240" w:lineRule="auto"/>
              <w:jc w:val="left"/>
              <w:rPr>
                <w:sz w:val="18"/>
                <w:szCs w:val="18"/>
              </w:rPr>
            </w:pPr>
          </w:p>
        </w:tc>
        <w:tc>
          <w:tcPr>
            <w:tcW w:w="2410" w:type="dxa"/>
          </w:tcPr>
          <w:p w14:paraId="1BBF57D5" w14:textId="0A983DDD" w:rsidR="00972C1B" w:rsidRPr="006E02AA" w:rsidRDefault="00972C1B" w:rsidP="00592E7C">
            <w:pPr>
              <w:pStyle w:val="BodyText"/>
              <w:spacing w:before="0" w:after="0" w:line="240" w:lineRule="auto"/>
              <w:jc w:val="left"/>
              <w:rPr>
                <w:sz w:val="18"/>
                <w:szCs w:val="18"/>
              </w:rPr>
            </w:pPr>
            <w:r w:rsidRPr="006E02AA">
              <w:rPr>
                <w:sz w:val="18"/>
                <w:szCs w:val="18"/>
              </w:rPr>
              <w:t>Luminal A: 58.7% (46.7</w:t>
            </w:r>
            <w:r w:rsidR="0075618D" w:rsidRPr="006E02AA">
              <w:rPr>
                <w:sz w:val="18"/>
                <w:szCs w:val="18"/>
              </w:rPr>
              <w:t xml:space="preserve">, </w:t>
            </w:r>
            <w:r w:rsidRPr="006E02AA">
              <w:rPr>
                <w:sz w:val="18"/>
                <w:szCs w:val="18"/>
              </w:rPr>
              <w:t>69.9)</w:t>
            </w:r>
          </w:p>
          <w:p w14:paraId="16993CDB" w14:textId="5CD93AB5" w:rsidR="00972C1B" w:rsidRPr="006E02AA" w:rsidRDefault="00972C1B" w:rsidP="00592E7C">
            <w:pPr>
              <w:pStyle w:val="BodyText"/>
              <w:spacing w:before="0" w:after="0" w:line="240" w:lineRule="auto"/>
              <w:jc w:val="left"/>
              <w:rPr>
                <w:sz w:val="18"/>
                <w:szCs w:val="18"/>
              </w:rPr>
            </w:pPr>
            <w:r w:rsidRPr="006E02AA">
              <w:rPr>
                <w:sz w:val="18"/>
                <w:szCs w:val="18"/>
              </w:rPr>
              <w:t>Luminal B HER-2-ve: 24% (14.9</w:t>
            </w:r>
            <w:r w:rsidR="0075618D" w:rsidRPr="006E02AA">
              <w:rPr>
                <w:sz w:val="18"/>
                <w:szCs w:val="18"/>
              </w:rPr>
              <w:t xml:space="preserve">, </w:t>
            </w:r>
            <w:r w:rsidRPr="006E02AA">
              <w:rPr>
                <w:sz w:val="18"/>
                <w:szCs w:val="18"/>
              </w:rPr>
              <w:t>35.3)</w:t>
            </w:r>
          </w:p>
          <w:p w14:paraId="0FC05310" w14:textId="3EBBE168" w:rsidR="00972C1B" w:rsidRPr="006E02AA" w:rsidRDefault="00972C1B" w:rsidP="00592E7C">
            <w:pPr>
              <w:pStyle w:val="BodyText"/>
              <w:spacing w:before="0" w:after="0" w:line="240" w:lineRule="auto"/>
              <w:jc w:val="left"/>
              <w:rPr>
                <w:sz w:val="18"/>
                <w:szCs w:val="18"/>
              </w:rPr>
            </w:pPr>
            <w:r w:rsidRPr="006E02AA">
              <w:rPr>
                <w:sz w:val="18"/>
                <w:szCs w:val="18"/>
              </w:rPr>
              <w:t>Luminal B HER-2+ve: 6.7% (2.</w:t>
            </w:r>
            <w:r w:rsidR="0075618D" w:rsidRPr="006E02AA">
              <w:rPr>
                <w:sz w:val="18"/>
                <w:szCs w:val="18"/>
              </w:rPr>
              <w:t xml:space="preserve">2, </w:t>
            </w:r>
            <w:r w:rsidRPr="006E02AA">
              <w:rPr>
                <w:sz w:val="18"/>
                <w:szCs w:val="18"/>
              </w:rPr>
              <w:t>14.9)</w:t>
            </w:r>
          </w:p>
          <w:p w14:paraId="603F3473" w14:textId="2F958999" w:rsidR="00972C1B" w:rsidRPr="006E02AA" w:rsidRDefault="00972C1B" w:rsidP="00592E7C">
            <w:pPr>
              <w:pStyle w:val="BodyText"/>
              <w:spacing w:before="0" w:after="0" w:line="240" w:lineRule="auto"/>
              <w:jc w:val="left"/>
              <w:rPr>
                <w:sz w:val="18"/>
                <w:szCs w:val="18"/>
              </w:rPr>
            </w:pPr>
            <w:r w:rsidRPr="006E02AA">
              <w:rPr>
                <w:sz w:val="18"/>
                <w:szCs w:val="18"/>
              </w:rPr>
              <w:t>Triple negative: 6.7 % (2.2</w:t>
            </w:r>
            <w:r w:rsidR="0075618D" w:rsidRPr="006E02AA">
              <w:rPr>
                <w:sz w:val="18"/>
                <w:szCs w:val="18"/>
              </w:rPr>
              <w:t xml:space="preserve">, </w:t>
            </w:r>
            <w:r w:rsidRPr="006E02AA">
              <w:rPr>
                <w:sz w:val="18"/>
                <w:szCs w:val="18"/>
              </w:rPr>
              <w:t>14.9)</w:t>
            </w:r>
          </w:p>
          <w:p w14:paraId="73CBFCFC" w14:textId="448CCCF2" w:rsidR="00972C1B" w:rsidRPr="006E02AA" w:rsidRDefault="00972C1B" w:rsidP="00592E7C">
            <w:pPr>
              <w:pStyle w:val="BodyText"/>
              <w:spacing w:before="0" w:after="0" w:line="240" w:lineRule="auto"/>
              <w:jc w:val="left"/>
              <w:rPr>
                <w:sz w:val="18"/>
                <w:szCs w:val="18"/>
              </w:rPr>
            </w:pPr>
            <w:r w:rsidRPr="006E02AA">
              <w:rPr>
                <w:sz w:val="18"/>
                <w:szCs w:val="18"/>
              </w:rPr>
              <w:t>HER-2+: 10.1% (4.5</w:t>
            </w:r>
            <w:r w:rsidR="0075618D" w:rsidRPr="006E02AA">
              <w:rPr>
                <w:sz w:val="18"/>
                <w:szCs w:val="18"/>
              </w:rPr>
              <w:t xml:space="preserve">, </w:t>
            </w:r>
            <w:r w:rsidRPr="006E02AA">
              <w:rPr>
                <w:sz w:val="18"/>
                <w:szCs w:val="18"/>
              </w:rPr>
              <w:t>19)</w:t>
            </w:r>
          </w:p>
          <w:p w14:paraId="73B54E3F" w14:textId="30F749EF" w:rsidR="00972C1B" w:rsidRPr="006E02AA" w:rsidRDefault="00972C1B" w:rsidP="00592E7C">
            <w:pPr>
              <w:pStyle w:val="BodyText"/>
              <w:spacing w:before="0" w:after="0" w:line="240" w:lineRule="auto"/>
              <w:jc w:val="left"/>
              <w:rPr>
                <w:sz w:val="18"/>
                <w:szCs w:val="18"/>
              </w:rPr>
            </w:pPr>
            <w:r w:rsidRPr="006E02AA">
              <w:rPr>
                <w:sz w:val="18"/>
                <w:szCs w:val="18"/>
              </w:rPr>
              <w:t>OR+: 89.9% (81.0</w:t>
            </w:r>
            <w:r w:rsidR="0075618D" w:rsidRPr="006E02AA">
              <w:rPr>
                <w:sz w:val="18"/>
                <w:szCs w:val="18"/>
              </w:rPr>
              <w:t xml:space="preserve">, </w:t>
            </w:r>
            <w:r w:rsidRPr="006E02AA">
              <w:rPr>
                <w:sz w:val="18"/>
                <w:szCs w:val="18"/>
              </w:rPr>
              <w:t>95.5)</w:t>
            </w:r>
          </w:p>
          <w:p w14:paraId="35E7CA2C" w14:textId="34DE53DF" w:rsidR="00972C1B" w:rsidRPr="006E02AA" w:rsidRDefault="00972C1B" w:rsidP="00592E7C">
            <w:pPr>
              <w:pStyle w:val="BodyText"/>
              <w:spacing w:before="0" w:after="0" w:line="240" w:lineRule="auto"/>
              <w:jc w:val="left"/>
              <w:rPr>
                <w:sz w:val="18"/>
                <w:szCs w:val="18"/>
              </w:rPr>
            </w:pPr>
            <w:r w:rsidRPr="006E02AA">
              <w:rPr>
                <w:sz w:val="18"/>
                <w:szCs w:val="18"/>
              </w:rPr>
              <w:t>PR+: 77.2% (66.4</w:t>
            </w:r>
            <w:r w:rsidR="0075618D" w:rsidRPr="006E02AA">
              <w:rPr>
                <w:sz w:val="18"/>
                <w:szCs w:val="18"/>
              </w:rPr>
              <w:t xml:space="preserve">, </w:t>
            </w:r>
            <w:r w:rsidRPr="006E02AA">
              <w:rPr>
                <w:sz w:val="18"/>
                <w:szCs w:val="18"/>
              </w:rPr>
              <w:t>85.9)</w:t>
            </w:r>
          </w:p>
          <w:p w14:paraId="0D87CD16" w14:textId="1B55A2A4" w:rsidR="00732181" w:rsidRPr="006E02AA" w:rsidRDefault="00732181" w:rsidP="00592E7C">
            <w:pPr>
              <w:pStyle w:val="BodyText"/>
              <w:spacing w:before="0" w:after="0" w:line="240" w:lineRule="auto"/>
              <w:jc w:val="left"/>
              <w:rPr>
                <w:sz w:val="18"/>
                <w:szCs w:val="18"/>
              </w:rPr>
            </w:pPr>
            <w:r w:rsidRPr="006E02AA">
              <w:rPr>
                <w:sz w:val="18"/>
                <w:szCs w:val="18"/>
              </w:rPr>
              <w:t>Ki67</w:t>
            </w:r>
            <w:r w:rsidRPr="006E02AA">
              <w:rPr>
                <w:sz w:val="18"/>
                <w:szCs w:val="18"/>
                <w:u w:val="single"/>
              </w:rPr>
              <w:t>&gt;</w:t>
            </w:r>
            <w:r w:rsidRPr="006E02AA">
              <w:rPr>
                <w:sz w:val="18"/>
                <w:szCs w:val="18"/>
              </w:rPr>
              <w:t>30%: 29.6% (19.3</w:t>
            </w:r>
            <w:r w:rsidR="0075618D" w:rsidRPr="006E02AA">
              <w:rPr>
                <w:sz w:val="18"/>
                <w:szCs w:val="18"/>
              </w:rPr>
              <w:t xml:space="preserve">, </w:t>
            </w:r>
            <w:r w:rsidRPr="006E02AA">
              <w:rPr>
                <w:sz w:val="18"/>
                <w:szCs w:val="18"/>
              </w:rPr>
              <w:t>41.6)</w:t>
            </w:r>
          </w:p>
        </w:tc>
        <w:tc>
          <w:tcPr>
            <w:tcW w:w="1843" w:type="dxa"/>
          </w:tcPr>
          <w:p w14:paraId="2DD384C2" w14:textId="77777777" w:rsidR="00972C1B" w:rsidRPr="006E02AA" w:rsidRDefault="00972C1B" w:rsidP="00592E7C">
            <w:pPr>
              <w:pStyle w:val="BodyText"/>
              <w:spacing w:before="0" w:after="0" w:line="240" w:lineRule="auto"/>
              <w:jc w:val="center"/>
              <w:rPr>
                <w:sz w:val="18"/>
                <w:szCs w:val="18"/>
              </w:rPr>
            </w:pPr>
            <w:r w:rsidRPr="006E02AA">
              <w:rPr>
                <w:sz w:val="18"/>
                <w:szCs w:val="18"/>
              </w:rPr>
              <w:t>NA</w:t>
            </w:r>
          </w:p>
        </w:tc>
        <w:tc>
          <w:tcPr>
            <w:tcW w:w="2403" w:type="dxa"/>
          </w:tcPr>
          <w:p w14:paraId="2698D00F" w14:textId="7B1846A9" w:rsidR="00972C1B" w:rsidRPr="006E02AA" w:rsidRDefault="00972C1B" w:rsidP="00592E7C">
            <w:pPr>
              <w:pStyle w:val="BodyText"/>
              <w:spacing w:before="0" w:after="0" w:line="240" w:lineRule="auto"/>
              <w:jc w:val="left"/>
              <w:rPr>
                <w:sz w:val="18"/>
                <w:szCs w:val="18"/>
              </w:rPr>
            </w:pPr>
            <w:r w:rsidRPr="006E02AA">
              <w:rPr>
                <w:sz w:val="18"/>
                <w:szCs w:val="18"/>
              </w:rPr>
              <w:t>Luminal A:  61.4% (49</w:t>
            </w:r>
            <w:r w:rsidR="0075618D" w:rsidRPr="006E02AA">
              <w:rPr>
                <w:sz w:val="18"/>
                <w:szCs w:val="18"/>
              </w:rPr>
              <w:t xml:space="preserve">, </w:t>
            </w:r>
            <w:r w:rsidRPr="006E02AA">
              <w:rPr>
                <w:sz w:val="18"/>
                <w:szCs w:val="18"/>
              </w:rPr>
              <w:t xml:space="preserve">72.8, </w:t>
            </w:r>
            <w:r w:rsidRPr="006E02AA">
              <w:rPr>
                <w:i/>
                <w:iCs/>
                <w:sz w:val="18"/>
                <w:szCs w:val="18"/>
              </w:rPr>
              <w:t>p</w:t>
            </w:r>
            <w:r w:rsidRPr="006E02AA">
              <w:rPr>
                <w:sz w:val="18"/>
                <w:szCs w:val="18"/>
              </w:rPr>
              <w:t>=.43)</w:t>
            </w:r>
          </w:p>
          <w:p w14:paraId="4F729129" w14:textId="23D4DA59" w:rsidR="00972C1B" w:rsidRPr="006E02AA" w:rsidRDefault="00972C1B" w:rsidP="00592E7C">
            <w:pPr>
              <w:pStyle w:val="BodyText"/>
              <w:spacing w:before="0" w:after="0" w:line="240" w:lineRule="auto"/>
              <w:jc w:val="left"/>
              <w:rPr>
                <w:sz w:val="18"/>
                <w:szCs w:val="18"/>
              </w:rPr>
            </w:pPr>
            <w:r w:rsidRPr="006E02AA">
              <w:rPr>
                <w:sz w:val="18"/>
                <w:szCs w:val="18"/>
              </w:rPr>
              <w:t>Luminal B HER-2-ve: 25.7% (16.0</w:t>
            </w:r>
            <w:r w:rsidR="0075618D" w:rsidRPr="006E02AA">
              <w:rPr>
                <w:sz w:val="18"/>
                <w:szCs w:val="18"/>
              </w:rPr>
              <w:t xml:space="preserve">, </w:t>
            </w:r>
            <w:r w:rsidRPr="006E02AA">
              <w:rPr>
                <w:sz w:val="18"/>
                <w:szCs w:val="18"/>
              </w:rPr>
              <w:t>37.6)</w:t>
            </w:r>
          </w:p>
          <w:p w14:paraId="7937B732" w14:textId="7007CE67" w:rsidR="00972C1B" w:rsidRPr="006E02AA" w:rsidRDefault="00972C1B" w:rsidP="00592E7C">
            <w:pPr>
              <w:pStyle w:val="BodyText"/>
              <w:spacing w:before="0" w:after="0" w:line="240" w:lineRule="auto"/>
              <w:jc w:val="left"/>
              <w:rPr>
                <w:sz w:val="18"/>
                <w:szCs w:val="18"/>
              </w:rPr>
            </w:pPr>
            <w:r w:rsidRPr="006E02AA">
              <w:rPr>
                <w:sz w:val="18"/>
                <w:szCs w:val="18"/>
              </w:rPr>
              <w:t>Luminal B HER-2+ve: 10.0% (4.1</w:t>
            </w:r>
            <w:r w:rsidR="0075618D" w:rsidRPr="006E02AA">
              <w:rPr>
                <w:sz w:val="18"/>
                <w:szCs w:val="18"/>
              </w:rPr>
              <w:t xml:space="preserve">, </w:t>
            </w:r>
            <w:r w:rsidRPr="006E02AA">
              <w:rPr>
                <w:sz w:val="18"/>
                <w:szCs w:val="18"/>
              </w:rPr>
              <w:t>19.5)</w:t>
            </w:r>
          </w:p>
          <w:p w14:paraId="697BE92E" w14:textId="19D711BB" w:rsidR="00972C1B" w:rsidRPr="006E02AA" w:rsidRDefault="00972C1B" w:rsidP="00592E7C">
            <w:pPr>
              <w:pStyle w:val="BodyText"/>
              <w:spacing w:before="0" w:after="0" w:line="240" w:lineRule="auto"/>
              <w:jc w:val="left"/>
              <w:rPr>
                <w:sz w:val="18"/>
                <w:szCs w:val="18"/>
              </w:rPr>
            </w:pPr>
            <w:r w:rsidRPr="006E02AA">
              <w:rPr>
                <w:sz w:val="18"/>
                <w:szCs w:val="18"/>
              </w:rPr>
              <w:t>Triple negative: 1.4% (0.04</w:t>
            </w:r>
            <w:r w:rsidR="0075618D" w:rsidRPr="006E02AA">
              <w:rPr>
                <w:sz w:val="18"/>
                <w:szCs w:val="18"/>
              </w:rPr>
              <w:t xml:space="preserve">, </w:t>
            </w:r>
            <w:r w:rsidRPr="006E02AA">
              <w:rPr>
                <w:sz w:val="18"/>
                <w:szCs w:val="18"/>
              </w:rPr>
              <w:t>7.7)</w:t>
            </w:r>
          </w:p>
          <w:p w14:paraId="51AD78D4" w14:textId="58A25DDD" w:rsidR="00972C1B" w:rsidRPr="006E02AA" w:rsidRDefault="00972C1B" w:rsidP="00592E7C">
            <w:pPr>
              <w:pStyle w:val="BodyText"/>
              <w:spacing w:before="0" w:after="0" w:line="240" w:lineRule="auto"/>
              <w:jc w:val="left"/>
              <w:rPr>
                <w:sz w:val="18"/>
                <w:szCs w:val="18"/>
              </w:rPr>
            </w:pPr>
            <w:r w:rsidRPr="006E02AA">
              <w:rPr>
                <w:sz w:val="18"/>
                <w:szCs w:val="18"/>
              </w:rPr>
              <w:t>HER-2+: 11.3% (11.1</w:t>
            </w:r>
            <w:r w:rsidR="0075618D" w:rsidRPr="006E02AA">
              <w:rPr>
                <w:sz w:val="18"/>
                <w:szCs w:val="18"/>
              </w:rPr>
              <w:t xml:space="preserve">, </w:t>
            </w:r>
            <w:r w:rsidRPr="006E02AA">
              <w:rPr>
                <w:sz w:val="18"/>
                <w:szCs w:val="18"/>
              </w:rPr>
              <w:t xml:space="preserve">13.8; </w:t>
            </w:r>
            <w:r w:rsidRPr="006E02AA">
              <w:rPr>
                <w:i/>
                <w:iCs/>
                <w:sz w:val="18"/>
                <w:szCs w:val="18"/>
              </w:rPr>
              <w:t>p</w:t>
            </w:r>
            <w:r w:rsidRPr="006E02AA">
              <w:rPr>
                <w:sz w:val="18"/>
                <w:szCs w:val="18"/>
              </w:rPr>
              <w:t>=.82)</w:t>
            </w:r>
          </w:p>
          <w:p w14:paraId="0701452B" w14:textId="07FD1CF5" w:rsidR="00972C1B" w:rsidRPr="006E02AA" w:rsidRDefault="00972C1B" w:rsidP="00592E7C">
            <w:pPr>
              <w:pStyle w:val="BodyText"/>
              <w:spacing w:before="0" w:after="0" w:line="240" w:lineRule="auto"/>
              <w:jc w:val="left"/>
              <w:rPr>
                <w:sz w:val="18"/>
                <w:szCs w:val="18"/>
              </w:rPr>
            </w:pPr>
            <w:r w:rsidRPr="006E02AA">
              <w:rPr>
                <w:sz w:val="18"/>
                <w:szCs w:val="18"/>
              </w:rPr>
              <w:t>OR+: 97.2% (90.2</w:t>
            </w:r>
            <w:r w:rsidR="0075618D" w:rsidRPr="006E02AA">
              <w:rPr>
                <w:sz w:val="18"/>
                <w:szCs w:val="18"/>
              </w:rPr>
              <w:t xml:space="preserve">, </w:t>
            </w:r>
            <w:r w:rsidRPr="006E02AA">
              <w:rPr>
                <w:sz w:val="18"/>
                <w:szCs w:val="18"/>
              </w:rPr>
              <w:t xml:space="preserve">99.7; </w:t>
            </w:r>
            <w:r w:rsidRPr="006E02AA">
              <w:rPr>
                <w:i/>
                <w:iCs/>
                <w:sz w:val="18"/>
                <w:szCs w:val="18"/>
              </w:rPr>
              <w:t>p</w:t>
            </w:r>
            <w:r w:rsidRPr="006E02AA">
              <w:rPr>
                <w:sz w:val="18"/>
                <w:szCs w:val="18"/>
              </w:rPr>
              <w:t>=.07)</w:t>
            </w:r>
          </w:p>
          <w:p w14:paraId="70FE6400" w14:textId="6A14EB2A" w:rsidR="00972C1B" w:rsidRPr="006E02AA" w:rsidRDefault="00972C1B" w:rsidP="00592E7C">
            <w:pPr>
              <w:pStyle w:val="BodyText"/>
              <w:spacing w:before="0" w:after="0" w:line="240" w:lineRule="auto"/>
              <w:jc w:val="left"/>
              <w:rPr>
                <w:sz w:val="18"/>
                <w:szCs w:val="18"/>
              </w:rPr>
            </w:pPr>
            <w:r w:rsidRPr="006E02AA">
              <w:rPr>
                <w:sz w:val="18"/>
                <w:szCs w:val="18"/>
              </w:rPr>
              <w:t>PR+: 87.3% (77.3</w:t>
            </w:r>
            <w:r w:rsidR="0075618D" w:rsidRPr="006E02AA">
              <w:rPr>
                <w:sz w:val="18"/>
                <w:szCs w:val="18"/>
              </w:rPr>
              <w:t xml:space="preserve">, </w:t>
            </w:r>
            <w:r w:rsidRPr="006E02AA">
              <w:rPr>
                <w:sz w:val="18"/>
                <w:szCs w:val="18"/>
              </w:rPr>
              <w:t xml:space="preserve">94.0; </w:t>
            </w:r>
            <w:r w:rsidRPr="006E02AA">
              <w:rPr>
                <w:i/>
                <w:iCs/>
                <w:sz w:val="18"/>
                <w:szCs w:val="18"/>
              </w:rPr>
              <w:t>p=.</w:t>
            </w:r>
            <w:r w:rsidRPr="006E02AA">
              <w:rPr>
                <w:sz w:val="18"/>
                <w:szCs w:val="18"/>
              </w:rPr>
              <w:t>11)</w:t>
            </w:r>
          </w:p>
          <w:p w14:paraId="56C74887" w14:textId="655B7011" w:rsidR="00732181" w:rsidRPr="006E02AA" w:rsidRDefault="00732181" w:rsidP="00592E7C">
            <w:pPr>
              <w:pStyle w:val="BodyText"/>
              <w:spacing w:before="0" w:after="0" w:line="240" w:lineRule="auto"/>
              <w:jc w:val="left"/>
              <w:rPr>
                <w:sz w:val="18"/>
                <w:szCs w:val="18"/>
              </w:rPr>
            </w:pPr>
            <w:r w:rsidRPr="006E02AA">
              <w:rPr>
                <w:sz w:val="18"/>
                <w:szCs w:val="18"/>
              </w:rPr>
              <w:t>Ki67</w:t>
            </w:r>
            <w:r w:rsidRPr="006E02AA">
              <w:rPr>
                <w:sz w:val="18"/>
                <w:szCs w:val="18"/>
                <w:u w:val="single"/>
              </w:rPr>
              <w:t>&gt;</w:t>
            </w:r>
            <w:r w:rsidRPr="006E02AA">
              <w:rPr>
                <w:sz w:val="18"/>
                <w:szCs w:val="18"/>
              </w:rPr>
              <w:t>30%: 20.0% (11.1</w:t>
            </w:r>
            <w:r w:rsidR="0075618D" w:rsidRPr="006E02AA">
              <w:rPr>
                <w:sz w:val="18"/>
                <w:szCs w:val="18"/>
              </w:rPr>
              <w:t xml:space="preserve">, </w:t>
            </w:r>
            <w:r w:rsidRPr="006E02AA">
              <w:rPr>
                <w:sz w:val="18"/>
                <w:szCs w:val="18"/>
              </w:rPr>
              <w:t xml:space="preserve">31.8; </w:t>
            </w:r>
            <w:r w:rsidRPr="006E02AA">
              <w:rPr>
                <w:i/>
                <w:iCs/>
                <w:sz w:val="18"/>
                <w:szCs w:val="18"/>
              </w:rPr>
              <w:t>p</w:t>
            </w:r>
            <w:r w:rsidRPr="006E02AA">
              <w:rPr>
                <w:sz w:val="18"/>
                <w:szCs w:val="18"/>
              </w:rPr>
              <w:t>=.20)</w:t>
            </w:r>
          </w:p>
        </w:tc>
      </w:tr>
      <w:tr w:rsidR="00972C1B" w:rsidRPr="00201646" w14:paraId="0329FA52" w14:textId="77777777" w:rsidTr="00592E7C">
        <w:tc>
          <w:tcPr>
            <w:tcW w:w="9061" w:type="dxa"/>
            <w:gridSpan w:val="5"/>
          </w:tcPr>
          <w:p w14:paraId="75EF94BC" w14:textId="77777777" w:rsidR="00972C1B" w:rsidRPr="006E02AA" w:rsidRDefault="00972C1B" w:rsidP="00592E7C">
            <w:pPr>
              <w:pStyle w:val="BodyText"/>
              <w:spacing w:before="0" w:after="0" w:line="240" w:lineRule="auto"/>
              <w:rPr>
                <w:b/>
                <w:bCs/>
                <w:sz w:val="18"/>
                <w:szCs w:val="18"/>
              </w:rPr>
            </w:pPr>
            <w:r w:rsidRPr="006E02AA">
              <w:rPr>
                <w:b/>
                <w:bCs/>
                <w:sz w:val="18"/>
                <w:szCs w:val="18"/>
              </w:rPr>
              <w:t>Prospective studies embedded in population-based screening</w:t>
            </w:r>
          </w:p>
        </w:tc>
      </w:tr>
      <w:tr w:rsidR="00972C1B" w:rsidRPr="00201646" w14:paraId="6B66A972" w14:textId="77777777" w:rsidTr="00B028EF">
        <w:tc>
          <w:tcPr>
            <w:tcW w:w="1129" w:type="dxa"/>
          </w:tcPr>
          <w:p w14:paraId="7C74BF60" w14:textId="77777777" w:rsidR="00972C1B" w:rsidRPr="006E02AA" w:rsidRDefault="00972C1B" w:rsidP="00592E7C">
            <w:pPr>
              <w:pStyle w:val="BodyText"/>
              <w:spacing w:before="0" w:after="0" w:line="240" w:lineRule="auto"/>
              <w:rPr>
                <w:sz w:val="18"/>
                <w:szCs w:val="18"/>
              </w:rPr>
            </w:pPr>
            <w:r w:rsidRPr="006E02AA">
              <w:rPr>
                <w:sz w:val="18"/>
                <w:szCs w:val="18"/>
              </w:rPr>
              <w:t>Houssami et al. (2019)</w:t>
            </w:r>
          </w:p>
          <w:p w14:paraId="25DED0CC" w14:textId="77777777" w:rsidR="00972C1B" w:rsidRPr="006E02AA" w:rsidRDefault="00972C1B" w:rsidP="00592E7C">
            <w:pPr>
              <w:pStyle w:val="BodyText"/>
              <w:spacing w:before="0" w:after="0" w:line="240" w:lineRule="auto"/>
              <w:rPr>
                <w:sz w:val="18"/>
                <w:szCs w:val="18"/>
              </w:rPr>
            </w:pPr>
            <w:r w:rsidRPr="006E02AA">
              <w:rPr>
                <w:sz w:val="18"/>
                <w:szCs w:val="18"/>
              </w:rPr>
              <w:t>Maroondah</w:t>
            </w:r>
          </w:p>
        </w:tc>
        <w:tc>
          <w:tcPr>
            <w:tcW w:w="1276" w:type="dxa"/>
          </w:tcPr>
          <w:p w14:paraId="6FFCE385" w14:textId="70B2CE0B" w:rsidR="00972C1B" w:rsidRPr="006E02AA" w:rsidRDefault="00972C1B" w:rsidP="00592E7C">
            <w:pPr>
              <w:pStyle w:val="BodyText"/>
              <w:spacing w:before="0" w:after="0" w:line="240" w:lineRule="auto"/>
              <w:jc w:val="left"/>
              <w:rPr>
                <w:sz w:val="18"/>
                <w:szCs w:val="18"/>
              </w:rPr>
            </w:pPr>
            <w:r w:rsidRPr="006E02AA">
              <w:rPr>
                <w:sz w:val="18"/>
                <w:szCs w:val="18"/>
              </w:rPr>
              <w:t>DBT+</w:t>
            </w:r>
            <w:r w:rsidR="00176980">
              <w:rPr>
                <w:sz w:val="18"/>
                <w:szCs w:val="18"/>
              </w:rPr>
              <w:t>s2DM</w:t>
            </w:r>
            <w:r w:rsidRPr="006E02AA">
              <w:rPr>
                <w:sz w:val="18"/>
                <w:szCs w:val="18"/>
              </w:rPr>
              <w:t xml:space="preserve">: 49 </w:t>
            </w:r>
          </w:p>
          <w:p w14:paraId="53B1551C" w14:textId="77777777" w:rsidR="00972C1B" w:rsidRPr="006E02AA" w:rsidRDefault="00972C1B" w:rsidP="00592E7C">
            <w:pPr>
              <w:pStyle w:val="BodyText"/>
              <w:spacing w:before="0" w:after="0" w:line="240" w:lineRule="auto"/>
              <w:jc w:val="left"/>
              <w:rPr>
                <w:sz w:val="18"/>
                <w:szCs w:val="18"/>
              </w:rPr>
            </w:pPr>
            <w:r w:rsidRPr="006E02AA">
              <w:rPr>
                <w:sz w:val="18"/>
                <w:szCs w:val="18"/>
              </w:rPr>
              <w:t>FFDM: 34</w:t>
            </w:r>
          </w:p>
        </w:tc>
        <w:tc>
          <w:tcPr>
            <w:tcW w:w="2410" w:type="dxa"/>
          </w:tcPr>
          <w:p w14:paraId="551AED4F" w14:textId="77777777" w:rsidR="00972C1B" w:rsidRPr="006E02AA" w:rsidRDefault="00972C1B" w:rsidP="00592E7C">
            <w:pPr>
              <w:pStyle w:val="BodyText"/>
              <w:spacing w:before="0" w:after="0" w:line="240" w:lineRule="auto"/>
              <w:jc w:val="left"/>
              <w:rPr>
                <w:sz w:val="18"/>
                <w:szCs w:val="18"/>
              </w:rPr>
            </w:pPr>
            <w:r w:rsidRPr="006E02AA">
              <w:rPr>
                <w:sz w:val="18"/>
                <w:szCs w:val="18"/>
              </w:rPr>
              <w:t>HER-2+: 14%</w:t>
            </w:r>
          </w:p>
          <w:p w14:paraId="050EDD40" w14:textId="77777777" w:rsidR="00972C1B" w:rsidRPr="006E02AA" w:rsidRDefault="00972C1B" w:rsidP="00592E7C">
            <w:pPr>
              <w:pStyle w:val="BodyText"/>
              <w:spacing w:before="0" w:after="0" w:line="240" w:lineRule="auto"/>
              <w:jc w:val="left"/>
              <w:rPr>
                <w:sz w:val="18"/>
                <w:szCs w:val="18"/>
              </w:rPr>
            </w:pPr>
            <w:r w:rsidRPr="006E02AA">
              <w:rPr>
                <w:sz w:val="18"/>
                <w:szCs w:val="18"/>
              </w:rPr>
              <w:t>HER-2-: 87%</w:t>
            </w:r>
          </w:p>
          <w:p w14:paraId="264A82CB" w14:textId="77777777" w:rsidR="00972C1B" w:rsidRPr="006E02AA" w:rsidRDefault="00972C1B" w:rsidP="00592E7C">
            <w:pPr>
              <w:pStyle w:val="BodyText"/>
              <w:spacing w:before="0" w:after="0" w:line="240" w:lineRule="auto"/>
              <w:jc w:val="left"/>
              <w:rPr>
                <w:sz w:val="18"/>
                <w:szCs w:val="18"/>
              </w:rPr>
            </w:pPr>
            <w:r w:rsidRPr="006E02AA">
              <w:rPr>
                <w:sz w:val="18"/>
                <w:szCs w:val="18"/>
              </w:rPr>
              <w:t>OR/PR+: 97%</w:t>
            </w:r>
          </w:p>
          <w:p w14:paraId="13887579" w14:textId="77777777" w:rsidR="00972C1B" w:rsidRPr="006E02AA" w:rsidRDefault="00972C1B" w:rsidP="00592E7C">
            <w:pPr>
              <w:pStyle w:val="BodyText"/>
              <w:spacing w:before="0" w:after="0" w:line="240" w:lineRule="auto"/>
              <w:jc w:val="left"/>
              <w:rPr>
                <w:sz w:val="18"/>
                <w:szCs w:val="18"/>
              </w:rPr>
            </w:pPr>
            <w:r w:rsidRPr="006E02AA">
              <w:rPr>
                <w:sz w:val="18"/>
                <w:szCs w:val="18"/>
              </w:rPr>
              <w:t>OR/PR-: 3%</w:t>
            </w:r>
          </w:p>
        </w:tc>
        <w:tc>
          <w:tcPr>
            <w:tcW w:w="1843" w:type="dxa"/>
          </w:tcPr>
          <w:p w14:paraId="750F609F" w14:textId="77777777" w:rsidR="00972C1B" w:rsidRPr="006E02AA" w:rsidRDefault="00972C1B" w:rsidP="00592E7C">
            <w:pPr>
              <w:pStyle w:val="BodyText"/>
              <w:spacing w:before="0" w:after="0" w:line="240" w:lineRule="auto"/>
              <w:jc w:val="center"/>
              <w:rPr>
                <w:sz w:val="18"/>
                <w:szCs w:val="18"/>
              </w:rPr>
            </w:pPr>
            <w:r w:rsidRPr="006E02AA">
              <w:rPr>
                <w:sz w:val="18"/>
                <w:szCs w:val="18"/>
              </w:rPr>
              <w:t>NA</w:t>
            </w:r>
          </w:p>
        </w:tc>
        <w:tc>
          <w:tcPr>
            <w:tcW w:w="2403" w:type="dxa"/>
          </w:tcPr>
          <w:p w14:paraId="69FAA068" w14:textId="77777777" w:rsidR="00972C1B" w:rsidRPr="006E02AA" w:rsidRDefault="00972C1B" w:rsidP="00592E7C">
            <w:pPr>
              <w:pStyle w:val="BodyText"/>
              <w:spacing w:before="0" w:after="0" w:line="240" w:lineRule="auto"/>
              <w:jc w:val="left"/>
              <w:rPr>
                <w:sz w:val="18"/>
                <w:szCs w:val="18"/>
              </w:rPr>
            </w:pPr>
            <w:r w:rsidRPr="006E02AA">
              <w:rPr>
                <w:sz w:val="18"/>
                <w:szCs w:val="18"/>
              </w:rPr>
              <w:t>HER-2+: 0</w:t>
            </w:r>
          </w:p>
          <w:p w14:paraId="4EE89E4E" w14:textId="77777777" w:rsidR="00972C1B" w:rsidRPr="006E02AA" w:rsidRDefault="00972C1B" w:rsidP="00592E7C">
            <w:pPr>
              <w:pStyle w:val="BodyText"/>
              <w:spacing w:before="0" w:after="0" w:line="240" w:lineRule="auto"/>
              <w:jc w:val="left"/>
              <w:rPr>
                <w:sz w:val="18"/>
                <w:szCs w:val="18"/>
              </w:rPr>
            </w:pPr>
            <w:r w:rsidRPr="006E02AA">
              <w:rPr>
                <w:sz w:val="18"/>
                <w:szCs w:val="18"/>
              </w:rPr>
              <w:t>HER-2-: 100%</w:t>
            </w:r>
          </w:p>
          <w:p w14:paraId="4D0DFF16" w14:textId="77777777" w:rsidR="00972C1B" w:rsidRPr="006E02AA" w:rsidRDefault="00972C1B" w:rsidP="00592E7C">
            <w:pPr>
              <w:pStyle w:val="BodyText"/>
              <w:spacing w:before="0" w:after="0" w:line="240" w:lineRule="auto"/>
              <w:jc w:val="left"/>
              <w:rPr>
                <w:sz w:val="18"/>
                <w:szCs w:val="18"/>
              </w:rPr>
            </w:pPr>
            <w:r w:rsidRPr="006E02AA">
              <w:rPr>
                <w:sz w:val="18"/>
                <w:szCs w:val="18"/>
              </w:rPr>
              <w:t>OR/PR+: 93%</w:t>
            </w:r>
          </w:p>
          <w:p w14:paraId="2CFFC649" w14:textId="77777777" w:rsidR="00972C1B" w:rsidRPr="006E02AA" w:rsidRDefault="00972C1B" w:rsidP="00592E7C">
            <w:pPr>
              <w:pStyle w:val="BodyText"/>
              <w:spacing w:before="0" w:after="0" w:line="240" w:lineRule="auto"/>
              <w:jc w:val="left"/>
              <w:rPr>
                <w:sz w:val="18"/>
                <w:szCs w:val="18"/>
              </w:rPr>
            </w:pPr>
            <w:r w:rsidRPr="006E02AA">
              <w:rPr>
                <w:sz w:val="18"/>
                <w:szCs w:val="18"/>
              </w:rPr>
              <w:t>OR/PR-: 7%</w:t>
            </w:r>
          </w:p>
        </w:tc>
      </w:tr>
      <w:tr w:rsidR="00972C1B" w:rsidRPr="00201646" w14:paraId="0E0C4287" w14:textId="77777777" w:rsidTr="00B028EF">
        <w:tc>
          <w:tcPr>
            <w:tcW w:w="1129" w:type="dxa"/>
          </w:tcPr>
          <w:p w14:paraId="5C7F6CD4" w14:textId="03826279" w:rsidR="00972C1B" w:rsidRPr="006E02AA" w:rsidRDefault="00972C1B" w:rsidP="00592E7C">
            <w:pPr>
              <w:pStyle w:val="BodyText"/>
              <w:spacing w:before="0" w:after="0" w:line="240" w:lineRule="auto"/>
              <w:rPr>
                <w:sz w:val="18"/>
                <w:szCs w:val="18"/>
              </w:rPr>
            </w:pPr>
            <w:r w:rsidRPr="006E02AA">
              <w:rPr>
                <w:sz w:val="18"/>
                <w:szCs w:val="18"/>
              </w:rPr>
              <w:t xml:space="preserve">Hofvind et al. (2018) Norway </w:t>
            </w:r>
            <w:r w:rsidR="00B26EA1" w:rsidRPr="006E02AA">
              <w:rPr>
                <w:sz w:val="18"/>
                <w:szCs w:val="18"/>
              </w:rPr>
              <w:t>BSP</w:t>
            </w:r>
          </w:p>
          <w:p w14:paraId="1F7EE8F2" w14:textId="7897430D" w:rsidR="00972C1B" w:rsidRPr="006E02AA" w:rsidRDefault="00972C1B" w:rsidP="00592E7C">
            <w:pPr>
              <w:pStyle w:val="BodyText"/>
              <w:spacing w:before="0" w:after="0" w:line="240" w:lineRule="auto"/>
              <w:rPr>
                <w:sz w:val="18"/>
                <w:szCs w:val="18"/>
              </w:rPr>
            </w:pPr>
          </w:p>
        </w:tc>
        <w:tc>
          <w:tcPr>
            <w:tcW w:w="1276" w:type="dxa"/>
          </w:tcPr>
          <w:p w14:paraId="43118B95" w14:textId="4A2E9D2C" w:rsidR="00972C1B" w:rsidRPr="006E02AA" w:rsidRDefault="00260214" w:rsidP="00592E7C">
            <w:pPr>
              <w:pStyle w:val="BodyText"/>
              <w:spacing w:before="0" w:after="0" w:line="240" w:lineRule="auto"/>
              <w:rPr>
                <w:sz w:val="18"/>
                <w:szCs w:val="18"/>
              </w:rPr>
            </w:pPr>
            <w:r w:rsidRPr="006E02AA">
              <w:rPr>
                <w:sz w:val="18"/>
                <w:szCs w:val="18"/>
              </w:rPr>
              <w:t>DBT+</w:t>
            </w:r>
            <w:r w:rsidR="00176980">
              <w:rPr>
                <w:sz w:val="18"/>
                <w:szCs w:val="18"/>
              </w:rPr>
              <w:t>s2DM</w:t>
            </w:r>
            <w:r w:rsidRPr="006E02AA">
              <w:rPr>
                <w:sz w:val="18"/>
                <w:szCs w:val="18"/>
              </w:rPr>
              <w:t>:</w:t>
            </w:r>
            <w:r w:rsidR="00CC06BA" w:rsidRPr="006E02AA">
              <w:rPr>
                <w:sz w:val="18"/>
                <w:szCs w:val="18"/>
              </w:rPr>
              <w:t xml:space="preserve"> 348</w:t>
            </w:r>
          </w:p>
          <w:p w14:paraId="62BB3CEA" w14:textId="76CA3ADD" w:rsidR="00260214" w:rsidRPr="006E02AA" w:rsidRDefault="00260214" w:rsidP="00592E7C">
            <w:pPr>
              <w:pStyle w:val="BodyText"/>
              <w:spacing w:before="0" w:after="0" w:line="240" w:lineRule="auto"/>
              <w:rPr>
                <w:sz w:val="18"/>
                <w:szCs w:val="18"/>
              </w:rPr>
            </w:pPr>
            <w:r w:rsidRPr="006E02AA">
              <w:rPr>
                <w:sz w:val="18"/>
                <w:szCs w:val="18"/>
              </w:rPr>
              <w:t>FFDM:</w:t>
            </w:r>
            <w:r w:rsidR="00CC06BA" w:rsidRPr="006E02AA">
              <w:rPr>
                <w:sz w:val="18"/>
                <w:szCs w:val="18"/>
              </w:rPr>
              <w:t xml:space="preserve"> 379</w:t>
            </w:r>
          </w:p>
        </w:tc>
        <w:tc>
          <w:tcPr>
            <w:tcW w:w="2410" w:type="dxa"/>
          </w:tcPr>
          <w:p w14:paraId="441CD545" w14:textId="103A03DA" w:rsidR="00972C1B" w:rsidRPr="006E02AA" w:rsidRDefault="00972C1B" w:rsidP="00592E7C">
            <w:pPr>
              <w:pStyle w:val="BodyText"/>
              <w:spacing w:before="0" w:after="0" w:line="240" w:lineRule="auto"/>
              <w:rPr>
                <w:sz w:val="18"/>
                <w:szCs w:val="18"/>
              </w:rPr>
            </w:pPr>
            <w:r w:rsidRPr="006E02AA">
              <w:rPr>
                <w:sz w:val="18"/>
                <w:szCs w:val="18"/>
              </w:rPr>
              <w:t>Luminal A: 4.2</w:t>
            </w:r>
            <w:r w:rsidR="00CC06BA" w:rsidRPr="006E02AA">
              <w:rPr>
                <w:sz w:val="18"/>
                <w:szCs w:val="18"/>
              </w:rPr>
              <w:t xml:space="preserve"> per 1000</w:t>
            </w:r>
          </w:p>
          <w:p w14:paraId="212E8000" w14:textId="1C71924E" w:rsidR="00972C1B" w:rsidRPr="006E02AA" w:rsidRDefault="00972C1B" w:rsidP="00592E7C">
            <w:pPr>
              <w:pStyle w:val="BodyText"/>
              <w:spacing w:before="0" w:after="0" w:line="240" w:lineRule="auto"/>
              <w:rPr>
                <w:sz w:val="18"/>
                <w:szCs w:val="18"/>
              </w:rPr>
            </w:pPr>
            <w:r w:rsidRPr="006E02AA">
              <w:rPr>
                <w:sz w:val="18"/>
                <w:szCs w:val="18"/>
              </w:rPr>
              <w:t>Luminal B HER-2-ve: 2.6</w:t>
            </w:r>
            <w:r w:rsidR="00CC06BA" w:rsidRPr="006E02AA">
              <w:rPr>
                <w:sz w:val="18"/>
                <w:szCs w:val="18"/>
              </w:rPr>
              <w:t xml:space="preserve"> per 1000</w:t>
            </w:r>
          </w:p>
          <w:p w14:paraId="0FF141DD" w14:textId="6F8F358E" w:rsidR="00972C1B" w:rsidRPr="006E02AA" w:rsidRDefault="00972C1B" w:rsidP="00592E7C">
            <w:pPr>
              <w:pStyle w:val="BodyText"/>
              <w:spacing w:before="0" w:after="0" w:line="240" w:lineRule="auto"/>
              <w:rPr>
                <w:sz w:val="18"/>
                <w:szCs w:val="18"/>
              </w:rPr>
            </w:pPr>
            <w:r w:rsidRPr="006E02AA">
              <w:rPr>
                <w:sz w:val="18"/>
                <w:szCs w:val="18"/>
              </w:rPr>
              <w:t>Luminal B HER-2 +ve: 0.3</w:t>
            </w:r>
            <w:r w:rsidR="00CC06BA" w:rsidRPr="006E02AA">
              <w:rPr>
                <w:sz w:val="18"/>
                <w:szCs w:val="18"/>
              </w:rPr>
              <w:t xml:space="preserve"> per 1000</w:t>
            </w:r>
          </w:p>
          <w:p w14:paraId="3578882A" w14:textId="67507ADC" w:rsidR="00972C1B" w:rsidRPr="006E02AA" w:rsidRDefault="00972C1B" w:rsidP="00592E7C">
            <w:pPr>
              <w:pStyle w:val="BodyText"/>
              <w:spacing w:before="0" w:after="0" w:line="240" w:lineRule="auto"/>
              <w:rPr>
                <w:sz w:val="18"/>
                <w:szCs w:val="18"/>
              </w:rPr>
            </w:pPr>
            <w:r w:rsidRPr="006E02AA">
              <w:rPr>
                <w:sz w:val="18"/>
                <w:szCs w:val="18"/>
              </w:rPr>
              <w:t>HER-2 +ve: 0.03</w:t>
            </w:r>
            <w:r w:rsidR="00CC06BA" w:rsidRPr="006E02AA">
              <w:rPr>
                <w:sz w:val="18"/>
                <w:szCs w:val="18"/>
              </w:rPr>
              <w:t xml:space="preserve"> per 1000</w:t>
            </w:r>
          </w:p>
          <w:p w14:paraId="6C0C74AB" w14:textId="3BA4C8E4" w:rsidR="00972C1B" w:rsidRPr="006E02AA" w:rsidRDefault="00972C1B" w:rsidP="00592E7C">
            <w:pPr>
              <w:pStyle w:val="BodyText"/>
              <w:spacing w:before="0" w:after="0" w:line="240" w:lineRule="auto"/>
              <w:rPr>
                <w:sz w:val="18"/>
                <w:szCs w:val="18"/>
              </w:rPr>
            </w:pPr>
            <w:r w:rsidRPr="006E02AA">
              <w:rPr>
                <w:sz w:val="18"/>
                <w:szCs w:val="18"/>
              </w:rPr>
              <w:t>Triple negative: 0.3</w:t>
            </w:r>
            <w:r w:rsidR="00CC06BA" w:rsidRPr="006E02AA">
              <w:rPr>
                <w:sz w:val="18"/>
                <w:szCs w:val="18"/>
              </w:rPr>
              <w:t xml:space="preserve"> per 1000</w:t>
            </w:r>
          </w:p>
        </w:tc>
        <w:tc>
          <w:tcPr>
            <w:tcW w:w="1843" w:type="dxa"/>
          </w:tcPr>
          <w:p w14:paraId="34E4B3EA" w14:textId="65D460DE" w:rsidR="00972C1B" w:rsidRPr="006E02AA" w:rsidRDefault="00692A31" w:rsidP="00592E7C">
            <w:pPr>
              <w:pStyle w:val="BodyText"/>
              <w:spacing w:before="0" w:after="0" w:line="240" w:lineRule="auto"/>
              <w:jc w:val="center"/>
              <w:rPr>
                <w:sz w:val="18"/>
                <w:szCs w:val="18"/>
              </w:rPr>
            </w:pPr>
            <w:r w:rsidRPr="006E02AA">
              <w:rPr>
                <w:sz w:val="18"/>
                <w:szCs w:val="18"/>
              </w:rPr>
              <w:t>NA</w:t>
            </w:r>
          </w:p>
        </w:tc>
        <w:tc>
          <w:tcPr>
            <w:tcW w:w="2403" w:type="dxa"/>
          </w:tcPr>
          <w:p w14:paraId="44D6F226" w14:textId="37893087" w:rsidR="00972C1B" w:rsidRPr="006E02AA" w:rsidRDefault="00972C1B" w:rsidP="00592E7C">
            <w:pPr>
              <w:pStyle w:val="BodyText"/>
              <w:spacing w:before="0" w:after="0" w:line="240" w:lineRule="auto"/>
              <w:rPr>
                <w:sz w:val="18"/>
                <w:szCs w:val="18"/>
              </w:rPr>
            </w:pPr>
            <w:r w:rsidRPr="006E02AA">
              <w:rPr>
                <w:sz w:val="18"/>
                <w:szCs w:val="18"/>
              </w:rPr>
              <w:t>Luminal A: 3.2</w:t>
            </w:r>
            <w:r w:rsidR="00CC06BA" w:rsidRPr="006E02AA">
              <w:rPr>
                <w:sz w:val="18"/>
                <w:szCs w:val="18"/>
              </w:rPr>
              <w:t xml:space="preserve"> per 1000</w:t>
            </w:r>
            <w:r w:rsidR="0075618D" w:rsidRPr="006E02AA">
              <w:rPr>
                <w:sz w:val="18"/>
                <w:szCs w:val="18"/>
              </w:rPr>
              <w:t xml:space="preserve"> (</w:t>
            </w:r>
            <w:r w:rsidR="008B6D15" w:rsidRPr="006E02AA">
              <w:rPr>
                <w:i/>
                <w:iCs/>
                <w:sz w:val="18"/>
                <w:szCs w:val="18"/>
              </w:rPr>
              <w:t>p=</w:t>
            </w:r>
            <w:r w:rsidR="008B6D15" w:rsidRPr="006E02AA">
              <w:rPr>
                <w:sz w:val="18"/>
                <w:szCs w:val="18"/>
              </w:rPr>
              <w:t>.001</w:t>
            </w:r>
            <w:r w:rsidR="0075618D" w:rsidRPr="006E02AA">
              <w:rPr>
                <w:sz w:val="18"/>
                <w:szCs w:val="18"/>
              </w:rPr>
              <w:t>)</w:t>
            </w:r>
          </w:p>
          <w:p w14:paraId="051462FE" w14:textId="6A689B04" w:rsidR="00972C1B" w:rsidRPr="006E02AA" w:rsidRDefault="00972C1B" w:rsidP="00592E7C">
            <w:pPr>
              <w:pStyle w:val="BodyText"/>
              <w:spacing w:before="0" w:after="0" w:line="240" w:lineRule="auto"/>
              <w:rPr>
                <w:sz w:val="18"/>
                <w:szCs w:val="18"/>
              </w:rPr>
            </w:pPr>
            <w:r w:rsidRPr="006E02AA">
              <w:rPr>
                <w:sz w:val="18"/>
                <w:szCs w:val="18"/>
              </w:rPr>
              <w:t>Luminal B HER-2 -ve: 1.5</w:t>
            </w:r>
            <w:r w:rsidR="00CC06BA" w:rsidRPr="006E02AA">
              <w:rPr>
                <w:sz w:val="18"/>
                <w:szCs w:val="18"/>
              </w:rPr>
              <w:t xml:space="preserve"> per 1000</w:t>
            </w:r>
            <w:r w:rsidR="0075618D" w:rsidRPr="006E02AA">
              <w:rPr>
                <w:sz w:val="18"/>
                <w:szCs w:val="18"/>
              </w:rPr>
              <w:t xml:space="preserve"> (</w:t>
            </w:r>
            <w:r w:rsidR="008B6D15" w:rsidRPr="006E02AA">
              <w:rPr>
                <w:i/>
                <w:iCs/>
                <w:sz w:val="18"/>
                <w:szCs w:val="18"/>
              </w:rPr>
              <w:t>p=</w:t>
            </w:r>
            <w:r w:rsidR="008B6D15" w:rsidRPr="006E02AA">
              <w:rPr>
                <w:sz w:val="18"/>
                <w:szCs w:val="18"/>
              </w:rPr>
              <w:t>.05</w:t>
            </w:r>
            <w:r w:rsidR="0075618D" w:rsidRPr="006E02AA">
              <w:rPr>
                <w:sz w:val="18"/>
                <w:szCs w:val="18"/>
              </w:rPr>
              <w:t>)</w:t>
            </w:r>
          </w:p>
          <w:p w14:paraId="7A264CD0" w14:textId="47858182" w:rsidR="00972C1B" w:rsidRPr="006E02AA" w:rsidRDefault="00972C1B" w:rsidP="00592E7C">
            <w:pPr>
              <w:pStyle w:val="BodyText"/>
              <w:spacing w:before="0" w:after="0" w:line="240" w:lineRule="auto"/>
              <w:rPr>
                <w:sz w:val="18"/>
                <w:szCs w:val="18"/>
              </w:rPr>
            </w:pPr>
            <w:r w:rsidRPr="006E02AA">
              <w:rPr>
                <w:sz w:val="18"/>
                <w:szCs w:val="18"/>
              </w:rPr>
              <w:t>Luminal B HER-2 +ve: 0.3</w:t>
            </w:r>
            <w:r w:rsidR="00CC06BA" w:rsidRPr="006E02AA">
              <w:rPr>
                <w:sz w:val="18"/>
                <w:szCs w:val="18"/>
              </w:rPr>
              <w:t xml:space="preserve"> per 1000</w:t>
            </w:r>
          </w:p>
          <w:p w14:paraId="2A5DBDA7" w14:textId="3B1C5519" w:rsidR="00972C1B" w:rsidRPr="006E02AA" w:rsidRDefault="00972C1B" w:rsidP="00592E7C">
            <w:pPr>
              <w:pStyle w:val="BodyText"/>
              <w:spacing w:before="0" w:after="0" w:line="240" w:lineRule="auto"/>
              <w:rPr>
                <w:sz w:val="18"/>
                <w:szCs w:val="18"/>
              </w:rPr>
            </w:pPr>
            <w:r w:rsidRPr="006E02AA">
              <w:rPr>
                <w:sz w:val="18"/>
                <w:szCs w:val="18"/>
              </w:rPr>
              <w:t>HER-2 +ve: 0.1</w:t>
            </w:r>
            <w:r w:rsidR="00CC06BA" w:rsidRPr="006E02AA">
              <w:rPr>
                <w:sz w:val="18"/>
                <w:szCs w:val="18"/>
              </w:rPr>
              <w:t xml:space="preserve"> per 1000</w:t>
            </w:r>
          </w:p>
          <w:p w14:paraId="69416D55" w14:textId="3BBB96DD" w:rsidR="00972C1B" w:rsidRPr="006E02AA" w:rsidRDefault="00972C1B" w:rsidP="00592E7C">
            <w:pPr>
              <w:pStyle w:val="BodyText"/>
              <w:spacing w:before="0" w:after="0" w:line="240" w:lineRule="auto"/>
              <w:rPr>
                <w:sz w:val="18"/>
                <w:szCs w:val="18"/>
              </w:rPr>
            </w:pPr>
            <w:r w:rsidRPr="006E02AA">
              <w:rPr>
                <w:sz w:val="18"/>
                <w:szCs w:val="18"/>
              </w:rPr>
              <w:t>Triple negative: 0.2</w:t>
            </w:r>
            <w:r w:rsidR="00CC06BA" w:rsidRPr="006E02AA">
              <w:rPr>
                <w:sz w:val="18"/>
                <w:szCs w:val="18"/>
              </w:rPr>
              <w:t xml:space="preserve"> per 1000</w:t>
            </w:r>
          </w:p>
        </w:tc>
      </w:tr>
      <w:tr w:rsidR="00200543" w:rsidRPr="00201646" w14:paraId="511E8F23" w14:textId="77777777" w:rsidTr="00B90EDF">
        <w:tc>
          <w:tcPr>
            <w:tcW w:w="9061" w:type="dxa"/>
            <w:gridSpan w:val="5"/>
          </w:tcPr>
          <w:p w14:paraId="63CD2C04" w14:textId="3EF3B91C" w:rsidR="00200543" w:rsidRPr="006E02AA" w:rsidRDefault="00200543" w:rsidP="00B90EDF">
            <w:pPr>
              <w:pStyle w:val="BodyText"/>
              <w:spacing w:before="0" w:after="0" w:line="240" w:lineRule="auto"/>
              <w:rPr>
                <w:b/>
                <w:bCs/>
                <w:sz w:val="18"/>
                <w:szCs w:val="18"/>
              </w:rPr>
            </w:pPr>
            <w:r w:rsidRPr="006E02AA">
              <w:rPr>
                <w:b/>
                <w:bCs/>
                <w:sz w:val="18"/>
                <w:szCs w:val="18"/>
              </w:rPr>
              <w:t>Retrospective analysis</w:t>
            </w:r>
          </w:p>
        </w:tc>
      </w:tr>
      <w:tr w:rsidR="00200543" w:rsidRPr="00201646" w14:paraId="7827004C" w14:textId="77777777" w:rsidTr="00B90EDF">
        <w:tc>
          <w:tcPr>
            <w:tcW w:w="1129" w:type="dxa"/>
          </w:tcPr>
          <w:p w14:paraId="29EB5F30" w14:textId="77777777" w:rsidR="00200543" w:rsidRPr="006E02AA" w:rsidRDefault="00200543" w:rsidP="00B90EDF">
            <w:pPr>
              <w:pStyle w:val="BodyText"/>
              <w:spacing w:before="0" w:after="0" w:line="240" w:lineRule="auto"/>
              <w:rPr>
                <w:sz w:val="18"/>
                <w:szCs w:val="18"/>
              </w:rPr>
            </w:pPr>
            <w:r w:rsidRPr="006E02AA">
              <w:rPr>
                <w:sz w:val="18"/>
                <w:szCs w:val="18"/>
              </w:rPr>
              <w:t>Hovda et al. (2019)</w:t>
            </w:r>
          </w:p>
          <w:p w14:paraId="45AF758D" w14:textId="4E1866AB" w:rsidR="00200543" w:rsidRPr="006E02AA" w:rsidRDefault="00200543" w:rsidP="00B90EDF">
            <w:pPr>
              <w:pStyle w:val="BodyText"/>
              <w:spacing w:before="0" w:after="0" w:line="240" w:lineRule="auto"/>
              <w:rPr>
                <w:sz w:val="18"/>
                <w:szCs w:val="18"/>
              </w:rPr>
            </w:pPr>
            <w:r w:rsidRPr="006E02AA">
              <w:rPr>
                <w:sz w:val="18"/>
                <w:szCs w:val="18"/>
              </w:rPr>
              <w:t>Norway BSP</w:t>
            </w:r>
          </w:p>
        </w:tc>
        <w:tc>
          <w:tcPr>
            <w:tcW w:w="1276" w:type="dxa"/>
          </w:tcPr>
          <w:p w14:paraId="773D7624" w14:textId="77777777" w:rsidR="00200543" w:rsidRPr="006E02AA" w:rsidRDefault="00200543" w:rsidP="00B90EDF">
            <w:pPr>
              <w:pStyle w:val="BodyText"/>
              <w:spacing w:before="0" w:after="0" w:line="240" w:lineRule="auto"/>
              <w:rPr>
                <w:sz w:val="18"/>
                <w:szCs w:val="18"/>
              </w:rPr>
            </w:pPr>
            <w:r w:rsidRPr="006E02AA">
              <w:rPr>
                <w:sz w:val="18"/>
                <w:szCs w:val="18"/>
              </w:rPr>
              <w:t>FFDM+FFDM: 39</w:t>
            </w:r>
          </w:p>
          <w:p w14:paraId="0BEA2DB4" w14:textId="2278C050" w:rsidR="00200543" w:rsidRPr="006E02AA" w:rsidRDefault="00200543" w:rsidP="00B90EDF">
            <w:pPr>
              <w:pStyle w:val="BodyText"/>
              <w:spacing w:before="0" w:after="0" w:line="240" w:lineRule="auto"/>
              <w:rPr>
                <w:sz w:val="18"/>
                <w:szCs w:val="18"/>
              </w:rPr>
            </w:pPr>
            <w:r w:rsidRPr="006E02AA">
              <w:rPr>
                <w:sz w:val="18"/>
                <w:szCs w:val="18"/>
              </w:rPr>
              <w:t>FFDM+DBT or DBT+</w:t>
            </w:r>
            <w:r w:rsidR="00176980">
              <w:rPr>
                <w:sz w:val="18"/>
                <w:szCs w:val="18"/>
              </w:rPr>
              <w:t>s2DM</w:t>
            </w:r>
            <w:r w:rsidRPr="006E02AA">
              <w:rPr>
                <w:sz w:val="18"/>
                <w:szCs w:val="18"/>
              </w:rPr>
              <w:t>: 248</w:t>
            </w:r>
          </w:p>
        </w:tc>
        <w:tc>
          <w:tcPr>
            <w:tcW w:w="2410" w:type="dxa"/>
          </w:tcPr>
          <w:p w14:paraId="31E81826" w14:textId="77777777" w:rsidR="00200543" w:rsidRPr="006E02AA" w:rsidRDefault="00200543" w:rsidP="00B90EDF">
            <w:pPr>
              <w:pStyle w:val="BodyText"/>
              <w:spacing w:before="0" w:after="0" w:line="240" w:lineRule="auto"/>
              <w:rPr>
                <w:sz w:val="18"/>
                <w:szCs w:val="18"/>
              </w:rPr>
            </w:pPr>
            <w:r w:rsidRPr="006E02AA">
              <w:rPr>
                <w:sz w:val="18"/>
                <w:szCs w:val="18"/>
              </w:rPr>
              <w:t>Luminal A: 6.06 per 1000</w:t>
            </w:r>
          </w:p>
          <w:p w14:paraId="2FF347C4" w14:textId="77777777" w:rsidR="00200543" w:rsidRPr="006E02AA" w:rsidRDefault="00200543" w:rsidP="00B90EDF">
            <w:pPr>
              <w:pStyle w:val="BodyText"/>
              <w:spacing w:before="0" w:after="0" w:line="240" w:lineRule="auto"/>
              <w:rPr>
                <w:sz w:val="18"/>
                <w:szCs w:val="18"/>
              </w:rPr>
            </w:pPr>
            <w:r w:rsidRPr="006E02AA">
              <w:rPr>
                <w:sz w:val="18"/>
                <w:szCs w:val="18"/>
              </w:rPr>
              <w:t>Luminal B HER-2+ve: 0.25 per 1000</w:t>
            </w:r>
          </w:p>
          <w:p w14:paraId="2314FB81" w14:textId="4A0FDC5E" w:rsidR="00200543" w:rsidRPr="006E02AA" w:rsidRDefault="00200543" w:rsidP="00B90EDF">
            <w:pPr>
              <w:pStyle w:val="BodyText"/>
              <w:spacing w:before="0" w:after="0" w:line="240" w:lineRule="auto"/>
              <w:rPr>
                <w:sz w:val="18"/>
                <w:szCs w:val="18"/>
              </w:rPr>
            </w:pPr>
            <w:r w:rsidRPr="006E02AA">
              <w:rPr>
                <w:sz w:val="18"/>
                <w:szCs w:val="18"/>
              </w:rPr>
              <w:t>Luminal B HER-2-ve:</w:t>
            </w:r>
            <w:r w:rsidR="0075618D" w:rsidRPr="006E02AA">
              <w:rPr>
                <w:sz w:val="18"/>
                <w:szCs w:val="18"/>
              </w:rPr>
              <w:t xml:space="preserve"> </w:t>
            </w:r>
            <w:r w:rsidRPr="006E02AA">
              <w:rPr>
                <w:sz w:val="18"/>
                <w:szCs w:val="18"/>
              </w:rPr>
              <w:t>1.25 per 1000</w:t>
            </w:r>
          </w:p>
          <w:p w14:paraId="77013A68" w14:textId="77777777" w:rsidR="00200543" w:rsidRPr="006E02AA" w:rsidRDefault="00200543" w:rsidP="00B90EDF">
            <w:pPr>
              <w:pStyle w:val="BodyText"/>
              <w:spacing w:before="0" w:after="0" w:line="240" w:lineRule="auto"/>
              <w:rPr>
                <w:sz w:val="18"/>
                <w:szCs w:val="18"/>
              </w:rPr>
            </w:pPr>
            <w:r w:rsidRPr="006E02AA">
              <w:rPr>
                <w:sz w:val="18"/>
                <w:szCs w:val="18"/>
              </w:rPr>
              <w:t>HER-2+ve: 0.07 per 1000</w:t>
            </w:r>
          </w:p>
          <w:p w14:paraId="052AB0FB" w14:textId="77777777" w:rsidR="00200543" w:rsidRPr="006E02AA" w:rsidRDefault="00200543" w:rsidP="00B90EDF">
            <w:pPr>
              <w:pStyle w:val="BodyText"/>
              <w:spacing w:before="0" w:after="0" w:line="240" w:lineRule="auto"/>
              <w:rPr>
                <w:sz w:val="18"/>
                <w:szCs w:val="18"/>
              </w:rPr>
            </w:pPr>
            <w:r w:rsidRPr="006E02AA">
              <w:rPr>
                <w:sz w:val="18"/>
                <w:szCs w:val="18"/>
              </w:rPr>
              <w:t>Triple negative: 0.47 per 1000</w:t>
            </w:r>
          </w:p>
        </w:tc>
        <w:tc>
          <w:tcPr>
            <w:tcW w:w="1843" w:type="dxa"/>
          </w:tcPr>
          <w:p w14:paraId="51D430C6" w14:textId="77777777" w:rsidR="00200543" w:rsidRPr="006E02AA" w:rsidRDefault="00200543" w:rsidP="00B90EDF">
            <w:pPr>
              <w:pStyle w:val="BodyText"/>
              <w:spacing w:before="0" w:after="0" w:line="240" w:lineRule="auto"/>
              <w:jc w:val="center"/>
              <w:rPr>
                <w:sz w:val="18"/>
                <w:szCs w:val="18"/>
              </w:rPr>
            </w:pPr>
            <w:r w:rsidRPr="006E02AA">
              <w:rPr>
                <w:sz w:val="18"/>
                <w:szCs w:val="18"/>
              </w:rPr>
              <w:t>NA</w:t>
            </w:r>
          </w:p>
        </w:tc>
        <w:tc>
          <w:tcPr>
            <w:tcW w:w="2403" w:type="dxa"/>
          </w:tcPr>
          <w:p w14:paraId="5460007C" w14:textId="77777777" w:rsidR="00200543" w:rsidRPr="006E02AA" w:rsidRDefault="00200543" w:rsidP="00B90EDF">
            <w:pPr>
              <w:pStyle w:val="BodyText"/>
              <w:spacing w:before="0" w:after="0" w:line="240" w:lineRule="auto"/>
              <w:rPr>
                <w:i/>
                <w:iCs/>
                <w:sz w:val="18"/>
                <w:szCs w:val="18"/>
              </w:rPr>
            </w:pPr>
            <w:r w:rsidRPr="006E02AA">
              <w:rPr>
                <w:sz w:val="18"/>
                <w:szCs w:val="18"/>
              </w:rPr>
              <w:t>Luminal A: 2.09 per 1000</w:t>
            </w:r>
          </w:p>
          <w:p w14:paraId="01FF65C0" w14:textId="77777777" w:rsidR="00200543" w:rsidRPr="006E02AA" w:rsidRDefault="00200543" w:rsidP="00B90EDF">
            <w:pPr>
              <w:pStyle w:val="BodyText"/>
              <w:spacing w:before="0" w:after="0" w:line="240" w:lineRule="auto"/>
              <w:rPr>
                <w:sz w:val="18"/>
                <w:szCs w:val="18"/>
              </w:rPr>
            </w:pPr>
            <w:r w:rsidRPr="006E02AA">
              <w:rPr>
                <w:sz w:val="18"/>
                <w:szCs w:val="18"/>
              </w:rPr>
              <w:t>Luminal B HER-2+ve: 0.29 per 1000</w:t>
            </w:r>
          </w:p>
          <w:p w14:paraId="3DEF1BEA" w14:textId="77777777" w:rsidR="00200543" w:rsidRPr="006E02AA" w:rsidRDefault="00200543" w:rsidP="00B90EDF">
            <w:pPr>
              <w:pStyle w:val="BodyText"/>
              <w:spacing w:before="0" w:after="0" w:line="240" w:lineRule="auto"/>
              <w:rPr>
                <w:sz w:val="18"/>
                <w:szCs w:val="18"/>
              </w:rPr>
            </w:pPr>
            <w:r w:rsidRPr="006E02AA">
              <w:rPr>
                <w:sz w:val="18"/>
                <w:szCs w:val="18"/>
              </w:rPr>
              <w:t>Luminal B HER-2-ve: 0.48 per 1000</w:t>
            </w:r>
          </w:p>
          <w:p w14:paraId="190EBD73" w14:textId="77777777" w:rsidR="00200543" w:rsidRPr="006E02AA" w:rsidRDefault="00200543" w:rsidP="00B90EDF">
            <w:pPr>
              <w:pStyle w:val="BodyText"/>
              <w:spacing w:before="0" w:after="0" w:line="240" w:lineRule="auto"/>
              <w:rPr>
                <w:sz w:val="18"/>
                <w:szCs w:val="18"/>
              </w:rPr>
            </w:pPr>
            <w:r w:rsidRPr="006E02AA">
              <w:rPr>
                <w:sz w:val="18"/>
                <w:szCs w:val="18"/>
              </w:rPr>
              <w:t>HER-2+ve: 0.19 per 1000</w:t>
            </w:r>
          </w:p>
          <w:p w14:paraId="65869C4C" w14:textId="77777777" w:rsidR="00200543" w:rsidRPr="006E02AA" w:rsidRDefault="00200543" w:rsidP="00B90EDF">
            <w:pPr>
              <w:pStyle w:val="BodyText"/>
              <w:spacing w:before="0" w:after="0" w:line="240" w:lineRule="auto"/>
              <w:rPr>
                <w:sz w:val="18"/>
                <w:szCs w:val="18"/>
              </w:rPr>
            </w:pPr>
            <w:r w:rsidRPr="006E02AA">
              <w:rPr>
                <w:sz w:val="18"/>
                <w:szCs w:val="18"/>
              </w:rPr>
              <w:t>Triple negative: 0.67 per 1000</w:t>
            </w:r>
          </w:p>
        </w:tc>
      </w:tr>
      <w:tr w:rsidR="000D2833" w:rsidRPr="00911379" w14:paraId="110BE99E" w14:textId="77777777" w:rsidTr="00911379">
        <w:tc>
          <w:tcPr>
            <w:tcW w:w="9061" w:type="dxa"/>
            <w:gridSpan w:val="5"/>
            <w:shd w:val="clear" w:color="auto" w:fill="E7FFBD" w:themeFill="background2" w:themeFillTint="33"/>
          </w:tcPr>
          <w:p w14:paraId="7C778A91" w14:textId="77777777" w:rsidR="000D2833" w:rsidRPr="006E02AA" w:rsidRDefault="000D2833" w:rsidP="00911379">
            <w:pPr>
              <w:pStyle w:val="BodyText"/>
              <w:spacing w:before="0" w:after="0" w:line="240" w:lineRule="auto"/>
              <w:jc w:val="center"/>
              <w:rPr>
                <w:sz w:val="18"/>
                <w:szCs w:val="18"/>
              </w:rPr>
            </w:pPr>
            <w:r w:rsidRPr="006E02AA">
              <w:rPr>
                <w:sz w:val="18"/>
                <w:szCs w:val="18"/>
              </w:rPr>
              <w:t>FFDM+DBT to FFDM alone</w:t>
            </w:r>
          </w:p>
        </w:tc>
      </w:tr>
      <w:tr w:rsidR="000D2833" w:rsidRPr="00201646" w14:paraId="67B6865E" w14:textId="77777777" w:rsidTr="00911379">
        <w:tc>
          <w:tcPr>
            <w:tcW w:w="9061" w:type="dxa"/>
            <w:gridSpan w:val="5"/>
          </w:tcPr>
          <w:p w14:paraId="20C95B0B" w14:textId="77777777" w:rsidR="000D2833" w:rsidRPr="006E02AA" w:rsidRDefault="000D2833" w:rsidP="00911379">
            <w:pPr>
              <w:pStyle w:val="BodyText"/>
              <w:spacing w:before="0" w:after="0" w:line="240" w:lineRule="auto"/>
              <w:rPr>
                <w:b/>
                <w:bCs/>
                <w:sz w:val="18"/>
                <w:szCs w:val="18"/>
              </w:rPr>
            </w:pPr>
            <w:r w:rsidRPr="006E02AA">
              <w:rPr>
                <w:b/>
                <w:bCs/>
                <w:sz w:val="18"/>
                <w:szCs w:val="18"/>
              </w:rPr>
              <w:t>RCT</w:t>
            </w:r>
          </w:p>
        </w:tc>
      </w:tr>
      <w:tr w:rsidR="000D2833" w:rsidRPr="003F6027" w14:paraId="438C53D1" w14:textId="77777777" w:rsidTr="00911379">
        <w:tc>
          <w:tcPr>
            <w:tcW w:w="1129" w:type="dxa"/>
          </w:tcPr>
          <w:p w14:paraId="110E1F81" w14:textId="77777777" w:rsidR="000D2833" w:rsidRPr="006E02AA" w:rsidRDefault="000D2833" w:rsidP="00911379">
            <w:pPr>
              <w:pStyle w:val="BodyText"/>
              <w:spacing w:before="0" w:after="0" w:line="240" w:lineRule="auto"/>
              <w:rPr>
                <w:sz w:val="18"/>
                <w:szCs w:val="18"/>
              </w:rPr>
            </w:pPr>
            <w:r w:rsidRPr="006E02AA">
              <w:rPr>
                <w:sz w:val="18"/>
                <w:szCs w:val="18"/>
              </w:rPr>
              <w:t>Pattacini et al. (2018)</w:t>
            </w:r>
          </w:p>
          <w:p w14:paraId="65DB47D1" w14:textId="3F90FB51" w:rsidR="000D2833" w:rsidRPr="006E02AA" w:rsidRDefault="000D2833" w:rsidP="00911379">
            <w:pPr>
              <w:pStyle w:val="BodyText"/>
              <w:spacing w:before="0" w:after="0" w:line="240" w:lineRule="auto"/>
              <w:jc w:val="left"/>
              <w:rPr>
                <w:sz w:val="18"/>
                <w:szCs w:val="18"/>
              </w:rPr>
            </w:pPr>
            <w:r w:rsidRPr="006E02AA">
              <w:rPr>
                <w:sz w:val="18"/>
                <w:szCs w:val="18"/>
              </w:rPr>
              <w:t>Reggio</w:t>
            </w:r>
            <w:r w:rsidR="00A9108F">
              <w:rPr>
                <w:sz w:val="18"/>
                <w:szCs w:val="18"/>
              </w:rPr>
              <w:t xml:space="preserve"> </w:t>
            </w:r>
            <w:r w:rsidRPr="006E02AA">
              <w:rPr>
                <w:sz w:val="18"/>
                <w:szCs w:val="18"/>
              </w:rPr>
              <w:t xml:space="preserve">Emilia </w:t>
            </w:r>
          </w:p>
          <w:p w14:paraId="285F005B" w14:textId="77777777" w:rsidR="000D2833" w:rsidRPr="006E02AA" w:rsidRDefault="000D2833" w:rsidP="00911379">
            <w:pPr>
              <w:pStyle w:val="BodyText"/>
              <w:spacing w:before="0" w:after="0" w:line="240" w:lineRule="auto"/>
              <w:rPr>
                <w:sz w:val="18"/>
                <w:szCs w:val="18"/>
              </w:rPr>
            </w:pPr>
          </w:p>
        </w:tc>
        <w:tc>
          <w:tcPr>
            <w:tcW w:w="1276" w:type="dxa"/>
          </w:tcPr>
          <w:p w14:paraId="5F9D7E52" w14:textId="77777777" w:rsidR="000D2833" w:rsidRPr="006E02AA" w:rsidRDefault="000D2833" w:rsidP="00911379">
            <w:pPr>
              <w:pStyle w:val="BodyText"/>
              <w:spacing w:before="0" w:after="0" w:line="240" w:lineRule="auto"/>
              <w:jc w:val="left"/>
              <w:rPr>
                <w:sz w:val="18"/>
                <w:szCs w:val="18"/>
              </w:rPr>
            </w:pPr>
            <w:r w:rsidRPr="006E02AA">
              <w:rPr>
                <w:sz w:val="18"/>
                <w:szCs w:val="18"/>
              </w:rPr>
              <w:t xml:space="preserve">Total: 127 </w:t>
            </w:r>
          </w:p>
          <w:p w14:paraId="3803F2C5" w14:textId="77777777" w:rsidR="000D2833" w:rsidRPr="006E02AA" w:rsidRDefault="000D2833" w:rsidP="00911379">
            <w:pPr>
              <w:pStyle w:val="BodyText"/>
              <w:spacing w:before="0" w:after="0" w:line="240" w:lineRule="auto"/>
              <w:jc w:val="left"/>
              <w:rPr>
                <w:sz w:val="18"/>
                <w:szCs w:val="18"/>
              </w:rPr>
            </w:pPr>
            <w:r w:rsidRPr="006E02AA">
              <w:rPr>
                <w:sz w:val="18"/>
                <w:szCs w:val="18"/>
              </w:rPr>
              <w:t xml:space="preserve">FFDM+DBT: 83 </w:t>
            </w:r>
          </w:p>
          <w:p w14:paraId="0A854763" w14:textId="77777777" w:rsidR="000D2833" w:rsidRPr="006E02AA" w:rsidRDefault="000D2833" w:rsidP="00911379">
            <w:pPr>
              <w:pStyle w:val="BodyText"/>
              <w:spacing w:before="0" w:after="0" w:line="240" w:lineRule="auto"/>
              <w:jc w:val="left"/>
              <w:rPr>
                <w:sz w:val="18"/>
                <w:szCs w:val="18"/>
              </w:rPr>
            </w:pPr>
            <w:r w:rsidRPr="006E02AA">
              <w:rPr>
                <w:sz w:val="18"/>
                <w:szCs w:val="18"/>
              </w:rPr>
              <w:t>FFDM: 44</w:t>
            </w:r>
          </w:p>
        </w:tc>
        <w:tc>
          <w:tcPr>
            <w:tcW w:w="2410" w:type="dxa"/>
          </w:tcPr>
          <w:p w14:paraId="36104FF2" w14:textId="77777777" w:rsidR="000D2833" w:rsidRPr="006E02AA" w:rsidRDefault="000D2833" w:rsidP="00911379">
            <w:pPr>
              <w:jc w:val="center"/>
              <w:rPr>
                <w:sz w:val="18"/>
                <w:szCs w:val="18"/>
              </w:rPr>
            </w:pPr>
            <w:r w:rsidRPr="006E02AA">
              <w:rPr>
                <w:sz w:val="18"/>
                <w:szCs w:val="18"/>
              </w:rPr>
              <w:t>NA</w:t>
            </w:r>
          </w:p>
        </w:tc>
        <w:tc>
          <w:tcPr>
            <w:tcW w:w="1843" w:type="dxa"/>
          </w:tcPr>
          <w:p w14:paraId="2AD7CC7C" w14:textId="77777777" w:rsidR="000D2833" w:rsidRPr="006E02AA" w:rsidRDefault="000D2833" w:rsidP="00911379">
            <w:pPr>
              <w:pStyle w:val="BodyText"/>
              <w:spacing w:before="0" w:after="0" w:line="240" w:lineRule="auto"/>
              <w:jc w:val="left"/>
              <w:rPr>
                <w:sz w:val="18"/>
                <w:szCs w:val="18"/>
              </w:rPr>
            </w:pPr>
            <w:r w:rsidRPr="006E02AA">
              <w:rPr>
                <w:sz w:val="18"/>
                <w:szCs w:val="18"/>
              </w:rPr>
              <w:t>PR&gt;10%: 62 cancers</w:t>
            </w:r>
          </w:p>
          <w:p w14:paraId="33CC7528" w14:textId="77777777" w:rsidR="000D2833" w:rsidRPr="006E02AA" w:rsidRDefault="000D2833" w:rsidP="00911379">
            <w:pPr>
              <w:pStyle w:val="BodyText"/>
              <w:spacing w:before="0" w:after="0" w:line="240" w:lineRule="auto"/>
              <w:jc w:val="left"/>
              <w:rPr>
                <w:sz w:val="18"/>
                <w:szCs w:val="18"/>
              </w:rPr>
            </w:pPr>
            <w:r w:rsidRPr="006E02AA">
              <w:rPr>
                <w:sz w:val="18"/>
                <w:szCs w:val="18"/>
              </w:rPr>
              <w:t>ER</w:t>
            </w:r>
            <w:r w:rsidRPr="006E02AA">
              <w:rPr>
                <w:sz w:val="18"/>
                <w:szCs w:val="18"/>
                <w:u w:val="single"/>
              </w:rPr>
              <w:t>&gt;</w:t>
            </w:r>
            <w:r w:rsidRPr="006E02AA">
              <w:rPr>
                <w:sz w:val="18"/>
                <w:szCs w:val="18"/>
              </w:rPr>
              <w:t>10%: 75 cancers</w:t>
            </w:r>
          </w:p>
          <w:p w14:paraId="45B75DA4" w14:textId="77777777" w:rsidR="000D2833" w:rsidRPr="006E02AA" w:rsidRDefault="000D2833" w:rsidP="00911379">
            <w:pPr>
              <w:pStyle w:val="BodyText"/>
              <w:spacing w:before="0" w:after="0" w:line="240" w:lineRule="auto"/>
              <w:jc w:val="left"/>
              <w:rPr>
                <w:sz w:val="18"/>
                <w:szCs w:val="18"/>
              </w:rPr>
            </w:pPr>
            <w:r w:rsidRPr="006E02AA">
              <w:rPr>
                <w:sz w:val="18"/>
                <w:szCs w:val="18"/>
              </w:rPr>
              <w:t>HER-2 -ve: 58 cancers</w:t>
            </w:r>
          </w:p>
          <w:p w14:paraId="26903BD0" w14:textId="77777777" w:rsidR="000D2833" w:rsidRPr="006E02AA" w:rsidRDefault="000D2833" w:rsidP="00911379">
            <w:pPr>
              <w:pStyle w:val="BodyText"/>
              <w:spacing w:before="0" w:after="0" w:line="240" w:lineRule="auto"/>
              <w:jc w:val="left"/>
              <w:rPr>
                <w:sz w:val="18"/>
                <w:szCs w:val="18"/>
              </w:rPr>
            </w:pPr>
            <w:r w:rsidRPr="006E02AA">
              <w:rPr>
                <w:sz w:val="18"/>
                <w:szCs w:val="18"/>
              </w:rPr>
              <w:t>Ki67 &lt;20%: 50 cancers</w:t>
            </w:r>
          </w:p>
          <w:p w14:paraId="06536F3C" w14:textId="77777777" w:rsidR="000D2833" w:rsidRPr="006E02AA" w:rsidRDefault="000D2833" w:rsidP="00911379">
            <w:pPr>
              <w:pStyle w:val="BodyText"/>
              <w:spacing w:before="0" w:after="0" w:line="240" w:lineRule="auto"/>
              <w:rPr>
                <w:sz w:val="18"/>
                <w:szCs w:val="18"/>
              </w:rPr>
            </w:pPr>
          </w:p>
        </w:tc>
        <w:tc>
          <w:tcPr>
            <w:tcW w:w="2403" w:type="dxa"/>
          </w:tcPr>
          <w:p w14:paraId="49DF0E03" w14:textId="40B7F399" w:rsidR="000D2833" w:rsidRPr="006E02AA" w:rsidRDefault="000D2833" w:rsidP="00911379">
            <w:pPr>
              <w:pStyle w:val="BodyText"/>
              <w:spacing w:before="0" w:after="0" w:line="240" w:lineRule="auto"/>
              <w:jc w:val="left"/>
              <w:rPr>
                <w:sz w:val="18"/>
                <w:szCs w:val="18"/>
              </w:rPr>
            </w:pPr>
            <w:r w:rsidRPr="006E02AA">
              <w:rPr>
                <w:sz w:val="18"/>
                <w:szCs w:val="18"/>
              </w:rPr>
              <w:t>PR&gt;10%: 26 cancers (RR</w:t>
            </w:r>
            <w:r w:rsidR="00285D7E">
              <w:rPr>
                <w:sz w:val="18"/>
                <w:szCs w:val="18"/>
              </w:rPr>
              <w:t>=</w:t>
            </w:r>
            <w:r w:rsidRPr="006E02AA">
              <w:rPr>
                <w:sz w:val="18"/>
                <w:szCs w:val="18"/>
              </w:rPr>
              <w:t>2.30; 1.5</w:t>
            </w:r>
            <w:r w:rsidR="0075618D" w:rsidRPr="006E02AA">
              <w:rPr>
                <w:sz w:val="18"/>
                <w:szCs w:val="18"/>
              </w:rPr>
              <w:t xml:space="preserve">, </w:t>
            </w:r>
            <w:r w:rsidRPr="006E02AA">
              <w:rPr>
                <w:sz w:val="18"/>
                <w:szCs w:val="18"/>
              </w:rPr>
              <w:t>3.77)</w:t>
            </w:r>
          </w:p>
          <w:p w14:paraId="0D29724B" w14:textId="32CB9349" w:rsidR="000D2833" w:rsidRPr="006E02AA" w:rsidRDefault="000D2833" w:rsidP="00911379">
            <w:pPr>
              <w:pStyle w:val="BodyText"/>
              <w:spacing w:before="0" w:after="0" w:line="240" w:lineRule="auto"/>
              <w:jc w:val="left"/>
              <w:rPr>
                <w:sz w:val="18"/>
                <w:szCs w:val="18"/>
              </w:rPr>
            </w:pPr>
            <w:r w:rsidRPr="006E02AA">
              <w:rPr>
                <w:sz w:val="18"/>
                <w:szCs w:val="18"/>
              </w:rPr>
              <w:t>ER</w:t>
            </w:r>
            <w:r w:rsidRPr="006E02AA">
              <w:rPr>
                <w:sz w:val="18"/>
                <w:szCs w:val="18"/>
                <w:u w:val="single"/>
              </w:rPr>
              <w:t>&gt;</w:t>
            </w:r>
            <w:r w:rsidRPr="006E02AA">
              <w:rPr>
                <w:sz w:val="18"/>
                <w:szCs w:val="18"/>
              </w:rPr>
              <w:t>10%: 40 cancers (RR</w:t>
            </w:r>
            <w:r w:rsidR="00285D7E">
              <w:rPr>
                <w:sz w:val="18"/>
                <w:szCs w:val="18"/>
              </w:rPr>
              <w:t>=</w:t>
            </w:r>
            <w:r w:rsidRPr="006E02AA">
              <w:rPr>
                <w:sz w:val="18"/>
                <w:szCs w:val="18"/>
              </w:rPr>
              <w:t>1.88; 1.28</w:t>
            </w:r>
            <w:r w:rsidR="0075618D" w:rsidRPr="006E02AA">
              <w:rPr>
                <w:sz w:val="18"/>
                <w:szCs w:val="18"/>
              </w:rPr>
              <w:t xml:space="preserve">, </w:t>
            </w:r>
            <w:r w:rsidRPr="006E02AA">
              <w:rPr>
                <w:sz w:val="18"/>
                <w:szCs w:val="18"/>
              </w:rPr>
              <w:t>2.75)</w:t>
            </w:r>
          </w:p>
          <w:p w14:paraId="0A125BA0" w14:textId="55016921" w:rsidR="000D2833" w:rsidRPr="006E02AA" w:rsidRDefault="000D2833" w:rsidP="00911379">
            <w:pPr>
              <w:pStyle w:val="BodyText"/>
              <w:spacing w:before="0" w:after="0" w:line="240" w:lineRule="auto"/>
              <w:jc w:val="left"/>
              <w:rPr>
                <w:sz w:val="18"/>
                <w:szCs w:val="18"/>
              </w:rPr>
            </w:pPr>
            <w:r w:rsidRPr="006E02AA">
              <w:rPr>
                <w:sz w:val="18"/>
                <w:szCs w:val="18"/>
              </w:rPr>
              <w:t>HER-2 -ve: 28 cancers (RR</w:t>
            </w:r>
            <w:r w:rsidR="00285D7E">
              <w:rPr>
                <w:sz w:val="18"/>
                <w:szCs w:val="18"/>
              </w:rPr>
              <w:t>=</w:t>
            </w:r>
            <w:r w:rsidRPr="006E02AA">
              <w:rPr>
                <w:sz w:val="18"/>
                <w:szCs w:val="18"/>
              </w:rPr>
              <w:t>2.07; 1.32</w:t>
            </w:r>
            <w:r w:rsidR="0075618D" w:rsidRPr="006E02AA">
              <w:rPr>
                <w:sz w:val="18"/>
                <w:szCs w:val="18"/>
              </w:rPr>
              <w:t xml:space="preserve">, </w:t>
            </w:r>
            <w:r w:rsidRPr="006E02AA">
              <w:rPr>
                <w:sz w:val="18"/>
                <w:szCs w:val="18"/>
              </w:rPr>
              <w:t>3.25)</w:t>
            </w:r>
          </w:p>
          <w:p w14:paraId="7D51BB53" w14:textId="338590C7" w:rsidR="000D2833" w:rsidRPr="006E02AA" w:rsidRDefault="000D2833" w:rsidP="00911379">
            <w:pPr>
              <w:pStyle w:val="BodyText"/>
              <w:spacing w:before="0" w:after="0" w:line="240" w:lineRule="auto"/>
              <w:jc w:val="left"/>
              <w:rPr>
                <w:sz w:val="18"/>
                <w:szCs w:val="18"/>
              </w:rPr>
            </w:pPr>
            <w:r w:rsidRPr="006E02AA">
              <w:rPr>
                <w:sz w:val="18"/>
                <w:szCs w:val="18"/>
              </w:rPr>
              <w:t>Ki67 &lt;20%: 27 cancers (RR</w:t>
            </w:r>
            <w:r w:rsidR="00285D7E">
              <w:rPr>
                <w:sz w:val="18"/>
                <w:szCs w:val="18"/>
              </w:rPr>
              <w:t>=</w:t>
            </w:r>
            <w:r w:rsidRPr="006E02AA">
              <w:rPr>
                <w:sz w:val="18"/>
                <w:szCs w:val="18"/>
              </w:rPr>
              <w:t>1.85; 1.16</w:t>
            </w:r>
            <w:r w:rsidR="0075618D" w:rsidRPr="006E02AA">
              <w:rPr>
                <w:sz w:val="18"/>
                <w:szCs w:val="18"/>
              </w:rPr>
              <w:t xml:space="preserve">, </w:t>
            </w:r>
            <w:r w:rsidRPr="006E02AA">
              <w:rPr>
                <w:sz w:val="18"/>
                <w:szCs w:val="18"/>
              </w:rPr>
              <w:t>2.96)</w:t>
            </w:r>
          </w:p>
        </w:tc>
      </w:tr>
      <w:tr w:rsidR="0004194B" w:rsidRPr="00201646" w14:paraId="35586C44" w14:textId="77777777" w:rsidTr="00B90EDF">
        <w:tc>
          <w:tcPr>
            <w:tcW w:w="9061" w:type="dxa"/>
            <w:gridSpan w:val="5"/>
          </w:tcPr>
          <w:p w14:paraId="353B0C6C" w14:textId="6F47C241" w:rsidR="0004194B" w:rsidRPr="006E02AA" w:rsidRDefault="0004194B" w:rsidP="00B90EDF">
            <w:pPr>
              <w:pStyle w:val="BodyText"/>
              <w:spacing w:before="0" w:after="0" w:line="240" w:lineRule="auto"/>
              <w:rPr>
                <w:b/>
                <w:bCs/>
                <w:sz w:val="18"/>
                <w:szCs w:val="18"/>
              </w:rPr>
            </w:pPr>
            <w:r w:rsidRPr="006E02AA">
              <w:rPr>
                <w:b/>
                <w:bCs/>
                <w:sz w:val="18"/>
                <w:szCs w:val="18"/>
              </w:rPr>
              <w:t>Retrospective analysis</w:t>
            </w:r>
          </w:p>
        </w:tc>
      </w:tr>
      <w:tr w:rsidR="0004194B" w:rsidRPr="003F6027" w14:paraId="22C045A1" w14:textId="77777777" w:rsidTr="00B90EDF">
        <w:tc>
          <w:tcPr>
            <w:tcW w:w="1129" w:type="dxa"/>
          </w:tcPr>
          <w:p w14:paraId="5F25206F" w14:textId="7BF30D65" w:rsidR="0004194B" w:rsidRPr="006E02AA" w:rsidRDefault="0004194B" w:rsidP="0004194B">
            <w:pPr>
              <w:pStyle w:val="BodyText"/>
              <w:spacing w:before="0" w:after="0" w:line="240" w:lineRule="auto"/>
              <w:rPr>
                <w:sz w:val="18"/>
                <w:szCs w:val="18"/>
              </w:rPr>
            </w:pPr>
            <w:r w:rsidRPr="006E02AA">
              <w:rPr>
                <w:sz w:val="18"/>
                <w:szCs w:val="18"/>
              </w:rPr>
              <w:t>Dang et al. (2019)</w:t>
            </w:r>
          </w:p>
        </w:tc>
        <w:tc>
          <w:tcPr>
            <w:tcW w:w="1276" w:type="dxa"/>
          </w:tcPr>
          <w:p w14:paraId="56AE929D" w14:textId="5915DF12" w:rsidR="0004194B" w:rsidRPr="006E02AA" w:rsidRDefault="0004194B" w:rsidP="00B90EDF">
            <w:pPr>
              <w:pStyle w:val="BodyText"/>
              <w:spacing w:before="0" w:after="0" w:line="240" w:lineRule="auto"/>
              <w:jc w:val="left"/>
              <w:rPr>
                <w:sz w:val="18"/>
                <w:szCs w:val="18"/>
              </w:rPr>
            </w:pPr>
            <w:r w:rsidRPr="006E02AA">
              <w:rPr>
                <w:sz w:val="18"/>
                <w:szCs w:val="18"/>
              </w:rPr>
              <w:t>FFDM+DBT: 37</w:t>
            </w:r>
          </w:p>
          <w:p w14:paraId="023B65EF" w14:textId="3B5419E6" w:rsidR="0004194B" w:rsidRPr="006E02AA" w:rsidRDefault="0004194B" w:rsidP="00B90EDF">
            <w:pPr>
              <w:pStyle w:val="BodyText"/>
              <w:spacing w:before="0" w:after="0" w:line="240" w:lineRule="auto"/>
              <w:jc w:val="left"/>
              <w:rPr>
                <w:sz w:val="18"/>
                <w:szCs w:val="18"/>
              </w:rPr>
            </w:pPr>
            <w:r w:rsidRPr="006E02AA">
              <w:rPr>
                <w:sz w:val="18"/>
                <w:szCs w:val="18"/>
              </w:rPr>
              <w:t>FFDM: 26</w:t>
            </w:r>
          </w:p>
        </w:tc>
        <w:tc>
          <w:tcPr>
            <w:tcW w:w="2410" w:type="dxa"/>
          </w:tcPr>
          <w:p w14:paraId="3BC22D95" w14:textId="77777777" w:rsidR="0004194B" w:rsidRPr="006E02AA" w:rsidRDefault="0004194B" w:rsidP="00B90EDF">
            <w:pPr>
              <w:jc w:val="center"/>
              <w:rPr>
                <w:sz w:val="18"/>
                <w:szCs w:val="18"/>
              </w:rPr>
            </w:pPr>
            <w:r w:rsidRPr="006E02AA">
              <w:rPr>
                <w:sz w:val="18"/>
                <w:szCs w:val="18"/>
              </w:rPr>
              <w:t>NA</w:t>
            </w:r>
          </w:p>
        </w:tc>
        <w:tc>
          <w:tcPr>
            <w:tcW w:w="1843" w:type="dxa"/>
          </w:tcPr>
          <w:p w14:paraId="235B89F8" w14:textId="30A144A8" w:rsidR="0004194B" w:rsidRPr="006E02AA" w:rsidRDefault="0004194B" w:rsidP="00B90EDF">
            <w:pPr>
              <w:pStyle w:val="BodyText"/>
              <w:spacing w:before="0" w:after="0" w:line="240" w:lineRule="auto"/>
              <w:jc w:val="left"/>
              <w:rPr>
                <w:sz w:val="18"/>
                <w:szCs w:val="18"/>
              </w:rPr>
            </w:pPr>
            <w:r w:rsidRPr="006E02AA">
              <w:rPr>
                <w:sz w:val="18"/>
                <w:szCs w:val="18"/>
              </w:rPr>
              <w:t>PR+ve: 74%</w:t>
            </w:r>
          </w:p>
          <w:p w14:paraId="6A011C40" w14:textId="2029BAE1" w:rsidR="0004194B" w:rsidRPr="006E02AA" w:rsidRDefault="0004194B" w:rsidP="0004194B">
            <w:pPr>
              <w:pStyle w:val="BodyText"/>
              <w:spacing w:before="0" w:after="0" w:line="240" w:lineRule="auto"/>
              <w:jc w:val="left"/>
              <w:rPr>
                <w:sz w:val="18"/>
                <w:szCs w:val="18"/>
              </w:rPr>
            </w:pPr>
            <w:r w:rsidRPr="006E02AA">
              <w:rPr>
                <w:sz w:val="18"/>
                <w:szCs w:val="18"/>
              </w:rPr>
              <w:t>ER+ve: 93%</w:t>
            </w:r>
          </w:p>
        </w:tc>
        <w:tc>
          <w:tcPr>
            <w:tcW w:w="2403" w:type="dxa"/>
          </w:tcPr>
          <w:p w14:paraId="47A5A302" w14:textId="6FCB50C2" w:rsidR="0004194B" w:rsidRPr="006E02AA" w:rsidRDefault="0004194B" w:rsidP="00B90EDF">
            <w:pPr>
              <w:pStyle w:val="BodyText"/>
              <w:spacing w:before="0" w:after="0" w:line="240" w:lineRule="auto"/>
              <w:jc w:val="left"/>
              <w:rPr>
                <w:sz w:val="18"/>
                <w:szCs w:val="18"/>
              </w:rPr>
            </w:pPr>
            <w:r w:rsidRPr="006E02AA">
              <w:rPr>
                <w:sz w:val="18"/>
                <w:szCs w:val="18"/>
              </w:rPr>
              <w:t>PR+ve: 83% (</w:t>
            </w:r>
            <w:r w:rsidRPr="006E02AA">
              <w:rPr>
                <w:i/>
                <w:iCs/>
                <w:sz w:val="18"/>
                <w:szCs w:val="18"/>
              </w:rPr>
              <w:t>p</w:t>
            </w:r>
            <w:r w:rsidRPr="006E02AA">
              <w:rPr>
                <w:sz w:val="18"/>
                <w:szCs w:val="18"/>
              </w:rPr>
              <w:t>=.46)</w:t>
            </w:r>
          </w:p>
          <w:p w14:paraId="31A50512" w14:textId="1D2CD0CE" w:rsidR="0004194B" w:rsidRPr="006E02AA" w:rsidRDefault="0004194B" w:rsidP="00B90EDF">
            <w:pPr>
              <w:pStyle w:val="BodyText"/>
              <w:spacing w:before="0" w:after="0" w:line="240" w:lineRule="auto"/>
              <w:jc w:val="left"/>
              <w:rPr>
                <w:sz w:val="18"/>
                <w:szCs w:val="18"/>
              </w:rPr>
            </w:pPr>
            <w:r w:rsidRPr="006E02AA">
              <w:rPr>
                <w:sz w:val="18"/>
                <w:szCs w:val="18"/>
              </w:rPr>
              <w:t>ER+ve: 93% (</w:t>
            </w:r>
            <w:r w:rsidRPr="006E02AA">
              <w:rPr>
                <w:i/>
                <w:iCs/>
                <w:sz w:val="18"/>
                <w:szCs w:val="18"/>
              </w:rPr>
              <w:t>p</w:t>
            </w:r>
            <w:r w:rsidRPr="006E02AA">
              <w:rPr>
                <w:sz w:val="18"/>
                <w:szCs w:val="18"/>
              </w:rPr>
              <w:t>=.34)</w:t>
            </w:r>
          </w:p>
        </w:tc>
      </w:tr>
    </w:tbl>
    <w:p w14:paraId="093226A1" w14:textId="004B4EDB" w:rsidR="009A1486" w:rsidRPr="0006142E" w:rsidRDefault="009A1486" w:rsidP="0006142E">
      <w:pPr>
        <w:pStyle w:val="Caption"/>
        <w:spacing w:before="120"/>
      </w:pPr>
      <w:r>
        <w:lastRenderedPageBreak/>
        <w:t xml:space="preserve">Table </w:t>
      </w:r>
      <w:r w:rsidR="00C124D2">
        <w:t>11</w:t>
      </w:r>
      <w:r>
        <w:t>b: Molecular subtype and/or receptor status</w:t>
      </w:r>
      <w:r w:rsidRPr="00AD6615">
        <w:t xml:space="preserve"> </w:t>
      </w:r>
      <w:r w:rsidR="0006142E">
        <w:t>DBT</w:t>
      </w:r>
      <w:r w:rsidR="0006142E">
        <w:rPr>
          <w:vertAlign w:val="subscript"/>
        </w:rPr>
        <w:t>MLO</w:t>
      </w:r>
      <w:r w:rsidR="0006142E">
        <w:t xml:space="preserve"> compared to FFDM alone</w:t>
      </w:r>
    </w:p>
    <w:tbl>
      <w:tblPr>
        <w:tblStyle w:val="ACGreen-BasicTable"/>
        <w:tblW w:w="9067" w:type="dxa"/>
        <w:tblLook w:val="04A0" w:firstRow="1" w:lastRow="0" w:firstColumn="1" w:lastColumn="0" w:noHBand="0" w:noVBand="1"/>
        <w:tblDescription w:val="Table 11b is the Molecular subtype and/or receptor status DBTMLO compared to FFDM alone. Prospective studies embedded in population-based screening included a study by Johnson et al. (2019) - Malmö. The number of cancers were total: 118 cancers. Additional invasive cancers only detected with DBTMLO: 37.&#10;&#10;NB no statistically significant differences reported; some cancers did not have data which accounts for the difference in percentage rates (usually only one or two cancers were missing)&#10;For Detected on DBTMLO only were: &#10;Luminal A: 51%&#10;Luminal B HER-2-ve: 35% &#10;Luminal B HER-2+ve: 0&#10;Triple negative: 8%&#10;HER-2+ amplified: 3%&#10;OR+ &gt;10%: 86%&#10;OR- &lt;10%:  11%&#10;PR+ &gt;10%: 68%&#10;PR- &lt;10%:  30%&#10;Ki67&lt;20%: 57%&#10;Ki67&gt;20%: 41%&#10;&#10;For Detected on FFDM were &#10;Luminal A: 46%&#10;Luminal B HER-2-ve: 43%&#10;Luminal B HER-2+ve: 1%&#10;Triple negative: 5%&#10;HER-2+ amplified: 5%&#10;OR+ &gt;10%: 90%&#10;OR- &lt;10%: 10%&#10;PR+ &gt;10%: 74%&#10;PR- &lt;10%:  25%&#10;Ki67&lt;20%: 58%&#10;Ki67&gt;20%: 43%&#10;"/>
      </w:tblPr>
      <w:tblGrid>
        <w:gridCol w:w="1129"/>
        <w:gridCol w:w="2977"/>
        <w:gridCol w:w="2480"/>
        <w:gridCol w:w="72"/>
        <w:gridCol w:w="2403"/>
        <w:gridCol w:w="6"/>
      </w:tblGrid>
      <w:tr w:rsidR="0006142E" w:rsidRPr="006E02AA" w14:paraId="292D7E46" w14:textId="77777777" w:rsidTr="0006142E">
        <w:trPr>
          <w:gridAfter w:val="1"/>
          <w:cnfStyle w:val="100000000000" w:firstRow="1" w:lastRow="0" w:firstColumn="0" w:lastColumn="0" w:oddVBand="0" w:evenVBand="0" w:oddHBand="0" w:evenHBand="0" w:firstRowFirstColumn="0" w:firstRowLastColumn="0" w:lastRowFirstColumn="0" w:lastRowLastColumn="0"/>
          <w:wAfter w:w="6" w:type="dxa"/>
        </w:trPr>
        <w:tc>
          <w:tcPr>
            <w:tcW w:w="1129" w:type="dxa"/>
          </w:tcPr>
          <w:p w14:paraId="718FE0B8" w14:textId="77777777" w:rsidR="0006142E" w:rsidRPr="006E02AA" w:rsidRDefault="0006142E" w:rsidP="00724130">
            <w:pPr>
              <w:pStyle w:val="BodyText"/>
              <w:spacing w:before="0" w:after="0" w:line="240" w:lineRule="auto"/>
              <w:jc w:val="center"/>
              <w:rPr>
                <w:sz w:val="18"/>
                <w:szCs w:val="18"/>
              </w:rPr>
            </w:pPr>
            <w:r w:rsidRPr="006E02AA">
              <w:rPr>
                <w:sz w:val="18"/>
                <w:szCs w:val="18"/>
              </w:rPr>
              <w:t>Study</w:t>
            </w:r>
          </w:p>
        </w:tc>
        <w:tc>
          <w:tcPr>
            <w:tcW w:w="2977" w:type="dxa"/>
          </w:tcPr>
          <w:p w14:paraId="37ACD6A6" w14:textId="77777777" w:rsidR="0006142E" w:rsidRPr="006E02AA" w:rsidRDefault="0006142E" w:rsidP="00724130">
            <w:pPr>
              <w:pStyle w:val="BodyText"/>
              <w:spacing w:before="0" w:after="0" w:line="240" w:lineRule="auto"/>
              <w:jc w:val="center"/>
              <w:rPr>
                <w:sz w:val="18"/>
                <w:szCs w:val="18"/>
              </w:rPr>
            </w:pPr>
            <w:r w:rsidRPr="006E02AA">
              <w:rPr>
                <w:sz w:val="18"/>
                <w:szCs w:val="18"/>
              </w:rPr>
              <w:t>Number of cancers</w:t>
            </w:r>
          </w:p>
        </w:tc>
        <w:tc>
          <w:tcPr>
            <w:tcW w:w="2552" w:type="dxa"/>
            <w:gridSpan w:val="2"/>
          </w:tcPr>
          <w:p w14:paraId="61B77663" w14:textId="39DD1810" w:rsidR="0006142E" w:rsidRPr="006E02AA" w:rsidRDefault="00B51234" w:rsidP="00B51234">
            <w:pPr>
              <w:pStyle w:val="BodyText"/>
              <w:spacing w:before="0" w:after="0" w:line="240" w:lineRule="auto"/>
              <w:jc w:val="center"/>
              <w:rPr>
                <w:b w:val="0"/>
                <w:sz w:val="18"/>
                <w:szCs w:val="18"/>
                <w:vertAlign w:val="subscript"/>
              </w:rPr>
            </w:pPr>
            <w:r w:rsidRPr="006E02AA">
              <w:rPr>
                <w:sz w:val="18"/>
                <w:szCs w:val="18"/>
              </w:rPr>
              <w:t xml:space="preserve">Detected on </w:t>
            </w:r>
            <w:r w:rsidR="0006142E" w:rsidRPr="006E02AA">
              <w:rPr>
                <w:sz w:val="18"/>
                <w:szCs w:val="18"/>
              </w:rPr>
              <w:t>DBT</w:t>
            </w:r>
            <w:r w:rsidR="0006142E" w:rsidRPr="006E02AA">
              <w:rPr>
                <w:sz w:val="18"/>
                <w:szCs w:val="18"/>
                <w:vertAlign w:val="subscript"/>
              </w:rPr>
              <w:t>MLO</w:t>
            </w:r>
            <w:r w:rsidRPr="006E02AA">
              <w:rPr>
                <w:sz w:val="18"/>
                <w:szCs w:val="18"/>
                <w:vertAlign w:val="subscript"/>
              </w:rPr>
              <w:t xml:space="preserve"> </w:t>
            </w:r>
            <w:r w:rsidRPr="006E02AA">
              <w:rPr>
                <w:sz w:val="18"/>
                <w:szCs w:val="18"/>
              </w:rPr>
              <w:t>only</w:t>
            </w:r>
          </w:p>
        </w:tc>
        <w:tc>
          <w:tcPr>
            <w:tcW w:w="2403" w:type="dxa"/>
          </w:tcPr>
          <w:p w14:paraId="454CAA49" w14:textId="7616A2CE" w:rsidR="0006142E" w:rsidRPr="006E02AA" w:rsidRDefault="00B51234" w:rsidP="00B51234">
            <w:pPr>
              <w:pStyle w:val="BodyText"/>
              <w:tabs>
                <w:tab w:val="left" w:pos="660"/>
                <w:tab w:val="center" w:pos="1173"/>
              </w:tabs>
              <w:spacing w:before="0" w:after="0" w:line="240" w:lineRule="auto"/>
              <w:jc w:val="center"/>
              <w:rPr>
                <w:sz w:val="18"/>
                <w:szCs w:val="18"/>
              </w:rPr>
            </w:pPr>
            <w:r w:rsidRPr="006E02AA">
              <w:rPr>
                <w:sz w:val="18"/>
                <w:szCs w:val="18"/>
              </w:rPr>
              <w:t>Detected on FFDM</w:t>
            </w:r>
          </w:p>
        </w:tc>
      </w:tr>
      <w:tr w:rsidR="002C6611" w:rsidRPr="006E02AA" w14:paraId="4BC490D3" w14:textId="77777777" w:rsidTr="0006142E">
        <w:trPr>
          <w:gridAfter w:val="1"/>
          <w:wAfter w:w="6" w:type="dxa"/>
        </w:trPr>
        <w:tc>
          <w:tcPr>
            <w:tcW w:w="9061" w:type="dxa"/>
            <w:gridSpan w:val="5"/>
          </w:tcPr>
          <w:p w14:paraId="1BA95F95" w14:textId="77777777" w:rsidR="002C6611" w:rsidRPr="006E02AA" w:rsidRDefault="002C6611" w:rsidP="002C6611">
            <w:pPr>
              <w:pStyle w:val="BodyText"/>
              <w:spacing w:before="0" w:after="0" w:line="240" w:lineRule="auto"/>
              <w:rPr>
                <w:b/>
                <w:bCs/>
                <w:sz w:val="18"/>
                <w:szCs w:val="18"/>
              </w:rPr>
            </w:pPr>
            <w:r w:rsidRPr="006E02AA">
              <w:rPr>
                <w:b/>
                <w:bCs/>
                <w:sz w:val="18"/>
                <w:szCs w:val="18"/>
              </w:rPr>
              <w:t>Prospective studies embedded in population-based screening</w:t>
            </w:r>
          </w:p>
        </w:tc>
      </w:tr>
      <w:tr w:rsidR="0006142E" w:rsidRPr="003F6027" w14:paraId="6ED2436C" w14:textId="77777777" w:rsidTr="0006142E">
        <w:tc>
          <w:tcPr>
            <w:tcW w:w="1129" w:type="dxa"/>
          </w:tcPr>
          <w:p w14:paraId="48DFEBAD" w14:textId="77777777" w:rsidR="0006142E" w:rsidRPr="006E02AA" w:rsidRDefault="0006142E" w:rsidP="002C6611">
            <w:pPr>
              <w:pStyle w:val="BodyText"/>
              <w:spacing w:before="0" w:after="0" w:line="240" w:lineRule="auto"/>
              <w:rPr>
                <w:sz w:val="18"/>
                <w:szCs w:val="18"/>
              </w:rPr>
            </w:pPr>
            <w:r w:rsidRPr="006E02AA">
              <w:rPr>
                <w:sz w:val="18"/>
                <w:szCs w:val="18"/>
              </w:rPr>
              <w:t>Johnson et al. (2019)</w:t>
            </w:r>
          </w:p>
          <w:p w14:paraId="416C8864" w14:textId="0F18DB2A" w:rsidR="0006142E" w:rsidRPr="006E02AA" w:rsidRDefault="0006142E" w:rsidP="002C6611">
            <w:pPr>
              <w:pStyle w:val="BodyText"/>
              <w:spacing w:before="0" w:after="0" w:line="240" w:lineRule="auto"/>
              <w:rPr>
                <w:sz w:val="18"/>
                <w:szCs w:val="18"/>
              </w:rPr>
            </w:pPr>
            <w:r w:rsidRPr="006E02AA">
              <w:rPr>
                <w:sz w:val="18"/>
                <w:szCs w:val="18"/>
              </w:rPr>
              <w:t>Malm</w:t>
            </w:r>
            <w:r w:rsidRPr="006E02AA">
              <w:rPr>
                <w:rFonts w:cstheme="majorHAnsi"/>
                <w:sz w:val="18"/>
                <w:szCs w:val="18"/>
              </w:rPr>
              <w:t>ö</w:t>
            </w:r>
          </w:p>
        </w:tc>
        <w:tc>
          <w:tcPr>
            <w:tcW w:w="2977" w:type="dxa"/>
          </w:tcPr>
          <w:p w14:paraId="1ED7E089" w14:textId="56AA6654" w:rsidR="0006142E" w:rsidRPr="006E02AA" w:rsidRDefault="0006142E" w:rsidP="002C6611">
            <w:pPr>
              <w:pStyle w:val="BodyText"/>
              <w:spacing w:before="0" w:after="0" w:line="240" w:lineRule="auto"/>
              <w:jc w:val="left"/>
              <w:rPr>
                <w:sz w:val="18"/>
                <w:szCs w:val="18"/>
              </w:rPr>
            </w:pPr>
            <w:r w:rsidRPr="006E02AA">
              <w:rPr>
                <w:sz w:val="18"/>
                <w:szCs w:val="18"/>
              </w:rPr>
              <w:t>Total: 118 cancers</w:t>
            </w:r>
          </w:p>
          <w:p w14:paraId="741F9D3E" w14:textId="77777777" w:rsidR="0006142E" w:rsidRPr="006E02AA" w:rsidRDefault="0006142E" w:rsidP="007B4E59">
            <w:pPr>
              <w:pStyle w:val="BodyText"/>
              <w:spacing w:before="0" w:after="0" w:line="240" w:lineRule="auto"/>
              <w:jc w:val="left"/>
              <w:rPr>
                <w:sz w:val="18"/>
                <w:szCs w:val="18"/>
              </w:rPr>
            </w:pPr>
            <w:r w:rsidRPr="006E02AA">
              <w:rPr>
                <w:sz w:val="18"/>
                <w:szCs w:val="18"/>
              </w:rPr>
              <w:t>Additional invasive cancers only detected with DBT</w:t>
            </w:r>
            <w:r w:rsidRPr="006E02AA">
              <w:rPr>
                <w:sz w:val="18"/>
                <w:szCs w:val="18"/>
                <w:vertAlign w:val="subscript"/>
              </w:rPr>
              <w:t>MLO</w:t>
            </w:r>
            <w:r w:rsidRPr="006E02AA">
              <w:rPr>
                <w:sz w:val="18"/>
                <w:szCs w:val="18"/>
              </w:rPr>
              <w:t>:</w:t>
            </w:r>
            <w:r w:rsidR="007B4E59" w:rsidRPr="006E02AA">
              <w:rPr>
                <w:sz w:val="18"/>
                <w:szCs w:val="18"/>
              </w:rPr>
              <w:t xml:space="preserve"> </w:t>
            </w:r>
            <w:r w:rsidRPr="006E02AA">
              <w:rPr>
                <w:sz w:val="18"/>
                <w:szCs w:val="18"/>
              </w:rPr>
              <w:t xml:space="preserve">37 </w:t>
            </w:r>
          </w:p>
          <w:p w14:paraId="64865FF1" w14:textId="77777777" w:rsidR="00B51234" w:rsidRPr="006E02AA" w:rsidRDefault="00B51234" w:rsidP="007B4E59">
            <w:pPr>
              <w:pStyle w:val="BodyText"/>
              <w:spacing w:before="0" w:after="0" w:line="240" w:lineRule="auto"/>
              <w:jc w:val="left"/>
              <w:rPr>
                <w:sz w:val="18"/>
                <w:szCs w:val="18"/>
              </w:rPr>
            </w:pPr>
          </w:p>
          <w:p w14:paraId="40B701FD" w14:textId="41183EE7" w:rsidR="00B51234" w:rsidRPr="006E02AA" w:rsidRDefault="00B51234" w:rsidP="007B4E59">
            <w:pPr>
              <w:pStyle w:val="BodyText"/>
              <w:spacing w:before="0" w:after="0" w:line="240" w:lineRule="auto"/>
              <w:jc w:val="left"/>
              <w:rPr>
                <w:i/>
                <w:iCs/>
                <w:sz w:val="18"/>
                <w:szCs w:val="18"/>
              </w:rPr>
            </w:pPr>
            <w:r w:rsidRPr="006E02AA">
              <w:rPr>
                <w:i/>
                <w:iCs/>
                <w:sz w:val="18"/>
                <w:szCs w:val="18"/>
              </w:rPr>
              <w:t>NB no statistically significant differences reported; some cancers did not have data which accounts for the difference in percentage rates (usually only one or two cancers were missing)</w:t>
            </w:r>
          </w:p>
        </w:tc>
        <w:tc>
          <w:tcPr>
            <w:tcW w:w="2480" w:type="dxa"/>
          </w:tcPr>
          <w:p w14:paraId="32746B04" w14:textId="634CE44C" w:rsidR="00B51234" w:rsidRPr="006E02AA" w:rsidRDefault="00B51234" w:rsidP="00B51234">
            <w:pPr>
              <w:pStyle w:val="BodyText"/>
              <w:spacing w:before="0" w:after="0" w:line="240" w:lineRule="auto"/>
              <w:jc w:val="left"/>
              <w:rPr>
                <w:sz w:val="18"/>
                <w:szCs w:val="18"/>
              </w:rPr>
            </w:pPr>
            <w:r w:rsidRPr="006E02AA">
              <w:rPr>
                <w:sz w:val="18"/>
                <w:szCs w:val="18"/>
              </w:rPr>
              <w:t>Luminal A: 51%</w:t>
            </w:r>
          </w:p>
          <w:p w14:paraId="373A39B7" w14:textId="7E24DB90" w:rsidR="00B51234" w:rsidRPr="006E02AA" w:rsidRDefault="00B51234" w:rsidP="00B51234">
            <w:pPr>
              <w:pStyle w:val="BodyText"/>
              <w:spacing w:before="0" w:after="0" w:line="240" w:lineRule="auto"/>
              <w:jc w:val="left"/>
              <w:rPr>
                <w:sz w:val="18"/>
                <w:szCs w:val="18"/>
              </w:rPr>
            </w:pPr>
            <w:r w:rsidRPr="006E02AA">
              <w:rPr>
                <w:sz w:val="18"/>
                <w:szCs w:val="18"/>
              </w:rPr>
              <w:t xml:space="preserve">Luminal B HER-2-ve: 35% </w:t>
            </w:r>
          </w:p>
          <w:p w14:paraId="4FC50356" w14:textId="3D644662" w:rsidR="00B51234" w:rsidRPr="006E02AA" w:rsidRDefault="00B51234" w:rsidP="00B51234">
            <w:pPr>
              <w:pStyle w:val="BodyText"/>
              <w:spacing w:before="0" w:after="0" w:line="240" w:lineRule="auto"/>
              <w:jc w:val="left"/>
              <w:rPr>
                <w:sz w:val="18"/>
                <w:szCs w:val="18"/>
              </w:rPr>
            </w:pPr>
            <w:r w:rsidRPr="006E02AA">
              <w:rPr>
                <w:sz w:val="18"/>
                <w:szCs w:val="18"/>
              </w:rPr>
              <w:t>Luminal B HER-2+ve: 0</w:t>
            </w:r>
          </w:p>
          <w:p w14:paraId="541DDC9F" w14:textId="7CB00052" w:rsidR="00B51234" w:rsidRPr="006E02AA" w:rsidRDefault="00B51234" w:rsidP="00B51234">
            <w:pPr>
              <w:pStyle w:val="BodyText"/>
              <w:spacing w:before="0" w:after="0" w:line="240" w:lineRule="auto"/>
              <w:jc w:val="left"/>
              <w:rPr>
                <w:sz w:val="18"/>
                <w:szCs w:val="18"/>
              </w:rPr>
            </w:pPr>
            <w:r w:rsidRPr="006E02AA">
              <w:rPr>
                <w:sz w:val="18"/>
                <w:szCs w:val="18"/>
              </w:rPr>
              <w:t>Triple negative: 8%</w:t>
            </w:r>
          </w:p>
          <w:p w14:paraId="18A5AC8F" w14:textId="6846815F" w:rsidR="00B51234" w:rsidRPr="006E02AA" w:rsidRDefault="00B51234" w:rsidP="00B51234">
            <w:pPr>
              <w:pStyle w:val="BodyText"/>
              <w:spacing w:before="0" w:after="0" w:line="240" w:lineRule="auto"/>
              <w:jc w:val="left"/>
              <w:rPr>
                <w:sz w:val="18"/>
                <w:szCs w:val="18"/>
              </w:rPr>
            </w:pPr>
            <w:r w:rsidRPr="006E02AA">
              <w:rPr>
                <w:sz w:val="18"/>
                <w:szCs w:val="18"/>
              </w:rPr>
              <w:t>HER-2+ amplified: 3%</w:t>
            </w:r>
          </w:p>
          <w:p w14:paraId="5F397530" w14:textId="529A1C48" w:rsidR="00B51234" w:rsidRPr="006E02AA" w:rsidRDefault="00B51234" w:rsidP="00B51234">
            <w:pPr>
              <w:pStyle w:val="BodyText"/>
              <w:spacing w:before="0" w:after="0" w:line="240" w:lineRule="auto"/>
              <w:jc w:val="left"/>
              <w:rPr>
                <w:sz w:val="18"/>
                <w:szCs w:val="18"/>
              </w:rPr>
            </w:pPr>
            <w:r w:rsidRPr="006E02AA">
              <w:rPr>
                <w:sz w:val="18"/>
                <w:szCs w:val="18"/>
              </w:rPr>
              <w:t>OR+ &gt;10%: 86%</w:t>
            </w:r>
          </w:p>
          <w:p w14:paraId="26D9B9E6" w14:textId="505CDA96" w:rsidR="00B51234" w:rsidRPr="006E02AA" w:rsidRDefault="00B51234" w:rsidP="00B51234">
            <w:pPr>
              <w:pStyle w:val="BodyText"/>
              <w:spacing w:before="0" w:after="0" w:line="240" w:lineRule="auto"/>
              <w:jc w:val="left"/>
              <w:rPr>
                <w:sz w:val="18"/>
                <w:szCs w:val="18"/>
              </w:rPr>
            </w:pPr>
            <w:r w:rsidRPr="006E02AA">
              <w:rPr>
                <w:sz w:val="18"/>
                <w:szCs w:val="18"/>
              </w:rPr>
              <w:t xml:space="preserve">OR- </w:t>
            </w:r>
            <w:r w:rsidRPr="006E02AA">
              <w:rPr>
                <w:sz w:val="18"/>
                <w:szCs w:val="18"/>
                <w:u w:val="single"/>
              </w:rPr>
              <w:t>&lt;</w:t>
            </w:r>
            <w:r w:rsidRPr="006E02AA">
              <w:rPr>
                <w:sz w:val="18"/>
                <w:szCs w:val="18"/>
              </w:rPr>
              <w:t>10%:  11%</w:t>
            </w:r>
          </w:p>
          <w:p w14:paraId="3AB174E7" w14:textId="544D7FA2" w:rsidR="00B51234" w:rsidRPr="006E02AA" w:rsidRDefault="00B51234" w:rsidP="00B51234">
            <w:pPr>
              <w:pStyle w:val="BodyText"/>
              <w:spacing w:before="0" w:after="0" w:line="240" w:lineRule="auto"/>
              <w:jc w:val="left"/>
              <w:rPr>
                <w:sz w:val="18"/>
                <w:szCs w:val="18"/>
              </w:rPr>
            </w:pPr>
            <w:r w:rsidRPr="006E02AA">
              <w:rPr>
                <w:sz w:val="18"/>
                <w:szCs w:val="18"/>
              </w:rPr>
              <w:t>PR+ &gt;10%: 68%</w:t>
            </w:r>
          </w:p>
          <w:p w14:paraId="44DE8EDF" w14:textId="66FB6CBA" w:rsidR="00B51234" w:rsidRPr="006E02AA" w:rsidRDefault="00B51234" w:rsidP="00B51234">
            <w:pPr>
              <w:pStyle w:val="BodyText"/>
              <w:spacing w:before="0" w:after="0" w:line="240" w:lineRule="auto"/>
              <w:jc w:val="left"/>
              <w:rPr>
                <w:sz w:val="18"/>
                <w:szCs w:val="18"/>
              </w:rPr>
            </w:pPr>
            <w:r w:rsidRPr="006E02AA">
              <w:rPr>
                <w:sz w:val="18"/>
                <w:szCs w:val="18"/>
              </w:rPr>
              <w:t xml:space="preserve">PR- </w:t>
            </w:r>
            <w:r w:rsidRPr="006E02AA">
              <w:rPr>
                <w:sz w:val="18"/>
                <w:szCs w:val="18"/>
                <w:u w:val="single"/>
              </w:rPr>
              <w:t>&lt;</w:t>
            </w:r>
            <w:r w:rsidRPr="006E02AA">
              <w:rPr>
                <w:sz w:val="18"/>
                <w:szCs w:val="18"/>
              </w:rPr>
              <w:t>10%:  30%</w:t>
            </w:r>
          </w:p>
          <w:p w14:paraId="521C8201" w14:textId="7D4D8D67" w:rsidR="00B51234" w:rsidRPr="006E02AA" w:rsidRDefault="00B51234" w:rsidP="00B51234">
            <w:pPr>
              <w:pStyle w:val="BodyText"/>
              <w:spacing w:before="0" w:after="0" w:line="240" w:lineRule="auto"/>
              <w:rPr>
                <w:sz w:val="18"/>
                <w:szCs w:val="18"/>
              </w:rPr>
            </w:pPr>
            <w:r w:rsidRPr="006E02AA">
              <w:rPr>
                <w:sz w:val="18"/>
                <w:szCs w:val="18"/>
              </w:rPr>
              <w:t>Ki67</w:t>
            </w:r>
            <w:r w:rsidRPr="006E02AA">
              <w:rPr>
                <w:sz w:val="18"/>
                <w:szCs w:val="18"/>
                <w:u w:val="single"/>
              </w:rPr>
              <w:t>&lt;</w:t>
            </w:r>
            <w:r w:rsidRPr="006E02AA">
              <w:rPr>
                <w:sz w:val="18"/>
                <w:szCs w:val="18"/>
              </w:rPr>
              <w:t>20%: 57%</w:t>
            </w:r>
          </w:p>
          <w:p w14:paraId="33CBE170" w14:textId="752C1404" w:rsidR="0006142E" w:rsidRPr="006E02AA" w:rsidRDefault="00B51234" w:rsidP="00B51234">
            <w:pPr>
              <w:pStyle w:val="BodyText"/>
              <w:spacing w:before="0" w:after="0" w:line="240" w:lineRule="auto"/>
              <w:rPr>
                <w:sz w:val="18"/>
                <w:szCs w:val="18"/>
              </w:rPr>
            </w:pPr>
            <w:r w:rsidRPr="006E02AA">
              <w:rPr>
                <w:sz w:val="18"/>
                <w:szCs w:val="18"/>
              </w:rPr>
              <w:t>Ki67&gt;20%: 41%</w:t>
            </w:r>
          </w:p>
        </w:tc>
        <w:tc>
          <w:tcPr>
            <w:tcW w:w="2481" w:type="dxa"/>
            <w:gridSpan w:val="3"/>
          </w:tcPr>
          <w:p w14:paraId="0E9DB02E" w14:textId="0E307345" w:rsidR="00B51234" w:rsidRPr="006E02AA" w:rsidRDefault="00B51234" w:rsidP="00B51234">
            <w:pPr>
              <w:pStyle w:val="BodyText"/>
              <w:spacing w:before="0" w:after="0" w:line="240" w:lineRule="auto"/>
              <w:jc w:val="left"/>
              <w:rPr>
                <w:sz w:val="18"/>
                <w:szCs w:val="18"/>
              </w:rPr>
            </w:pPr>
            <w:r w:rsidRPr="006E02AA">
              <w:rPr>
                <w:sz w:val="18"/>
                <w:szCs w:val="18"/>
              </w:rPr>
              <w:t>Luminal A: 46%</w:t>
            </w:r>
          </w:p>
          <w:p w14:paraId="527C9E71" w14:textId="0429DE2E" w:rsidR="00B51234" w:rsidRPr="006E02AA" w:rsidRDefault="00B51234" w:rsidP="00B51234">
            <w:pPr>
              <w:pStyle w:val="BodyText"/>
              <w:spacing w:before="0" w:after="0" w:line="240" w:lineRule="auto"/>
              <w:jc w:val="left"/>
              <w:rPr>
                <w:sz w:val="18"/>
                <w:szCs w:val="18"/>
              </w:rPr>
            </w:pPr>
            <w:r w:rsidRPr="006E02AA">
              <w:rPr>
                <w:sz w:val="18"/>
                <w:szCs w:val="18"/>
              </w:rPr>
              <w:t>Luminal B HER-2-ve: 43%</w:t>
            </w:r>
          </w:p>
          <w:p w14:paraId="11D724B4" w14:textId="7929004A" w:rsidR="00B51234" w:rsidRPr="006E02AA" w:rsidRDefault="00B51234" w:rsidP="00B51234">
            <w:pPr>
              <w:pStyle w:val="BodyText"/>
              <w:spacing w:before="0" w:after="0" w:line="240" w:lineRule="auto"/>
              <w:jc w:val="left"/>
              <w:rPr>
                <w:sz w:val="18"/>
                <w:szCs w:val="18"/>
              </w:rPr>
            </w:pPr>
            <w:r w:rsidRPr="006E02AA">
              <w:rPr>
                <w:sz w:val="18"/>
                <w:szCs w:val="18"/>
              </w:rPr>
              <w:t>Luminal B HER-2+ve: 1%</w:t>
            </w:r>
          </w:p>
          <w:p w14:paraId="05A7C418" w14:textId="6B6E841E" w:rsidR="00B51234" w:rsidRPr="006E02AA" w:rsidRDefault="00B51234" w:rsidP="00B51234">
            <w:pPr>
              <w:pStyle w:val="BodyText"/>
              <w:spacing w:before="0" w:after="0" w:line="240" w:lineRule="auto"/>
              <w:jc w:val="left"/>
              <w:rPr>
                <w:sz w:val="18"/>
                <w:szCs w:val="18"/>
              </w:rPr>
            </w:pPr>
            <w:r w:rsidRPr="006E02AA">
              <w:rPr>
                <w:sz w:val="18"/>
                <w:szCs w:val="18"/>
              </w:rPr>
              <w:t>Triple negative: 5%</w:t>
            </w:r>
          </w:p>
          <w:p w14:paraId="101A70C3" w14:textId="0C91F9CC" w:rsidR="00B51234" w:rsidRPr="006E02AA" w:rsidRDefault="00B51234" w:rsidP="00B51234">
            <w:pPr>
              <w:pStyle w:val="BodyText"/>
              <w:spacing w:before="0" w:after="0" w:line="240" w:lineRule="auto"/>
              <w:jc w:val="left"/>
              <w:rPr>
                <w:sz w:val="18"/>
                <w:szCs w:val="18"/>
              </w:rPr>
            </w:pPr>
            <w:r w:rsidRPr="006E02AA">
              <w:rPr>
                <w:sz w:val="18"/>
                <w:szCs w:val="18"/>
              </w:rPr>
              <w:t>HER-2+ amplified: 5%</w:t>
            </w:r>
          </w:p>
          <w:p w14:paraId="6164AA7A" w14:textId="3B19F142" w:rsidR="00B51234" w:rsidRPr="006E02AA" w:rsidRDefault="00B51234" w:rsidP="00B51234">
            <w:pPr>
              <w:pStyle w:val="BodyText"/>
              <w:spacing w:before="0" w:after="0" w:line="240" w:lineRule="auto"/>
              <w:jc w:val="left"/>
              <w:rPr>
                <w:sz w:val="18"/>
                <w:szCs w:val="18"/>
              </w:rPr>
            </w:pPr>
            <w:r w:rsidRPr="006E02AA">
              <w:rPr>
                <w:sz w:val="18"/>
                <w:szCs w:val="18"/>
              </w:rPr>
              <w:t>OR+ &gt;10%: 90%</w:t>
            </w:r>
          </w:p>
          <w:p w14:paraId="3335D1BE" w14:textId="512FE4CF" w:rsidR="00B51234" w:rsidRPr="006E02AA" w:rsidRDefault="00B51234" w:rsidP="00B51234">
            <w:pPr>
              <w:pStyle w:val="BodyText"/>
              <w:spacing w:before="0" w:after="0" w:line="240" w:lineRule="auto"/>
              <w:jc w:val="left"/>
              <w:rPr>
                <w:sz w:val="18"/>
                <w:szCs w:val="18"/>
              </w:rPr>
            </w:pPr>
            <w:r w:rsidRPr="006E02AA">
              <w:rPr>
                <w:sz w:val="18"/>
                <w:szCs w:val="18"/>
              </w:rPr>
              <w:t xml:space="preserve">OR- </w:t>
            </w:r>
            <w:r w:rsidRPr="006E02AA">
              <w:rPr>
                <w:sz w:val="18"/>
                <w:szCs w:val="18"/>
                <w:u w:val="single"/>
              </w:rPr>
              <w:t>&lt;</w:t>
            </w:r>
            <w:r w:rsidRPr="006E02AA">
              <w:rPr>
                <w:sz w:val="18"/>
                <w:szCs w:val="18"/>
              </w:rPr>
              <w:t>10%: 10%</w:t>
            </w:r>
          </w:p>
          <w:p w14:paraId="291BC965" w14:textId="7D9D9375" w:rsidR="00B51234" w:rsidRPr="006E02AA" w:rsidRDefault="00B51234" w:rsidP="00B51234">
            <w:pPr>
              <w:pStyle w:val="BodyText"/>
              <w:spacing w:before="0" w:after="0" w:line="240" w:lineRule="auto"/>
              <w:jc w:val="left"/>
              <w:rPr>
                <w:sz w:val="18"/>
                <w:szCs w:val="18"/>
              </w:rPr>
            </w:pPr>
            <w:r w:rsidRPr="006E02AA">
              <w:rPr>
                <w:sz w:val="18"/>
                <w:szCs w:val="18"/>
              </w:rPr>
              <w:t>PR+ &gt;10%: 74%</w:t>
            </w:r>
          </w:p>
          <w:p w14:paraId="2A09ED00" w14:textId="0C1C52B4" w:rsidR="00B51234" w:rsidRPr="006E02AA" w:rsidRDefault="00B51234" w:rsidP="00B51234">
            <w:pPr>
              <w:pStyle w:val="BodyText"/>
              <w:spacing w:before="0" w:after="0" w:line="240" w:lineRule="auto"/>
              <w:jc w:val="left"/>
              <w:rPr>
                <w:sz w:val="18"/>
                <w:szCs w:val="18"/>
              </w:rPr>
            </w:pPr>
            <w:r w:rsidRPr="006E02AA">
              <w:rPr>
                <w:sz w:val="18"/>
                <w:szCs w:val="18"/>
              </w:rPr>
              <w:t xml:space="preserve">PR- </w:t>
            </w:r>
            <w:r w:rsidRPr="006E02AA">
              <w:rPr>
                <w:sz w:val="18"/>
                <w:szCs w:val="18"/>
                <w:u w:val="single"/>
              </w:rPr>
              <w:t>&lt;</w:t>
            </w:r>
            <w:r w:rsidRPr="006E02AA">
              <w:rPr>
                <w:sz w:val="18"/>
                <w:szCs w:val="18"/>
              </w:rPr>
              <w:t>10%:  25%</w:t>
            </w:r>
          </w:p>
          <w:p w14:paraId="60829F0B" w14:textId="4F957727" w:rsidR="0006142E" w:rsidRPr="006E02AA" w:rsidRDefault="00B51234" w:rsidP="00B51234">
            <w:pPr>
              <w:pStyle w:val="BodyText"/>
              <w:spacing w:before="0" w:after="0" w:line="240" w:lineRule="auto"/>
              <w:jc w:val="left"/>
              <w:rPr>
                <w:sz w:val="18"/>
                <w:szCs w:val="18"/>
              </w:rPr>
            </w:pPr>
            <w:r w:rsidRPr="006E02AA">
              <w:rPr>
                <w:sz w:val="18"/>
                <w:szCs w:val="18"/>
              </w:rPr>
              <w:t>Ki67</w:t>
            </w:r>
            <w:r w:rsidRPr="006E02AA">
              <w:rPr>
                <w:sz w:val="18"/>
                <w:szCs w:val="18"/>
                <w:u w:val="single"/>
              </w:rPr>
              <w:t>&lt;</w:t>
            </w:r>
            <w:r w:rsidRPr="006E02AA">
              <w:rPr>
                <w:sz w:val="18"/>
                <w:szCs w:val="18"/>
              </w:rPr>
              <w:t>20%: 58%</w:t>
            </w:r>
          </w:p>
          <w:p w14:paraId="731E5C92" w14:textId="2C47CAA6" w:rsidR="00B51234" w:rsidRPr="006E02AA" w:rsidRDefault="00B51234" w:rsidP="00B51234">
            <w:pPr>
              <w:pStyle w:val="BodyText"/>
              <w:spacing w:before="0" w:after="0" w:line="240" w:lineRule="auto"/>
              <w:jc w:val="left"/>
              <w:rPr>
                <w:sz w:val="18"/>
                <w:szCs w:val="18"/>
              </w:rPr>
            </w:pPr>
            <w:r w:rsidRPr="006E02AA">
              <w:rPr>
                <w:sz w:val="18"/>
                <w:szCs w:val="18"/>
              </w:rPr>
              <w:t>Ki67&gt;20%: 43%</w:t>
            </w:r>
          </w:p>
        </w:tc>
      </w:tr>
    </w:tbl>
    <w:p w14:paraId="501F7A01" w14:textId="56CA1E9D" w:rsidR="0035319D" w:rsidRPr="0006142E" w:rsidRDefault="00D76BC3" w:rsidP="0035319D">
      <w:pPr>
        <w:pStyle w:val="BodyText"/>
        <w:rPr>
          <w:lang w:eastAsia="en-NZ"/>
        </w:rPr>
      </w:pPr>
      <w:r>
        <w:rPr>
          <w:lang w:eastAsia="en-NZ"/>
        </w:rPr>
        <w:t xml:space="preserve">Mixed results are presented about whether the cancers detected by DBT </w:t>
      </w:r>
      <w:r w:rsidR="000C7847">
        <w:rPr>
          <w:lang w:eastAsia="en-NZ"/>
        </w:rPr>
        <w:t xml:space="preserve">differed in terms of molecular subtype </w:t>
      </w:r>
      <w:r>
        <w:rPr>
          <w:lang w:eastAsia="en-NZ"/>
        </w:rPr>
        <w:t>to those detected with FFDM</w:t>
      </w:r>
      <w:r w:rsidR="003F1239">
        <w:rPr>
          <w:lang w:eastAsia="en-NZ"/>
        </w:rPr>
        <w:t xml:space="preserve">. </w:t>
      </w:r>
      <w:r w:rsidR="00C83961">
        <w:rPr>
          <w:lang w:eastAsia="en-NZ"/>
        </w:rPr>
        <w:t xml:space="preserve">For example, </w:t>
      </w:r>
      <w:r w:rsidR="000C5381">
        <w:rPr>
          <w:lang w:eastAsia="en-NZ"/>
        </w:rPr>
        <w:t xml:space="preserve">in the main analysis from the To-Be-1 RCT </w:t>
      </w:r>
      <w:r w:rsidR="00C83961">
        <w:rPr>
          <w:lang w:eastAsia="en-NZ"/>
        </w:rPr>
        <w:t>Hofvind et al. (2019) reported no significant difference between the molecular subtype of cancers detected with DBT+</w:t>
      </w:r>
      <w:r w:rsidR="00176980">
        <w:rPr>
          <w:lang w:eastAsia="en-NZ"/>
        </w:rPr>
        <w:t>s2DM</w:t>
      </w:r>
      <w:r w:rsidR="00C83961">
        <w:rPr>
          <w:lang w:eastAsia="en-NZ"/>
        </w:rPr>
        <w:t xml:space="preserve"> compared to FFDM alone or between any of the receptors or Ki67 percent. </w:t>
      </w:r>
      <w:r w:rsidR="0035319D" w:rsidRPr="0035319D">
        <w:rPr>
          <w:lang w:eastAsia="en-NZ"/>
        </w:rPr>
        <w:t>Johnson et al. (2019) reported data on the tumour characteristics and molecular subtypes of cancers detected in the Malmö screening trial, which used a different imaging protocol (DBT</w:t>
      </w:r>
      <w:r w:rsidR="0035319D" w:rsidRPr="0035319D">
        <w:rPr>
          <w:vertAlign w:val="subscript"/>
          <w:lang w:eastAsia="en-NZ"/>
        </w:rPr>
        <w:t>MLO</w:t>
      </w:r>
      <w:r w:rsidR="0035319D" w:rsidRPr="0035319D">
        <w:rPr>
          <w:lang w:eastAsia="en-NZ"/>
        </w:rPr>
        <w:t xml:space="preserve"> compared to FFDM). This was one of the few studies to look at cancer characteristics by additional cancers detected with DBT (compared to all cancers in the study dataset or a comparison of all cancers with DBT+</w:t>
      </w:r>
      <w:r w:rsidR="00176980">
        <w:rPr>
          <w:lang w:eastAsia="en-NZ"/>
        </w:rPr>
        <w:t>s2DM</w:t>
      </w:r>
      <w:r w:rsidR="0035319D" w:rsidRPr="0035319D">
        <w:rPr>
          <w:lang w:eastAsia="en-NZ"/>
        </w:rPr>
        <w:t xml:space="preserve"> or FFDM and all cancers detected with FFDM alone). No statistically significant differences Data in molecular subtype were identified in the Malmö trial data.</w:t>
      </w:r>
    </w:p>
    <w:p w14:paraId="0C48AF92" w14:textId="2AAFBF2C" w:rsidR="00BB5617" w:rsidRDefault="00C83961" w:rsidP="00BB5617">
      <w:pPr>
        <w:pStyle w:val="BodyText"/>
        <w:tabs>
          <w:tab w:val="left" w:pos="8789"/>
        </w:tabs>
        <w:rPr>
          <w:lang w:eastAsia="en-NZ"/>
        </w:rPr>
      </w:pPr>
      <w:bookmarkStart w:id="295" w:name="_Hlk27151681"/>
      <w:r>
        <w:rPr>
          <w:lang w:eastAsia="en-NZ"/>
        </w:rPr>
        <w:t>O</w:t>
      </w:r>
      <w:r w:rsidR="008A5E21">
        <w:rPr>
          <w:lang w:eastAsia="en-NZ"/>
        </w:rPr>
        <w:t>ther</w:t>
      </w:r>
      <w:r>
        <w:rPr>
          <w:lang w:eastAsia="en-NZ"/>
        </w:rPr>
        <w:t xml:space="preserve"> studie</w:t>
      </w:r>
      <w:r w:rsidR="008A5E21">
        <w:rPr>
          <w:lang w:eastAsia="en-NZ"/>
        </w:rPr>
        <w:t xml:space="preserve">s (including </w:t>
      </w:r>
      <w:r>
        <w:rPr>
          <w:lang w:eastAsia="en-NZ"/>
        </w:rPr>
        <w:t xml:space="preserve">Hofvind et al.’s 2018 and </w:t>
      </w:r>
      <w:r w:rsidR="008A5E21">
        <w:rPr>
          <w:lang w:eastAsia="en-NZ"/>
        </w:rPr>
        <w:t xml:space="preserve">Hovda et al.’s </w:t>
      </w:r>
      <w:r w:rsidR="006B1F48">
        <w:rPr>
          <w:lang w:eastAsia="en-NZ"/>
        </w:rPr>
        <w:t xml:space="preserve">retrospective </w:t>
      </w:r>
      <w:r w:rsidR="008A5E21">
        <w:rPr>
          <w:lang w:eastAsia="en-NZ"/>
        </w:rPr>
        <w:t>analysis of data from the Norway BreastScreen Program and baseline RCT data from Pattacini et al.’s trial) showed an increase in cancers with a molecular profile</w:t>
      </w:r>
      <w:r w:rsidR="0035319D">
        <w:rPr>
          <w:lang w:eastAsia="en-NZ"/>
        </w:rPr>
        <w:t xml:space="preserve"> more favourable to good prognosis</w:t>
      </w:r>
      <w:r w:rsidR="008A5E21">
        <w:rPr>
          <w:lang w:eastAsia="en-NZ"/>
        </w:rPr>
        <w:t xml:space="preserve">. </w:t>
      </w:r>
      <w:bookmarkEnd w:id="295"/>
      <w:r w:rsidR="00CC06BA">
        <w:rPr>
          <w:lang w:eastAsia="en-NZ"/>
        </w:rPr>
        <w:t>Hofvind et al. (2018) report</w:t>
      </w:r>
      <w:r>
        <w:rPr>
          <w:lang w:eastAsia="en-NZ"/>
        </w:rPr>
        <w:t>ed</w:t>
      </w:r>
      <w:r w:rsidR="00CC06BA">
        <w:rPr>
          <w:lang w:eastAsia="en-NZ"/>
        </w:rPr>
        <w:t xml:space="preserve"> differences in subtype in their comparative data of one DBT+</w:t>
      </w:r>
      <w:r w:rsidR="00176980">
        <w:rPr>
          <w:lang w:eastAsia="en-NZ"/>
        </w:rPr>
        <w:t>s2DM</w:t>
      </w:r>
      <w:r w:rsidR="00CC06BA">
        <w:rPr>
          <w:lang w:eastAsia="en-NZ"/>
        </w:rPr>
        <w:t xml:space="preserve"> round compared to two previous FFDM rounds</w:t>
      </w:r>
      <w:r w:rsidR="00B7551D">
        <w:rPr>
          <w:lang w:eastAsia="en-NZ"/>
        </w:rPr>
        <w:t xml:space="preserve"> noting more Luminal A and Luminal B (HER-2</w:t>
      </w:r>
      <w:r w:rsidR="00A9108F">
        <w:rPr>
          <w:lang w:eastAsia="en-NZ"/>
        </w:rPr>
        <w:t xml:space="preserve"> negati</w:t>
      </w:r>
      <w:r w:rsidR="00B7551D">
        <w:rPr>
          <w:lang w:eastAsia="en-NZ"/>
        </w:rPr>
        <w:t xml:space="preserve">ve) breast cancers </w:t>
      </w:r>
      <w:r w:rsidR="00BB5617">
        <w:rPr>
          <w:lang w:eastAsia="en-NZ"/>
        </w:rPr>
        <w:t>(</w:t>
      </w:r>
      <w:r w:rsidR="00B7551D">
        <w:rPr>
          <w:lang w:eastAsia="en-NZ"/>
        </w:rPr>
        <w:t>but no statistical testing was completed</w:t>
      </w:r>
      <w:r w:rsidR="00BB5617">
        <w:rPr>
          <w:lang w:eastAsia="en-NZ"/>
        </w:rPr>
        <w:t>)</w:t>
      </w:r>
      <w:r w:rsidR="00CC06BA">
        <w:rPr>
          <w:lang w:eastAsia="en-NZ"/>
        </w:rPr>
        <w:t xml:space="preserve">. </w:t>
      </w:r>
      <w:r w:rsidR="00BB5617">
        <w:rPr>
          <w:lang w:eastAsia="en-NZ"/>
        </w:rPr>
        <w:t xml:space="preserve">Statistical testing was completed in Hovda et al.’s </w:t>
      </w:r>
      <w:r w:rsidR="008B6D15">
        <w:rPr>
          <w:lang w:eastAsia="en-NZ"/>
        </w:rPr>
        <w:t>2019 work</w:t>
      </w:r>
      <w:r w:rsidR="00BB5617">
        <w:rPr>
          <w:lang w:eastAsia="en-NZ"/>
        </w:rPr>
        <w:t xml:space="preserve"> (</w:t>
      </w:r>
      <w:r w:rsidR="008B6D15">
        <w:rPr>
          <w:lang w:eastAsia="en-NZ"/>
        </w:rPr>
        <w:t>also completed in the Norway BreastScreen Program</w:t>
      </w:r>
      <w:r w:rsidR="00BB5617">
        <w:rPr>
          <w:lang w:eastAsia="en-NZ"/>
        </w:rPr>
        <w:t xml:space="preserve">). They </w:t>
      </w:r>
      <w:r w:rsidR="008B6D15">
        <w:rPr>
          <w:lang w:eastAsia="en-NZ"/>
        </w:rPr>
        <w:t>reported statistically significant increases in the number of Luminal A (an increase of 3.97 cancers per 1000 screens) and Luminal B H</w:t>
      </w:r>
      <w:r w:rsidR="003F1239">
        <w:rPr>
          <w:lang w:eastAsia="en-NZ"/>
        </w:rPr>
        <w:t>ER</w:t>
      </w:r>
      <w:r w:rsidR="008B6D15">
        <w:rPr>
          <w:lang w:eastAsia="en-NZ"/>
        </w:rPr>
        <w:t xml:space="preserve">-2 negative (an increase of 0.77 cancers per 1000 screens) cancers detected in paired screening data for women who had DBT </w:t>
      </w:r>
      <w:r w:rsidR="00BB5617">
        <w:rPr>
          <w:lang w:eastAsia="en-NZ"/>
        </w:rPr>
        <w:t xml:space="preserve">after a previous FFDM round </w:t>
      </w:r>
      <w:r w:rsidR="008B6D15">
        <w:rPr>
          <w:lang w:eastAsia="en-NZ"/>
        </w:rPr>
        <w:t>(w</w:t>
      </w:r>
      <w:r w:rsidR="00BB5617">
        <w:rPr>
          <w:lang w:eastAsia="en-NZ"/>
        </w:rPr>
        <w:t>het</w:t>
      </w:r>
      <w:r w:rsidR="008B6D15">
        <w:rPr>
          <w:lang w:eastAsia="en-NZ"/>
        </w:rPr>
        <w:t>her FFDM+DBT or DBT+</w:t>
      </w:r>
      <w:r w:rsidR="00176980">
        <w:rPr>
          <w:lang w:eastAsia="en-NZ"/>
        </w:rPr>
        <w:t>s2DM</w:t>
      </w:r>
      <w:r w:rsidR="008B6D15">
        <w:rPr>
          <w:lang w:eastAsia="en-NZ"/>
        </w:rPr>
        <w:t>).</w:t>
      </w:r>
      <w:r w:rsidR="005D7BA5">
        <w:rPr>
          <w:lang w:eastAsia="en-NZ"/>
        </w:rPr>
        <w:t xml:space="preserve"> </w:t>
      </w:r>
      <w:r w:rsidR="00BB5617">
        <w:rPr>
          <w:lang w:eastAsia="en-NZ"/>
        </w:rPr>
        <w:t>Houssami et al. (2019) reported receptor status for DBT+</w:t>
      </w:r>
      <w:r w:rsidR="00176980">
        <w:rPr>
          <w:lang w:eastAsia="en-NZ"/>
        </w:rPr>
        <w:t>s2DM</w:t>
      </w:r>
      <w:r w:rsidR="00BB5617">
        <w:rPr>
          <w:lang w:eastAsia="en-NZ"/>
        </w:rPr>
        <w:t xml:space="preserve"> and FFDM but did not complete any comparative analysis due to the small number of cancers. Although more HER-2 positive cancers were detected in the DBT arm of the trial, the authors make no comment on this. </w:t>
      </w:r>
    </w:p>
    <w:p w14:paraId="4FF1D3FB" w14:textId="6CBDDF89" w:rsidR="00473D69" w:rsidRDefault="00B7551D" w:rsidP="00417C9A">
      <w:pPr>
        <w:pStyle w:val="BodyText"/>
        <w:rPr>
          <w:lang w:eastAsia="en-NZ"/>
        </w:rPr>
      </w:pPr>
      <w:r>
        <w:rPr>
          <w:lang w:eastAsia="en-NZ"/>
        </w:rPr>
        <w:t xml:space="preserve">The other RCT (Pattacini et al., 2018) </w:t>
      </w:r>
      <w:r w:rsidR="00473D69">
        <w:rPr>
          <w:lang w:eastAsia="en-NZ"/>
        </w:rPr>
        <w:t xml:space="preserve">reported on differences </w:t>
      </w:r>
      <w:r w:rsidR="00972C1B">
        <w:rPr>
          <w:lang w:eastAsia="en-NZ"/>
        </w:rPr>
        <w:t xml:space="preserve">in receptor status (not </w:t>
      </w:r>
      <w:r w:rsidR="00CB63D6">
        <w:rPr>
          <w:lang w:eastAsia="en-NZ"/>
        </w:rPr>
        <w:t xml:space="preserve">specific </w:t>
      </w:r>
      <w:r w:rsidR="00972C1B">
        <w:rPr>
          <w:lang w:eastAsia="en-NZ"/>
        </w:rPr>
        <w:t xml:space="preserve">molecular subtype) </w:t>
      </w:r>
      <w:r w:rsidR="00473D69">
        <w:rPr>
          <w:lang w:eastAsia="en-NZ"/>
        </w:rPr>
        <w:t xml:space="preserve">for </w:t>
      </w:r>
      <w:r w:rsidR="00972C1B">
        <w:rPr>
          <w:lang w:eastAsia="en-NZ"/>
        </w:rPr>
        <w:t xml:space="preserve">cancers detected with </w:t>
      </w:r>
      <w:r w:rsidR="00473D69">
        <w:rPr>
          <w:lang w:eastAsia="en-NZ"/>
        </w:rPr>
        <w:t xml:space="preserve">FFDM+DBT compared to FFDM alone. </w:t>
      </w:r>
      <w:r>
        <w:rPr>
          <w:lang w:eastAsia="en-NZ"/>
        </w:rPr>
        <w:t xml:space="preserve">In </w:t>
      </w:r>
      <w:r w:rsidR="00972C1B">
        <w:rPr>
          <w:lang w:eastAsia="en-NZ"/>
        </w:rPr>
        <w:t>the DBT arm of the trial, detected cancers were more likely to have more favourable biomarkers (i.e., PR</w:t>
      </w:r>
      <w:r w:rsidR="00A9108F">
        <w:rPr>
          <w:lang w:eastAsia="en-NZ"/>
        </w:rPr>
        <w:t xml:space="preserve"> positive</w:t>
      </w:r>
      <w:r w:rsidR="00972C1B">
        <w:rPr>
          <w:lang w:eastAsia="en-NZ"/>
        </w:rPr>
        <w:t>, ER</w:t>
      </w:r>
      <w:r w:rsidR="00A9108F">
        <w:rPr>
          <w:lang w:eastAsia="en-NZ"/>
        </w:rPr>
        <w:t xml:space="preserve"> positive</w:t>
      </w:r>
      <w:r w:rsidR="00972C1B">
        <w:rPr>
          <w:lang w:eastAsia="en-NZ"/>
        </w:rPr>
        <w:t>, HER-2</w:t>
      </w:r>
      <w:r w:rsidR="00A9108F">
        <w:rPr>
          <w:lang w:eastAsia="en-NZ"/>
        </w:rPr>
        <w:t xml:space="preserve"> negative</w:t>
      </w:r>
      <w:r w:rsidR="00972C1B">
        <w:rPr>
          <w:lang w:eastAsia="en-NZ"/>
        </w:rPr>
        <w:t xml:space="preserve">, </w:t>
      </w:r>
      <w:r w:rsidR="00842BBF">
        <w:rPr>
          <w:lang w:eastAsia="en-NZ"/>
        </w:rPr>
        <w:t xml:space="preserve">and </w:t>
      </w:r>
      <w:r w:rsidR="00972C1B">
        <w:rPr>
          <w:lang w:eastAsia="en-NZ"/>
        </w:rPr>
        <w:t>low Ki67)</w:t>
      </w:r>
      <w:r w:rsidR="00842BBF">
        <w:rPr>
          <w:lang w:eastAsia="en-NZ"/>
        </w:rPr>
        <w:t>, and that, when coupled with data on tumour size and grade was suggestive of earlier detection of clinically important cancers</w:t>
      </w:r>
      <w:r w:rsidR="00972C1B">
        <w:rPr>
          <w:lang w:eastAsia="en-NZ"/>
        </w:rPr>
        <w:t xml:space="preserve">. Note that the results in </w:t>
      </w:r>
      <w:r w:rsidR="00972C1B">
        <w:rPr>
          <w:i/>
          <w:iCs/>
          <w:lang w:eastAsia="en-NZ"/>
        </w:rPr>
        <w:t xml:space="preserve">Table </w:t>
      </w:r>
      <w:r w:rsidR="00D41F92">
        <w:rPr>
          <w:i/>
          <w:iCs/>
          <w:lang w:eastAsia="en-NZ"/>
        </w:rPr>
        <w:t>11a</w:t>
      </w:r>
      <w:r w:rsidR="00972C1B">
        <w:rPr>
          <w:lang w:eastAsia="en-NZ"/>
        </w:rPr>
        <w:t xml:space="preserve"> refer only to significant RR data.</w:t>
      </w:r>
      <w:r w:rsidR="00732181">
        <w:rPr>
          <w:lang w:eastAsia="en-NZ"/>
        </w:rPr>
        <w:t xml:space="preserve"> </w:t>
      </w:r>
    </w:p>
    <w:p w14:paraId="07B23113" w14:textId="673D7AEB" w:rsidR="0035319D" w:rsidRDefault="00BB5617" w:rsidP="0035319D">
      <w:pPr>
        <w:pStyle w:val="BodyText"/>
        <w:tabs>
          <w:tab w:val="left" w:pos="8789"/>
        </w:tabs>
        <w:rPr>
          <w:lang w:eastAsia="en-NZ"/>
        </w:rPr>
      </w:pPr>
      <w:r>
        <w:rPr>
          <w:lang w:eastAsia="en-NZ"/>
        </w:rPr>
        <w:lastRenderedPageBreak/>
        <w:t>Th</w:t>
      </w:r>
      <w:r w:rsidR="0035319D">
        <w:rPr>
          <w:lang w:eastAsia="en-NZ"/>
        </w:rPr>
        <w:t xml:space="preserve">ere is some </w:t>
      </w:r>
      <w:r>
        <w:rPr>
          <w:lang w:eastAsia="en-NZ"/>
        </w:rPr>
        <w:t xml:space="preserve">evidence </w:t>
      </w:r>
      <w:r w:rsidR="0035319D">
        <w:rPr>
          <w:lang w:eastAsia="en-NZ"/>
        </w:rPr>
        <w:t xml:space="preserve">to </w:t>
      </w:r>
      <w:r>
        <w:rPr>
          <w:lang w:eastAsia="en-NZ"/>
        </w:rPr>
        <w:t xml:space="preserve">suggest that DBT may be detecting more cancers with </w:t>
      </w:r>
      <w:r w:rsidR="0035319D">
        <w:rPr>
          <w:lang w:eastAsia="en-NZ"/>
        </w:rPr>
        <w:t xml:space="preserve">a </w:t>
      </w:r>
      <w:r>
        <w:rPr>
          <w:lang w:eastAsia="en-NZ"/>
        </w:rPr>
        <w:t xml:space="preserve">molecular subtype that has a </w:t>
      </w:r>
      <w:r w:rsidR="0035319D">
        <w:rPr>
          <w:lang w:eastAsia="en-NZ"/>
        </w:rPr>
        <w:t>more favourable</w:t>
      </w:r>
      <w:r>
        <w:rPr>
          <w:lang w:eastAsia="en-NZ"/>
        </w:rPr>
        <w:t xml:space="preserve"> prognosis</w:t>
      </w:r>
      <w:r w:rsidR="0035319D">
        <w:rPr>
          <w:lang w:eastAsia="en-NZ"/>
        </w:rPr>
        <w:t xml:space="preserve"> and which are better depicted on DBT,</w:t>
      </w:r>
      <w:r>
        <w:rPr>
          <w:lang w:eastAsia="en-NZ"/>
        </w:rPr>
        <w:t xml:space="preserve"> or </w:t>
      </w:r>
      <w:r w:rsidR="0035319D">
        <w:rPr>
          <w:lang w:eastAsia="en-NZ"/>
        </w:rPr>
        <w:t xml:space="preserve">it may be </w:t>
      </w:r>
      <w:r>
        <w:rPr>
          <w:lang w:eastAsia="en-NZ"/>
        </w:rPr>
        <w:t>detecting cancers</w:t>
      </w:r>
      <w:r w:rsidR="0035319D">
        <w:rPr>
          <w:lang w:eastAsia="en-NZ"/>
        </w:rPr>
        <w:t xml:space="preserve"> that are less likely to progress aggressively. Further Lång (2019) commented that the possible increase in Luminal A cancers could be due to the presentation of these cancers as architectural distortions (AD), which is much more conspicuous on DBT imaging compared to FFDM images. </w:t>
      </w:r>
      <w:r w:rsidR="008A5E21">
        <w:rPr>
          <w:lang w:eastAsia="en-NZ"/>
        </w:rPr>
        <w:t xml:space="preserve">Lack of consistent evidence may reflect the small number of cancers covered in some studies or differences in the groups of cancers that are compared to each other in the primary studies. </w:t>
      </w:r>
      <w:r w:rsidR="0035319D">
        <w:rPr>
          <w:lang w:eastAsia="en-NZ"/>
        </w:rPr>
        <w:t xml:space="preserve">For example, </w:t>
      </w:r>
      <w:r w:rsidR="008A5E21">
        <w:rPr>
          <w:lang w:eastAsia="en-NZ"/>
        </w:rPr>
        <w:t>Johnson et al. (2019) compar</w:t>
      </w:r>
      <w:r w:rsidR="0035319D">
        <w:rPr>
          <w:lang w:eastAsia="en-NZ"/>
        </w:rPr>
        <w:t>ed</w:t>
      </w:r>
      <w:r w:rsidR="008A5E21">
        <w:rPr>
          <w:lang w:eastAsia="en-NZ"/>
        </w:rPr>
        <w:t xml:space="preserve"> invasive cancers only detected with DBT</w:t>
      </w:r>
      <w:r w:rsidR="008A5E21">
        <w:rPr>
          <w:vertAlign w:val="subscript"/>
          <w:lang w:eastAsia="en-NZ"/>
        </w:rPr>
        <w:t>MLO</w:t>
      </w:r>
      <w:r w:rsidR="008A5E21">
        <w:rPr>
          <w:lang w:eastAsia="en-NZ"/>
        </w:rPr>
        <w:t xml:space="preserve"> to all cancers detected with digital mammography. Other studies did not compare only additional cancers detected with DBT, rather they compared data from the DBT arm to the FFDM arm. This may underestimate any differences between additional cancers detected with DBT. </w:t>
      </w:r>
      <w:r w:rsidR="00C876A6">
        <w:rPr>
          <w:lang w:eastAsia="en-NZ"/>
        </w:rPr>
        <w:t>Also</w:t>
      </w:r>
      <w:r w:rsidR="0035319D">
        <w:rPr>
          <w:lang w:eastAsia="en-NZ"/>
        </w:rPr>
        <w:t>,  different studies reported information in different ways (by molecular subtype or by receptor status only) and many studies only include a small number of cancers, giving limited ability to perform adequate statistical comparison (i.e., Maroondah data was descriptive and the Norway BreastScreen Program study did no statistical testing).</w:t>
      </w:r>
    </w:p>
    <w:p w14:paraId="57EBD34E" w14:textId="64AA8669" w:rsidR="00F50906" w:rsidRDefault="00417C9A" w:rsidP="0035319D">
      <w:pPr>
        <w:pStyle w:val="BodyText"/>
        <w:tabs>
          <w:tab w:val="left" w:pos="8789"/>
        </w:tabs>
        <w:rPr>
          <w:lang w:eastAsia="en-NZ"/>
        </w:rPr>
      </w:pPr>
      <w:bookmarkStart w:id="296" w:name="_Hlk27151834"/>
      <w:r>
        <w:rPr>
          <w:lang w:eastAsia="en-NZ"/>
        </w:rPr>
        <w:t>There is not yet sufficient evidence to determine if additional cancers detected</w:t>
      </w:r>
      <w:r w:rsidR="00EC4E94">
        <w:rPr>
          <w:lang w:eastAsia="en-NZ"/>
        </w:rPr>
        <w:t xml:space="preserve"> with DBT alone</w:t>
      </w:r>
      <w:r>
        <w:rPr>
          <w:lang w:eastAsia="en-NZ"/>
        </w:rPr>
        <w:t xml:space="preserve"> are more aggressive ‘killing’ cancers or </w:t>
      </w:r>
      <w:r w:rsidR="00EC4E94">
        <w:rPr>
          <w:lang w:eastAsia="en-NZ"/>
        </w:rPr>
        <w:t xml:space="preserve">if they are comparable to the types of </w:t>
      </w:r>
      <w:r>
        <w:rPr>
          <w:lang w:eastAsia="en-NZ"/>
        </w:rPr>
        <w:t xml:space="preserve">cancers </w:t>
      </w:r>
      <w:r w:rsidR="00EC4E94">
        <w:rPr>
          <w:lang w:eastAsia="en-NZ"/>
        </w:rPr>
        <w:t xml:space="preserve">detected with FFDM (but more are detected). </w:t>
      </w:r>
      <w:bookmarkEnd w:id="296"/>
      <w:r w:rsidR="00AD6615">
        <w:rPr>
          <w:lang w:eastAsia="en-NZ"/>
        </w:rPr>
        <w:t xml:space="preserve">More </w:t>
      </w:r>
      <w:r w:rsidR="00F57B8B">
        <w:rPr>
          <w:lang w:eastAsia="en-NZ"/>
        </w:rPr>
        <w:t>research in this area is needed to determine if the additional cancers detected are clinically significant from a molecular perspective.</w:t>
      </w:r>
    </w:p>
    <w:p w14:paraId="543D2F3D" w14:textId="7C18A394" w:rsidR="00F15721" w:rsidRDefault="00E472B8" w:rsidP="00E472B8">
      <w:pPr>
        <w:pStyle w:val="NumberedHeading3"/>
      </w:pPr>
      <w:bookmarkStart w:id="297" w:name="_Toc43376309"/>
      <w:r>
        <w:t>Cancer s</w:t>
      </w:r>
      <w:r w:rsidR="00F15721">
        <w:t>tag</w:t>
      </w:r>
      <w:r>
        <w:t>ing</w:t>
      </w:r>
      <w:bookmarkEnd w:id="297"/>
    </w:p>
    <w:p w14:paraId="15DD3C46" w14:textId="256B8337" w:rsidR="00B62998" w:rsidRDefault="00B62998" w:rsidP="00FA4631">
      <w:pPr>
        <w:pStyle w:val="BodyText"/>
      </w:pPr>
      <w:r w:rsidRPr="008F0645">
        <w:t xml:space="preserve">The </w:t>
      </w:r>
      <w:r>
        <w:t xml:space="preserve">assessment of newly diagnosed breast cancer is essential to obtain an estimate of staging, which is integral in prognosis development. Staging is used to describe the </w:t>
      </w:r>
      <w:r w:rsidR="00E472B8">
        <w:t xml:space="preserve">specific </w:t>
      </w:r>
      <w:r>
        <w:t xml:space="preserve">characteristics of the cancer. It involves determining the extent of disease in the affected breast and in the contralateral breast, evaluating regional lymph nodes and identifying other sites of disease if the cancer has metastasised. Staging is also used to assist in treatment planning and informs follow-up surveillance. </w:t>
      </w:r>
      <w:r w:rsidRPr="00946806">
        <w:t>The TNM classification</w:t>
      </w:r>
      <w:r>
        <w:t xml:space="preserve"> along with other measures are used to determine a patient’s:</w:t>
      </w:r>
    </w:p>
    <w:p w14:paraId="3C064D64" w14:textId="77777777" w:rsidR="00B62998" w:rsidRDefault="00B62998" w:rsidP="00B62998">
      <w:pPr>
        <w:pStyle w:val="List-BulletLvl1"/>
      </w:pPr>
      <w:r>
        <w:t>overall cancer stage (stage 0 – stage IV)</w:t>
      </w:r>
    </w:p>
    <w:p w14:paraId="69F0E8CC" w14:textId="62391E6B" w:rsidR="00B62998" w:rsidRDefault="00B62998" w:rsidP="00B62998">
      <w:pPr>
        <w:pStyle w:val="List-BulletLvl1"/>
      </w:pPr>
      <w:r>
        <w:t>primary tumour size (</w:t>
      </w:r>
      <w:r w:rsidR="00E472B8">
        <w:t xml:space="preserve">T) </w:t>
      </w:r>
    </w:p>
    <w:p w14:paraId="115AB402" w14:textId="77777777" w:rsidR="00B62998" w:rsidRDefault="00B62998" w:rsidP="00B62998">
      <w:pPr>
        <w:pStyle w:val="List-BulletLvl1"/>
      </w:pPr>
      <w:r>
        <w:t xml:space="preserve">whether regional nodes are involved (N), and </w:t>
      </w:r>
    </w:p>
    <w:p w14:paraId="088EE9B5" w14:textId="5A1FCF25" w:rsidR="00B62998" w:rsidRDefault="00B62998" w:rsidP="00B62998">
      <w:pPr>
        <w:pStyle w:val="List-BulletLvl1"/>
      </w:pPr>
      <w:r>
        <w:t>distant metastasis (M).</w:t>
      </w:r>
    </w:p>
    <w:p w14:paraId="6F86225B" w14:textId="196B19FF" w:rsidR="00E472B8" w:rsidRDefault="00E472B8" w:rsidP="00AD6615">
      <w:pPr>
        <w:pStyle w:val="BodyText"/>
        <w:tabs>
          <w:tab w:val="left" w:pos="3969"/>
        </w:tabs>
      </w:pPr>
      <w:r>
        <w:t>Most of the studies evaluated in this literature review did not comment directly on staging using the TN</w:t>
      </w:r>
      <w:r w:rsidR="00C876A6">
        <w:t>M</w:t>
      </w:r>
      <w:r>
        <w:t xml:space="preserve"> framework, rather data was reported by the individual components of this framework. For this reason, this section also presents data by staging framework component. Staging data is provided where information is presented (Bernardi et al., 2019; Caumo et al., 2018). No studies evaluated in this literature review reported on metastasis.</w:t>
      </w:r>
    </w:p>
    <w:p w14:paraId="44646E99" w14:textId="3007474D" w:rsidR="00DF724F" w:rsidRDefault="00DF724F" w:rsidP="00E472B8">
      <w:pPr>
        <w:pStyle w:val="BodyText"/>
      </w:pPr>
      <w:r w:rsidRPr="00950A1F">
        <w:t xml:space="preserve">Only three of the population-based embedded studies reported on </w:t>
      </w:r>
      <w:r w:rsidR="00616A08" w:rsidRPr="00950A1F">
        <w:t>cancer</w:t>
      </w:r>
      <w:r w:rsidRPr="00950A1F">
        <w:t xml:space="preserve"> stage generally (as well as reporting on the separate components); all other studies reported on the components of staging (eg, histological grade, tumour size and nodal status).</w:t>
      </w:r>
      <w:r w:rsidR="00950A1F">
        <w:t xml:space="preserve"> Two of these studies related to DBT+</w:t>
      </w:r>
      <w:r w:rsidR="00176980">
        <w:t>s2DM</w:t>
      </w:r>
      <w:r w:rsidR="00950A1F">
        <w:t xml:space="preserve"> compared to FFDM (Trento and Verona, Bernardi et al., 2019 and Caumo et al., 2018) and one compared FFDM+DBT to FFDM alone (Reggio Emilia RCT, Pattacini et al., 2018).</w:t>
      </w:r>
    </w:p>
    <w:p w14:paraId="291DB8BA" w14:textId="30118255" w:rsidR="00616A08" w:rsidRDefault="001B7348" w:rsidP="00A43F3E">
      <w:pPr>
        <w:pStyle w:val="BodyText"/>
      </w:pPr>
      <w:r w:rsidRPr="00A43F3E">
        <w:lastRenderedPageBreak/>
        <w:t>Bernardi et al. (2019) reported that DBT+</w:t>
      </w:r>
      <w:r w:rsidR="00176980">
        <w:t>s2DM</w:t>
      </w:r>
      <w:r w:rsidRPr="00A43F3E">
        <w:t xml:space="preserve"> </w:t>
      </w:r>
      <w:r w:rsidR="00616A08" w:rsidRPr="00A43F3E">
        <w:t>detected more stage 1 and stage 2 can</w:t>
      </w:r>
      <w:r w:rsidRPr="00A43F3E">
        <w:t>c</w:t>
      </w:r>
      <w:r w:rsidR="00616A08" w:rsidRPr="00A43F3E">
        <w:t>ers than FFDM alone (</w:t>
      </w:r>
      <w:r w:rsidRPr="00A43F3E">
        <w:t xml:space="preserve">grade 1 cancers </w:t>
      </w:r>
      <w:r w:rsidR="00616A08" w:rsidRPr="00A43F3E">
        <w:t>RR</w:t>
      </w:r>
      <w:r w:rsidR="00285D7E">
        <w:t>=</w:t>
      </w:r>
      <w:r w:rsidR="00616A08" w:rsidRPr="00A43F3E">
        <w:t>1.72</w:t>
      </w:r>
      <w:r w:rsidRPr="00A43F3E">
        <w:t>; 95%CI</w:t>
      </w:r>
      <w:r w:rsidR="004F6A90">
        <w:t>:</w:t>
      </w:r>
      <w:r w:rsidRPr="00A43F3E">
        <w:t xml:space="preserve"> </w:t>
      </w:r>
      <w:r w:rsidR="00616A08" w:rsidRPr="00A43F3E">
        <w:t>1.38</w:t>
      </w:r>
      <w:r w:rsidR="004F6A90">
        <w:t xml:space="preserve">, </w:t>
      </w:r>
      <w:r w:rsidR="00616A08" w:rsidRPr="00A43F3E">
        <w:t>2.13</w:t>
      </w:r>
      <w:r w:rsidRPr="00A43F3E">
        <w:t xml:space="preserve">; grade 2 cancers </w:t>
      </w:r>
      <w:r w:rsidR="00616A08" w:rsidRPr="00A43F3E">
        <w:t>RR</w:t>
      </w:r>
      <w:r w:rsidR="00285D7E">
        <w:t>=</w:t>
      </w:r>
      <w:r w:rsidR="00616A08" w:rsidRPr="00A43F3E">
        <w:t>1.47</w:t>
      </w:r>
      <w:r w:rsidRPr="00A43F3E">
        <w:t>;</w:t>
      </w:r>
      <w:r w:rsidR="00616A08" w:rsidRPr="00A43F3E">
        <w:t xml:space="preserve"> </w:t>
      </w:r>
      <w:r w:rsidRPr="00A43F3E">
        <w:t xml:space="preserve">95%CI: </w:t>
      </w:r>
      <w:r w:rsidR="00616A08" w:rsidRPr="00A43F3E">
        <w:t>1.04</w:t>
      </w:r>
      <w:r w:rsidR="004F6A90">
        <w:t xml:space="preserve">, </w:t>
      </w:r>
      <w:r w:rsidR="00616A08" w:rsidRPr="00A43F3E">
        <w:t>2</w:t>
      </w:r>
      <w:r w:rsidR="004F6A90">
        <w:t>.</w:t>
      </w:r>
      <w:r w:rsidR="00616A08" w:rsidRPr="00A43F3E">
        <w:t xml:space="preserve">08). </w:t>
      </w:r>
      <w:r w:rsidR="00A43F3E" w:rsidRPr="00A43F3E">
        <w:t>The authors concluded that use of DBT resulted in increased detection for all stages of cancer except for DCIS (see previous section) and thought that staging evidence suggested that DBT does not contribute to overdiagnosis. Likewise, data from the Verona trial reported that less stage 0 (12.3</w:t>
      </w:r>
      <w:r w:rsidR="0075618D">
        <w:t xml:space="preserve"> percent</w:t>
      </w:r>
      <w:r w:rsidR="00A43F3E" w:rsidRPr="00A43F3E">
        <w:t xml:space="preserve"> of cancers detected with DBT+</w:t>
      </w:r>
      <w:r w:rsidR="00176980">
        <w:t>s2DM</w:t>
      </w:r>
      <w:r w:rsidR="00A43F3E" w:rsidRPr="00A43F3E">
        <w:t xml:space="preserve"> compared to 23.1</w:t>
      </w:r>
      <w:r w:rsidR="0075618D">
        <w:t xml:space="preserve"> percent</w:t>
      </w:r>
      <w:r w:rsidR="00A43F3E" w:rsidRPr="00A43F3E">
        <w:t xml:space="preserve"> detected with FFDM alone in previous screening rounds) and more stage 1a tumours were detected with DBT+</w:t>
      </w:r>
      <w:r w:rsidR="00176980">
        <w:t>s2DM</w:t>
      </w:r>
      <w:r w:rsidR="00A43F3E" w:rsidRPr="00A43F3E">
        <w:t xml:space="preserve"> (63</w:t>
      </w:r>
      <w:r w:rsidR="0075618D">
        <w:t xml:space="preserve"> percent</w:t>
      </w:r>
      <w:r w:rsidR="00A43F3E" w:rsidRPr="00A43F3E">
        <w:t xml:space="preserve"> compared to 50</w:t>
      </w:r>
      <w:r w:rsidR="0075618D">
        <w:t xml:space="preserve"> percent</w:t>
      </w:r>
      <w:r w:rsidR="00A43F3E" w:rsidRPr="00A43F3E">
        <w:t>), stage 1b (</w:t>
      </w:r>
      <w:r w:rsidR="00616A08" w:rsidRPr="00A43F3E">
        <w:t>9.7</w:t>
      </w:r>
      <w:r w:rsidR="0075618D">
        <w:t xml:space="preserve"> percent</w:t>
      </w:r>
      <w:r w:rsidR="00A43F3E" w:rsidRPr="00A43F3E">
        <w:t xml:space="preserve"> compared to </w:t>
      </w:r>
      <w:r w:rsidR="00616A08" w:rsidRPr="00A43F3E">
        <w:t>2.6</w:t>
      </w:r>
      <w:r w:rsidR="0075618D">
        <w:t xml:space="preserve"> percent</w:t>
      </w:r>
      <w:r w:rsidR="00A43F3E" w:rsidRPr="00A43F3E">
        <w:t>); however, none of these results reached statistical significance but the authors concluded that more invasive cancers of clinical interest were detected at an earlier stage and that DBT may confer a mortality benefit.</w:t>
      </w:r>
    </w:p>
    <w:p w14:paraId="7339EF6D" w14:textId="4AA51FED" w:rsidR="00DF724F" w:rsidRPr="00DF724F" w:rsidRDefault="00DF724F" w:rsidP="00E472B8">
      <w:pPr>
        <w:pStyle w:val="BodyText"/>
      </w:pPr>
      <w:r w:rsidRPr="00DF724F">
        <w:t>For FFDM+DBT, Pattacini et al. (2018) reported on cancer grade, reporting that DCIS and more stage I cancers were detected in the DBT arm  (2.80; 95%CI</w:t>
      </w:r>
      <w:r w:rsidR="004F6A90">
        <w:t>:</w:t>
      </w:r>
      <w:r w:rsidRPr="00DF724F">
        <w:t xml:space="preserve"> 1.01</w:t>
      </w:r>
      <w:r w:rsidR="004F6A90">
        <w:t xml:space="preserve">, </w:t>
      </w:r>
      <w:r w:rsidRPr="00DF724F">
        <w:t>7.65  and RR</w:t>
      </w:r>
      <w:r w:rsidR="00285D7E">
        <w:t>=</w:t>
      </w:r>
      <w:r w:rsidRPr="00DF724F">
        <w:t>1.89; 95%CI: 1.20</w:t>
      </w:r>
      <w:r w:rsidR="004F6A90">
        <w:t xml:space="preserve">, </w:t>
      </w:r>
      <w:r w:rsidRPr="00DF724F">
        <w:t>2.99 respectively) but no difference was reported for Grade II and above. The wide confidence intervals in the RR calculation are likely to reflect the small number of cancers detected in this study.</w:t>
      </w:r>
    </w:p>
    <w:p w14:paraId="59C931D9" w14:textId="77777777" w:rsidR="00E472B8" w:rsidRDefault="00E472B8" w:rsidP="00783E1A">
      <w:pPr>
        <w:pStyle w:val="NumberedHeading3"/>
      </w:pPr>
      <w:bookmarkStart w:id="298" w:name="_Toc43376310"/>
      <w:r>
        <w:t>Histological grade (invasive cancers only)</w:t>
      </w:r>
      <w:bookmarkEnd w:id="298"/>
    </w:p>
    <w:p w14:paraId="56E49577" w14:textId="06350E06" w:rsidR="006A4BF1" w:rsidRPr="0056259D" w:rsidRDefault="006A4BF1" w:rsidP="006A4BF1">
      <w:pPr>
        <w:pStyle w:val="BodyText"/>
      </w:pPr>
      <w:r>
        <w:t>Breast cancer grading is conducted histologically after a successful biopsy is completed and depends on how the tumour cells differ from healthy cells. Grade 1 breast cancer cells look small and uniform like healthy cells and are usually slow growing. Grade 3 breast cancer cells appear abnormal, usually due to a much faster rate of growth.</w:t>
      </w:r>
      <w:r w:rsidR="0056259D">
        <w:t xml:space="preserve"> </w:t>
      </w:r>
      <w:r w:rsidR="0056259D">
        <w:rPr>
          <w:i/>
          <w:iCs/>
        </w:rPr>
        <w:t xml:space="preserve">Table </w:t>
      </w:r>
      <w:r w:rsidR="0075618D" w:rsidRPr="0075618D">
        <w:rPr>
          <w:i/>
          <w:iCs/>
        </w:rPr>
        <w:t>12</w:t>
      </w:r>
      <w:r w:rsidR="0056259D">
        <w:t xml:space="preserve"> includes results from all studies.</w:t>
      </w:r>
    </w:p>
    <w:p w14:paraId="3EFBF98A" w14:textId="66D013D8" w:rsidR="0056259D" w:rsidRDefault="0056259D" w:rsidP="0056259D">
      <w:pPr>
        <w:pStyle w:val="Heading3"/>
      </w:pPr>
      <w:bookmarkStart w:id="299" w:name="_Toc27477603"/>
      <w:bookmarkStart w:id="300" w:name="_Toc27665736"/>
      <w:bookmarkStart w:id="301" w:name="_Toc27844515"/>
      <w:bookmarkStart w:id="302" w:name="_Toc27859645"/>
      <w:bookmarkStart w:id="303" w:name="_Toc27904760"/>
      <w:bookmarkStart w:id="304" w:name="_Toc43376311"/>
      <w:r>
        <w:t>DBT+</w:t>
      </w:r>
      <w:r w:rsidR="00176980">
        <w:t>s2DM</w:t>
      </w:r>
      <w:r>
        <w:t xml:space="preserve"> compared to FFDM alone</w:t>
      </w:r>
      <w:bookmarkEnd w:id="299"/>
      <w:bookmarkEnd w:id="300"/>
      <w:bookmarkEnd w:id="301"/>
      <w:bookmarkEnd w:id="302"/>
      <w:bookmarkEnd w:id="303"/>
      <w:bookmarkEnd w:id="304"/>
    </w:p>
    <w:p w14:paraId="6DFA0341" w14:textId="5AE41306" w:rsidR="0056259D" w:rsidRPr="0056259D" w:rsidRDefault="0056259D" w:rsidP="0056259D">
      <w:pPr>
        <w:pStyle w:val="BodyText-GREEN"/>
        <w:rPr>
          <w:b/>
          <w:bCs/>
        </w:rPr>
      </w:pPr>
      <w:r w:rsidRPr="0056259D">
        <w:rPr>
          <w:b/>
          <w:bCs/>
        </w:rPr>
        <w:t>RCT</w:t>
      </w:r>
    </w:p>
    <w:p w14:paraId="144FBCA0" w14:textId="379415D7" w:rsidR="0056259D" w:rsidRPr="0056259D" w:rsidRDefault="0056259D" w:rsidP="0056259D">
      <w:pPr>
        <w:pStyle w:val="BodyText"/>
      </w:pPr>
      <w:r>
        <w:t xml:space="preserve">Results from the </w:t>
      </w:r>
      <w:r w:rsidR="00815FC2">
        <w:t>To-Be-1</w:t>
      </w:r>
      <w:r>
        <w:t xml:space="preserve"> RCT (Hofvind et al., 2019) reported that use of DBT+</w:t>
      </w:r>
      <w:r w:rsidR="00176980">
        <w:t>s2DM</w:t>
      </w:r>
      <w:r>
        <w:t xml:space="preserve"> did not clearly indicate whether DBT+</w:t>
      </w:r>
      <w:r w:rsidR="00176980">
        <w:t>s2DM</w:t>
      </w:r>
      <w:r>
        <w:t xml:space="preserve"> detected more Grade 1 cancers compared to those detected with FFDM alone.</w:t>
      </w:r>
    </w:p>
    <w:p w14:paraId="29EEC541" w14:textId="77777777" w:rsidR="0056259D" w:rsidRPr="004F0D75" w:rsidRDefault="0056259D" w:rsidP="0056259D">
      <w:pPr>
        <w:pStyle w:val="BodyText-GREEN"/>
        <w:rPr>
          <w:b/>
          <w:bCs/>
        </w:rPr>
      </w:pPr>
      <w:r w:rsidRPr="004F0D75">
        <w:rPr>
          <w:b/>
          <w:bCs/>
        </w:rPr>
        <w:t>Prospective studies embedded in screening programs</w:t>
      </w:r>
    </w:p>
    <w:p w14:paraId="5629CE1F" w14:textId="0E43B6DD" w:rsidR="002E44F2" w:rsidRDefault="00E472B8" w:rsidP="00F15721">
      <w:pPr>
        <w:pStyle w:val="BodyText"/>
      </w:pPr>
      <w:r>
        <w:t xml:space="preserve">A number of prospective studies embedded in population-based screening programs reported results by </w:t>
      </w:r>
      <w:r w:rsidR="00CE5C4D">
        <w:t>histological g</w:t>
      </w:r>
      <w:r>
        <w:t>rade</w:t>
      </w:r>
      <w:r w:rsidR="00EF28C8">
        <w:t xml:space="preserve"> for DBT+</w:t>
      </w:r>
      <w:r w:rsidR="00176980">
        <w:t>s2DM</w:t>
      </w:r>
      <w:r w:rsidR="00EF28C8">
        <w:t xml:space="preserve"> compared to FFDM alone</w:t>
      </w:r>
      <w:r>
        <w:t xml:space="preserve">; however, reported results were inconsistent </w:t>
      </w:r>
      <w:r w:rsidR="00BF0195">
        <w:t xml:space="preserve">with those reported in the </w:t>
      </w:r>
      <w:r w:rsidR="00815FC2">
        <w:t>To-Be-1</w:t>
      </w:r>
      <w:r w:rsidR="00BF0195">
        <w:t xml:space="preserve"> RCT</w:t>
      </w:r>
      <w:r w:rsidRPr="00E472B8">
        <w:t>.</w:t>
      </w:r>
      <w:r w:rsidR="00086A8B">
        <w:t xml:space="preserve"> </w:t>
      </w:r>
      <w:r w:rsidR="00CF2A03">
        <w:t>O</w:t>
      </w:r>
      <w:r w:rsidR="00EF28C8">
        <w:t xml:space="preserve">ther </w:t>
      </w:r>
      <w:r w:rsidR="00BF0195">
        <w:t>studies</w:t>
      </w:r>
      <w:r w:rsidR="00CF2A03">
        <w:t xml:space="preserve"> (including results from the Maroondah, Trento</w:t>
      </w:r>
      <w:r w:rsidR="00887D98">
        <w:t>, Cordoba</w:t>
      </w:r>
      <w:r w:rsidR="00CF2A03">
        <w:t xml:space="preserve"> and Norway BreastScreen program studies) generally reported</w:t>
      </w:r>
      <w:r w:rsidR="00BF0195">
        <w:t xml:space="preserve"> an increase in detection of Grade 1 cancers with DBT</w:t>
      </w:r>
      <w:r w:rsidR="00887D98">
        <w:t>. Often, the increase in grade 1 cancers was about double with DBT+</w:t>
      </w:r>
      <w:r w:rsidR="00176980">
        <w:t>s2DM</w:t>
      </w:r>
      <w:r w:rsidR="00CF2A03">
        <w:t xml:space="preserve"> (see </w:t>
      </w:r>
      <w:r w:rsidR="00CF2A03">
        <w:rPr>
          <w:i/>
          <w:iCs/>
        </w:rPr>
        <w:t xml:space="preserve">Table </w:t>
      </w:r>
      <w:r w:rsidR="00C124D2">
        <w:rPr>
          <w:i/>
          <w:iCs/>
        </w:rPr>
        <w:t>12</w:t>
      </w:r>
      <w:r w:rsidR="00CF2A03">
        <w:t xml:space="preserve"> for further specific detail</w:t>
      </w:r>
      <w:r w:rsidR="00CF2A03" w:rsidRPr="00E472B8">
        <w:t>)</w:t>
      </w:r>
      <w:r w:rsidR="00BF0195">
        <w:t>. Authors cautioned about these results based on small numbers of cancers.</w:t>
      </w:r>
    </w:p>
    <w:p w14:paraId="3D1C9CBD" w14:textId="743E2211" w:rsidR="0056259D" w:rsidRDefault="0056259D" w:rsidP="0056259D">
      <w:pPr>
        <w:pStyle w:val="Heading3"/>
      </w:pPr>
      <w:bookmarkStart w:id="305" w:name="_Toc27477604"/>
      <w:bookmarkStart w:id="306" w:name="_Toc27665737"/>
      <w:bookmarkStart w:id="307" w:name="_Toc27844516"/>
      <w:bookmarkStart w:id="308" w:name="_Toc27859646"/>
      <w:bookmarkStart w:id="309" w:name="_Toc27904761"/>
      <w:bookmarkStart w:id="310" w:name="_Toc43376312"/>
      <w:r>
        <w:t>FFDM+DBT compared to FFDM alone</w:t>
      </w:r>
      <w:bookmarkEnd w:id="305"/>
      <w:bookmarkEnd w:id="306"/>
      <w:bookmarkEnd w:id="307"/>
      <w:bookmarkEnd w:id="308"/>
      <w:bookmarkEnd w:id="309"/>
      <w:bookmarkEnd w:id="310"/>
    </w:p>
    <w:p w14:paraId="48121618" w14:textId="78E67B7F" w:rsidR="0056259D" w:rsidRPr="004F0D75" w:rsidRDefault="0056259D" w:rsidP="0056259D">
      <w:pPr>
        <w:pStyle w:val="BodyText-GREEN"/>
        <w:rPr>
          <w:b/>
          <w:bCs/>
        </w:rPr>
      </w:pPr>
      <w:r w:rsidRPr="004F0D75">
        <w:rPr>
          <w:b/>
          <w:bCs/>
        </w:rPr>
        <w:t>Prospective studies embedded in screening programs</w:t>
      </w:r>
    </w:p>
    <w:p w14:paraId="641A7ABB" w14:textId="6E120F4B" w:rsidR="0056259D" w:rsidRDefault="00BF0195" w:rsidP="00F15721">
      <w:pPr>
        <w:pStyle w:val="BodyText"/>
      </w:pPr>
      <w:r>
        <w:t xml:space="preserve">When FFDM+DBT was compared to FFDM alone, </w:t>
      </w:r>
      <w:r w:rsidR="00E71863">
        <w:t xml:space="preserve">non-significant increases in the detection of Grade 1 cancers were reported (Pattacini et al., 2018) </w:t>
      </w:r>
      <w:r w:rsidR="004F6C8A">
        <w:t xml:space="preserve">and </w:t>
      </w:r>
      <w:r w:rsidR="00E71863">
        <w:t xml:space="preserve">no differences </w:t>
      </w:r>
      <w:r w:rsidR="004F6C8A">
        <w:t xml:space="preserve">by imaging protocol </w:t>
      </w:r>
      <w:r w:rsidR="00E71863">
        <w:t>were reported in the OTS data.</w:t>
      </w:r>
      <w:r w:rsidR="009A2462">
        <w:t xml:space="preserve"> </w:t>
      </w:r>
    </w:p>
    <w:p w14:paraId="66E33E22" w14:textId="36F807F5" w:rsidR="0056259D" w:rsidRDefault="0056259D" w:rsidP="0056259D">
      <w:pPr>
        <w:pStyle w:val="Heading3"/>
      </w:pPr>
      <w:bookmarkStart w:id="311" w:name="_Toc27477605"/>
      <w:bookmarkStart w:id="312" w:name="_Toc27665738"/>
      <w:bookmarkStart w:id="313" w:name="_Toc27844517"/>
      <w:bookmarkStart w:id="314" w:name="_Toc27859647"/>
      <w:bookmarkStart w:id="315" w:name="_Toc27904762"/>
      <w:bookmarkStart w:id="316" w:name="_Toc43376313"/>
      <w:r>
        <w:lastRenderedPageBreak/>
        <w:t>DBT</w:t>
      </w:r>
      <w:r>
        <w:rPr>
          <w:vertAlign w:val="subscript"/>
        </w:rPr>
        <w:t>MLO</w:t>
      </w:r>
      <w:r>
        <w:t xml:space="preserve"> compared to FFDM alone</w:t>
      </w:r>
      <w:bookmarkEnd w:id="311"/>
      <w:bookmarkEnd w:id="312"/>
      <w:bookmarkEnd w:id="313"/>
      <w:bookmarkEnd w:id="314"/>
      <w:bookmarkEnd w:id="315"/>
      <w:bookmarkEnd w:id="316"/>
    </w:p>
    <w:p w14:paraId="36D39543" w14:textId="77777777" w:rsidR="0056259D" w:rsidRPr="004F0D75" w:rsidRDefault="0056259D" w:rsidP="0056259D">
      <w:pPr>
        <w:pStyle w:val="BodyText-GREEN"/>
        <w:rPr>
          <w:b/>
          <w:bCs/>
        </w:rPr>
      </w:pPr>
      <w:r w:rsidRPr="004F0D75">
        <w:rPr>
          <w:b/>
          <w:bCs/>
        </w:rPr>
        <w:t>Prospective studies embedded in screening programs</w:t>
      </w:r>
    </w:p>
    <w:p w14:paraId="35893765" w14:textId="574315F5" w:rsidR="006A4BF1" w:rsidRDefault="0056259D" w:rsidP="00F15721">
      <w:pPr>
        <w:pStyle w:val="BodyText"/>
      </w:pPr>
      <w:r>
        <w:t>N</w:t>
      </w:r>
      <w:r w:rsidR="009A2462">
        <w:t>o difference in cancer grade was detected in the Malmö trial (Zackrisson et al., 2018).</w:t>
      </w:r>
    </w:p>
    <w:p w14:paraId="65BDF4E1" w14:textId="3C67A41E" w:rsidR="00F812A0" w:rsidRDefault="00F812A0" w:rsidP="00F812A0">
      <w:pPr>
        <w:pStyle w:val="Caption"/>
      </w:pPr>
      <w:r>
        <w:t xml:space="preserve">Table </w:t>
      </w:r>
      <w:r w:rsidR="00C124D2">
        <w:t>12</w:t>
      </w:r>
      <w:r>
        <w:t>: Histological grade</w:t>
      </w:r>
      <w:r w:rsidR="006B27CE" w:rsidRPr="006B27CE">
        <w:t xml:space="preserve"> </w:t>
      </w:r>
      <w:r w:rsidR="006B27CE">
        <w:t>for a range of imaging protocols</w:t>
      </w:r>
    </w:p>
    <w:tbl>
      <w:tblPr>
        <w:tblStyle w:val="ACGreen-BasicTable"/>
        <w:tblW w:w="0" w:type="auto"/>
        <w:tblLook w:val="04A0" w:firstRow="1" w:lastRow="0" w:firstColumn="1" w:lastColumn="0" w:noHBand="0" w:noVBand="1"/>
        <w:tblDescription w:val="Table 12 is the Histological grade for a range of imaging protocols - &#10;DBT+s2DM compared to FFDM alone. &#10;RCT included a study by Hofvind et al. (2019), To-Be-1 RCT, (main analysis). For DBT+s2DM - Grade 1: 28.9% (19.1, 40.5), Grade 2: 50% (38.3, 61.7), Grade 3: 21.1% (12.5, 31.9), No data: 5%.&#10;For DBTMLO it was NA.&#10;For FFDM+DBT it was NA.&#10;For FFDM alone it was Grade 1:34.8% (23.7, 47.2), Grade 2: 50.7% (38.4, 63), Grade 3: 14.5% (7.2, 52), No data: 2.8%.&#10;&#10;Prospective studies embedded in population-based screening included the following studies:&#10;A study by Bernardi et al. (2019), Trento, 205 cancers.&#10;For DBT+s2DM it was Grade 1: 29.43%, Grade 2: 51.12%, Grade 3: 19.45%.&#10;For DBTMLO it was NA.&#10;For FFDM+DBT it was NA.&#10;For FFDM alone it was Grade 1: 23.41%, Grade 2: 57.08%, Grade 3: 19.51%.&#10;&#10;A study by Houssami et al. (2019), Maroondah; &#10;For DBT+s2DM it was Grade 1: 45%, Grade 2: 48%, Grade 3: 8%.&#10;For DBTMLO it was NA.&#10;For FFDM+DBT it was NA.&#10;For FFDM alone it was Grade 1: 20%, Grade 2: 53%, Grade 3: 27%.&#10;&#10;A study by Hofvind et al. (2018), Cancers per 1000;&#10;For DBT+s2DM it was - Grade 1: 3.3 per 1000, Grade 2: 3.5 per 1000, Grade 3: 0.8 per 1000, No data: 2 cancers.&#10;For DBTMLO it was NA.&#10;For FFDB+DBT it was NA.&#10;For FFDM alone it was Grade 1: 1.4 per 1000 (p&lt;.001), Grade 2: 3.0 per 1000 (p=.233), Grade 3: 0.9 per 1000 (p=.376), No data: one cancer.&#10;&#10;A study by Romero Martin et al. (2018), Cordoba;&#10;For DBT+s2DM - For IDC the following were:&#10;Grade 1: 33 cancers, Grade 2: 24 cancers, Grade 3: 10 cancers.&#10;For ILC, the following were:&#10;Grade 1: 2 cancers, Grade 2: 2 cancers, DCIS: no difference in grade for in situ cancers.&#10;For DBTMLO it was NA.&#10;For FFDM+DBT it was NA.&#10;For FFDM alone, for IDC the following were:&#10;Grade 1: 23 cancers (p=.001), Grade 2: 23 cancers (p=.552), Grade 3: 9 cancers.&#10;For ILC the following were:&#10;Grade 1: 2 cancers, Grade 2: 0 cancers.&#10;&#10;For Retrospective analysis a study by Hovda et al. (2019), Norway BSP included: &#10;For DBT+s2DM it was Grade 1: 3.17 per 1000, Grade 2:  3.74 per 1000, Grade 3: 1.28 per 1000.&#10;For DBTMLO it was NA.&#10;For FFDM+DBT it was NA.&#10;For FFDM alone it was Grade 1: 0.95 per 1000 (p=.001), Grade 2: 1.24 per 1000 (p=.001), Grade 3: 1.52 per 1000.&#10;&#10;FFDM+DBT comparted to FFDM alone for RCT a study by Pattacini et al. (2018) Reggio Emilia included:&#10;For DBT+s2DM it was NA.&#10;For DBTMLO it was NA.&#10;For FFDM+DBT it was: Grade 1: 12 cancers, Grade 2: 61 cancers, Grade 3: 8 cancers, No data: 2 cancers.&#10;For FFDM alone it was: Grade 1: 4 cancers Grade 1: 4 cancers (RR3.00; 0.97, 9.3), Grade 2: 30 cancers (RR=2.03, 1.32, 3.15), Grade 3: 9 cancers (RR=0.89 0.34, 2.30), No data: 1 cancer.&#10;&#10;For prospective studies embedded in population-based screening a study by Skaane et al. (2018) OTS included: &#10;For DBT+s2DM it was NA.&#10;For DBTMLO it was NA.&#10;For FFDM+DBT it was Grade1: 35.4%, Grade 2: 46.0%, Grade 3: 18.5%, No data: 2 cancers.&#10;For FFDM alone it was Grade 1: 35.8%, Grade 2: 45.9%, Grade 3: 18.0%,&#10;No data: NA.&#10;&#10;For retrospective studies included a study by Bahl et al. (2019) included:&#10;For DBT+s2DM it was NA.&#10;For DBTMLO it was NA.&#10;For FFDM+DBT it was invasive cancers: Grade 1:20%, Grade 2: 55.6%, Grade 3: 22.9%, No data: 2 cancers.&#10;For FFDM alone Invasive cancers: invasive cancers&#10;Grade 1: 19.1% (p=.93), Grade 2: 52.2%, Grade 3: 23.6%, No data: NA.&#10;&#10;A study by Dan et al. (2019) included:&#10;For DBT+s2DM it was NA.&#10;For DBTMLO it was NA.&#10;For FFDM+DBT it was Grade 1: 37%, Grade2/3: 63%.&#10;For FFDM alone: Grade 1: 28%, Grade 2/3: 72% (p=52).&#10;&#10;DBTMLO compared to FFDM alone for prospective studies embedded in population-based screening included the following studies:&#10;A study by Johnson et al. (2019) Malmö included:&#10;For DBT+s2DM it was NA.&#10;For DBTMLO it was Grade 1: 41%, Grade 2: 46%, Grade 3: 11%, No data: 3%.&#10;For FFDM+DBT it was Grade 1: 40%, Grade 2: 43%, Grade 3: 16%, No data: 1%.&#10;For FFDM alone it was NA.&#10;&#10;A study by Zackrisson et al. (2018) Malmö included:&#10;For DBT+s2DM it was NA.&#10;For DBT MLO it was Grade 1: 40%, Grade 2: 46%. Grade 3: 15%, No data: 3%.&#10;For FFDM+DBt it was Grade 1: 40%, Grade 2: 43%, Grade 3: 16%, No data 1%.&#10;No FFDM alone it was NA"/>
      </w:tblPr>
      <w:tblGrid>
        <w:gridCol w:w="1838"/>
        <w:gridCol w:w="2126"/>
        <w:gridCol w:w="1485"/>
        <w:gridCol w:w="1634"/>
        <w:gridCol w:w="1978"/>
      </w:tblGrid>
      <w:tr w:rsidR="00F812A0" w:rsidRPr="006E02AA" w14:paraId="02670F41" w14:textId="77777777" w:rsidTr="006C6354">
        <w:trPr>
          <w:cnfStyle w:val="100000000000" w:firstRow="1" w:lastRow="0" w:firstColumn="0" w:lastColumn="0" w:oddVBand="0" w:evenVBand="0" w:oddHBand="0" w:evenHBand="0" w:firstRowFirstColumn="0" w:firstRowLastColumn="0" w:lastRowFirstColumn="0" w:lastRowLastColumn="0"/>
        </w:trPr>
        <w:tc>
          <w:tcPr>
            <w:tcW w:w="1838" w:type="dxa"/>
          </w:tcPr>
          <w:p w14:paraId="43685593" w14:textId="77777777" w:rsidR="00F812A0" w:rsidRPr="006E02AA" w:rsidRDefault="00F812A0" w:rsidP="006E02AA">
            <w:pPr>
              <w:pStyle w:val="BodyText"/>
              <w:spacing w:before="0" w:after="0" w:line="240" w:lineRule="auto"/>
              <w:jc w:val="center"/>
              <w:rPr>
                <w:sz w:val="18"/>
                <w:szCs w:val="18"/>
              </w:rPr>
            </w:pPr>
            <w:r w:rsidRPr="006E02AA">
              <w:rPr>
                <w:sz w:val="18"/>
                <w:szCs w:val="18"/>
              </w:rPr>
              <w:t>Study</w:t>
            </w:r>
          </w:p>
        </w:tc>
        <w:tc>
          <w:tcPr>
            <w:tcW w:w="2126" w:type="dxa"/>
          </w:tcPr>
          <w:p w14:paraId="00CB4D9C" w14:textId="44EC4007" w:rsidR="00F812A0" w:rsidRPr="006E02AA" w:rsidRDefault="00F812A0" w:rsidP="006E02AA">
            <w:pPr>
              <w:pStyle w:val="BodyText"/>
              <w:spacing w:before="0" w:after="0" w:line="240" w:lineRule="auto"/>
              <w:jc w:val="center"/>
              <w:rPr>
                <w:b w:val="0"/>
                <w:sz w:val="18"/>
                <w:szCs w:val="18"/>
              </w:rPr>
            </w:pPr>
            <w:r w:rsidRPr="006E02AA">
              <w:rPr>
                <w:sz w:val="18"/>
                <w:szCs w:val="18"/>
              </w:rPr>
              <w:t>DBT+</w:t>
            </w:r>
            <w:r w:rsidR="00176980">
              <w:rPr>
                <w:sz w:val="18"/>
                <w:szCs w:val="18"/>
              </w:rPr>
              <w:t>s2DM</w:t>
            </w:r>
          </w:p>
        </w:tc>
        <w:tc>
          <w:tcPr>
            <w:tcW w:w="1485" w:type="dxa"/>
          </w:tcPr>
          <w:p w14:paraId="7959C21C" w14:textId="554CB363" w:rsidR="00F812A0" w:rsidRPr="006E02AA" w:rsidRDefault="00F812A0" w:rsidP="006E02AA">
            <w:pPr>
              <w:pStyle w:val="BodyText"/>
              <w:spacing w:before="0" w:after="0" w:line="240" w:lineRule="auto"/>
              <w:jc w:val="center"/>
              <w:rPr>
                <w:b w:val="0"/>
                <w:sz w:val="18"/>
                <w:szCs w:val="18"/>
                <w:vertAlign w:val="subscript"/>
              </w:rPr>
            </w:pPr>
            <w:r w:rsidRPr="006E02AA">
              <w:rPr>
                <w:sz w:val="18"/>
                <w:szCs w:val="18"/>
              </w:rPr>
              <w:t>DBT</w:t>
            </w:r>
            <w:r w:rsidRPr="006E02AA">
              <w:rPr>
                <w:sz w:val="18"/>
                <w:szCs w:val="18"/>
                <w:vertAlign w:val="subscript"/>
              </w:rPr>
              <w:t>MLO</w:t>
            </w:r>
          </w:p>
        </w:tc>
        <w:tc>
          <w:tcPr>
            <w:tcW w:w="1634" w:type="dxa"/>
          </w:tcPr>
          <w:p w14:paraId="44E03E86" w14:textId="54EDE8E2" w:rsidR="00F812A0" w:rsidRPr="006E02AA" w:rsidRDefault="00F812A0" w:rsidP="006E02AA">
            <w:pPr>
              <w:pStyle w:val="BodyText"/>
              <w:spacing w:before="0" w:after="0" w:line="240" w:lineRule="auto"/>
              <w:jc w:val="center"/>
              <w:rPr>
                <w:b w:val="0"/>
                <w:sz w:val="18"/>
                <w:szCs w:val="18"/>
              </w:rPr>
            </w:pPr>
            <w:r w:rsidRPr="006E02AA">
              <w:rPr>
                <w:sz w:val="18"/>
                <w:szCs w:val="18"/>
              </w:rPr>
              <w:t>FFDM+DBT</w:t>
            </w:r>
          </w:p>
        </w:tc>
        <w:tc>
          <w:tcPr>
            <w:tcW w:w="1978" w:type="dxa"/>
          </w:tcPr>
          <w:p w14:paraId="3CF4477B" w14:textId="460BFF44" w:rsidR="00F812A0" w:rsidRPr="006E02AA" w:rsidRDefault="00F812A0" w:rsidP="006E02AA">
            <w:pPr>
              <w:pStyle w:val="BodyText"/>
              <w:spacing w:before="0" w:after="0" w:line="240" w:lineRule="auto"/>
              <w:jc w:val="center"/>
              <w:rPr>
                <w:b w:val="0"/>
                <w:sz w:val="18"/>
                <w:szCs w:val="18"/>
              </w:rPr>
            </w:pPr>
            <w:r w:rsidRPr="006E02AA">
              <w:rPr>
                <w:sz w:val="18"/>
                <w:szCs w:val="18"/>
              </w:rPr>
              <w:t>FFDM alone</w:t>
            </w:r>
          </w:p>
        </w:tc>
      </w:tr>
      <w:tr w:rsidR="001740DE" w:rsidRPr="006E02AA" w14:paraId="79FBC7D0" w14:textId="77777777" w:rsidTr="001740DE">
        <w:tc>
          <w:tcPr>
            <w:tcW w:w="9061" w:type="dxa"/>
            <w:gridSpan w:val="5"/>
            <w:shd w:val="clear" w:color="auto" w:fill="E7FFBD" w:themeFill="background2" w:themeFillTint="33"/>
          </w:tcPr>
          <w:p w14:paraId="39E3FA08" w14:textId="4524B0A4" w:rsidR="001740DE" w:rsidRPr="006E02AA" w:rsidRDefault="001740DE" w:rsidP="006C6354">
            <w:pPr>
              <w:pStyle w:val="BodyText"/>
              <w:spacing w:before="0" w:after="0" w:line="240" w:lineRule="auto"/>
              <w:jc w:val="center"/>
              <w:rPr>
                <w:sz w:val="18"/>
                <w:szCs w:val="18"/>
              </w:rPr>
            </w:pPr>
            <w:r w:rsidRPr="006E02AA">
              <w:rPr>
                <w:sz w:val="18"/>
                <w:szCs w:val="18"/>
              </w:rPr>
              <w:t>DBT+</w:t>
            </w:r>
            <w:r w:rsidR="00176980">
              <w:rPr>
                <w:sz w:val="18"/>
                <w:szCs w:val="18"/>
              </w:rPr>
              <w:t>s2DM</w:t>
            </w:r>
            <w:r w:rsidRPr="006E02AA">
              <w:rPr>
                <w:sz w:val="18"/>
                <w:szCs w:val="18"/>
              </w:rPr>
              <w:t xml:space="preserve"> compared to FFDM alone</w:t>
            </w:r>
          </w:p>
        </w:tc>
      </w:tr>
      <w:tr w:rsidR="006C6354" w:rsidRPr="006E02AA" w14:paraId="1A90F6E3" w14:textId="77777777" w:rsidTr="006C6354">
        <w:tc>
          <w:tcPr>
            <w:tcW w:w="9061" w:type="dxa"/>
            <w:gridSpan w:val="5"/>
          </w:tcPr>
          <w:p w14:paraId="2110BF8B" w14:textId="70B416A7" w:rsidR="006C6354" w:rsidRPr="006E02AA" w:rsidRDefault="006C6354" w:rsidP="006C6354">
            <w:pPr>
              <w:pStyle w:val="BodyText"/>
              <w:spacing w:before="0" w:after="0" w:line="240" w:lineRule="auto"/>
              <w:rPr>
                <w:b/>
                <w:bCs/>
                <w:sz w:val="18"/>
                <w:szCs w:val="18"/>
              </w:rPr>
            </w:pPr>
            <w:r w:rsidRPr="006E02AA">
              <w:rPr>
                <w:b/>
                <w:bCs/>
                <w:sz w:val="18"/>
                <w:szCs w:val="18"/>
              </w:rPr>
              <w:t>RCT</w:t>
            </w:r>
          </w:p>
        </w:tc>
      </w:tr>
      <w:tr w:rsidR="006C6354" w:rsidRPr="006E02AA" w14:paraId="1AEAFA11" w14:textId="77777777" w:rsidTr="006C6354">
        <w:tc>
          <w:tcPr>
            <w:tcW w:w="1838" w:type="dxa"/>
          </w:tcPr>
          <w:p w14:paraId="64A3017A" w14:textId="77777777" w:rsidR="006C6354" w:rsidRPr="006E02AA" w:rsidRDefault="006C6354" w:rsidP="006C6354">
            <w:pPr>
              <w:pStyle w:val="BodyText"/>
              <w:spacing w:before="0" w:after="0" w:line="240" w:lineRule="auto"/>
              <w:jc w:val="left"/>
              <w:rPr>
                <w:sz w:val="18"/>
                <w:szCs w:val="18"/>
              </w:rPr>
            </w:pPr>
            <w:r w:rsidRPr="006E02AA">
              <w:rPr>
                <w:sz w:val="18"/>
                <w:szCs w:val="18"/>
              </w:rPr>
              <w:t>Hofvind et al. (2019)</w:t>
            </w:r>
          </w:p>
          <w:p w14:paraId="2E0694A6" w14:textId="0938C128" w:rsidR="006C6354" w:rsidRPr="006E02AA" w:rsidRDefault="00815FC2" w:rsidP="006C6354">
            <w:pPr>
              <w:pStyle w:val="BodyText"/>
              <w:spacing w:before="0" w:after="0" w:line="240" w:lineRule="auto"/>
              <w:jc w:val="left"/>
              <w:rPr>
                <w:sz w:val="18"/>
                <w:szCs w:val="18"/>
              </w:rPr>
            </w:pPr>
            <w:r w:rsidRPr="006E02AA">
              <w:rPr>
                <w:sz w:val="18"/>
                <w:szCs w:val="18"/>
              </w:rPr>
              <w:t>To-Be-1</w:t>
            </w:r>
            <w:r w:rsidR="00B028EF" w:rsidRPr="006E02AA">
              <w:rPr>
                <w:sz w:val="18"/>
                <w:szCs w:val="18"/>
              </w:rPr>
              <w:t xml:space="preserve"> RCT</w:t>
            </w:r>
          </w:p>
          <w:p w14:paraId="5FE058E6" w14:textId="14CA3D6B" w:rsidR="00D63FAC" w:rsidRPr="006E02AA" w:rsidRDefault="000C5381" w:rsidP="006C6354">
            <w:pPr>
              <w:pStyle w:val="BodyText"/>
              <w:spacing w:before="0" w:after="0" w:line="240" w:lineRule="auto"/>
              <w:jc w:val="left"/>
              <w:rPr>
                <w:sz w:val="18"/>
                <w:szCs w:val="18"/>
              </w:rPr>
            </w:pPr>
            <w:r>
              <w:rPr>
                <w:sz w:val="18"/>
                <w:szCs w:val="18"/>
              </w:rPr>
              <w:t>(main analysis)</w:t>
            </w:r>
          </w:p>
        </w:tc>
        <w:tc>
          <w:tcPr>
            <w:tcW w:w="2126" w:type="dxa"/>
          </w:tcPr>
          <w:p w14:paraId="58496C4A" w14:textId="58217885" w:rsidR="006C6354" w:rsidRPr="006E02AA" w:rsidRDefault="006C6354" w:rsidP="006C6354">
            <w:pPr>
              <w:pStyle w:val="BodyText"/>
              <w:spacing w:before="0" w:after="0" w:line="240" w:lineRule="auto"/>
              <w:jc w:val="left"/>
              <w:rPr>
                <w:sz w:val="18"/>
                <w:szCs w:val="18"/>
              </w:rPr>
            </w:pPr>
            <w:r w:rsidRPr="006E02AA">
              <w:rPr>
                <w:sz w:val="18"/>
                <w:szCs w:val="18"/>
              </w:rPr>
              <w:t>Grade 1: 28.9% (19.1</w:t>
            </w:r>
            <w:r w:rsidR="0075618D" w:rsidRPr="006E02AA">
              <w:rPr>
                <w:sz w:val="18"/>
                <w:szCs w:val="18"/>
              </w:rPr>
              <w:t xml:space="preserve">, </w:t>
            </w:r>
            <w:r w:rsidRPr="006E02AA">
              <w:rPr>
                <w:sz w:val="18"/>
                <w:szCs w:val="18"/>
              </w:rPr>
              <w:t>40.5)</w:t>
            </w:r>
          </w:p>
          <w:p w14:paraId="64DFAEC7" w14:textId="36C8CC27" w:rsidR="006C6354" w:rsidRPr="006E02AA" w:rsidRDefault="006C6354" w:rsidP="006C6354">
            <w:pPr>
              <w:pStyle w:val="BodyText"/>
              <w:spacing w:before="0" w:after="0" w:line="240" w:lineRule="auto"/>
              <w:jc w:val="left"/>
              <w:rPr>
                <w:sz w:val="18"/>
                <w:szCs w:val="18"/>
              </w:rPr>
            </w:pPr>
            <w:r w:rsidRPr="006E02AA">
              <w:rPr>
                <w:sz w:val="18"/>
                <w:szCs w:val="18"/>
              </w:rPr>
              <w:t>Grade 2: 50% (38.3</w:t>
            </w:r>
            <w:r w:rsidR="0075618D" w:rsidRPr="006E02AA">
              <w:rPr>
                <w:sz w:val="18"/>
                <w:szCs w:val="18"/>
              </w:rPr>
              <w:t xml:space="preserve">, </w:t>
            </w:r>
            <w:r w:rsidRPr="006E02AA">
              <w:rPr>
                <w:sz w:val="18"/>
                <w:szCs w:val="18"/>
              </w:rPr>
              <w:t>61.7)</w:t>
            </w:r>
          </w:p>
          <w:p w14:paraId="3D99B6E9" w14:textId="08E488C7" w:rsidR="006C6354" w:rsidRPr="006E02AA" w:rsidRDefault="006C6354" w:rsidP="006C6354">
            <w:pPr>
              <w:pStyle w:val="BodyText"/>
              <w:spacing w:before="0" w:after="0" w:line="240" w:lineRule="auto"/>
              <w:jc w:val="left"/>
              <w:rPr>
                <w:sz w:val="18"/>
                <w:szCs w:val="18"/>
              </w:rPr>
            </w:pPr>
            <w:r w:rsidRPr="006E02AA">
              <w:rPr>
                <w:sz w:val="18"/>
                <w:szCs w:val="18"/>
              </w:rPr>
              <w:t>Grade 3: 21.1% (</w:t>
            </w:r>
            <w:r w:rsidR="00A7377E" w:rsidRPr="006E02AA">
              <w:rPr>
                <w:sz w:val="18"/>
                <w:szCs w:val="18"/>
              </w:rPr>
              <w:t>12.5</w:t>
            </w:r>
            <w:r w:rsidR="0075618D" w:rsidRPr="006E02AA">
              <w:rPr>
                <w:sz w:val="18"/>
                <w:szCs w:val="18"/>
              </w:rPr>
              <w:t xml:space="preserve">, </w:t>
            </w:r>
            <w:r w:rsidR="00A7377E" w:rsidRPr="006E02AA">
              <w:rPr>
                <w:sz w:val="18"/>
                <w:szCs w:val="18"/>
              </w:rPr>
              <w:t>31.9)</w:t>
            </w:r>
          </w:p>
          <w:p w14:paraId="3CBF5250" w14:textId="48FA9198" w:rsidR="006C6354" w:rsidRPr="006E02AA" w:rsidRDefault="006C6354" w:rsidP="006C6354">
            <w:pPr>
              <w:pStyle w:val="BodyText"/>
              <w:spacing w:before="0" w:after="0" w:line="240" w:lineRule="auto"/>
              <w:jc w:val="left"/>
              <w:rPr>
                <w:sz w:val="18"/>
                <w:szCs w:val="18"/>
              </w:rPr>
            </w:pPr>
            <w:r w:rsidRPr="006E02AA">
              <w:rPr>
                <w:sz w:val="18"/>
                <w:szCs w:val="18"/>
              </w:rPr>
              <w:t>No data: 5%</w:t>
            </w:r>
          </w:p>
        </w:tc>
        <w:tc>
          <w:tcPr>
            <w:tcW w:w="1485" w:type="dxa"/>
          </w:tcPr>
          <w:p w14:paraId="12C589FA" w14:textId="2959F906" w:rsidR="006C6354" w:rsidRPr="006E02AA" w:rsidRDefault="00692A31" w:rsidP="00692A31">
            <w:pPr>
              <w:pStyle w:val="BodyText"/>
              <w:spacing w:before="0" w:after="0" w:line="240" w:lineRule="auto"/>
              <w:jc w:val="center"/>
              <w:rPr>
                <w:sz w:val="18"/>
                <w:szCs w:val="18"/>
              </w:rPr>
            </w:pPr>
            <w:r w:rsidRPr="006E02AA">
              <w:rPr>
                <w:sz w:val="18"/>
                <w:szCs w:val="18"/>
              </w:rPr>
              <w:t>NA</w:t>
            </w:r>
          </w:p>
        </w:tc>
        <w:tc>
          <w:tcPr>
            <w:tcW w:w="1634" w:type="dxa"/>
          </w:tcPr>
          <w:p w14:paraId="3F4AF72A" w14:textId="20F2F873" w:rsidR="006C6354" w:rsidRPr="006E02AA" w:rsidRDefault="00692A31" w:rsidP="00692A31">
            <w:pPr>
              <w:pStyle w:val="BodyText"/>
              <w:spacing w:before="0" w:after="0" w:line="240" w:lineRule="auto"/>
              <w:jc w:val="center"/>
              <w:rPr>
                <w:sz w:val="18"/>
                <w:szCs w:val="18"/>
              </w:rPr>
            </w:pPr>
            <w:r w:rsidRPr="006E02AA">
              <w:rPr>
                <w:sz w:val="18"/>
                <w:szCs w:val="18"/>
              </w:rPr>
              <w:t>NA</w:t>
            </w:r>
          </w:p>
        </w:tc>
        <w:tc>
          <w:tcPr>
            <w:tcW w:w="1978" w:type="dxa"/>
          </w:tcPr>
          <w:p w14:paraId="24E39F3F" w14:textId="49E95C23" w:rsidR="006C6354" w:rsidRPr="006E02AA" w:rsidRDefault="006C6354" w:rsidP="006C6354">
            <w:pPr>
              <w:pStyle w:val="BodyText"/>
              <w:spacing w:before="0" w:after="0" w:line="240" w:lineRule="auto"/>
              <w:jc w:val="left"/>
              <w:rPr>
                <w:sz w:val="18"/>
                <w:szCs w:val="18"/>
              </w:rPr>
            </w:pPr>
            <w:r w:rsidRPr="006E02AA">
              <w:rPr>
                <w:sz w:val="18"/>
                <w:szCs w:val="18"/>
              </w:rPr>
              <w:t>Grade 1:34.8% (23.7</w:t>
            </w:r>
            <w:r w:rsidR="0075618D" w:rsidRPr="006E02AA">
              <w:rPr>
                <w:sz w:val="18"/>
                <w:szCs w:val="18"/>
              </w:rPr>
              <w:t xml:space="preserve">, </w:t>
            </w:r>
            <w:r w:rsidRPr="006E02AA">
              <w:rPr>
                <w:sz w:val="18"/>
                <w:szCs w:val="18"/>
              </w:rPr>
              <w:t>47.2)</w:t>
            </w:r>
          </w:p>
          <w:p w14:paraId="4B6107CE" w14:textId="3E0BBC2E" w:rsidR="006C6354" w:rsidRPr="006E02AA" w:rsidRDefault="006C6354" w:rsidP="006C6354">
            <w:pPr>
              <w:pStyle w:val="BodyText"/>
              <w:spacing w:before="0" w:after="0" w:line="240" w:lineRule="auto"/>
              <w:jc w:val="left"/>
              <w:rPr>
                <w:sz w:val="18"/>
                <w:szCs w:val="18"/>
              </w:rPr>
            </w:pPr>
            <w:r w:rsidRPr="006E02AA">
              <w:rPr>
                <w:sz w:val="18"/>
                <w:szCs w:val="18"/>
              </w:rPr>
              <w:t>Grade 2: 50.7% (38.4</w:t>
            </w:r>
            <w:r w:rsidR="0075618D" w:rsidRPr="006E02AA">
              <w:rPr>
                <w:sz w:val="18"/>
                <w:szCs w:val="18"/>
              </w:rPr>
              <w:t xml:space="preserve">, </w:t>
            </w:r>
            <w:r w:rsidRPr="006E02AA">
              <w:rPr>
                <w:sz w:val="18"/>
                <w:szCs w:val="18"/>
              </w:rPr>
              <w:t>63)</w:t>
            </w:r>
          </w:p>
          <w:p w14:paraId="64755475" w14:textId="3C302E98" w:rsidR="006C6354" w:rsidRPr="006E02AA" w:rsidRDefault="006C6354" w:rsidP="006C6354">
            <w:pPr>
              <w:pStyle w:val="BodyText"/>
              <w:spacing w:before="0" w:after="0" w:line="240" w:lineRule="auto"/>
              <w:jc w:val="left"/>
              <w:rPr>
                <w:sz w:val="18"/>
                <w:szCs w:val="18"/>
              </w:rPr>
            </w:pPr>
            <w:r w:rsidRPr="006E02AA">
              <w:rPr>
                <w:sz w:val="18"/>
                <w:szCs w:val="18"/>
              </w:rPr>
              <w:t>Grade 3: 14.5% (7.2</w:t>
            </w:r>
            <w:r w:rsidR="0075618D" w:rsidRPr="006E02AA">
              <w:rPr>
                <w:sz w:val="18"/>
                <w:szCs w:val="18"/>
              </w:rPr>
              <w:t xml:space="preserve">, </w:t>
            </w:r>
            <w:r w:rsidRPr="006E02AA">
              <w:rPr>
                <w:sz w:val="18"/>
                <w:szCs w:val="18"/>
              </w:rPr>
              <w:t>52)</w:t>
            </w:r>
          </w:p>
          <w:p w14:paraId="39F8DAB4" w14:textId="67852089" w:rsidR="006C6354" w:rsidRPr="006E02AA" w:rsidRDefault="006C6354" w:rsidP="006C6354">
            <w:pPr>
              <w:pStyle w:val="BodyText"/>
              <w:spacing w:before="0" w:after="0" w:line="240" w:lineRule="auto"/>
              <w:jc w:val="left"/>
              <w:rPr>
                <w:sz w:val="18"/>
                <w:szCs w:val="18"/>
              </w:rPr>
            </w:pPr>
            <w:r w:rsidRPr="006E02AA">
              <w:rPr>
                <w:sz w:val="18"/>
                <w:szCs w:val="18"/>
              </w:rPr>
              <w:t>No data: 2.8%</w:t>
            </w:r>
          </w:p>
        </w:tc>
      </w:tr>
      <w:tr w:rsidR="006C6354" w:rsidRPr="006E02AA" w14:paraId="73793B51" w14:textId="77777777" w:rsidTr="006C6354">
        <w:tc>
          <w:tcPr>
            <w:tcW w:w="9061" w:type="dxa"/>
            <w:gridSpan w:val="5"/>
          </w:tcPr>
          <w:p w14:paraId="46C0F4B9" w14:textId="77777777" w:rsidR="006C6354" w:rsidRPr="006E02AA" w:rsidRDefault="006C6354" w:rsidP="006C6354">
            <w:pPr>
              <w:pStyle w:val="BodyText"/>
              <w:spacing w:before="0" w:after="0" w:line="240" w:lineRule="auto"/>
              <w:rPr>
                <w:b/>
                <w:bCs/>
                <w:sz w:val="18"/>
                <w:szCs w:val="18"/>
              </w:rPr>
            </w:pPr>
            <w:r w:rsidRPr="006E02AA">
              <w:rPr>
                <w:b/>
                <w:bCs/>
                <w:sz w:val="18"/>
                <w:szCs w:val="18"/>
              </w:rPr>
              <w:t>Prospective studies embedded in population-based screening</w:t>
            </w:r>
          </w:p>
        </w:tc>
      </w:tr>
      <w:tr w:rsidR="00481872" w:rsidRPr="006E02AA" w14:paraId="046C97AB" w14:textId="77777777" w:rsidTr="00592E7C">
        <w:tc>
          <w:tcPr>
            <w:tcW w:w="1838" w:type="dxa"/>
          </w:tcPr>
          <w:p w14:paraId="1A85E07E" w14:textId="77777777" w:rsidR="00481872" w:rsidRPr="006E02AA" w:rsidRDefault="00481872" w:rsidP="00592E7C">
            <w:pPr>
              <w:pStyle w:val="BodyText"/>
              <w:spacing w:before="0" w:after="0" w:line="240" w:lineRule="auto"/>
              <w:rPr>
                <w:sz w:val="18"/>
                <w:szCs w:val="18"/>
              </w:rPr>
            </w:pPr>
            <w:r w:rsidRPr="006E02AA">
              <w:rPr>
                <w:sz w:val="18"/>
                <w:szCs w:val="18"/>
              </w:rPr>
              <w:t>Bernardi et al. (2019)</w:t>
            </w:r>
          </w:p>
          <w:p w14:paraId="1D020DE7" w14:textId="77777777" w:rsidR="00481872" w:rsidRPr="006E02AA" w:rsidRDefault="00481872" w:rsidP="00592E7C">
            <w:pPr>
              <w:pStyle w:val="BodyText"/>
              <w:spacing w:before="0" w:after="0" w:line="240" w:lineRule="auto"/>
              <w:rPr>
                <w:sz w:val="18"/>
                <w:szCs w:val="18"/>
              </w:rPr>
            </w:pPr>
            <w:r w:rsidRPr="006E02AA">
              <w:rPr>
                <w:sz w:val="18"/>
                <w:szCs w:val="18"/>
              </w:rPr>
              <w:t>Trento</w:t>
            </w:r>
          </w:p>
          <w:p w14:paraId="72DC1F5F" w14:textId="77777777" w:rsidR="00481872" w:rsidRPr="006E02AA" w:rsidRDefault="00481872" w:rsidP="00592E7C">
            <w:pPr>
              <w:pStyle w:val="BodyText"/>
              <w:spacing w:before="0" w:after="0" w:line="240" w:lineRule="auto"/>
              <w:rPr>
                <w:sz w:val="18"/>
                <w:szCs w:val="18"/>
              </w:rPr>
            </w:pPr>
            <w:r w:rsidRPr="006E02AA">
              <w:rPr>
                <w:sz w:val="18"/>
                <w:szCs w:val="18"/>
              </w:rPr>
              <w:t>205 cancers</w:t>
            </w:r>
          </w:p>
        </w:tc>
        <w:tc>
          <w:tcPr>
            <w:tcW w:w="2126" w:type="dxa"/>
          </w:tcPr>
          <w:p w14:paraId="01AC7228" w14:textId="5503303F" w:rsidR="00481872" w:rsidRPr="006E02AA" w:rsidRDefault="00481872" w:rsidP="00592E7C">
            <w:pPr>
              <w:pStyle w:val="BodyText"/>
              <w:spacing w:before="0" w:after="0" w:line="240" w:lineRule="auto"/>
              <w:jc w:val="left"/>
              <w:rPr>
                <w:sz w:val="18"/>
                <w:szCs w:val="18"/>
              </w:rPr>
            </w:pPr>
            <w:r w:rsidRPr="006E02AA">
              <w:rPr>
                <w:sz w:val="18"/>
                <w:szCs w:val="18"/>
              </w:rPr>
              <w:t>Grade 1: 29.43%</w:t>
            </w:r>
          </w:p>
          <w:p w14:paraId="4FA418B6" w14:textId="584E9120" w:rsidR="00481872" w:rsidRPr="006E02AA" w:rsidRDefault="00481872" w:rsidP="00592E7C">
            <w:pPr>
              <w:pStyle w:val="BodyText"/>
              <w:spacing w:before="0" w:after="0" w:line="240" w:lineRule="auto"/>
              <w:jc w:val="left"/>
              <w:rPr>
                <w:sz w:val="18"/>
                <w:szCs w:val="18"/>
              </w:rPr>
            </w:pPr>
            <w:r w:rsidRPr="006E02AA">
              <w:rPr>
                <w:sz w:val="18"/>
                <w:szCs w:val="18"/>
              </w:rPr>
              <w:t>Grade 2: 51.12%</w:t>
            </w:r>
          </w:p>
          <w:p w14:paraId="6554D017" w14:textId="59224A98" w:rsidR="00481872" w:rsidRPr="006E02AA" w:rsidRDefault="00481872" w:rsidP="00592E7C">
            <w:pPr>
              <w:pStyle w:val="BodyText"/>
              <w:spacing w:before="0" w:after="0" w:line="240" w:lineRule="auto"/>
              <w:jc w:val="left"/>
              <w:rPr>
                <w:sz w:val="18"/>
                <w:szCs w:val="18"/>
              </w:rPr>
            </w:pPr>
            <w:r w:rsidRPr="006E02AA">
              <w:rPr>
                <w:sz w:val="18"/>
                <w:szCs w:val="18"/>
              </w:rPr>
              <w:t>Grade 3: 19.45%</w:t>
            </w:r>
          </w:p>
        </w:tc>
        <w:tc>
          <w:tcPr>
            <w:tcW w:w="1485" w:type="dxa"/>
          </w:tcPr>
          <w:p w14:paraId="01BFE843" w14:textId="5C0B8591" w:rsidR="00481872" w:rsidRPr="006E02AA" w:rsidRDefault="00692A31" w:rsidP="00592E7C">
            <w:pPr>
              <w:pStyle w:val="BodyText"/>
              <w:spacing w:before="0" w:after="0" w:line="240" w:lineRule="auto"/>
              <w:jc w:val="center"/>
              <w:rPr>
                <w:sz w:val="18"/>
                <w:szCs w:val="18"/>
              </w:rPr>
            </w:pPr>
            <w:r w:rsidRPr="006E02AA">
              <w:rPr>
                <w:sz w:val="18"/>
                <w:szCs w:val="18"/>
              </w:rPr>
              <w:t>NA</w:t>
            </w:r>
          </w:p>
        </w:tc>
        <w:tc>
          <w:tcPr>
            <w:tcW w:w="1634" w:type="dxa"/>
          </w:tcPr>
          <w:p w14:paraId="3A3E0704" w14:textId="581C523C" w:rsidR="00481872" w:rsidRPr="006E02AA" w:rsidRDefault="00692A31" w:rsidP="00592E7C">
            <w:pPr>
              <w:pStyle w:val="BodyText"/>
              <w:spacing w:before="0" w:after="0" w:line="240" w:lineRule="auto"/>
              <w:jc w:val="center"/>
              <w:rPr>
                <w:sz w:val="18"/>
                <w:szCs w:val="18"/>
              </w:rPr>
            </w:pPr>
            <w:r w:rsidRPr="006E02AA">
              <w:rPr>
                <w:sz w:val="18"/>
                <w:szCs w:val="18"/>
              </w:rPr>
              <w:t>NA</w:t>
            </w:r>
          </w:p>
        </w:tc>
        <w:tc>
          <w:tcPr>
            <w:tcW w:w="1978" w:type="dxa"/>
          </w:tcPr>
          <w:p w14:paraId="789FF287" w14:textId="13949E7C" w:rsidR="00481872" w:rsidRPr="006E02AA" w:rsidRDefault="00481872" w:rsidP="00592E7C">
            <w:pPr>
              <w:pStyle w:val="BodyText"/>
              <w:spacing w:before="0" w:after="0" w:line="240" w:lineRule="auto"/>
              <w:jc w:val="left"/>
              <w:rPr>
                <w:sz w:val="18"/>
                <w:szCs w:val="18"/>
              </w:rPr>
            </w:pPr>
            <w:r w:rsidRPr="006E02AA">
              <w:rPr>
                <w:sz w:val="18"/>
                <w:szCs w:val="18"/>
              </w:rPr>
              <w:t>Grade 1: 23.41%</w:t>
            </w:r>
          </w:p>
          <w:p w14:paraId="2B28203A" w14:textId="4790B8CA" w:rsidR="00481872" w:rsidRPr="006E02AA" w:rsidRDefault="00481872" w:rsidP="00592E7C">
            <w:pPr>
              <w:pStyle w:val="BodyText"/>
              <w:spacing w:before="0" w:after="0" w:line="240" w:lineRule="auto"/>
              <w:jc w:val="left"/>
              <w:rPr>
                <w:sz w:val="18"/>
                <w:szCs w:val="18"/>
              </w:rPr>
            </w:pPr>
            <w:r w:rsidRPr="006E02AA">
              <w:rPr>
                <w:sz w:val="18"/>
                <w:szCs w:val="18"/>
              </w:rPr>
              <w:t>Grade 2: 57.08%</w:t>
            </w:r>
          </w:p>
          <w:p w14:paraId="3D691C39" w14:textId="160DEAA3" w:rsidR="00481872" w:rsidRPr="006E02AA" w:rsidRDefault="00481872" w:rsidP="00592E7C">
            <w:pPr>
              <w:pStyle w:val="BodyText"/>
              <w:spacing w:before="0" w:after="0" w:line="240" w:lineRule="auto"/>
              <w:jc w:val="left"/>
              <w:rPr>
                <w:sz w:val="18"/>
                <w:szCs w:val="18"/>
              </w:rPr>
            </w:pPr>
            <w:r w:rsidRPr="006E02AA">
              <w:rPr>
                <w:sz w:val="18"/>
                <w:szCs w:val="18"/>
              </w:rPr>
              <w:t>Grade 3: 19.51%</w:t>
            </w:r>
          </w:p>
        </w:tc>
      </w:tr>
      <w:tr w:rsidR="006C6354" w:rsidRPr="006E02AA" w14:paraId="1BF94DFD" w14:textId="77777777" w:rsidTr="006C6354">
        <w:tc>
          <w:tcPr>
            <w:tcW w:w="1838" w:type="dxa"/>
          </w:tcPr>
          <w:p w14:paraId="1B84BAD4" w14:textId="77777777" w:rsidR="006C6354" w:rsidRPr="006E02AA" w:rsidRDefault="006C6354" w:rsidP="006C6354">
            <w:pPr>
              <w:pStyle w:val="BodyText"/>
              <w:spacing w:before="0" w:after="0" w:line="240" w:lineRule="auto"/>
              <w:rPr>
                <w:sz w:val="18"/>
                <w:szCs w:val="18"/>
              </w:rPr>
            </w:pPr>
            <w:r w:rsidRPr="006E02AA">
              <w:rPr>
                <w:sz w:val="18"/>
                <w:szCs w:val="18"/>
              </w:rPr>
              <w:t>Houssami et al. (2019)</w:t>
            </w:r>
          </w:p>
          <w:p w14:paraId="4A54B08B" w14:textId="77777777" w:rsidR="006C6354" w:rsidRPr="006E02AA" w:rsidRDefault="006C6354" w:rsidP="006C6354">
            <w:pPr>
              <w:pStyle w:val="BodyText"/>
              <w:spacing w:before="0" w:after="0" w:line="240" w:lineRule="auto"/>
              <w:rPr>
                <w:sz w:val="18"/>
                <w:szCs w:val="18"/>
              </w:rPr>
            </w:pPr>
            <w:r w:rsidRPr="006E02AA">
              <w:rPr>
                <w:sz w:val="18"/>
                <w:szCs w:val="18"/>
              </w:rPr>
              <w:t>Maroondah</w:t>
            </w:r>
          </w:p>
          <w:p w14:paraId="4E000638" w14:textId="5ABC1138" w:rsidR="00D63FAC" w:rsidRPr="006E02AA" w:rsidRDefault="00D63FAC" w:rsidP="006C6354">
            <w:pPr>
              <w:pStyle w:val="BodyText"/>
              <w:spacing w:before="0" w:after="0" w:line="240" w:lineRule="auto"/>
              <w:rPr>
                <w:sz w:val="18"/>
                <w:szCs w:val="18"/>
              </w:rPr>
            </w:pPr>
          </w:p>
        </w:tc>
        <w:tc>
          <w:tcPr>
            <w:tcW w:w="2126" w:type="dxa"/>
          </w:tcPr>
          <w:p w14:paraId="770420E8" w14:textId="2991785C" w:rsidR="006C6354" w:rsidRPr="006E02AA" w:rsidRDefault="006C6354" w:rsidP="006C6354">
            <w:pPr>
              <w:pStyle w:val="BodyText"/>
              <w:spacing w:before="0" w:after="0" w:line="240" w:lineRule="auto"/>
              <w:jc w:val="left"/>
              <w:rPr>
                <w:sz w:val="18"/>
                <w:szCs w:val="18"/>
              </w:rPr>
            </w:pPr>
            <w:r w:rsidRPr="006E02AA">
              <w:rPr>
                <w:sz w:val="18"/>
                <w:szCs w:val="18"/>
              </w:rPr>
              <w:t>Grade 1: 45%</w:t>
            </w:r>
          </w:p>
          <w:p w14:paraId="746F57E5" w14:textId="75EB2BDC" w:rsidR="006C6354" w:rsidRPr="006E02AA" w:rsidRDefault="006C6354" w:rsidP="006C6354">
            <w:pPr>
              <w:pStyle w:val="BodyText"/>
              <w:spacing w:before="0" w:after="0" w:line="240" w:lineRule="auto"/>
              <w:jc w:val="left"/>
              <w:rPr>
                <w:sz w:val="18"/>
                <w:szCs w:val="18"/>
              </w:rPr>
            </w:pPr>
            <w:r w:rsidRPr="006E02AA">
              <w:rPr>
                <w:sz w:val="18"/>
                <w:szCs w:val="18"/>
              </w:rPr>
              <w:t>Grade 2: 48%</w:t>
            </w:r>
          </w:p>
          <w:p w14:paraId="71FB7CD0" w14:textId="5D8EEAC2" w:rsidR="006C6354" w:rsidRPr="006E02AA" w:rsidRDefault="006C6354" w:rsidP="006C6354">
            <w:pPr>
              <w:pStyle w:val="BodyText"/>
              <w:spacing w:before="0" w:after="0" w:line="240" w:lineRule="auto"/>
              <w:jc w:val="left"/>
              <w:rPr>
                <w:sz w:val="18"/>
                <w:szCs w:val="18"/>
              </w:rPr>
            </w:pPr>
            <w:r w:rsidRPr="006E02AA">
              <w:rPr>
                <w:sz w:val="18"/>
                <w:szCs w:val="18"/>
              </w:rPr>
              <w:t>Grade 3: 8%</w:t>
            </w:r>
          </w:p>
        </w:tc>
        <w:tc>
          <w:tcPr>
            <w:tcW w:w="1485" w:type="dxa"/>
          </w:tcPr>
          <w:p w14:paraId="57F03C09" w14:textId="410FEA76" w:rsidR="006C6354" w:rsidRPr="006E02AA" w:rsidRDefault="00692A31" w:rsidP="006C6354">
            <w:pPr>
              <w:pStyle w:val="BodyText"/>
              <w:spacing w:before="0" w:after="0" w:line="240" w:lineRule="auto"/>
              <w:jc w:val="center"/>
              <w:rPr>
                <w:sz w:val="18"/>
                <w:szCs w:val="18"/>
              </w:rPr>
            </w:pPr>
            <w:r w:rsidRPr="006E02AA">
              <w:rPr>
                <w:sz w:val="18"/>
                <w:szCs w:val="18"/>
              </w:rPr>
              <w:t>NA</w:t>
            </w:r>
          </w:p>
        </w:tc>
        <w:tc>
          <w:tcPr>
            <w:tcW w:w="1634" w:type="dxa"/>
          </w:tcPr>
          <w:p w14:paraId="363C0481" w14:textId="19C93C55" w:rsidR="006C6354" w:rsidRPr="006E02AA" w:rsidRDefault="00692A31" w:rsidP="006C6354">
            <w:pPr>
              <w:pStyle w:val="BodyText"/>
              <w:spacing w:before="0" w:after="0" w:line="240" w:lineRule="auto"/>
              <w:jc w:val="center"/>
              <w:rPr>
                <w:sz w:val="18"/>
                <w:szCs w:val="18"/>
              </w:rPr>
            </w:pPr>
            <w:r w:rsidRPr="006E02AA">
              <w:rPr>
                <w:sz w:val="18"/>
                <w:szCs w:val="18"/>
              </w:rPr>
              <w:t>NA</w:t>
            </w:r>
          </w:p>
        </w:tc>
        <w:tc>
          <w:tcPr>
            <w:tcW w:w="1978" w:type="dxa"/>
          </w:tcPr>
          <w:p w14:paraId="0943B9CC" w14:textId="37C11D27" w:rsidR="006C6354" w:rsidRPr="006E02AA" w:rsidRDefault="006C6354" w:rsidP="006C6354">
            <w:pPr>
              <w:pStyle w:val="BodyText"/>
              <w:spacing w:before="0" w:after="0" w:line="240" w:lineRule="auto"/>
              <w:jc w:val="left"/>
              <w:rPr>
                <w:sz w:val="18"/>
                <w:szCs w:val="18"/>
              </w:rPr>
            </w:pPr>
            <w:r w:rsidRPr="006E02AA">
              <w:rPr>
                <w:sz w:val="18"/>
                <w:szCs w:val="18"/>
              </w:rPr>
              <w:t>Grade 1: 20%</w:t>
            </w:r>
          </w:p>
          <w:p w14:paraId="063B7FE9" w14:textId="71698FCC" w:rsidR="006C6354" w:rsidRPr="006E02AA" w:rsidRDefault="006C6354" w:rsidP="006C6354">
            <w:pPr>
              <w:pStyle w:val="BodyText"/>
              <w:spacing w:before="0" w:after="0" w:line="240" w:lineRule="auto"/>
              <w:jc w:val="left"/>
              <w:rPr>
                <w:sz w:val="18"/>
                <w:szCs w:val="18"/>
              </w:rPr>
            </w:pPr>
            <w:r w:rsidRPr="006E02AA">
              <w:rPr>
                <w:sz w:val="18"/>
                <w:szCs w:val="18"/>
              </w:rPr>
              <w:t>Grade 2: 53%</w:t>
            </w:r>
          </w:p>
          <w:p w14:paraId="37859D88" w14:textId="13C07769" w:rsidR="006C6354" w:rsidRPr="006E02AA" w:rsidRDefault="006C6354" w:rsidP="006C6354">
            <w:pPr>
              <w:pStyle w:val="BodyText"/>
              <w:spacing w:before="0" w:after="0" w:line="240" w:lineRule="auto"/>
              <w:jc w:val="left"/>
              <w:rPr>
                <w:sz w:val="18"/>
                <w:szCs w:val="18"/>
              </w:rPr>
            </w:pPr>
            <w:r w:rsidRPr="006E02AA">
              <w:rPr>
                <w:sz w:val="18"/>
                <w:szCs w:val="18"/>
              </w:rPr>
              <w:t>Grade 3: 27%</w:t>
            </w:r>
          </w:p>
        </w:tc>
      </w:tr>
      <w:tr w:rsidR="0006193B" w:rsidRPr="006E02AA" w14:paraId="44D1F70E" w14:textId="77777777" w:rsidTr="00592E7C">
        <w:tc>
          <w:tcPr>
            <w:tcW w:w="1838" w:type="dxa"/>
          </w:tcPr>
          <w:p w14:paraId="52D6CABC" w14:textId="7B6FDDE6" w:rsidR="0006193B" w:rsidRPr="006E02AA" w:rsidRDefault="0006193B" w:rsidP="00592E7C">
            <w:pPr>
              <w:pStyle w:val="BodyText"/>
              <w:spacing w:before="0" w:after="0" w:line="240" w:lineRule="auto"/>
              <w:jc w:val="left"/>
              <w:rPr>
                <w:sz w:val="18"/>
                <w:szCs w:val="18"/>
              </w:rPr>
            </w:pPr>
            <w:r w:rsidRPr="006E02AA">
              <w:rPr>
                <w:sz w:val="18"/>
                <w:szCs w:val="18"/>
              </w:rPr>
              <w:t>Hofvind et al. (2018)</w:t>
            </w:r>
          </w:p>
          <w:p w14:paraId="152C8057" w14:textId="77777777" w:rsidR="0006193B" w:rsidRPr="006E02AA" w:rsidRDefault="0006193B" w:rsidP="00592E7C">
            <w:pPr>
              <w:pStyle w:val="BodyText"/>
              <w:spacing w:before="0" w:after="0" w:line="240" w:lineRule="auto"/>
              <w:jc w:val="left"/>
              <w:rPr>
                <w:sz w:val="18"/>
                <w:szCs w:val="18"/>
              </w:rPr>
            </w:pPr>
            <w:r w:rsidRPr="006E02AA">
              <w:rPr>
                <w:sz w:val="18"/>
                <w:szCs w:val="18"/>
              </w:rPr>
              <w:t>Cancers per 1000</w:t>
            </w:r>
          </w:p>
          <w:p w14:paraId="67444E9D" w14:textId="77777777" w:rsidR="0006193B" w:rsidRPr="006E02AA" w:rsidRDefault="0006193B" w:rsidP="00592E7C">
            <w:pPr>
              <w:pStyle w:val="BodyText"/>
              <w:spacing w:before="0" w:after="0" w:line="240" w:lineRule="auto"/>
              <w:jc w:val="left"/>
              <w:rPr>
                <w:sz w:val="18"/>
                <w:szCs w:val="18"/>
              </w:rPr>
            </w:pPr>
          </w:p>
        </w:tc>
        <w:tc>
          <w:tcPr>
            <w:tcW w:w="2126" w:type="dxa"/>
          </w:tcPr>
          <w:p w14:paraId="4288C20A" w14:textId="09D9EA54" w:rsidR="0006193B" w:rsidRPr="006E02AA" w:rsidRDefault="0006193B" w:rsidP="00592E7C">
            <w:pPr>
              <w:pStyle w:val="BodyText"/>
              <w:spacing w:before="0" w:after="0" w:line="240" w:lineRule="auto"/>
              <w:jc w:val="left"/>
              <w:rPr>
                <w:sz w:val="18"/>
                <w:szCs w:val="18"/>
              </w:rPr>
            </w:pPr>
            <w:r w:rsidRPr="006E02AA">
              <w:rPr>
                <w:sz w:val="18"/>
                <w:szCs w:val="18"/>
              </w:rPr>
              <w:t>Grade 1: 3.3 per 1000</w:t>
            </w:r>
          </w:p>
          <w:p w14:paraId="1388CDC8" w14:textId="54651A5E" w:rsidR="0006193B" w:rsidRPr="006E02AA" w:rsidRDefault="0006193B" w:rsidP="00592E7C">
            <w:pPr>
              <w:pStyle w:val="BodyText"/>
              <w:spacing w:before="0" w:after="0" w:line="240" w:lineRule="auto"/>
              <w:jc w:val="left"/>
              <w:rPr>
                <w:sz w:val="18"/>
                <w:szCs w:val="18"/>
              </w:rPr>
            </w:pPr>
            <w:r w:rsidRPr="006E02AA">
              <w:rPr>
                <w:sz w:val="18"/>
                <w:szCs w:val="18"/>
              </w:rPr>
              <w:t>Grade 2: 3.5 per 1000</w:t>
            </w:r>
          </w:p>
          <w:p w14:paraId="024B2476" w14:textId="44E8ABF7" w:rsidR="0006193B" w:rsidRPr="006E02AA" w:rsidRDefault="0006193B" w:rsidP="00592E7C">
            <w:pPr>
              <w:pStyle w:val="BodyText"/>
              <w:spacing w:before="0" w:after="0" w:line="240" w:lineRule="auto"/>
              <w:jc w:val="left"/>
              <w:rPr>
                <w:sz w:val="18"/>
                <w:szCs w:val="18"/>
              </w:rPr>
            </w:pPr>
            <w:r w:rsidRPr="006E02AA">
              <w:rPr>
                <w:sz w:val="18"/>
                <w:szCs w:val="18"/>
              </w:rPr>
              <w:t>Grade 3: 0.8 per 1000</w:t>
            </w:r>
          </w:p>
          <w:p w14:paraId="17C27C31" w14:textId="112B0128" w:rsidR="0006193B" w:rsidRPr="006E02AA" w:rsidRDefault="0006193B" w:rsidP="00592E7C">
            <w:pPr>
              <w:pStyle w:val="BodyText"/>
              <w:spacing w:before="0" w:after="0" w:line="240" w:lineRule="auto"/>
              <w:jc w:val="left"/>
              <w:rPr>
                <w:sz w:val="18"/>
                <w:szCs w:val="18"/>
              </w:rPr>
            </w:pPr>
            <w:r w:rsidRPr="006E02AA">
              <w:rPr>
                <w:sz w:val="18"/>
                <w:szCs w:val="18"/>
              </w:rPr>
              <w:t>No data: 2 cancers</w:t>
            </w:r>
          </w:p>
        </w:tc>
        <w:tc>
          <w:tcPr>
            <w:tcW w:w="1485" w:type="dxa"/>
          </w:tcPr>
          <w:p w14:paraId="1B23158F" w14:textId="541F9E5F" w:rsidR="0006193B" w:rsidRPr="006E02AA" w:rsidRDefault="00692A31" w:rsidP="00692A31">
            <w:pPr>
              <w:pStyle w:val="BodyText"/>
              <w:spacing w:before="0" w:after="0" w:line="240" w:lineRule="auto"/>
              <w:jc w:val="center"/>
              <w:rPr>
                <w:sz w:val="18"/>
                <w:szCs w:val="18"/>
              </w:rPr>
            </w:pPr>
            <w:r w:rsidRPr="006E02AA">
              <w:rPr>
                <w:sz w:val="18"/>
                <w:szCs w:val="18"/>
              </w:rPr>
              <w:t>NA</w:t>
            </w:r>
          </w:p>
        </w:tc>
        <w:tc>
          <w:tcPr>
            <w:tcW w:w="1634" w:type="dxa"/>
          </w:tcPr>
          <w:p w14:paraId="2BFECA72" w14:textId="0429D6BC" w:rsidR="0006193B" w:rsidRPr="006E02AA" w:rsidRDefault="00692A31" w:rsidP="00692A31">
            <w:pPr>
              <w:pStyle w:val="BodyText"/>
              <w:spacing w:before="0" w:after="0" w:line="240" w:lineRule="auto"/>
              <w:jc w:val="center"/>
              <w:rPr>
                <w:sz w:val="18"/>
                <w:szCs w:val="18"/>
              </w:rPr>
            </w:pPr>
            <w:r w:rsidRPr="006E02AA">
              <w:rPr>
                <w:sz w:val="18"/>
                <w:szCs w:val="18"/>
              </w:rPr>
              <w:t>NA</w:t>
            </w:r>
          </w:p>
        </w:tc>
        <w:tc>
          <w:tcPr>
            <w:tcW w:w="1978" w:type="dxa"/>
          </w:tcPr>
          <w:p w14:paraId="68A9336E" w14:textId="1338FDE2" w:rsidR="0006193B" w:rsidRPr="006E02AA" w:rsidRDefault="0006193B" w:rsidP="00592E7C">
            <w:pPr>
              <w:pStyle w:val="BodyText"/>
              <w:spacing w:before="0" w:after="0" w:line="240" w:lineRule="auto"/>
              <w:jc w:val="left"/>
              <w:rPr>
                <w:sz w:val="18"/>
                <w:szCs w:val="18"/>
              </w:rPr>
            </w:pPr>
            <w:r w:rsidRPr="006E02AA">
              <w:rPr>
                <w:sz w:val="18"/>
                <w:szCs w:val="18"/>
              </w:rPr>
              <w:t xml:space="preserve">Grade 1: 1.4 per 1000 </w:t>
            </w:r>
            <w:r w:rsidR="0075618D" w:rsidRPr="006E02AA">
              <w:rPr>
                <w:sz w:val="18"/>
                <w:szCs w:val="18"/>
              </w:rPr>
              <w:t>(</w:t>
            </w:r>
            <w:r w:rsidRPr="006E02AA">
              <w:rPr>
                <w:i/>
                <w:iCs/>
                <w:sz w:val="18"/>
                <w:szCs w:val="18"/>
              </w:rPr>
              <w:t>p</w:t>
            </w:r>
            <w:r w:rsidRPr="006E02AA">
              <w:rPr>
                <w:sz w:val="18"/>
                <w:szCs w:val="18"/>
              </w:rPr>
              <w:t>&lt;.001</w:t>
            </w:r>
            <w:r w:rsidR="0075618D" w:rsidRPr="006E02AA">
              <w:rPr>
                <w:sz w:val="18"/>
                <w:szCs w:val="18"/>
              </w:rPr>
              <w:t>)</w:t>
            </w:r>
          </w:p>
          <w:p w14:paraId="3E26EFC2" w14:textId="0C709482" w:rsidR="0006193B" w:rsidRPr="006E02AA" w:rsidRDefault="0006193B" w:rsidP="00592E7C">
            <w:pPr>
              <w:pStyle w:val="BodyText"/>
              <w:spacing w:before="0" w:after="0" w:line="240" w:lineRule="auto"/>
              <w:jc w:val="left"/>
              <w:rPr>
                <w:sz w:val="18"/>
                <w:szCs w:val="18"/>
              </w:rPr>
            </w:pPr>
            <w:r w:rsidRPr="006E02AA">
              <w:rPr>
                <w:sz w:val="18"/>
                <w:szCs w:val="18"/>
              </w:rPr>
              <w:t xml:space="preserve">Grade 2: 3.0 per 1000 </w:t>
            </w:r>
            <w:r w:rsidR="0075618D" w:rsidRPr="006E02AA">
              <w:rPr>
                <w:sz w:val="18"/>
                <w:szCs w:val="18"/>
              </w:rPr>
              <w:t>(</w:t>
            </w:r>
            <w:r w:rsidRPr="006E02AA">
              <w:rPr>
                <w:i/>
                <w:iCs/>
                <w:sz w:val="18"/>
                <w:szCs w:val="18"/>
              </w:rPr>
              <w:t>p</w:t>
            </w:r>
            <w:r w:rsidRPr="006E02AA">
              <w:rPr>
                <w:sz w:val="18"/>
                <w:szCs w:val="18"/>
              </w:rPr>
              <w:t>=</w:t>
            </w:r>
            <w:r w:rsidR="0075618D" w:rsidRPr="006E02AA">
              <w:rPr>
                <w:sz w:val="18"/>
                <w:szCs w:val="18"/>
              </w:rPr>
              <w:t>.</w:t>
            </w:r>
            <w:r w:rsidRPr="006E02AA">
              <w:rPr>
                <w:sz w:val="18"/>
                <w:szCs w:val="18"/>
              </w:rPr>
              <w:t>233</w:t>
            </w:r>
            <w:r w:rsidR="0075618D" w:rsidRPr="006E02AA">
              <w:rPr>
                <w:sz w:val="18"/>
                <w:szCs w:val="18"/>
              </w:rPr>
              <w:t>)</w:t>
            </w:r>
          </w:p>
          <w:p w14:paraId="76C8B56C" w14:textId="6143A6A5" w:rsidR="0006193B" w:rsidRPr="006E02AA" w:rsidRDefault="0006193B" w:rsidP="00592E7C">
            <w:pPr>
              <w:pStyle w:val="BodyText"/>
              <w:spacing w:before="0" w:after="0" w:line="240" w:lineRule="auto"/>
              <w:jc w:val="left"/>
              <w:rPr>
                <w:sz w:val="18"/>
                <w:szCs w:val="18"/>
              </w:rPr>
            </w:pPr>
            <w:r w:rsidRPr="006E02AA">
              <w:rPr>
                <w:sz w:val="18"/>
                <w:szCs w:val="18"/>
              </w:rPr>
              <w:t>Grade 3: 0.9 per 1000</w:t>
            </w:r>
            <w:r w:rsidR="0075618D" w:rsidRPr="006E02AA">
              <w:rPr>
                <w:sz w:val="18"/>
                <w:szCs w:val="18"/>
              </w:rPr>
              <w:t xml:space="preserve"> (</w:t>
            </w:r>
            <w:r w:rsidRPr="006E02AA">
              <w:rPr>
                <w:i/>
                <w:iCs/>
                <w:sz w:val="18"/>
                <w:szCs w:val="18"/>
              </w:rPr>
              <w:t>p</w:t>
            </w:r>
            <w:r w:rsidRPr="006E02AA">
              <w:rPr>
                <w:sz w:val="18"/>
                <w:szCs w:val="18"/>
              </w:rPr>
              <w:t>=.376</w:t>
            </w:r>
            <w:r w:rsidR="0075618D" w:rsidRPr="006E02AA">
              <w:rPr>
                <w:sz w:val="18"/>
                <w:szCs w:val="18"/>
              </w:rPr>
              <w:t>)</w:t>
            </w:r>
          </w:p>
          <w:p w14:paraId="0CE4E92C" w14:textId="77777777" w:rsidR="0006193B" w:rsidRPr="006E02AA" w:rsidRDefault="0006193B" w:rsidP="00592E7C">
            <w:pPr>
              <w:pStyle w:val="BodyText"/>
              <w:spacing w:before="0" w:after="0" w:line="240" w:lineRule="auto"/>
              <w:jc w:val="left"/>
              <w:rPr>
                <w:sz w:val="18"/>
                <w:szCs w:val="18"/>
              </w:rPr>
            </w:pPr>
            <w:r w:rsidRPr="006E02AA">
              <w:rPr>
                <w:sz w:val="18"/>
                <w:szCs w:val="18"/>
              </w:rPr>
              <w:t>No data: one cancer</w:t>
            </w:r>
          </w:p>
        </w:tc>
      </w:tr>
      <w:tr w:rsidR="00887D98" w:rsidRPr="006E02AA" w14:paraId="222C5F52" w14:textId="77777777" w:rsidTr="00592E7C">
        <w:tc>
          <w:tcPr>
            <w:tcW w:w="1838" w:type="dxa"/>
          </w:tcPr>
          <w:p w14:paraId="28DD7504" w14:textId="77777777" w:rsidR="00887D98" w:rsidRPr="006E02AA" w:rsidRDefault="00887D98" w:rsidP="00887D98">
            <w:pPr>
              <w:pStyle w:val="BodyText"/>
              <w:spacing w:before="0" w:after="0" w:line="240" w:lineRule="auto"/>
              <w:jc w:val="left"/>
              <w:rPr>
                <w:sz w:val="18"/>
                <w:szCs w:val="18"/>
              </w:rPr>
            </w:pPr>
            <w:r w:rsidRPr="006E02AA">
              <w:rPr>
                <w:sz w:val="18"/>
                <w:szCs w:val="18"/>
              </w:rPr>
              <w:t>Romero Mart</w:t>
            </w:r>
            <w:r w:rsidRPr="006E02AA">
              <w:rPr>
                <w:rFonts w:cstheme="majorHAnsi"/>
                <w:sz w:val="18"/>
                <w:szCs w:val="18"/>
              </w:rPr>
              <w:t>í</w:t>
            </w:r>
            <w:r w:rsidRPr="006E02AA">
              <w:rPr>
                <w:sz w:val="18"/>
                <w:szCs w:val="18"/>
              </w:rPr>
              <w:t>n et al. (2018)</w:t>
            </w:r>
          </w:p>
          <w:p w14:paraId="13E449F5" w14:textId="1018FC76" w:rsidR="00887D98" w:rsidRPr="006E02AA" w:rsidRDefault="00887D98" w:rsidP="00887D98">
            <w:pPr>
              <w:pStyle w:val="BodyText"/>
              <w:spacing w:before="0" w:after="0" w:line="240" w:lineRule="auto"/>
              <w:jc w:val="left"/>
              <w:rPr>
                <w:sz w:val="18"/>
                <w:szCs w:val="18"/>
              </w:rPr>
            </w:pPr>
            <w:r w:rsidRPr="006E02AA">
              <w:rPr>
                <w:sz w:val="18"/>
                <w:szCs w:val="18"/>
              </w:rPr>
              <w:t>Cordoba</w:t>
            </w:r>
          </w:p>
        </w:tc>
        <w:tc>
          <w:tcPr>
            <w:tcW w:w="2126" w:type="dxa"/>
          </w:tcPr>
          <w:p w14:paraId="6066A63E" w14:textId="6E1AB8AF" w:rsidR="00887D98" w:rsidRPr="006E02AA" w:rsidRDefault="00887D98" w:rsidP="00887D98">
            <w:pPr>
              <w:pStyle w:val="BodyText"/>
              <w:spacing w:before="0" w:after="0" w:line="240" w:lineRule="auto"/>
              <w:jc w:val="left"/>
              <w:rPr>
                <w:i/>
                <w:iCs/>
                <w:sz w:val="18"/>
                <w:szCs w:val="18"/>
              </w:rPr>
            </w:pPr>
            <w:r w:rsidRPr="006E02AA">
              <w:rPr>
                <w:i/>
                <w:iCs/>
                <w:sz w:val="18"/>
                <w:szCs w:val="18"/>
              </w:rPr>
              <w:t>IDC</w:t>
            </w:r>
          </w:p>
          <w:p w14:paraId="148A35BE" w14:textId="662F151F" w:rsidR="00887D98" w:rsidRPr="006E02AA" w:rsidRDefault="00887D98" w:rsidP="00887D98">
            <w:pPr>
              <w:pStyle w:val="BodyText"/>
              <w:spacing w:before="0" w:after="0" w:line="240" w:lineRule="auto"/>
              <w:jc w:val="left"/>
              <w:rPr>
                <w:sz w:val="18"/>
                <w:szCs w:val="18"/>
              </w:rPr>
            </w:pPr>
            <w:r w:rsidRPr="006E02AA">
              <w:rPr>
                <w:sz w:val="18"/>
                <w:szCs w:val="18"/>
              </w:rPr>
              <w:t>Grade 1: 33 cancers</w:t>
            </w:r>
          </w:p>
          <w:p w14:paraId="40347431" w14:textId="1C6DF2D0" w:rsidR="00887D98" w:rsidRPr="006E02AA" w:rsidRDefault="00887D98" w:rsidP="00887D98">
            <w:pPr>
              <w:pStyle w:val="BodyText"/>
              <w:spacing w:before="0" w:after="0" w:line="240" w:lineRule="auto"/>
              <w:jc w:val="left"/>
              <w:rPr>
                <w:sz w:val="18"/>
                <w:szCs w:val="18"/>
              </w:rPr>
            </w:pPr>
            <w:r w:rsidRPr="006E02AA">
              <w:rPr>
                <w:sz w:val="18"/>
                <w:szCs w:val="18"/>
              </w:rPr>
              <w:t>Grade 2: 24 cancers</w:t>
            </w:r>
          </w:p>
          <w:p w14:paraId="4E8B6F7D" w14:textId="79EE9A41" w:rsidR="00887D98" w:rsidRPr="006E02AA" w:rsidRDefault="00887D98" w:rsidP="00887D98">
            <w:pPr>
              <w:pStyle w:val="BodyText"/>
              <w:spacing w:before="0" w:after="0" w:line="240" w:lineRule="auto"/>
              <w:jc w:val="left"/>
              <w:rPr>
                <w:sz w:val="18"/>
                <w:szCs w:val="18"/>
              </w:rPr>
            </w:pPr>
            <w:r w:rsidRPr="006E02AA">
              <w:rPr>
                <w:sz w:val="18"/>
                <w:szCs w:val="18"/>
              </w:rPr>
              <w:t>Grade 3: 10 cancers</w:t>
            </w:r>
          </w:p>
          <w:p w14:paraId="5640FC8E" w14:textId="4A8708D1" w:rsidR="00887D98" w:rsidRPr="006E02AA" w:rsidRDefault="00887D98" w:rsidP="00887D98">
            <w:pPr>
              <w:pStyle w:val="BodyText"/>
              <w:spacing w:before="0" w:after="0" w:line="240" w:lineRule="auto"/>
              <w:jc w:val="left"/>
              <w:rPr>
                <w:i/>
                <w:iCs/>
                <w:sz w:val="18"/>
                <w:szCs w:val="18"/>
              </w:rPr>
            </w:pPr>
            <w:r w:rsidRPr="006E02AA">
              <w:rPr>
                <w:i/>
                <w:iCs/>
                <w:sz w:val="18"/>
                <w:szCs w:val="18"/>
              </w:rPr>
              <w:t>ILC</w:t>
            </w:r>
          </w:p>
          <w:p w14:paraId="1625ADE1" w14:textId="67DA0425" w:rsidR="00887D98" w:rsidRPr="006E02AA" w:rsidRDefault="00887D98" w:rsidP="00887D98">
            <w:pPr>
              <w:pStyle w:val="BodyText"/>
              <w:spacing w:before="0" w:after="0" w:line="240" w:lineRule="auto"/>
              <w:jc w:val="left"/>
              <w:rPr>
                <w:sz w:val="18"/>
                <w:szCs w:val="18"/>
              </w:rPr>
            </w:pPr>
            <w:r w:rsidRPr="006E02AA">
              <w:rPr>
                <w:sz w:val="18"/>
                <w:szCs w:val="18"/>
              </w:rPr>
              <w:t>Grade 1: 2 cancers</w:t>
            </w:r>
          </w:p>
          <w:p w14:paraId="1F87E3A2" w14:textId="77777777" w:rsidR="00887D98" w:rsidRPr="006E02AA" w:rsidRDefault="00887D98" w:rsidP="00887D98">
            <w:pPr>
              <w:pStyle w:val="BodyText"/>
              <w:spacing w:before="0" w:after="0" w:line="240" w:lineRule="auto"/>
              <w:jc w:val="left"/>
              <w:rPr>
                <w:sz w:val="18"/>
                <w:szCs w:val="18"/>
              </w:rPr>
            </w:pPr>
            <w:r w:rsidRPr="006E02AA">
              <w:rPr>
                <w:sz w:val="18"/>
                <w:szCs w:val="18"/>
              </w:rPr>
              <w:t>Grade 2: 2 cancers</w:t>
            </w:r>
          </w:p>
          <w:p w14:paraId="37F5EE82" w14:textId="08338AC7" w:rsidR="00887D98" w:rsidRPr="006E02AA" w:rsidRDefault="00887D98" w:rsidP="00887D98">
            <w:pPr>
              <w:pStyle w:val="BodyText"/>
              <w:spacing w:before="0" w:after="0" w:line="240" w:lineRule="auto"/>
              <w:jc w:val="left"/>
              <w:rPr>
                <w:sz w:val="18"/>
                <w:szCs w:val="18"/>
              </w:rPr>
            </w:pPr>
            <w:r w:rsidRPr="006E02AA">
              <w:rPr>
                <w:i/>
                <w:iCs/>
                <w:sz w:val="18"/>
                <w:szCs w:val="18"/>
              </w:rPr>
              <w:t xml:space="preserve">DCIS: </w:t>
            </w:r>
            <w:r w:rsidRPr="006E02AA">
              <w:rPr>
                <w:sz w:val="18"/>
                <w:szCs w:val="18"/>
              </w:rPr>
              <w:t>no difference in grade for in situ cancers</w:t>
            </w:r>
          </w:p>
        </w:tc>
        <w:tc>
          <w:tcPr>
            <w:tcW w:w="1485" w:type="dxa"/>
          </w:tcPr>
          <w:p w14:paraId="70CBB509" w14:textId="1FB21D1B" w:rsidR="00887D98" w:rsidRPr="006E02AA" w:rsidRDefault="00887D98" w:rsidP="00887D98">
            <w:pPr>
              <w:pStyle w:val="BodyText"/>
              <w:spacing w:before="0" w:after="0" w:line="240" w:lineRule="auto"/>
              <w:jc w:val="center"/>
              <w:rPr>
                <w:sz w:val="18"/>
                <w:szCs w:val="18"/>
              </w:rPr>
            </w:pPr>
            <w:r w:rsidRPr="006E02AA">
              <w:rPr>
                <w:sz w:val="18"/>
                <w:szCs w:val="18"/>
              </w:rPr>
              <w:t>NA</w:t>
            </w:r>
          </w:p>
        </w:tc>
        <w:tc>
          <w:tcPr>
            <w:tcW w:w="1634" w:type="dxa"/>
          </w:tcPr>
          <w:p w14:paraId="51ED02DE" w14:textId="76A2B252" w:rsidR="00887D98" w:rsidRPr="006E02AA" w:rsidRDefault="00887D98" w:rsidP="00887D98">
            <w:pPr>
              <w:pStyle w:val="BodyText"/>
              <w:spacing w:before="0" w:after="0" w:line="240" w:lineRule="auto"/>
              <w:jc w:val="center"/>
              <w:rPr>
                <w:sz w:val="18"/>
                <w:szCs w:val="18"/>
              </w:rPr>
            </w:pPr>
            <w:r w:rsidRPr="006E02AA">
              <w:rPr>
                <w:sz w:val="18"/>
                <w:szCs w:val="18"/>
              </w:rPr>
              <w:t>NA</w:t>
            </w:r>
          </w:p>
        </w:tc>
        <w:tc>
          <w:tcPr>
            <w:tcW w:w="1978" w:type="dxa"/>
          </w:tcPr>
          <w:p w14:paraId="3B948F2C" w14:textId="233868A2" w:rsidR="00887D98" w:rsidRPr="006E02AA" w:rsidRDefault="00887D98" w:rsidP="00887D98">
            <w:pPr>
              <w:pStyle w:val="BodyText"/>
              <w:spacing w:before="0" w:after="0" w:line="240" w:lineRule="auto"/>
              <w:jc w:val="left"/>
              <w:rPr>
                <w:i/>
                <w:iCs/>
                <w:sz w:val="18"/>
                <w:szCs w:val="18"/>
              </w:rPr>
            </w:pPr>
            <w:r w:rsidRPr="006E02AA">
              <w:rPr>
                <w:i/>
                <w:iCs/>
                <w:sz w:val="18"/>
                <w:szCs w:val="18"/>
              </w:rPr>
              <w:t>IDC</w:t>
            </w:r>
          </w:p>
          <w:p w14:paraId="3FADFA4E" w14:textId="234A0683" w:rsidR="00887D98" w:rsidRPr="006E02AA" w:rsidRDefault="00887D98" w:rsidP="00887D98">
            <w:pPr>
              <w:pStyle w:val="BodyText"/>
              <w:spacing w:before="0" w:after="0" w:line="240" w:lineRule="auto"/>
              <w:jc w:val="left"/>
              <w:rPr>
                <w:i/>
                <w:iCs/>
                <w:sz w:val="18"/>
                <w:szCs w:val="18"/>
              </w:rPr>
            </w:pPr>
            <w:r w:rsidRPr="006E02AA">
              <w:rPr>
                <w:sz w:val="18"/>
                <w:szCs w:val="18"/>
              </w:rPr>
              <w:t>Grade 1: 23 cancers</w:t>
            </w:r>
            <w:r w:rsidR="0075618D" w:rsidRPr="006E02AA">
              <w:rPr>
                <w:sz w:val="18"/>
                <w:szCs w:val="18"/>
              </w:rPr>
              <w:t xml:space="preserve"> (</w:t>
            </w:r>
            <w:r w:rsidRPr="006E02AA">
              <w:rPr>
                <w:i/>
                <w:iCs/>
                <w:sz w:val="18"/>
                <w:szCs w:val="18"/>
              </w:rPr>
              <w:t>p</w:t>
            </w:r>
            <w:r w:rsidRPr="006E02AA">
              <w:rPr>
                <w:sz w:val="18"/>
                <w:szCs w:val="18"/>
              </w:rPr>
              <w:t>=.001</w:t>
            </w:r>
            <w:r w:rsidR="0075618D" w:rsidRPr="006E02AA">
              <w:rPr>
                <w:sz w:val="18"/>
                <w:szCs w:val="18"/>
              </w:rPr>
              <w:t>)</w:t>
            </w:r>
          </w:p>
          <w:p w14:paraId="1068488C" w14:textId="07B05852" w:rsidR="00887D98" w:rsidRPr="006E02AA" w:rsidRDefault="00887D98" w:rsidP="00887D98">
            <w:pPr>
              <w:pStyle w:val="BodyText"/>
              <w:spacing w:before="0" w:after="0" w:line="240" w:lineRule="auto"/>
              <w:jc w:val="left"/>
              <w:rPr>
                <w:sz w:val="18"/>
                <w:szCs w:val="18"/>
              </w:rPr>
            </w:pPr>
            <w:r w:rsidRPr="006E02AA">
              <w:rPr>
                <w:sz w:val="18"/>
                <w:szCs w:val="18"/>
              </w:rPr>
              <w:t>Grade 2: 23 cancers</w:t>
            </w:r>
            <w:r w:rsidR="0075618D" w:rsidRPr="006E02AA">
              <w:rPr>
                <w:sz w:val="18"/>
                <w:szCs w:val="18"/>
              </w:rPr>
              <w:t xml:space="preserve"> (</w:t>
            </w:r>
            <w:r w:rsidRPr="006E02AA">
              <w:rPr>
                <w:i/>
                <w:iCs/>
                <w:sz w:val="18"/>
                <w:szCs w:val="18"/>
              </w:rPr>
              <w:t>p</w:t>
            </w:r>
            <w:r w:rsidRPr="006E02AA">
              <w:rPr>
                <w:sz w:val="18"/>
                <w:szCs w:val="18"/>
              </w:rPr>
              <w:t>=.552</w:t>
            </w:r>
            <w:r w:rsidR="0075618D" w:rsidRPr="006E02AA">
              <w:rPr>
                <w:sz w:val="18"/>
                <w:szCs w:val="18"/>
              </w:rPr>
              <w:t>)</w:t>
            </w:r>
          </w:p>
          <w:p w14:paraId="31C75E41" w14:textId="1E978C22" w:rsidR="00887D98" w:rsidRPr="006E02AA" w:rsidRDefault="00887D98" w:rsidP="00887D98">
            <w:pPr>
              <w:pStyle w:val="BodyText"/>
              <w:spacing w:before="0" w:after="0" w:line="240" w:lineRule="auto"/>
              <w:jc w:val="left"/>
              <w:rPr>
                <w:sz w:val="18"/>
                <w:szCs w:val="18"/>
              </w:rPr>
            </w:pPr>
            <w:r w:rsidRPr="006E02AA">
              <w:rPr>
                <w:sz w:val="18"/>
                <w:szCs w:val="18"/>
              </w:rPr>
              <w:t>Grade 3: 9 cancers</w:t>
            </w:r>
          </w:p>
          <w:p w14:paraId="4877A074" w14:textId="2998649B" w:rsidR="00887D98" w:rsidRPr="006E02AA" w:rsidRDefault="00887D98" w:rsidP="00887D98">
            <w:pPr>
              <w:pStyle w:val="BodyText"/>
              <w:spacing w:before="0" w:after="0" w:line="240" w:lineRule="auto"/>
              <w:jc w:val="left"/>
              <w:rPr>
                <w:i/>
                <w:iCs/>
                <w:sz w:val="18"/>
                <w:szCs w:val="18"/>
              </w:rPr>
            </w:pPr>
            <w:r w:rsidRPr="006E02AA">
              <w:rPr>
                <w:i/>
                <w:iCs/>
                <w:sz w:val="18"/>
                <w:szCs w:val="18"/>
              </w:rPr>
              <w:t>ILC</w:t>
            </w:r>
          </w:p>
          <w:p w14:paraId="30536EDD" w14:textId="237B75E6" w:rsidR="00887D98" w:rsidRPr="006E02AA" w:rsidRDefault="00887D98" w:rsidP="00887D98">
            <w:pPr>
              <w:pStyle w:val="BodyText"/>
              <w:spacing w:before="0" w:after="0" w:line="240" w:lineRule="auto"/>
              <w:jc w:val="left"/>
              <w:rPr>
                <w:sz w:val="18"/>
                <w:szCs w:val="18"/>
              </w:rPr>
            </w:pPr>
            <w:r w:rsidRPr="006E02AA">
              <w:rPr>
                <w:sz w:val="18"/>
                <w:szCs w:val="18"/>
              </w:rPr>
              <w:t>Grade 1: 2 cancers</w:t>
            </w:r>
          </w:p>
          <w:p w14:paraId="0C93EE5F" w14:textId="27B138D3" w:rsidR="00887D98" w:rsidRPr="006E02AA" w:rsidRDefault="00887D98" w:rsidP="00887D98">
            <w:pPr>
              <w:pStyle w:val="BodyText"/>
              <w:spacing w:before="0" w:after="0" w:line="240" w:lineRule="auto"/>
              <w:jc w:val="left"/>
              <w:rPr>
                <w:sz w:val="18"/>
                <w:szCs w:val="18"/>
              </w:rPr>
            </w:pPr>
            <w:r w:rsidRPr="006E02AA">
              <w:rPr>
                <w:sz w:val="18"/>
                <w:szCs w:val="18"/>
              </w:rPr>
              <w:t>Grade 2: 0 cancers</w:t>
            </w:r>
          </w:p>
        </w:tc>
      </w:tr>
      <w:tr w:rsidR="00200543" w:rsidRPr="006E02AA" w14:paraId="58E23067" w14:textId="77777777" w:rsidTr="00B90EDF">
        <w:tc>
          <w:tcPr>
            <w:tcW w:w="9061" w:type="dxa"/>
            <w:gridSpan w:val="5"/>
          </w:tcPr>
          <w:p w14:paraId="1669189E" w14:textId="344E9F68" w:rsidR="00200543" w:rsidRPr="006E02AA" w:rsidRDefault="00200543" w:rsidP="00B90EDF">
            <w:pPr>
              <w:pStyle w:val="BodyText"/>
              <w:spacing w:before="0" w:after="0" w:line="240" w:lineRule="auto"/>
              <w:rPr>
                <w:b/>
                <w:bCs/>
                <w:sz w:val="18"/>
                <w:szCs w:val="18"/>
              </w:rPr>
            </w:pPr>
            <w:r w:rsidRPr="006E02AA">
              <w:rPr>
                <w:b/>
                <w:bCs/>
                <w:sz w:val="18"/>
                <w:szCs w:val="18"/>
              </w:rPr>
              <w:t>Retrospective analysis</w:t>
            </w:r>
          </w:p>
        </w:tc>
      </w:tr>
      <w:tr w:rsidR="00200543" w:rsidRPr="006E02AA" w14:paraId="466E7FF5" w14:textId="77777777" w:rsidTr="00B90EDF">
        <w:tc>
          <w:tcPr>
            <w:tcW w:w="1838" w:type="dxa"/>
          </w:tcPr>
          <w:p w14:paraId="07EE4E52" w14:textId="0369BC94" w:rsidR="00200543" w:rsidRPr="006E02AA" w:rsidRDefault="00200543" w:rsidP="00B90EDF">
            <w:pPr>
              <w:pStyle w:val="BodyText"/>
              <w:spacing w:before="0" w:after="0" w:line="240" w:lineRule="auto"/>
              <w:rPr>
                <w:sz w:val="18"/>
                <w:szCs w:val="18"/>
              </w:rPr>
            </w:pPr>
            <w:r w:rsidRPr="006E02AA">
              <w:rPr>
                <w:sz w:val="18"/>
                <w:szCs w:val="18"/>
              </w:rPr>
              <w:t>Hovda et al</w:t>
            </w:r>
            <w:r w:rsidR="00176980">
              <w:rPr>
                <w:sz w:val="18"/>
                <w:szCs w:val="18"/>
              </w:rPr>
              <w:t>.</w:t>
            </w:r>
            <w:r w:rsidR="00A9108F">
              <w:rPr>
                <w:sz w:val="18"/>
                <w:szCs w:val="18"/>
              </w:rPr>
              <w:t xml:space="preserve"> </w:t>
            </w:r>
            <w:r w:rsidRPr="006E02AA">
              <w:rPr>
                <w:sz w:val="18"/>
                <w:szCs w:val="18"/>
              </w:rPr>
              <w:t>(2019)</w:t>
            </w:r>
          </w:p>
          <w:p w14:paraId="5C3F4DDE" w14:textId="77777777" w:rsidR="00200543" w:rsidRPr="006E02AA" w:rsidRDefault="00200543" w:rsidP="00B90EDF">
            <w:pPr>
              <w:pStyle w:val="BodyText"/>
              <w:spacing w:before="0" w:after="0" w:line="240" w:lineRule="auto"/>
              <w:rPr>
                <w:sz w:val="18"/>
                <w:szCs w:val="18"/>
              </w:rPr>
            </w:pPr>
            <w:r w:rsidRPr="006E02AA">
              <w:rPr>
                <w:sz w:val="18"/>
                <w:szCs w:val="18"/>
              </w:rPr>
              <w:t>Norway BSP</w:t>
            </w:r>
          </w:p>
        </w:tc>
        <w:tc>
          <w:tcPr>
            <w:tcW w:w="2126" w:type="dxa"/>
          </w:tcPr>
          <w:p w14:paraId="039B32B1" w14:textId="77777777" w:rsidR="00200543" w:rsidRPr="006E02AA" w:rsidRDefault="00200543" w:rsidP="00B90EDF">
            <w:pPr>
              <w:pStyle w:val="BodyText"/>
              <w:spacing w:before="0" w:after="0" w:line="240" w:lineRule="auto"/>
              <w:jc w:val="left"/>
              <w:rPr>
                <w:sz w:val="18"/>
                <w:szCs w:val="18"/>
              </w:rPr>
            </w:pPr>
            <w:r w:rsidRPr="006E02AA">
              <w:rPr>
                <w:sz w:val="18"/>
                <w:szCs w:val="18"/>
              </w:rPr>
              <w:t>Grade 1: 3.17 per 1000</w:t>
            </w:r>
          </w:p>
          <w:p w14:paraId="73F45922" w14:textId="77777777" w:rsidR="00200543" w:rsidRPr="006E02AA" w:rsidRDefault="00200543" w:rsidP="00B90EDF">
            <w:pPr>
              <w:pStyle w:val="BodyText"/>
              <w:spacing w:before="0" w:after="0" w:line="240" w:lineRule="auto"/>
              <w:jc w:val="left"/>
              <w:rPr>
                <w:sz w:val="18"/>
                <w:szCs w:val="18"/>
              </w:rPr>
            </w:pPr>
            <w:r w:rsidRPr="006E02AA">
              <w:rPr>
                <w:sz w:val="18"/>
                <w:szCs w:val="18"/>
              </w:rPr>
              <w:t>Grade 2:  3.74 per 1000</w:t>
            </w:r>
          </w:p>
          <w:p w14:paraId="000C6D55" w14:textId="77777777" w:rsidR="00200543" w:rsidRPr="006E02AA" w:rsidRDefault="00200543" w:rsidP="00B90EDF">
            <w:pPr>
              <w:pStyle w:val="BodyText"/>
              <w:spacing w:before="0" w:after="0" w:line="240" w:lineRule="auto"/>
              <w:jc w:val="left"/>
              <w:rPr>
                <w:sz w:val="18"/>
                <w:szCs w:val="18"/>
              </w:rPr>
            </w:pPr>
            <w:r w:rsidRPr="006E02AA">
              <w:rPr>
                <w:sz w:val="18"/>
                <w:szCs w:val="18"/>
              </w:rPr>
              <w:t>Grade 3: 1.28 per 1000</w:t>
            </w:r>
          </w:p>
        </w:tc>
        <w:tc>
          <w:tcPr>
            <w:tcW w:w="1485" w:type="dxa"/>
          </w:tcPr>
          <w:p w14:paraId="77CB12A5" w14:textId="77777777" w:rsidR="00200543" w:rsidRPr="006E02AA" w:rsidRDefault="00200543" w:rsidP="00B90EDF">
            <w:pPr>
              <w:pStyle w:val="BodyText"/>
              <w:spacing w:before="0" w:after="0" w:line="240" w:lineRule="auto"/>
              <w:jc w:val="center"/>
              <w:rPr>
                <w:sz w:val="18"/>
                <w:szCs w:val="18"/>
              </w:rPr>
            </w:pPr>
            <w:r w:rsidRPr="006E02AA">
              <w:rPr>
                <w:sz w:val="18"/>
                <w:szCs w:val="18"/>
              </w:rPr>
              <w:t>NA</w:t>
            </w:r>
          </w:p>
        </w:tc>
        <w:tc>
          <w:tcPr>
            <w:tcW w:w="1634" w:type="dxa"/>
          </w:tcPr>
          <w:p w14:paraId="449729B2" w14:textId="77777777" w:rsidR="00200543" w:rsidRPr="006E02AA" w:rsidRDefault="00200543" w:rsidP="00B90EDF">
            <w:pPr>
              <w:pStyle w:val="BodyText"/>
              <w:spacing w:before="0" w:after="0" w:line="240" w:lineRule="auto"/>
              <w:jc w:val="center"/>
              <w:rPr>
                <w:sz w:val="18"/>
                <w:szCs w:val="18"/>
              </w:rPr>
            </w:pPr>
            <w:r w:rsidRPr="006E02AA">
              <w:rPr>
                <w:sz w:val="18"/>
                <w:szCs w:val="18"/>
              </w:rPr>
              <w:t>NA</w:t>
            </w:r>
          </w:p>
        </w:tc>
        <w:tc>
          <w:tcPr>
            <w:tcW w:w="1978" w:type="dxa"/>
          </w:tcPr>
          <w:p w14:paraId="76276C8D" w14:textId="7D2DD19E" w:rsidR="00200543" w:rsidRPr="006E02AA" w:rsidRDefault="00200543" w:rsidP="00B90EDF">
            <w:pPr>
              <w:pStyle w:val="BodyText"/>
              <w:spacing w:before="0" w:after="0" w:line="240" w:lineRule="auto"/>
              <w:jc w:val="left"/>
              <w:rPr>
                <w:sz w:val="18"/>
                <w:szCs w:val="18"/>
              </w:rPr>
            </w:pPr>
            <w:r w:rsidRPr="006E02AA">
              <w:rPr>
                <w:sz w:val="18"/>
                <w:szCs w:val="18"/>
              </w:rPr>
              <w:t>Grade 1: 0.95 per 1000</w:t>
            </w:r>
            <w:r w:rsidR="0075618D" w:rsidRPr="006E02AA">
              <w:rPr>
                <w:sz w:val="18"/>
                <w:szCs w:val="18"/>
              </w:rPr>
              <w:t xml:space="preserve"> (</w:t>
            </w:r>
            <w:r w:rsidRPr="006E02AA">
              <w:rPr>
                <w:i/>
                <w:iCs/>
                <w:sz w:val="18"/>
                <w:szCs w:val="18"/>
              </w:rPr>
              <w:t>p=</w:t>
            </w:r>
            <w:r w:rsidRPr="006E02AA">
              <w:rPr>
                <w:sz w:val="18"/>
                <w:szCs w:val="18"/>
              </w:rPr>
              <w:t>.001</w:t>
            </w:r>
            <w:r w:rsidR="0075618D" w:rsidRPr="006E02AA">
              <w:rPr>
                <w:sz w:val="18"/>
                <w:szCs w:val="18"/>
              </w:rPr>
              <w:t>)</w:t>
            </w:r>
          </w:p>
          <w:p w14:paraId="617C43B9" w14:textId="28406B6F" w:rsidR="00200543" w:rsidRPr="006E02AA" w:rsidRDefault="00200543" w:rsidP="00B90EDF">
            <w:pPr>
              <w:pStyle w:val="BodyText"/>
              <w:spacing w:before="0" w:after="0" w:line="240" w:lineRule="auto"/>
              <w:jc w:val="left"/>
              <w:rPr>
                <w:sz w:val="18"/>
                <w:szCs w:val="18"/>
              </w:rPr>
            </w:pPr>
            <w:r w:rsidRPr="006E02AA">
              <w:rPr>
                <w:sz w:val="18"/>
                <w:szCs w:val="18"/>
              </w:rPr>
              <w:t>Grade 2: 1.24 per 1000</w:t>
            </w:r>
            <w:r w:rsidR="0075618D" w:rsidRPr="006E02AA">
              <w:rPr>
                <w:sz w:val="18"/>
                <w:szCs w:val="18"/>
              </w:rPr>
              <w:t xml:space="preserve"> (</w:t>
            </w:r>
            <w:r w:rsidRPr="006E02AA">
              <w:rPr>
                <w:i/>
                <w:iCs/>
                <w:sz w:val="18"/>
                <w:szCs w:val="18"/>
              </w:rPr>
              <w:t>p=</w:t>
            </w:r>
            <w:r w:rsidRPr="006E02AA">
              <w:rPr>
                <w:sz w:val="18"/>
                <w:szCs w:val="18"/>
              </w:rPr>
              <w:t>.001</w:t>
            </w:r>
            <w:r w:rsidR="0075618D" w:rsidRPr="006E02AA">
              <w:rPr>
                <w:sz w:val="18"/>
                <w:szCs w:val="18"/>
              </w:rPr>
              <w:t>)</w:t>
            </w:r>
          </w:p>
          <w:p w14:paraId="773EFCA0" w14:textId="77777777" w:rsidR="00200543" w:rsidRPr="006E02AA" w:rsidRDefault="00200543" w:rsidP="00B90EDF">
            <w:pPr>
              <w:pStyle w:val="BodyText"/>
              <w:spacing w:before="0" w:after="0" w:line="240" w:lineRule="auto"/>
              <w:jc w:val="left"/>
              <w:rPr>
                <w:sz w:val="18"/>
                <w:szCs w:val="18"/>
              </w:rPr>
            </w:pPr>
            <w:r w:rsidRPr="006E02AA">
              <w:rPr>
                <w:sz w:val="18"/>
                <w:szCs w:val="18"/>
              </w:rPr>
              <w:t>Grade 3: 1.52 per 1000</w:t>
            </w:r>
          </w:p>
        </w:tc>
      </w:tr>
      <w:tr w:rsidR="00887D98" w:rsidRPr="006E02AA" w14:paraId="1BBE87FA" w14:textId="77777777" w:rsidTr="00592E7C">
        <w:tc>
          <w:tcPr>
            <w:tcW w:w="9061" w:type="dxa"/>
            <w:gridSpan w:val="5"/>
            <w:shd w:val="clear" w:color="auto" w:fill="E7FFBD" w:themeFill="background2" w:themeFillTint="33"/>
          </w:tcPr>
          <w:p w14:paraId="21F6FFC2" w14:textId="77CCB410" w:rsidR="00887D98" w:rsidRPr="006E02AA" w:rsidRDefault="00887D98" w:rsidP="00887D98">
            <w:pPr>
              <w:pStyle w:val="BodyText"/>
              <w:spacing w:before="0" w:after="0" w:line="240" w:lineRule="auto"/>
              <w:jc w:val="center"/>
              <w:rPr>
                <w:sz w:val="18"/>
                <w:szCs w:val="18"/>
              </w:rPr>
            </w:pPr>
            <w:r w:rsidRPr="006E02AA">
              <w:rPr>
                <w:sz w:val="18"/>
                <w:szCs w:val="18"/>
              </w:rPr>
              <w:t>FFDM+DBT compared to FFDM alone</w:t>
            </w:r>
          </w:p>
        </w:tc>
      </w:tr>
      <w:tr w:rsidR="00887D98" w:rsidRPr="006E02AA" w14:paraId="573D50BB" w14:textId="77777777" w:rsidTr="00592E7C">
        <w:tc>
          <w:tcPr>
            <w:tcW w:w="9061" w:type="dxa"/>
            <w:gridSpan w:val="5"/>
          </w:tcPr>
          <w:p w14:paraId="4FA710D3" w14:textId="7963BA27" w:rsidR="00887D98" w:rsidRPr="006E02AA" w:rsidRDefault="00887D98" w:rsidP="00887D98">
            <w:pPr>
              <w:pStyle w:val="BodyText"/>
              <w:spacing w:before="0" w:after="0" w:line="240" w:lineRule="auto"/>
              <w:rPr>
                <w:b/>
                <w:bCs/>
                <w:sz w:val="18"/>
                <w:szCs w:val="18"/>
              </w:rPr>
            </w:pPr>
            <w:r w:rsidRPr="006E02AA">
              <w:rPr>
                <w:b/>
                <w:bCs/>
                <w:sz w:val="18"/>
                <w:szCs w:val="18"/>
              </w:rPr>
              <w:t>RCT</w:t>
            </w:r>
          </w:p>
        </w:tc>
      </w:tr>
      <w:tr w:rsidR="00887D98" w:rsidRPr="006E02AA" w14:paraId="52026060" w14:textId="77777777" w:rsidTr="00592E7C">
        <w:tc>
          <w:tcPr>
            <w:tcW w:w="1838" w:type="dxa"/>
          </w:tcPr>
          <w:p w14:paraId="540F87EC" w14:textId="77777777" w:rsidR="00887D98" w:rsidRPr="006E02AA" w:rsidRDefault="00887D98" w:rsidP="00887D98">
            <w:pPr>
              <w:pStyle w:val="BodyText"/>
              <w:spacing w:before="0" w:after="0" w:line="240" w:lineRule="auto"/>
              <w:rPr>
                <w:sz w:val="18"/>
                <w:szCs w:val="18"/>
              </w:rPr>
            </w:pPr>
            <w:r w:rsidRPr="006E02AA">
              <w:rPr>
                <w:sz w:val="18"/>
                <w:szCs w:val="18"/>
              </w:rPr>
              <w:t>Pattacini et al. (2018)</w:t>
            </w:r>
          </w:p>
          <w:p w14:paraId="72DE435A" w14:textId="515669FB" w:rsidR="00887D98" w:rsidRPr="006E02AA" w:rsidRDefault="00887D98" w:rsidP="00887D98">
            <w:pPr>
              <w:pStyle w:val="BodyText"/>
              <w:spacing w:before="0" w:after="0" w:line="240" w:lineRule="auto"/>
              <w:rPr>
                <w:sz w:val="18"/>
                <w:szCs w:val="18"/>
              </w:rPr>
            </w:pPr>
            <w:r w:rsidRPr="006E02AA">
              <w:rPr>
                <w:sz w:val="18"/>
                <w:szCs w:val="18"/>
              </w:rPr>
              <w:t>Reggio</w:t>
            </w:r>
            <w:r w:rsidR="00A9108F">
              <w:rPr>
                <w:sz w:val="18"/>
                <w:szCs w:val="18"/>
              </w:rPr>
              <w:t xml:space="preserve"> </w:t>
            </w:r>
            <w:r w:rsidRPr="006E02AA">
              <w:rPr>
                <w:sz w:val="18"/>
                <w:szCs w:val="18"/>
              </w:rPr>
              <w:t xml:space="preserve">Emilia </w:t>
            </w:r>
          </w:p>
        </w:tc>
        <w:tc>
          <w:tcPr>
            <w:tcW w:w="2126" w:type="dxa"/>
          </w:tcPr>
          <w:p w14:paraId="53CAD3BF" w14:textId="4C81F728" w:rsidR="00887D98" w:rsidRPr="006E02AA" w:rsidRDefault="00887D98" w:rsidP="00887D98">
            <w:pPr>
              <w:pStyle w:val="BodyText"/>
              <w:spacing w:before="0" w:after="0" w:line="240" w:lineRule="auto"/>
              <w:jc w:val="center"/>
              <w:rPr>
                <w:sz w:val="18"/>
                <w:szCs w:val="18"/>
              </w:rPr>
            </w:pPr>
            <w:r w:rsidRPr="006E02AA">
              <w:rPr>
                <w:sz w:val="18"/>
                <w:szCs w:val="18"/>
              </w:rPr>
              <w:t>NA</w:t>
            </w:r>
          </w:p>
        </w:tc>
        <w:tc>
          <w:tcPr>
            <w:tcW w:w="1485" w:type="dxa"/>
          </w:tcPr>
          <w:p w14:paraId="272A3090" w14:textId="205E989A" w:rsidR="00887D98" w:rsidRPr="006E02AA" w:rsidRDefault="00887D98" w:rsidP="00887D98">
            <w:pPr>
              <w:pStyle w:val="BodyText"/>
              <w:spacing w:before="0" w:after="0" w:line="240" w:lineRule="auto"/>
              <w:jc w:val="center"/>
              <w:rPr>
                <w:sz w:val="18"/>
                <w:szCs w:val="18"/>
              </w:rPr>
            </w:pPr>
            <w:r w:rsidRPr="006E02AA">
              <w:rPr>
                <w:sz w:val="18"/>
                <w:szCs w:val="18"/>
              </w:rPr>
              <w:t>NA</w:t>
            </w:r>
          </w:p>
        </w:tc>
        <w:tc>
          <w:tcPr>
            <w:tcW w:w="1634" w:type="dxa"/>
          </w:tcPr>
          <w:p w14:paraId="1895C68D" w14:textId="77777777" w:rsidR="00887D98" w:rsidRPr="006E02AA" w:rsidRDefault="00887D98" w:rsidP="00887D98">
            <w:pPr>
              <w:pStyle w:val="BodyText"/>
              <w:spacing w:before="0" w:after="0" w:line="240" w:lineRule="auto"/>
              <w:rPr>
                <w:sz w:val="18"/>
                <w:szCs w:val="18"/>
              </w:rPr>
            </w:pPr>
            <w:r w:rsidRPr="006E02AA">
              <w:rPr>
                <w:sz w:val="18"/>
                <w:szCs w:val="18"/>
              </w:rPr>
              <w:t>Grade 1: 12 cancers</w:t>
            </w:r>
          </w:p>
          <w:p w14:paraId="44EED894" w14:textId="77777777" w:rsidR="00887D98" w:rsidRPr="006E02AA" w:rsidRDefault="00887D98" w:rsidP="00887D98">
            <w:pPr>
              <w:pStyle w:val="BodyText"/>
              <w:spacing w:before="0" w:after="0" w:line="240" w:lineRule="auto"/>
              <w:rPr>
                <w:sz w:val="18"/>
                <w:szCs w:val="18"/>
              </w:rPr>
            </w:pPr>
            <w:r w:rsidRPr="006E02AA">
              <w:rPr>
                <w:sz w:val="18"/>
                <w:szCs w:val="18"/>
              </w:rPr>
              <w:t>Grade 2: 61 cancers</w:t>
            </w:r>
          </w:p>
          <w:p w14:paraId="19F778F0" w14:textId="77777777" w:rsidR="00887D98" w:rsidRPr="006E02AA" w:rsidRDefault="00887D98" w:rsidP="00887D98">
            <w:pPr>
              <w:pStyle w:val="BodyText"/>
              <w:spacing w:before="0" w:after="0" w:line="240" w:lineRule="auto"/>
              <w:rPr>
                <w:sz w:val="18"/>
                <w:szCs w:val="18"/>
              </w:rPr>
            </w:pPr>
            <w:r w:rsidRPr="006E02AA">
              <w:rPr>
                <w:sz w:val="18"/>
                <w:szCs w:val="18"/>
              </w:rPr>
              <w:t>Grade 3: 8 cancers</w:t>
            </w:r>
          </w:p>
          <w:p w14:paraId="45E75A7E" w14:textId="77777777" w:rsidR="00887D98" w:rsidRPr="006E02AA" w:rsidRDefault="00887D98" w:rsidP="00887D98">
            <w:pPr>
              <w:pStyle w:val="BodyText"/>
              <w:spacing w:before="0" w:after="0" w:line="240" w:lineRule="auto"/>
              <w:rPr>
                <w:sz w:val="18"/>
                <w:szCs w:val="18"/>
              </w:rPr>
            </w:pPr>
            <w:r w:rsidRPr="006E02AA">
              <w:rPr>
                <w:sz w:val="18"/>
                <w:szCs w:val="18"/>
              </w:rPr>
              <w:t>No data: 2 cancers</w:t>
            </w:r>
          </w:p>
        </w:tc>
        <w:tc>
          <w:tcPr>
            <w:tcW w:w="1978" w:type="dxa"/>
          </w:tcPr>
          <w:p w14:paraId="57875C4E" w14:textId="3F56F624" w:rsidR="00887D98" w:rsidRPr="006E02AA" w:rsidRDefault="00887D98" w:rsidP="00887D98">
            <w:pPr>
              <w:pStyle w:val="BodyText"/>
              <w:spacing w:before="0" w:after="0" w:line="240" w:lineRule="auto"/>
              <w:rPr>
                <w:sz w:val="18"/>
                <w:szCs w:val="18"/>
              </w:rPr>
            </w:pPr>
            <w:r w:rsidRPr="006E02AA">
              <w:rPr>
                <w:sz w:val="18"/>
                <w:szCs w:val="18"/>
              </w:rPr>
              <w:t>Grade 1: 4 cancers (RR3.00; 0.97</w:t>
            </w:r>
            <w:r w:rsidR="0075618D" w:rsidRPr="006E02AA">
              <w:rPr>
                <w:sz w:val="18"/>
                <w:szCs w:val="18"/>
              </w:rPr>
              <w:t xml:space="preserve">, </w:t>
            </w:r>
            <w:r w:rsidRPr="006E02AA">
              <w:rPr>
                <w:sz w:val="18"/>
                <w:szCs w:val="18"/>
              </w:rPr>
              <w:t>9.3)</w:t>
            </w:r>
          </w:p>
          <w:p w14:paraId="7EECEF94" w14:textId="4CE83691" w:rsidR="00887D98" w:rsidRPr="006E02AA" w:rsidRDefault="00887D98" w:rsidP="00887D98">
            <w:pPr>
              <w:pStyle w:val="BodyText"/>
              <w:spacing w:before="0" w:after="0" w:line="240" w:lineRule="auto"/>
              <w:rPr>
                <w:sz w:val="18"/>
                <w:szCs w:val="18"/>
              </w:rPr>
            </w:pPr>
            <w:r w:rsidRPr="006E02AA">
              <w:rPr>
                <w:sz w:val="18"/>
                <w:szCs w:val="18"/>
              </w:rPr>
              <w:t>Grade 2: 30 cancers  (RR</w:t>
            </w:r>
            <w:r w:rsidR="00285D7E">
              <w:rPr>
                <w:sz w:val="18"/>
                <w:szCs w:val="18"/>
              </w:rPr>
              <w:t>=</w:t>
            </w:r>
            <w:r w:rsidRPr="006E02AA">
              <w:rPr>
                <w:sz w:val="18"/>
                <w:szCs w:val="18"/>
              </w:rPr>
              <w:t>2.03, 1.32</w:t>
            </w:r>
            <w:r w:rsidR="0075618D" w:rsidRPr="006E02AA">
              <w:rPr>
                <w:sz w:val="18"/>
                <w:szCs w:val="18"/>
              </w:rPr>
              <w:t xml:space="preserve">, </w:t>
            </w:r>
            <w:r w:rsidRPr="006E02AA">
              <w:rPr>
                <w:sz w:val="18"/>
                <w:szCs w:val="18"/>
              </w:rPr>
              <w:t>3.15</w:t>
            </w:r>
            <w:r w:rsidR="0075618D" w:rsidRPr="006E02AA">
              <w:rPr>
                <w:sz w:val="18"/>
                <w:szCs w:val="18"/>
              </w:rPr>
              <w:t>)</w:t>
            </w:r>
          </w:p>
          <w:p w14:paraId="62AFF966" w14:textId="6B377F1B" w:rsidR="00887D98" w:rsidRPr="006E02AA" w:rsidRDefault="00887D98" w:rsidP="00887D98">
            <w:pPr>
              <w:pStyle w:val="BodyText"/>
              <w:spacing w:before="0" w:after="0" w:line="240" w:lineRule="auto"/>
              <w:jc w:val="left"/>
              <w:rPr>
                <w:sz w:val="18"/>
                <w:szCs w:val="18"/>
              </w:rPr>
            </w:pPr>
            <w:r w:rsidRPr="006E02AA">
              <w:rPr>
                <w:sz w:val="18"/>
                <w:szCs w:val="18"/>
              </w:rPr>
              <w:lastRenderedPageBreak/>
              <w:t>Grade 3: 9 cancers (RR</w:t>
            </w:r>
            <w:r w:rsidR="00285D7E">
              <w:rPr>
                <w:sz w:val="18"/>
                <w:szCs w:val="18"/>
              </w:rPr>
              <w:t>=</w:t>
            </w:r>
            <w:r w:rsidRPr="006E02AA">
              <w:rPr>
                <w:sz w:val="18"/>
                <w:szCs w:val="18"/>
              </w:rPr>
              <w:t>0.89 0.34</w:t>
            </w:r>
            <w:r w:rsidR="0075618D" w:rsidRPr="006E02AA">
              <w:rPr>
                <w:sz w:val="18"/>
                <w:szCs w:val="18"/>
              </w:rPr>
              <w:t xml:space="preserve">, </w:t>
            </w:r>
            <w:r w:rsidRPr="006E02AA">
              <w:rPr>
                <w:sz w:val="18"/>
                <w:szCs w:val="18"/>
              </w:rPr>
              <w:t>2.30)</w:t>
            </w:r>
          </w:p>
          <w:p w14:paraId="13FFA8FB" w14:textId="77777777" w:rsidR="00887D98" w:rsidRPr="006E02AA" w:rsidRDefault="00887D98" w:rsidP="00887D98">
            <w:pPr>
              <w:pStyle w:val="BodyText"/>
              <w:spacing w:before="0" w:after="0" w:line="240" w:lineRule="auto"/>
              <w:jc w:val="left"/>
              <w:rPr>
                <w:sz w:val="18"/>
                <w:szCs w:val="18"/>
              </w:rPr>
            </w:pPr>
            <w:r w:rsidRPr="006E02AA">
              <w:rPr>
                <w:sz w:val="18"/>
                <w:szCs w:val="18"/>
              </w:rPr>
              <w:t>No data: 1 cancer</w:t>
            </w:r>
          </w:p>
        </w:tc>
      </w:tr>
      <w:tr w:rsidR="00887D98" w:rsidRPr="006E02AA" w14:paraId="724156AD" w14:textId="77777777" w:rsidTr="00592E7C">
        <w:tc>
          <w:tcPr>
            <w:tcW w:w="9061" w:type="dxa"/>
            <w:gridSpan w:val="5"/>
          </w:tcPr>
          <w:p w14:paraId="187C43CA" w14:textId="77777777" w:rsidR="00887D98" w:rsidRPr="006E02AA" w:rsidRDefault="00887D98" w:rsidP="00887D98">
            <w:pPr>
              <w:pStyle w:val="BodyText"/>
              <w:spacing w:before="0" w:after="0" w:line="240" w:lineRule="auto"/>
              <w:rPr>
                <w:b/>
                <w:bCs/>
                <w:sz w:val="18"/>
                <w:szCs w:val="18"/>
              </w:rPr>
            </w:pPr>
            <w:r w:rsidRPr="006E02AA">
              <w:rPr>
                <w:b/>
                <w:bCs/>
                <w:sz w:val="18"/>
                <w:szCs w:val="18"/>
              </w:rPr>
              <w:lastRenderedPageBreak/>
              <w:t>Prospective studies embedded in population-based screening</w:t>
            </w:r>
          </w:p>
        </w:tc>
      </w:tr>
      <w:tr w:rsidR="00887D98" w:rsidRPr="006E02AA" w14:paraId="25FC874B" w14:textId="77777777" w:rsidTr="00592E7C">
        <w:tc>
          <w:tcPr>
            <w:tcW w:w="1838" w:type="dxa"/>
          </w:tcPr>
          <w:p w14:paraId="24982ED1" w14:textId="77777777" w:rsidR="00887D98" w:rsidRPr="006E02AA" w:rsidRDefault="00887D98" w:rsidP="00887D98">
            <w:pPr>
              <w:pStyle w:val="BodyText"/>
              <w:spacing w:before="0" w:after="0" w:line="240" w:lineRule="auto"/>
              <w:rPr>
                <w:sz w:val="18"/>
                <w:szCs w:val="18"/>
              </w:rPr>
            </w:pPr>
            <w:r w:rsidRPr="006E02AA">
              <w:rPr>
                <w:sz w:val="18"/>
                <w:szCs w:val="18"/>
              </w:rPr>
              <w:t>Skaane et al. (2018)</w:t>
            </w:r>
          </w:p>
          <w:p w14:paraId="7D48E030" w14:textId="3815C77D" w:rsidR="00887D98" w:rsidRPr="006E02AA" w:rsidRDefault="00887D98" w:rsidP="00887D98">
            <w:pPr>
              <w:pStyle w:val="BodyText"/>
              <w:spacing w:before="0" w:after="0" w:line="240" w:lineRule="auto"/>
              <w:rPr>
                <w:sz w:val="18"/>
                <w:szCs w:val="18"/>
              </w:rPr>
            </w:pPr>
            <w:r w:rsidRPr="006E02AA">
              <w:rPr>
                <w:sz w:val="18"/>
                <w:szCs w:val="18"/>
              </w:rPr>
              <w:t>OTS</w:t>
            </w:r>
          </w:p>
        </w:tc>
        <w:tc>
          <w:tcPr>
            <w:tcW w:w="2126" w:type="dxa"/>
          </w:tcPr>
          <w:p w14:paraId="6FCD9097" w14:textId="74F38092" w:rsidR="00887D98" w:rsidRPr="006E02AA" w:rsidRDefault="00887D98" w:rsidP="00887D98">
            <w:pPr>
              <w:pStyle w:val="BodyText"/>
              <w:spacing w:before="0" w:after="0" w:line="240" w:lineRule="auto"/>
              <w:jc w:val="center"/>
              <w:rPr>
                <w:sz w:val="18"/>
                <w:szCs w:val="18"/>
              </w:rPr>
            </w:pPr>
            <w:r w:rsidRPr="006E02AA">
              <w:rPr>
                <w:sz w:val="18"/>
                <w:szCs w:val="18"/>
              </w:rPr>
              <w:t>NA</w:t>
            </w:r>
          </w:p>
        </w:tc>
        <w:tc>
          <w:tcPr>
            <w:tcW w:w="1485" w:type="dxa"/>
          </w:tcPr>
          <w:p w14:paraId="3C30D423" w14:textId="021C2742" w:rsidR="00887D98" w:rsidRPr="006E02AA" w:rsidRDefault="00887D98" w:rsidP="00887D98">
            <w:pPr>
              <w:pStyle w:val="BodyText"/>
              <w:spacing w:before="0" w:after="0" w:line="240" w:lineRule="auto"/>
              <w:jc w:val="center"/>
              <w:rPr>
                <w:sz w:val="18"/>
                <w:szCs w:val="18"/>
              </w:rPr>
            </w:pPr>
            <w:r w:rsidRPr="006E02AA">
              <w:rPr>
                <w:sz w:val="18"/>
                <w:szCs w:val="18"/>
              </w:rPr>
              <w:t>NA</w:t>
            </w:r>
          </w:p>
        </w:tc>
        <w:tc>
          <w:tcPr>
            <w:tcW w:w="1634" w:type="dxa"/>
          </w:tcPr>
          <w:p w14:paraId="3847101E" w14:textId="6008C7A2" w:rsidR="00887D98" w:rsidRPr="006E02AA" w:rsidRDefault="00887D98" w:rsidP="00887D98">
            <w:pPr>
              <w:pStyle w:val="BodyText"/>
              <w:spacing w:before="0" w:after="0" w:line="240" w:lineRule="auto"/>
              <w:jc w:val="left"/>
              <w:rPr>
                <w:sz w:val="18"/>
                <w:szCs w:val="18"/>
              </w:rPr>
            </w:pPr>
            <w:r w:rsidRPr="006E02AA">
              <w:rPr>
                <w:sz w:val="18"/>
                <w:szCs w:val="18"/>
              </w:rPr>
              <w:t>Grade 1: 35.4%</w:t>
            </w:r>
          </w:p>
          <w:p w14:paraId="19421ABB" w14:textId="4BDF7A4D" w:rsidR="00887D98" w:rsidRPr="006E02AA" w:rsidRDefault="00887D98" w:rsidP="00887D98">
            <w:pPr>
              <w:pStyle w:val="BodyText"/>
              <w:spacing w:before="0" w:after="0" w:line="240" w:lineRule="auto"/>
              <w:jc w:val="left"/>
              <w:rPr>
                <w:sz w:val="18"/>
                <w:szCs w:val="18"/>
              </w:rPr>
            </w:pPr>
            <w:r w:rsidRPr="006E02AA">
              <w:rPr>
                <w:sz w:val="18"/>
                <w:szCs w:val="18"/>
              </w:rPr>
              <w:t>Grade 2: 46.0%</w:t>
            </w:r>
          </w:p>
          <w:p w14:paraId="18082485" w14:textId="5763BDC1" w:rsidR="00887D98" w:rsidRPr="006E02AA" w:rsidRDefault="00887D98" w:rsidP="00887D98">
            <w:pPr>
              <w:pStyle w:val="BodyText"/>
              <w:spacing w:before="0" w:after="0" w:line="240" w:lineRule="auto"/>
              <w:jc w:val="left"/>
              <w:rPr>
                <w:sz w:val="18"/>
                <w:szCs w:val="18"/>
              </w:rPr>
            </w:pPr>
            <w:r w:rsidRPr="006E02AA">
              <w:rPr>
                <w:sz w:val="18"/>
                <w:szCs w:val="18"/>
              </w:rPr>
              <w:t>Grade 3: 18.5%</w:t>
            </w:r>
          </w:p>
          <w:p w14:paraId="0B6DB8B8" w14:textId="77777777" w:rsidR="00887D98" w:rsidRPr="006E02AA" w:rsidRDefault="00887D98" w:rsidP="00887D98">
            <w:pPr>
              <w:pStyle w:val="BodyText"/>
              <w:spacing w:before="0" w:after="0" w:line="240" w:lineRule="auto"/>
              <w:rPr>
                <w:sz w:val="18"/>
                <w:szCs w:val="18"/>
              </w:rPr>
            </w:pPr>
            <w:r w:rsidRPr="006E02AA">
              <w:rPr>
                <w:sz w:val="18"/>
                <w:szCs w:val="18"/>
              </w:rPr>
              <w:t>No data: 2 cancers</w:t>
            </w:r>
          </w:p>
        </w:tc>
        <w:tc>
          <w:tcPr>
            <w:tcW w:w="1978" w:type="dxa"/>
          </w:tcPr>
          <w:p w14:paraId="0B541961" w14:textId="77777777" w:rsidR="00887D98" w:rsidRPr="006E02AA" w:rsidRDefault="00887D98" w:rsidP="00887D98">
            <w:pPr>
              <w:pStyle w:val="BodyText"/>
              <w:spacing w:before="0" w:after="0" w:line="240" w:lineRule="auto"/>
              <w:jc w:val="left"/>
              <w:rPr>
                <w:sz w:val="18"/>
                <w:szCs w:val="18"/>
              </w:rPr>
            </w:pPr>
            <w:r w:rsidRPr="006E02AA">
              <w:rPr>
                <w:sz w:val="18"/>
                <w:szCs w:val="18"/>
              </w:rPr>
              <w:t>Grade 1: 35.8%</w:t>
            </w:r>
          </w:p>
          <w:p w14:paraId="345E49FF" w14:textId="77777777" w:rsidR="00887D98" w:rsidRPr="006E02AA" w:rsidRDefault="00887D98" w:rsidP="00887D98">
            <w:pPr>
              <w:pStyle w:val="BodyText"/>
              <w:spacing w:before="0" w:after="0" w:line="240" w:lineRule="auto"/>
              <w:jc w:val="left"/>
              <w:rPr>
                <w:sz w:val="18"/>
                <w:szCs w:val="18"/>
              </w:rPr>
            </w:pPr>
            <w:r w:rsidRPr="006E02AA">
              <w:rPr>
                <w:sz w:val="18"/>
                <w:szCs w:val="18"/>
              </w:rPr>
              <w:t>Grade 2: 45.9%</w:t>
            </w:r>
          </w:p>
          <w:p w14:paraId="2049987A" w14:textId="18699E96" w:rsidR="00887D98" w:rsidRPr="006E02AA" w:rsidRDefault="00887D98" w:rsidP="00887D98">
            <w:pPr>
              <w:pStyle w:val="BodyText"/>
              <w:spacing w:before="0" w:after="0" w:line="240" w:lineRule="auto"/>
              <w:jc w:val="left"/>
              <w:rPr>
                <w:sz w:val="18"/>
                <w:szCs w:val="18"/>
              </w:rPr>
            </w:pPr>
            <w:r w:rsidRPr="006E02AA">
              <w:rPr>
                <w:sz w:val="18"/>
                <w:szCs w:val="18"/>
              </w:rPr>
              <w:t>Grade 3: 18.</w:t>
            </w:r>
            <w:r w:rsidR="0008454F" w:rsidRPr="006E02AA">
              <w:rPr>
                <w:sz w:val="18"/>
                <w:szCs w:val="18"/>
              </w:rPr>
              <w:t>0</w:t>
            </w:r>
            <w:r w:rsidRPr="006E02AA">
              <w:rPr>
                <w:sz w:val="18"/>
                <w:szCs w:val="18"/>
              </w:rPr>
              <w:t>%</w:t>
            </w:r>
          </w:p>
          <w:p w14:paraId="426B35D2" w14:textId="7E71A097" w:rsidR="00887D98" w:rsidRPr="006E02AA" w:rsidRDefault="00887D98" w:rsidP="00887D98">
            <w:pPr>
              <w:pStyle w:val="BodyText"/>
              <w:spacing w:before="0" w:after="0" w:line="240" w:lineRule="auto"/>
              <w:rPr>
                <w:sz w:val="18"/>
                <w:szCs w:val="18"/>
              </w:rPr>
            </w:pPr>
            <w:r w:rsidRPr="006E02AA">
              <w:rPr>
                <w:sz w:val="18"/>
                <w:szCs w:val="18"/>
              </w:rPr>
              <w:t>No data: NA</w:t>
            </w:r>
          </w:p>
        </w:tc>
      </w:tr>
      <w:tr w:rsidR="00CB25CB" w:rsidRPr="006E02AA" w14:paraId="782C459C" w14:textId="77777777" w:rsidTr="00724130">
        <w:tc>
          <w:tcPr>
            <w:tcW w:w="9061" w:type="dxa"/>
            <w:gridSpan w:val="5"/>
          </w:tcPr>
          <w:p w14:paraId="50195DB2" w14:textId="3B3AC6F3" w:rsidR="00CB25CB" w:rsidRPr="006E02AA" w:rsidRDefault="00CB25CB" w:rsidP="00724130">
            <w:pPr>
              <w:pStyle w:val="BodyText"/>
              <w:spacing w:before="0" w:after="0" w:line="240" w:lineRule="auto"/>
              <w:rPr>
                <w:b/>
                <w:bCs/>
                <w:sz w:val="18"/>
                <w:szCs w:val="18"/>
              </w:rPr>
            </w:pPr>
            <w:r w:rsidRPr="006E02AA">
              <w:rPr>
                <w:b/>
                <w:bCs/>
                <w:sz w:val="18"/>
                <w:szCs w:val="18"/>
              </w:rPr>
              <w:t>Retrospective studies</w:t>
            </w:r>
          </w:p>
        </w:tc>
      </w:tr>
      <w:tr w:rsidR="00CB25CB" w:rsidRPr="006E02AA" w14:paraId="494DECD6" w14:textId="77777777" w:rsidTr="00724130">
        <w:tc>
          <w:tcPr>
            <w:tcW w:w="1838" w:type="dxa"/>
          </w:tcPr>
          <w:p w14:paraId="61419CBD" w14:textId="40FF859C" w:rsidR="00CB25CB" w:rsidRPr="006E02AA" w:rsidRDefault="00CB25CB" w:rsidP="00724130">
            <w:pPr>
              <w:pStyle w:val="BodyText"/>
              <w:spacing w:before="0" w:after="0" w:line="240" w:lineRule="auto"/>
              <w:rPr>
                <w:sz w:val="18"/>
                <w:szCs w:val="18"/>
              </w:rPr>
            </w:pPr>
            <w:r w:rsidRPr="006E02AA">
              <w:rPr>
                <w:sz w:val="18"/>
                <w:szCs w:val="18"/>
              </w:rPr>
              <w:t>Bahl et al. (2019)</w:t>
            </w:r>
          </w:p>
        </w:tc>
        <w:tc>
          <w:tcPr>
            <w:tcW w:w="2126" w:type="dxa"/>
          </w:tcPr>
          <w:p w14:paraId="2D26F619" w14:textId="77777777" w:rsidR="00CB25CB" w:rsidRPr="006E02AA" w:rsidRDefault="00CB25CB" w:rsidP="00724130">
            <w:pPr>
              <w:pStyle w:val="BodyText"/>
              <w:spacing w:before="0" w:after="0" w:line="240" w:lineRule="auto"/>
              <w:jc w:val="center"/>
              <w:rPr>
                <w:sz w:val="18"/>
                <w:szCs w:val="18"/>
              </w:rPr>
            </w:pPr>
            <w:r w:rsidRPr="006E02AA">
              <w:rPr>
                <w:sz w:val="18"/>
                <w:szCs w:val="18"/>
              </w:rPr>
              <w:t>NA</w:t>
            </w:r>
          </w:p>
        </w:tc>
        <w:tc>
          <w:tcPr>
            <w:tcW w:w="1485" w:type="dxa"/>
          </w:tcPr>
          <w:p w14:paraId="4ABBE516" w14:textId="77777777" w:rsidR="00CB25CB" w:rsidRPr="006E02AA" w:rsidRDefault="00CB25CB" w:rsidP="00724130">
            <w:pPr>
              <w:pStyle w:val="BodyText"/>
              <w:spacing w:before="0" w:after="0" w:line="240" w:lineRule="auto"/>
              <w:jc w:val="center"/>
              <w:rPr>
                <w:sz w:val="18"/>
                <w:szCs w:val="18"/>
              </w:rPr>
            </w:pPr>
            <w:r w:rsidRPr="006E02AA">
              <w:rPr>
                <w:sz w:val="18"/>
                <w:szCs w:val="18"/>
              </w:rPr>
              <w:t>NA</w:t>
            </w:r>
          </w:p>
        </w:tc>
        <w:tc>
          <w:tcPr>
            <w:tcW w:w="1634" w:type="dxa"/>
          </w:tcPr>
          <w:p w14:paraId="4D777E89" w14:textId="304EEE01" w:rsidR="000340F4" w:rsidRPr="006E02AA" w:rsidRDefault="000340F4" w:rsidP="00724130">
            <w:pPr>
              <w:pStyle w:val="BodyText"/>
              <w:spacing w:before="0" w:after="0" w:line="240" w:lineRule="auto"/>
              <w:jc w:val="left"/>
              <w:rPr>
                <w:i/>
                <w:iCs/>
                <w:sz w:val="18"/>
                <w:szCs w:val="18"/>
              </w:rPr>
            </w:pPr>
            <w:r w:rsidRPr="006E02AA">
              <w:rPr>
                <w:i/>
                <w:iCs/>
                <w:sz w:val="18"/>
                <w:szCs w:val="18"/>
              </w:rPr>
              <w:t>Invasive cancers</w:t>
            </w:r>
          </w:p>
          <w:p w14:paraId="25506C30" w14:textId="2511F808" w:rsidR="00CB25CB" w:rsidRPr="006E02AA" w:rsidRDefault="00CB25CB" w:rsidP="00724130">
            <w:pPr>
              <w:pStyle w:val="BodyText"/>
              <w:spacing w:before="0" w:after="0" w:line="240" w:lineRule="auto"/>
              <w:jc w:val="left"/>
              <w:rPr>
                <w:sz w:val="18"/>
                <w:szCs w:val="18"/>
              </w:rPr>
            </w:pPr>
            <w:r w:rsidRPr="006E02AA">
              <w:rPr>
                <w:sz w:val="18"/>
                <w:szCs w:val="18"/>
              </w:rPr>
              <w:t xml:space="preserve">Grade 1: </w:t>
            </w:r>
            <w:r w:rsidR="0008454F" w:rsidRPr="006E02AA">
              <w:rPr>
                <w:sz w:val="18"/>
                <w:szCs w:val="18"/>
              </w:rPr>
              <w:t>20</w:t>
            </w:r>
            <w:r w:rsidR="000340F4" w:rsidRPr="006E02AA">
              <w:rPr>
                <w:sz w:val="18"/>
                <w:szCs w:val="18"/>
              </w:rPr>
              <w:t>.0</w:t>
            </w:r>
            <w:r w:rsidRPr="006E02AA">
              <w:rPr>
                <w:sz w:val="18"/>
                <w:szCs w:val="18"/>
              </w:rPr>
              <w:t>%</w:t>
            </w:r>
          </w:p>
          <w:p w14:paraId="19533632" w14:textId="1102DDC3" w:rsidR="00CB25CB" w:rsidRPr="006E02AA" w:rsidRDefault="00CB25CB" w:rsidP="00724130">
            <w:pPr>
              <w:pStyle w:val="BodyText"/>
              <w:spacing w:before="0" w:after="0" w:line="240" w:lineRule="auto"/>
              <w:jc w:val="left"/>
              <w:rPr>
                <w:sz w:val="18"/>
                <w:szCs w:val="18"/>
              </w:rPr>
            </w:pPr>
            <w:r w:rsidRPr="006E02AA">
              <w:rPr>
                <w:sz w:val="18"/>
                <w:szCs w:val="18"/>
              </w:rPr>
              <w:t xml:space="preserve">Grade 2: </w:t>
            </w:r>
            <w:r w:rsidR="000340F4" w:rsidRPr="006E02AA">
              <w:rPr>
                <w:sz w:val="18"/>
                <w:szCs w:val="18"/>
              </w:rPr>
              <w:t>55.6</w:t>
            </w:r>
            <w:r w:rsidRPr="006E02AA">
              <w:rPr>
                <w:sz w:val="18"/>
                <w:szCs w:val="18"/>
              </w:rPr>
              <w:t>%</w:t>
            </w:r>
          </w:p>
          <w:p w14:paraId="2852DDF4" w14:textId="270D740E" w:rsidR="00CB25CB" w:rsidRPr="006E02AA" w:rsidRDefault="00CB25CB" w:rsidP="00724130">
            <w:pPr>
              <w:pStyle w:val="BodyText"/>
              <w:spacing w:before="0" w:after="0" w:line="240" w:lineRule="auto"/>
              <w:jc w:val="left"/>
              <w:rPr>
                <w:sz w:val="18"/>
                <w:szCs w:val="18"/>
              </w:rPr>
            </w:pPr>
            <w:r w:rsidRPr="006E02AA">
              <w:rPr>
                <w:sz w:val="18"/>
                <w:szCs w:val="18"/>
              </w:rPr>
              <w:t xml:space="preserve">Grade 3: </w:t>
            </w:r>
            <w:r w:rsidR="000340F4" w:rsidRPr="006E02AA">
              <w:rPr>
                <w:sz w:val="18"/>
                <w:szCs w:val="18"/>
              </w:rPr>
              <w:t>22.9</w:t>
            </w:r>
            <w:r w:rsidRPr="006E02AA">
              <w:rPr>
                <w:sz w:val="18"/>
                <w:szCs w:val="18"/>
              </w:rPr>
              <w:t>%</w:t>
            </w:r>
          </w:p>
          <w:p w14:paraId="0E199F8D" w14:textId="77777777" w:rsidR="00CB25CB" w:rsidRPr="006E02AA" w:rsidRDefault="00CB25CB" w:rsidP="00724130">
            <w:pPr>
              <w:pStyle w:val="BodyText"/>
              <w:spacing w:before="0" w:after="0" w:line="240" w:lineRule="auto"/>
              <w:rPr>
                <w:sz w:val="18"/>
                <w:szCs w:val="18"/>
              </w:rPr>
            </w:pPr>
            <w:r w:rsidRPr="006E02AA">
              <w:rPr>
                <w:sz w:val="18"/>
                <w:szCs w:val="18"/>
              </w:rPr>
              <w:t>No data: 2 cancers</w:t>
            </w:r>
          </w:p>
        </w:tc>
        <w:tc>
          <w:tcPr>
            <w:tcW w:w="1978" w:type="dxa"/>
          </w:tcPr>
          <w:p w14:paraId="2093D08D" w14:textId="1CA897D4" w:rsidR="000340F4" w:rsidRPr="006E02AA" w:rsidRDefault="000340F4" w:rsidP="00724130">
            <w:pPr>
              <w:pStyle w:val="BodyText"/>
              <w:spacing w:before="0" w:after="0" w:line="240" w:lineRule="auto"/>
              <w:jc w:val="left"/>
              <w:rPr>
                <w:i/>
                <w:iCs/>
                <w:sz w:val="18"/>
                <w:szCs w:val="18"/>
              </w:rPr>
            </w:pPr>
            <w:r w:rsidRPr="006E02AA">
              <w:rPr>
                <w:i/>
                <w:iCs/>
                <w:sz w:val="18"/>
                <w:szCs w:val="18"/>
              </w:rPr>
              <w:t>Invasive cancers</w:t>
            </w:r>
          </w:p>
          <w:p w14:paraId="080AA9C3" w14:textId="504F13C7" w:rsidR="00CB25CB" w:rsidRPr="006E02AA" w:rsidRDefault="00CB25CB" w:rsidP="00724130">
            <w:pPr>
              <w:pStyle w:val="BodyText"/>
              <w:spacing w:before="0" w:after="0" w:line="240" w:lineRule="auto"/>
              <w:jc w:val="left"/>
              <w:rPr>
                <w:sz w:val="18"/>
                <w:szCs w:val="18"/>
              </w:rPr>
            </w:pPr>
            <w:r w:rsidRPr="006E02AA">
              <w:rPr>
                <w:sz w:val="18"/>
                <w:szCs w:val="18"/>
              </w:rPr>
              <w:t xml:space="preserve">Grade 1: </w:t>
            </w:r>
            <w:r w:rsidR="0008454F" w:rsidRPr="006E02AA">
              <w:rPr>
                <w:sz w:val="18"/>
                <w:szCs w:val="18"/>
              </w:rPr>
              <w:t>1</w:t>
            </w:r>
            <w:r w:rsidR="000340F4" w:rsidRPr="006E02AA">
              <w:rPr>
                <w:sz w:val="18"/>
                <w:szCs w:val="18"/>
              </w:rPr>
              <w:t>9.1</w:t>
            </w:r>
            <w:r w:rsidRPr="006E02AA">
              <w:rPr>
                <w:sz w:val="18"/>
                <w:szCs w:val="18"/>
              </w:rPr>
              <w:t>%</w:t>
            </w:r>
            <w:r w:rsidR="0075618D" w:rsidRPr="006E02AA">
              <w:rPr>
                <w:sz w:val="18"/>
                <w:szCs w:val="18"/>
              </w:rPr>
              <w:t xml:space="preserve"> (</w:t>
            </w:r>
            <w:r w:rsidR="0008454F" w:rsidRPr="006E02AA">
              <w:rPr>
                <w:i/>
                <w:iCs/>
                <w:sz w:val="18"/>
                <w:szCs w:val="18"/>
              </w:rPr>
              <w:t>p</w:t>
            </w:r>
            <w:r w:rsidR="0008454F" w:rsidRPr="006E02AA">
              <w:rPr>
                <w:sz w:val="18"/>
                <w:szCs w:val="18"/>
              </w:rPr>
              <w:t>=.9</w:t>
            </w:r>
            <w:r w:rsidR="000340F4" w:rsidRPr="006E02AA">
              <w:rPr>
                <w:sz w:val="18"/>
                <w:szCs w:val="18"/>
              </w:rPr>
              <w:t>3</w:t>
            </w:r>
            <w:r w:rsidR="0075618D" w:rsidRPr="006E02AA">
              <w:rPr>
                <w:sz w:val="18"/>
                <w:szCs w:val="18"/>
              </w:rPr>
              <w:t>)</w:t>
            </w:r>
          </w:p>
          <w:p w14:paraId="1C1F4089" w14:textId="7BB1EA81" w:rsidR="00CB25CB" w:rsidRPr="006E02AA" w:rsidRDefault="00CB25CB" w:rsidP="00724130">
            <w:pPr>
              <w:pStyle w:val="BodyText"/>
              <w:spacing w:before="0" w:after="0" w:line="240" w:lineRule="auto"/>
              <w:jc w:val="left"/>
              <w:rPr>
                <w:sz w:val="18"/>
                <w:szCs w:val="18"/>
              </w:rPr>
            </w:pPr>
            <w:r w:rsidRPr="006E02AA">
              <w:rPr>
                <w:sz w:val="18"/>
                <w:szCs w:val="18"/>
              </w:rPr>
              <w:t xml:space="preserve">Grade 2: </w:t>
            </w:r>
            <w:r w:rsidR="000340F4" w:rsidRPr="006E02AA">
              <w:rPr>
                <w:sz w:val="18"/>
                <w:szCs w:val="18"/>
              </w:rPr>
              <w:t>52.2</w:t>
            </w:r>
            <w:r w:rsidRPr="006E02AA">
              <w:rPr>
                <w:sz w:val="18"/>
                <w:szCs w:val="18"/>
              </w:rPr>
              <w:t>%</w:t>
            </w:r>
          </w:p>
          <w:p w14:paraId="75FB7F10" w14:textId="7B309164" w:rsidR="00CB25CB" w:rsidRPr="006E02AA" w:rsidRDefault="00CB25CB" w:rsidP="00724130">
            <w:pPr>
              <w:pStyle w:val="BodyText"/>
              <w:spacing w:before="0" w:after="0" w:line="240" w:lineRule="auto"/>
              <w:jc w:val="left"/>
              <w:rPr>
                <w:sz w:val="18"/>
                <w:szCs w:val="18"/>
              </w:rPr>
            </w:pPr>
            <w:r w:rsidRPr="006E02AA">
              <w:rPr>
                <w:sz w:val="18"/>
                <w:szCs w:val="18"/>
              </w:rPr>
              <w:t xml:space="preserve">Grade 3: </w:t>
            </w:r>
            <w:r w:rsidR="000340F4" w:rsidRPr="006E02AA">
              <w:rPr>
                <w:sz w:val="18"/>
                <w:szCs w:val="18"/>
              </w:rPr>
              <w:t>23.6</w:t>
            </w:r>
            <w:r w:rsidRPr="006E02AA">
              <w:rPr>
                <w:sz w:val="18"/>
                <w:szCs w:val="18"/>
              </w:rPr>
              <w:t>%</w:t>
            </w:r>
          </w:p>
          <w:p w14:paraId="4C468AF6" w14:textId="77777777" w:rsidR="00CB25CB" w:rsidRPr="006E02AA" w:rsidRDefault="00CB25CB" w:rsidP="00724130">
            <w:pPr>
              <w:pStyle w:val="BodyText"/>
              <w:spacing w:before="0" w:after="0" w:line="240" w:lineRule="auto"/>
              <w:rPr>
                <w:sz w:val="18"/>
                <w:szCs w:val="18"/>
              </w:rPr>
            </w:pPr>
            <w:r w:rsidRPr="006E02AA">
              <w:rPr>
                <w:sz w:val="18"/>
                <w:szCs w:val="18"/>
              </w:rPr>
              <w:t>No data: NA</w:t>
            </w:r>
          </w:p>
        </w:tc>
      </w:tr>
      <w:tr w:rsidR="00AA164F" w:rsidRPr="006E02AA" w14:paraId="3B4AD0CD" w14:textId="77777777" w:rsidTr="00724130">
        <w:tc>
          <w:tcPr>
            <w:tcW w:w="1838" w:type="dxa"/>
          </w:tcPr>
          <w:p w14:paraId="29BFCCEF" w14:textId="6B03E7EF" w:rsidR="00AA164F" w:rsidRPr="006E02AA" w:rsidRDefault="00AA164F" w:rsidP="00724130">
            <w:pPr>
              <w:pStyle w:val="BodyText"/>
              <w:spacing w:before="0" w:after="0" w:line="240" w:lineRule="auto"/>
              <w:rPr>
                <w:sz w:val="18"/>
                <w:szCs w:val="18"/>
              </w:rPr>
            </w:pPr>
            <w:r w:rsidRPr="006E02AA">
              <w:rPr>
                <w:sz w:val="18"/>
                <w:szCs w:val="18"/>
              </w:rPr>
              <w:t>Dang et al. (2019)</w:t>
            </w:r>
          </w:p>
        </w:tc>
        <w:tc>
          <w:tcPr>
            <w:tcW w:w="2126" w:type="dxa"/>
          </w:tcPr>
          <w:p w14:paraId="3E25BF9F" w14:textId="583481C6" w:rsidR="00AA164F" w:rsidRPr="006E02AA" w:rsidRDefault="00514B96" w:rsidP="00724130">
            <w:pPr>
              <w:pStyle w:val="BodyText"/>
              <w:spacing w:before="0" w:after="0" w:line="240" w:lineRule="auto"/>
              <w:jc w:val="center"/>
              <w:rPr>
                <w:sz w:val="18"/>
                <w:szCs w:val="18"/>
              </w:rPr>
            </w:pPr>
            <w:r w:rsidRPr="006E02AA">
              <w:rPr>
                <w:sz w:val="18"/>
                <w:szCs w:val="18"/>
              </w:rPr>
              <w:t>NA</w:t>
            </w:r>
          </w:p>
        </w:tc>
        <w:tc>
          <w:tcPr>
            <w:tcW w:w="1485" w:type="dxa"/>
          </w:tcPr>
          <w:p w14:paraId="49350596" w14:textId="060C379E" w:rsidR="00AA164F" w:rsidRPr="006E02AA" w:rsidRDefault="00514B96" w:rsidP="00724130">
            <w:pPr>
              <w:pStyle w:val="BodyText"/>
              <w:spacing w:before="0" w:after="0" w:line="240" w:lineRule="auto"/>
              <w:jc w:val="center"/>
              <w:rPr>
                <w:sz w:val="18"/>
                <w:szCs w:val="18"/>
              </w:rPr>
            </w:pPr>
            <w:r w:rsidRPr="006E02AA">
              <w:rPr>
                <w:sz w:val="18"/>
                <w:szCs w:val="18"/>
              </w:rPr>
              <w:t>NA</w:t>
            </w:r>
          </w:p>
        </w:tc>
        <w:tc>
          <w:tcPr>
            <w:tcW w:w="1634" w:type="dxa"/>
          </w:tcPr>
          <w:p w14:paraId="336A43EF" w14:textId="5FD562AC" w:rsidR="00AA164F" w:rsidRPr="006E02AA" w:rsidRDefault="00AA164F" w:rsidP="00724130">
            <w:pPr>
              <w:pStyle w:val="BodyText"/>
              <w:spacing w:before="0" w:after="0" w:line="240" w:lineRule="auto"/>
              <w:jc w:val="left"/>
              <w:rPr>
                <w:sz w:val="18"/>
                <w:szCs w:val="18"/>
              </w:rPr>
            </w:pPr>
            <w:r w:rsidRPr="006E02AA">
              <w:rPr>
                <w:sz w:val="18"/>
                <w:szCs w:val="18"/>
              </w:rPr>
              <w:t>Grade 1: 37%</w:t>
            </w:r>
          </w:p>
          <w:p w14:paraId="122428A2" w14:textId="1A7CD137" w:rsidR="00AA164F" w:rsidRPr="006E02AA" w:rsidRDefault="00AA164F" w:rsidP="00724130">
            <w:pPr>
              <w:pStyle w:val="BodyText"/>
              <w:spacing w:before="0" w:after="0" w:line="240" w:lineRule="auto"/>
              <w:jc w:val="left"/>
              <w:rPr>
                <w:sz w:val="18"/>
                <w:szCs w:val="18"/>
              </w:rPr>
            </w:pPr>
            <w:r w:rsidRPr="006E02AA">
              <w:rPr>
                <w:sz w:val="18"/>
                <w:szCs w:val="18"/>
              </w:rPr>
              <w:t>Grade 2/3: 63%</w:t>
            </w:r>
          </w:p>
        </w:tc>
        <w:tc>
          <w:tcPr>
            <w:tcW w:w="1978" w:type="dxa"/>
          </w:tcPr>
          <w:p w14:paraId="6405FA4C" w14:textId="381363B4" w:rsidR="00AA164F" w:rsidRPr="006E02AA" w:rsidRDefault="00AA164F" w:rsidP="00AA164F">
            <w:pPr>
              <w:pStyle w:val="BodyText"/>
              <w:spacing w:before="0" w:after="0" w:line="240" w:lineRule="auto"/>
              <w:jc w:val="left"/>
              <w:rPr>
                <w:sz w:val="18"/>
                <w:szCs w:val="18"/>
              </w:rPr>
            </w:pPr>
            <w:r w:rsidRPr="006E02AA">
              <w:rPr>
                <w:sz w:val="18"/>
                <w:szCs w:val="18"/>
              </w:rPr>
              <w:t>Grade 1: 28%</w:t>
            </w:r>
          </w:p>
          <w:p w14:paraId="103779DD" w14:textId="6A3C827B" w:rsidR="00AA164F" w:rsidRPr="006E02AA" w:rsidRDefault="00AA164F" w:rsidP="00AA164F">
            <w:pPr>
              <w:pStyle w:val="BodyText"/>
              <w:spacing w:before="0" w:after="0" w:line="240" w:lineRule="auto"/>
              <w:jc w:val="left"/>
              <w:rPr>
                <w:sz w:val="18"/>
                <w:szCs w:val="18"/>
              </w:rPr>
            </w:pPr>
            <w:r w:rsidRPr="006E02AA">
              <w:rPr>
                <w:sz w:val="18"/>
                <w:szCs w:val="18"/>
              </w:rPr>
              <w:t>Grade 2/3: 72%</w:t>
            </w:r>
            <w:r w:rsidR="0075618D" w:rsidRPr="006E02AA">
              <w:rPr>
                <w:sz w:val="18"/>
                <w:szCs w:val="18"/>
              </w:rPr>
              <w:t xml:space="preserve"> (</w:t>
            </w:r>
            <w:r w:rsidR="00062004" w:rsidRPr="006E02AA">
              <w:rPr>
                <w:i/>
                <w:iCs/>
                <w:sz w:val="18"/>
                <w:szCs w:val="18"/>
              </w:rPr>
              <w:t>p</w:t>
            </w:r>
            <w:r w:rsidR="00062004" w:rsidRPr="006E02AA">
              <w:rPr>
                <w:sz w:val="18"/>
                <w:szCs w:val="18"/>
              </w:rPr>
              <w:t>=.52</w:t>
            </w:r>
            <w:r w:rsidR="0075618D" w:rsidRPr="006E02AA">
              <w:rPr>
                <w:sz w:val="18"/>
                <w:szCs w:val="18"/>
              </w:rPr>
              <w:t>)</w:t>
            </w:r>
          </w:p>
        </w:tc>
      </w:tr>
      <w:tr w:rsidR="00887D98" w:rsidRPr="006E02AA" w14:paraId="6ADE9101" w14:textId="77777777" w:rsidTr="00592E7C">
        <w:tc>
          <w:tcPr>
            <w:tcW w:w="9061" w:type="dxa"/>
            <w:gridSpan w:val="5"/>
            <w:shd w:val="clear" w:color="auto" w:fill="E7FFBD" w:themeFill="background2" w:themeFillTint="33"/>
          </w:tcPr>
          <w:p w14:paraId="6F27F493" w14:textId="7EAD1ABC" w:rsidR="00887D98" w:rsidRPr="006E02AA" w:rsidRDefault="00887D98" w:rsidP="00887D98">
            <w:pPr>
              <w:pStyle w:val="BodyText"/>
              <w:spacing w:before="0" w:after="0" w:line="240" w:lineRule="auto"/>
              <w:jc w:val="center"/>
              <w:rPr>
                <w:sz w:val="18"/>
                <w:szCs w:val="18"/>
              </w:rPr>
            </w:pPr>
            <w:r w:rsidRPr="006E02AA">
              <w:rPr>
                <w:sz w:val="18"/>
                <w:szCs w:val="18"/>
              </w:rPr>
              <w:t>DBT</w:t>
            </w:r>
            <w:r w:rsidRPr="006E02AA">
              <w:rPr>
                <w:sz w:val="18"/>
                <w:szCs w:val="18"/>
                <w:vertAlign w:val="subscript"/>
              </w:rPr>
              <w:t xml:space="preserve">MLO </w:t>
            </w:r>
            <w:r w:rsidRPr="006E02AA">
              <w:rPr>
                <w:sz w:val="18"/>
                <w:szCs w:val="18"/>
              </w:rPr>
              <w:t>compared to FFDM alone</w:t>
            </w:r>
          </w:p>
        </w:tc>
      </w:tr>
      <w:tr w:rsidR="00887D98" w:rsidRPr="006E02AA" w14:paraId="738885E9" w14:textId="77777777" w:rsidTr="00592E7C">
        <w:tc>
          <w:tcPr>
            <w:tcW w:w="9061" w:type="dxa"/>
            <w:gridSpan w:val="5"/>
          </w:tcPr>
          <w:p w14:paraId="01E9705E" w14:textId="77777777" w:rsidR="00887D98" w:rsidRPr="006E02AA" w:rsidRDefault="00887D98" w:rsidP="00887D98">
            <w:pPr>
              <w:pStyle w:val="BodyText"/>
              <w:spacing w:before="0" w:after="0" w:line="240" w:lineRule="auto"/>
              <w:rPr>
                <w:b/>
                <w:bCs/>
                <w:sz w:val="18"/>
                <w:szCs w:val="18"/>
              </w:rPr>
            </w:pPr>
            <w:r w:rsidRPr="006E02AA">
              <w:rPr>
                <w:b/>
                <w:bCs/>
                <w:sz w:val="18"/>
                <w:szCs w:val="18"/>
              </w:rPr>
              <w:t>Prospective studies embedded in population-based screening</w:t>
            </w:r>
          </w:p>
        </w:tc>
      </w:tr>
      <w:tr w:rsidR="009F41B3" w:rsidRPr="006E02AA" w14:paraId="3AC1AF13" w14:textId="77777777" w:rsidTr="00724130">
        <w:tc>
          <w:tcPr>
            <w:tcW w:w="1838" w:type="dxa"/>
          </w:tcPr>
          <w:p w14:paraId="5F64A933" w14:textId="39B3EB66" w:rsidR="009F41B3" w:rsidRPr="006E02AA" w:rsidRDefault="009F41B3" w:rsidP="00724130">
            <w:pPr>
              <w:pStyle w:val="BodyText"/>
              <w:spacing w:before="0" w:after="0" w:line="240" w:lineRule="auto"/>
              <w:rPr>
                <w:sz w:val="18"/>
                <w:szCs w:val="18"/>
              </w:rPr>
            </w:pPr>
            <w:r w:rsidRPr="006E02AA">
              <w:rPr>
                <w:sz w:val="18"/>
                <w:szCs w:val="18"/>
              </w:rPr>
              <w:t>Johnson et al. (2019)</w:t>
            </w:r>
          </w:p>
          <w:p w14:paraId="33BC05C2" w14:textId="77777777" w:rsidR="009F41B3" w:rsidRPr="006E02AA" w:rsidRDefault="009F41B3" w:rsidP="00724130">
            <w:pPr>
              <w:pStyle w:val="BodyText"/>
              <w:spacing w:before="0" w:after="0" w:line="240" w:lineRule="auto"/>
              <w:rPr>
                <w:sz w:val="18"/>
                <w:szCs w:val="18"/>
              </w:rPr>
            </w:pPr>
            <w:r w:rsidRPr="006E02AA">
              <w:rPr>
                <w:sz w:val="18"/>
                <w:szCs w:val="18"/>
              </w:rPr>
              <w:t>Malm</w:t>
            </w:r>
            <w:r w:rsidRPr="006E02AA">
              <w:rPr>
                <w:rFonts w:cstheme="majorHAnsi"/>
                <w:sz w:val="18"/>
                <w:szCs w:val="18"/>
              </w:rPr>
              <w:t>ö</w:t>
            </w:r>
          </w:p>
          <w:p w14:paraId="4F35C376" w14:textId="77777777" w:rsidR="009F41B3" w:rsidRPr="006E02AA" w:rsidRDefault="009F41B3" w:rsidP="00724130">
            <w:pPr>
              <w:pStyle w:val="BodyText"/>
              <w:spacing w:before="0" w:after="0" w:line="240" w:lineRule="auto"/>
              <w:rPr>
                <w:sz w:val="18"/>
                <w:szCs w:val="18"/>
              </w:rPr>
            </w:pPr>
          </w:p>
        </w:tc>
        <w:tc>
          <w:tcPr>
            <w:tcW w:w="2126" w:type="dxa"/>
          </w:tcPr>
          <w:p w14:paraId="5C98537E" w14:textId="77777777" w:rsidR="009F41B3" w:rsidRPr="006E02AA" w:rsidRDefault="009F41B3" w:rsidP="00724130">
            <w:pPr>
              <w:pStyle w:val="BodyText"/>
              <w:spacing w:before="0" w:after="0" w:line="240" w:lineRule="auto"/>
              <w:jc w:val="center"/>
              <w:rPr>
                <w:sz w:val="18"/>
                <w:szCs w:val="18"/>
              </w:rPr>
            </w:pPr>
            <w:r w:rsidRPr="006E02AA">
              <w:rPr>
                <w:sz w:val="18"/>
                <w:szCs w:val="18"/>
              </w:rPr>
              <w:t>NA</w:t>
            </w:r>
          </w:p>
        </w:tc>
        <w:tc>
          <w:tcPr>
            <w:tcW w:w="1485" w:type="dxa"/>
          </w:tcPr>
          <w:p w14:paraId="5AC7E981" w14:textId="19F0D776" w:rsidR="009F41B3" w:rsidRPr="006E02AA" w:rsidRDefault="009F41B3" w:rsidP="00724130">
            <w:pPr>
              <w:pStyle w:val="BodyText"/>
              <w:spacing w:before="0" w:after="0" w:line="240" w:lineRule="auto"/>
              <w:jc w:val="left"/>
              <w:rPr>
                <w:sz w:val="18"/>
                <w:szCs w:val="18"/>
              </w:rPr>
            </w:pPr>
            <w:r w:rsidRPr="006E02AA">
              <w:rPr>
                <w:sz w:val="18"/>
                <w:szCs w:val="18"/>
              </w:rPr>
              <w:t>Grade 1: 41%</w:t>
            </w:r>
          </w:p>
          <w:p w14:paraId="4255E6CF" w14:textId="0D8C0A42" w:rsidR="009F41B3" w:rsidRPr="006E02AA" w:rsidRDefault="009F41B3" w:rsidP="00724130">
            <w:pPr>
              <w:pStyle w:val="BodyText"/>
              <w:spacing w:before="0" w:after="0" w:line="240" w:lineRule="auto"/>
              <w:jc w:val="left"/>
              <w:rPr>
                <w:sz w:val="18"/>
                <w:szCs w:val="18"/>
              </w:rPr>
            </w:pPr>
            <w:r w:rsidRPr="006E02AA">
              <w:rPr>
                <w:sz w:val="18"/>
                <w:szCs w:val="18"/>
              </w:rPr>
              <w:t>Grade 2: 46%</w:t>
            </w:r>
          </w:p>
          <w:p w14:paraId="74847115" w14:textId="47275EED" w:rsidR="009F41B3" w:rsidRPr="006E02AA" w:rsidRDefault="009F41B3" w:rsidP="00724130">
            <w:pPr>
              <w:pStyle w:val="BodyText"/>
              <w:spacing w:before="0" w:after="0" w:line="240" w:lineRule="auto"/>
              <w:jc w:val="left"/>
              <w:rPr>
                <w:sz w:val="18"/>
                <w:szCs w:val="18"/>
              </w:rPr>
            </w:pPr>
            <w:r w:rsidRPr="006E02AA">
              <w:rPr>
                <w:sz w:val="18"/>
                <w:szCs w:val="18"/>
              </w:rPr>
              <w:t>Grade 3: 11%</w:t>
            </w:r>
          </w:p>
          <w:p w14:paraId="17F32353" w14:textId="5D912E12" w:rsidR="009F41B3" w:rsidRPr="006E02AA" w:rsidRDefault="009F41B3" w:rsidP="00724130">
            <w:pPr>
              <w:pStyle w:val="BodyText"/>
              <w:spacing w:before="0" w:after="0" w:line="240" w:lineRule="auto"/>
              <w:jc w:val="left"/>
              <w:rPr>
                <w:sz w:val="18"/>
                <w:szCs w:val="18"/>
              </w:rPr>
            </w:pPr>
            <w:r w:rsidRPr="006E02AA">
              <w:rPr>
                <w:sz w:val="18"/>
                <w:szCs w:val="18"/>
              </w:rPr>
              <w:t>No data: 3%</w:t>
            </w:r>
          </w:p>
        </w:tc>
        <w:tc>
          <w:tcPr>
            <w:tcW w:w="1634" w:type="dxa"/>
          </w:tcPr>
          <w:p w14:paraId="659EE1D2" w14:textId="77777777" w:rsidR="009F41B3" w:rsidRPr="006E02AA" w:rsidRDefault="009F41B3" w:rsidP="00724130">
            <w:pPr>
              <w:pStyle w:val="BodyText"/>
              <w:spacing w:before="0" w:after="0" w:line="240" w:lineRule="auto"/>
              <w:jc w:val="left"/>
              <w:rPr>
                <w:sz w:val="18"/>
                <w:szCs w:val="18"/>
              </w:rPr>
            </w:pPr>
            <w:r w:rsidRPr="006E02AA">
              <w:rPr>
                <w:sz w:val="18"/>
                <w:szCs w:val="18"/>
              </w:rPr>
              <w:t>Grade 1: 40%</w:t>
            </w:r>
          </w:p>
          <w:p w14:paraId="1B4A17BF" w14:textId="77777777" w:rsidR="009F41B3" w:rsidRPr="006E02AA" w:rsidRDefault="009F41B3" w:rsidP="00724130">
            <w:pPr>
              <w:pStyle w:val="BodyText"/>
              <w:spacing w:before="0" w:after="0" w:line="240" w:lineRule="auto"/>
              <w:jc w:val="left"/>
              <w:rPr>
                <w:sz w:val="18"/>
                <w:szCs w:val="18"/>
              </w:rPr>
            </w:pPr>
            <w:r w:rsidRPr="006E02AA">
              <w:rPr>
                <w:sz w:val="18"/>
                <w:szCs w:val="18"/>
              </w:rPr>
              <w:t>Grade 2: 43%</w:t>
            </w:r>
          </w:p>
          <w:p w14:paraId="047DC7CB" w14:textId="77777777" w:rsidR="009F41B3" w:rsidRPr="006E02AA" w:rsidRDefault="009F41B3" w:rsidP="00724130">
            <w:pPr>
              <w:pStyle w:val="BodyText"/>
              <w:spacing w:before="0" w:after="0" w:line="240" w:lineRule="auto"/>
              <w:jc w:val="left"/>
              <w:rPr>
                <w:sz w:val="18"/>
                <w:szCs w:val="18"/>
              </w:rPr>
            </w:pPr>
            <w:r w:rsidRPr="006E02AA">
              <w:rPr>
                <w:sz w:val="18"/>
                <w:szCs w:val="18"/>
              </w:rPr>
              <w:t>Grade 3: 16%</w:t>
            </w:r>
          </w:p>
          <w:p w14:paraId="68665C35" w14:textId="77777777" w:rsidR="009F41B3" w:rsidRPr="006E02AA" w:rsidRDefault="009F41B3" w:rsidP="00724130">
            <w:pPr>
              <w:pStyle w:val="BodyText"/>
              <w:spacing w:before="0" w:after="0" w:line="240" w:lineRule="auto"/>
              <w:rPr>
                <w:sz w:val="18"/>
                <w:szCs w:val="18"/>
              </w:rPr>
            </w:pPr>
            <w:r w:rsidRPr="006E02AA">
              <w:rPr>
                <w:sz w:val="18"/>
                <w:szCs w:val="18"/>
              </w:rPr>
              <w:t>No data: 1%</w:t>
            </w:r>
          </w:p>
        </w:tc>
        <w:tc>
          <w:tcPr>
            <w:tcW w:w="1978" w:type="dxa"/>
          </w:tcPr>
          <w:p w14:paraId="39EC5690" w14:textId="77777777" w:rsidR="009F41B3" w:rsidRPr="006E02AA" w:rsidRDefault="009F41B3" w:rsidP="00724130">
            <w:pPr>
              <w:pStyle w:val="BodyText"/>
              <w:spacing w:before="0" w:after="0" w:line="240" w:lineRule="auto"/>
              <w:jc w:val="center"/>
              <w:rPr>
                <w:sz w:val="18"/>
                <w:szCs w:val="18"/>
              </w:rPr>
            </w:pPr>
            <w:r w:rsidRPr="006E02AA">
              <w:rPr>
                <w:sz w:val="18"/>
                <w:szCs w:val="18"/>
              </w:rPr>
              <w:t>NA</w:t>
            </w:r>
          </w:p>
        </w:tc>
      </w:tr>
      <w:tr w:rsidR="00887D98" w:rsidRPr="006E02AA" w14:paraId="777A15A7" w14:textId="77777777" w:rsidTr="006C6354">
        <w:tc>
          <w:tcPr>
            <w:tcW w:w="1838" w:type="dxa"/>
          </w:tcPr>
          <w:p w14:paraId="3D8E0EF1" w14:textId="77777777" w:rsidR="00887D98" w:rsidRPr="006E02AA" w:rsidRDefault="00887D98" w:rsidP="00887D98">
            <w:pPr>
              <w:pStyle w:val="BodyText"/>
              <w:spacing w:before="0" w:after="0" w:line="240" w:lineRule="auto"/>
              <w:rPr>
                <w:sz w:val="18"/>
                <w:szCs w:val="18"/>
              </w:rPr>
            </w:pPr>
            <w:r w:rsidRPr="006E02AA">
              <w:rPr>
                <w:sz w:val="18"/>
                <w:szCs w:val="18"/>
              </w:rPr>
              <w:t>Zackrisson et al. (2018)</w:t>
            </w:r>
          </w:p>
          <w:p w14:paraId="7BB36F12" w14:textId="6F735D71" w:rsidR="00887D98" w:rsidRPr="006E02AA" w:rsidRDefault="00887D98" w:rsidP="00887D98">
            <w:pPr>
              <w:pStyle w:val="BodyText"/>
              <w:spacing w:before="0" w:after="0" w:line="240" w:lineRule="auto"/>
              <w:rPr>
                <w:sz w:val="18"/>
                <w:szCs w:val="18"/>
              </w:rPr>
            </w:pPr>
            <w:r w:rsidRPr="006E02AA">
              <w:rPr>
                <w:sz w:val="18"/>
                <w:szCs w:val="18"/>
              </w:rPr>
              <w:t>Malm</w:t>
            </w:r>
            <w:r w:rsidRPr="006E02AA">
              <w:rPr>
                <w:rFonts w:cstheme="majorHAnsi"/>
                <w:sz w:val="18"/>
                <w:szCs w:val="18"/>
              </w:rPr>
              <w:t>ö</w:t>
            </w:r>
          </w:p>
          <w:p w14:paraId="0CE588AB" w14:textId="37D4A991" w:rsidR="00887D98" w:rsidRPr="006E02AA" w:rsidRDefault="00887D98" w:rsidP="00887D98">
            <w:pPr>
              <w:pStyle w:val="BodyText"/>
              <w:spacing w:before="0" w:after="0" w:line="240" w:lineRule="auto"/>
              <w:rPr>
                <w:sz w:val="18"/>
                <w:szCs w:val="18"/>
              </w:rPr>
            </w:pPr>
          </w:p>
        </w:tc>
        <w:tc>
          <w:tcPr>
            <w:tcW w:w="2126" w:type="dxa"/>
          </w:tcPr>
          <w:p w14:paraId="5CB8AD82" w14:textId="0F84BB0B" w:rsidR="00887D98" w:rsidRPr="006E02AA" w:rsidRDefault="00887D98" w:rsidP="00887D98">
            <w:pPr>
              <w:pStyle w:val="BodyText"/>
              <w:spacing w:before="0" w:after="0" w:line="240" w:lineRule="auto"/>
              <w:jc w:val="center"/>
              <w:rPr>
                <w:sz w:val="18"/>
                <w:szCs w:val="18"/>
              </w:rPr>
            </w:pPr>
            <w:r w:rsidRPr="006E02AA">
              <w:rPr>
                <w:sz w:val="18"/>
                <w:szCs w:val="18"/>
              </w:rPr>
              <w:t>NA</w:t>
            </w:r>
          </w:p>
        </w:tc>
        <w:tc>
          <w:tcPr>
            <w:tcW w:w="1485" w:type="dxa"/>
          </w:tcPr>
          <w:p w14:paraId="33E54691" w14:textId="211F6ADB" w:rsidR="00887D98" w:rsidRPr="006E02AA" w:rsidRDefault="00887D98" w:rsidP="00887D98">
            <w:pPr>
              <w:pStyle w:val="BodyText"/>
              <w:spacing w:before="0" w:after="0" w:line="240" w:lineRule="auto"/>
              <w:jc w:val="left"/>
              <w:rPr>
                <w:sz w:val="18"/>
                <w:szCs w:val="18"/>
              </w:rPr>
            </w:pPr>
            <w:r w:rsidRPr="006E02AA">
              <w:rPr>
                <w:sz w:val="18"/>
                <w:szCs w:val="18"/>
              </w:rPr>
              <w:t>Grade 1: 40%</w:t>
            </w:r>
          </w:p>
          <w:p w14:paraId="7DD1098E" w14:textId="63B95048" w:rsidR="00887D98" w:rsidRPr="006E02AA" w:rsidRDefault="00887D98" w:rsidP="00887D98">
            <w:pPr>
              <w:pStyle w:val="BodyText"/>
              <w:spacing w:before="0" w:after="0" w:line="240" w:lineRule="auto"/>
              <w:jc w:val="left"/>
              <w:rPr>
                <w:sz w:val="18"/>
                <w:szCs w:val="18"/>
              </w:rPr>
            </w:pPr>
            <w:r w:rsidRPr="006E02AA">
              <w:rPr>
                <w:sz w:val="18"/>
                <w:szCs w:val="18"/>
              </w:rPr>
              <w:t>Grade 2: 43%</w:t>
            </w:r>
          </w:p>
          <w:p w14:paraId="36DC0EEA" w14:textId="3DB3A7B1" w:rsidR="00887D98" w:rsidRPr="006E02AA" w:rsidRDefault="00887D98" w:rsidP="00887D98">
            <w:pPr>
              <w:pStyle w:val="BodyText"/>
              <w:spacing w:before="0" w:after="0" w:line="240" w:lineRule="auto"/>
              <w:jc w:val="left"/>
              <w:rPr>
                <w:sz w:val="18"/>
                <w:szCs w:val="18"/>
              </w:rPr>
            </w:pPr>
            <w:r w:rsidRPr="006E02AA">
              <w:rPr>
                <w:sz w:val="18"/>
                <w:szCs w:val="18"/>
              </w:rPr>
              <w:t>Grade 3: 15%</w:t>
            </w:r>
          </w:p>
          <w:p w14:paraId="57688778" w14:textId="6894CA0E" w:rsidR="00887D98" w:rsidRPr="006E02AA" w:rsidRDefault="00887D98" w:rsidP="00887D98">
            <w:pPr>
              <w:pStyle w:val="BodyText"/>
              <w:spacing w:before="0" w:after="0" w:line="240" w:lineRule="auto"/>
              <w:jc w:val="left"/>
              <w:rPr>
                <w:sz w:val="18"/>
                <w:szCs w:val="18"/>
              </w:rPr>
            </w:pPr>
            <w:r w:rsidRPr="006E02AA">
              <w:rPr>
                <w:sz w:val="18"/>
                <w:szCs w:val="18"/>
              </w:rPr>
              <w:t>No data: 2%</w:t>
            </w:r>
          </w:p>
        </w:tc>
        <w:tc>
          <w:tcPr>
            <w:tcW w:w="1634" w:type="dxa"/>
          </w:tcPr>
          <w:p w14:paraId="43EB528F" w14:textId="5CC34E1A" w:rsidR="00887D98" w:rsidRPr="006E02AA" w:rsidRDefault="00887D98" w:rsidP="00887D98">
            <w:pPr>
              <w:pStyle w:val="BodyText"/>
              <w:spacing w:before="0" w:after="0" w:line="240" w:lineRule="auto"/>
              <w:jc w:val="left"/>
              <w:rPr>
                <w:sz w:val="18"/>
                <w:szCs w:val="18"/>
              </w:rPr>
            </w:pPr>
            <w:r w:rsidRPr="006E02AA">
              <w:rPr>
                <w:sz w:val="18"/>
                <w:szCs w:val="18"/>
              </w:rPr>
              <w:t>Grade 1: 40%</w:t>
            </w:r>
          </w:p>
          <w:p w14:paraId="35CB111D" w14:textId="22F7FBF9" w:rsidR="00887D98" w:rsidRPr="006E02AA" w:rsidRDefault="00887D98" w:rsidP="00887D98">
            <w:pPr>
              <w:pStyle w:val="BodyText"/>
              <w:spacing w:before="0" w:after="0" w:line="240" w:lineRule="auto"/>
              <w:jc w:val="left"/>
              <w:rPr>
                <w:sz w:val="18"/>
                <w:szCs w:val="18"/>
              </w:rPr>
            </w:pPr>
            <w:r w:rsidRPr="006E02AA">
              <w:rPr>
                <w:sz w:val="18"/>
                <w:szCs w:val="18"/>
              </w:rPr>
              <w:t>Grade 2: 43%</w:t>
            </w:r>
          </w:p>
          <w:p w14:paraId="4A5C6538" w14:textId="1A33CB67" w:rsidR="00887D98" w:rsidRPr="006E02AA" w:rsidRDefault="00887D98" w:rsidP="00887D98">
            <w:pPr>
              <w:pStyle w:val="BodyText"/>
              <w:spacing w:before="0" w:after="0" w:line="240" w:lineRule="auto"/>
              <w:jc w:val="left"/>
              <w:rPr>
                <w:sz w:val="18"/>
                <w:szCs w:val="18"/>
              </w:rPr>
            </w:pPr>
            <w:r w:rsidRPr="006E02AA">
              <w:rPr>
                <w:sz w:val="18"/>
                <w:szCs w:val="18"/>
              </w:rPr>
              <w:t>Grade 3: 16%</w:t>
            </w:r>
          </w:p>
          <w:p w14:paraId="51898D26" w14:textId="38C08AEE" w:rsidR="00887D98" w:rsidRPr="006E02AA" w:rsidRDefault="00887D98" w:rsidP="00887D98">
            <w:pPr>
              <w:pStyle w:val="BodyText"/>
              <w:spacing w:before="0" w:after="0" w:line="240" w:lineRule="auto"/>
              <w:rPr>
                <w:sz w:val="18"/>
                <w:szCs w:val="18"/>
              </w:rPr>
            </w:pPr>
            <w:r w:rsidRPr="006E02AA">
              <w:rPr>
                <w:sz w:val="18"/>
                <w:szCs w:val="18"/>
              </w:rPr>
              <w:t>No data: 1%</w:t>
            </w:r>
          </w:p>
        </w:tc>
        <w:tc>
          <w:tcPr>
            <w:tcW w:w="1978" w:type="dxa"/>
          </w:tcPr>
          <w:p w14:paraId="24F8CA6A" w14:textId="0AC32CF9" w:rsidR="00887D98" w:rsidRPr="006E02AA" w:rsidRDefault="00887D98" w:rsidP="00887D98">
            <w:pPr>
              <w:pStyle w:val="BodyText"/>
              <w:spacing w:before="0" w:after="0" w:line="240" w:lineRule="auto"/>
              <w:jc w:val="center"/>
              <w:rPr>
                <w:sz w:val="18"/>
                <w:szCs w:val="18"/>
              </w:rPr>
            </w:pPr>
            <w:r w:rsidRPr="006E02AA">
              <w:rPr>
                <w:sz w:val="18"/>
                <w:szCs w:val="18"/>
              </w:rPr>
              <w:t>NA</w:t>
            </w:r>
          </w:p>
        </w:tc>
      </w:tr>
    </w:tbl>
    <w:p w14:paraId="6C853330" w14:textId="77777777" w:rsidR="006A4BF1" w:rsidRDefault="006A4BF1" w:rsidP="00783E1A">
      <w:pPr>
        <w:pStyle w:val="NumberedHeading3"/>
      </w:pPr>
      <w:bookmarkStart w:id="317" w:name="_Toc43376314"/>
      <w:r>
        <w:t>Tumour size (mm)</w:t>
      </w:r>
      <w:bookmarkEnd w:id="317"/>
    </w:p>
    <w:p w14:paraId="499D92E0" w14:textId="32FF82EC" w:rsidR="00CA2A35" w:rsidRDefault="006A4BF1" w:rsidP="00CA2A35">
      <w:pPr>
        <w:pStyle w:val="BodyText"/>
      </w:pPr>
      <w:r>
        <w:t xml:space="preserve">BSA defines a small tumour as less than 15mm in diameter. Studies </w:t>
      </w:r>
      <w:r w:rsidR="006D6416">
        <w:t xml:space="preserve">evaluated </w:t>
      </w:r>
      <w:r>
        <w:t>as part of this literature review used different bands to describe</w:t>
      </w:r>
      <w:r w:rsidR="00AA4945">
        <w:t xml:space="preserve"> the</w:t>
      </w:r>
      <w:r>
        <w:t xml:space="preserve"> size of detected invasive cancers, which ma</w:t>
      </w:r>
      <w:r w:rsidR="00086A8B">
        <w:t>de</w:t>
      </w:r>
      <w:r>
        <w:t xml:space="preserve"> it difficult to compare results</w:t>
      </w:r>
      <w:r w:rsidR="00086A8B">
        <w:t>; however, m</w:t>
      </w:r>
      <w:r>
        <w:t xml:space="preserve">ixed results were presented </w:t>
      </w:r>
      <w:r w:rsidR="00AA4945">
        <w:t xml:space="preserve">between the RCT and the other </w:t>
      </w:r>
      <w:r>
        <w:t>studies</w:t>
      </w:r>
      <w:r w:rsidR="00AA4945">
        <w:t xml:space="preserve"> embedded in population-based screening programs</w:t>
      </w:r>
      <w:r w:rsidR="00086A8B">
        <w:t xml:space="preserve">. </w:t>
      </w:r>
      <w:r w:rsidR="00CA2A35">
        <w:t xml:space="preserve">Individual study results are reported in </w:t>
      </w:r>
      <w:r w:rsidR="00CA2A35">
        <w:rPr>
          <w:i/>
          <w:iCs/>
        </w:rPr>
        <w:t xml:space="preserve">Table </w:t>
      </w:r>
      <w:r w:rsidR="00C124D2">
        <w:rPr>
          <w:i/>
          <w:iCs/>
        </w:rPr>
        <w:t>13</w:t>
      </w:r>
      <w:r w:rsidR="00CA2A35">
        <w:rPr>
          <w:i/>
          <w:iCs/>
        </w:rPr>
        <w:t xml:space="preserve"> </w:t>
      </w:r>
      <w:r w:rsidR="00CA2A35">
        <w:t>(</w:t>
      </w:r>
      <w:r w:rsidR="00C124D2">
        <w:t>overlea</w:t>
      </w:r>
      <w:r w:rsidR="0075618D">
        <w:t>f</w:t>
      </w:r>
      <w:r w:rsidR="00CA2A35">
        <w:t>).</w:t>
      </w:r>
    </w:p>
    <w:p w14:paraId="7928C8AF" w14:textId="33ECB734" w:rsidR="0056259D" w:rsidRDefault="0056259D" w:rsidP="0056259D">
      <w:pPr>
        <w:pStyle w:val="Heading3"/>
      </w:pPr>
      <w:bookmarkStart w:id="318" w:name="_Toc27477607"/>
      <w:bookmarkStart w:id="319" w:name="_Toc27665740"/>
      <w:bookmarkStart w:id="320" w:name="_Toc27844519"/>
      <w:bookmarkStart w:id="321" w:name="_Toc27859649"/>
      <w:bookmarkStart w:id="322" w:name="_Toc27904764"/>
      <w:bookmarkStart w:id="323" w:name="_Toc43376315"/>
      <w:r>
        <w:t>DBT+</w:t>
      </w:r>
      <w:r w:rsidR="00176980">
        <w:t>s2DM</w:t>
      </w:r>
      <w:r>
        <w:t xml:space="preserve"> compared to FFDM alone</w:t>
      </w:r>
      <w:bookmarkEnd w:id="318"/>
      <w:bookmarkEnd w:id="319"/>
      <w:bookmarkEnd w:id="320"/>
      <w:bookmarkEnd w:id="321"/>
      <w:bookmarkEnd w:id="322"/>
      <w:bookmarkEnd w:id="323"/>
    </w:p>
    <w:p w14:paraId="669EACCA" w14:textId="0F0907DF" w:rsidR="0056259D" w:rsidRPr="0056259D" w:rsidRDefault="0056259D" w:rsidP="0056259D">
      <w:pPr>
        <w:pStyle w:val="BodyText"/>
      </w:pPr>
      <w:r>
        <w:t>Most studies suggested that smaller cancers are detected with DBT+</w:t>
      </w:r>
      <w:r w:rsidR="00176980">
        <w:t>s2DM</w:t>
      </w:r>
      <w:r>
        <w:t>. The clinical significance of the detection of smaller cancers is uncertain (and needs to be considered in light of other tumour characteristics).</w:t>
      </w:r>
    </w:p>
    <w:p w14:paraId="7AC354A4" w14:textId="48374789" w:rsidR="0056259D" w:rsidRPr="0056259D" w:rsidRDefault="0056259D" w:rsidP="0056259D">
      <w:pPr>
        <w:pStyle w:val="BodyText-GREEN"/>
        <w:rPr>
          <w:b/>
          <w:bCs/>
        </w:rPr>
      </w:pPr>
      <w:r>
        <w:rPr>
          <w:b/>
          <w:bCs/>
        </w:rPr>
        <w:t>RCT</w:t>
      </w:r>
    </w:p>
    <w:p w14:paraId="7CD2D93E" w14:textId="07F44B4A" w:rsidR="0056259D" w:rsidRDefault="00AA4945" w:rsidP="006A4BF1">
      <w:pPr>
        <w:pStyle w:val="BodyText"/>
      </w:pPr>
      <w:r>
        <w:t>F</w:t>
      </w:r>
      <w:r w:rsidR="00086A8B">
        <w:t>or DBT+</w:t>
      </w:r>
      <w:r w:rsidR="00176980">
        <w:t>s2DM</w:t>
      </w:r>
      <w:r w:rsidR="00086A8B">
        <w:t xml:space="preserve"> compared to FFDM, </w:t>
      </w:r>
      <w:r w:rsidR="00815FC2">
        <w:t>To-Be-1</w:t>
      </w:r>
      <w:r w:rsidR="00086A8B">
        <w:t xml:space="preserve"> RCT data reported a similar proportion of cancers detected </w:t>
      </w:r>
      <w:r w:rsidR="00086A8B">
        <w:rPr>
          <w:u w:val="single"/>
        </w:rPr>
        <w:t>&lt;</w:t>
      </w:r>
      <w:r w:rsidR="00086A8B">
        <w:t>20mm but fewer very small cancers (</w:t>
      </w:r>
      <w:r w:rsidR="00086A8B">
        <w:rPr>
          <w:u w:val="single"/>
        </w:rPr>
        <w:t>&lt;</w:t>
      </w:r>
      <w:r w:rsidR="00086A8B">
        <w:t>10mm) were detected in the DBT arm (Hofvind et al., 2019)</w:t>
      </w:r>
      <w:r w:rsidR="00551FFF">
        <w:t xml:space="preserve"> (although this result was not significant)</w:t>
      </w:r>
      <w:r w:rsidR="00086A8B">
        <w:t>.</w:t>
      </w:r>
      <w:r w:rsidR="00551FFF">
        <w:t xml:space="preserve"> </w:t>
      </w:r>
      <w:r>
        <w:t xml:space="preserve">In the </w:t>
      </w:r>
      <w:r w:rsidR="00815FC2">
        <w:t>To-Be-1</w:t>
      </w:r>
      <w:r>
        <w:t xml:space="preserve"> RCT, cancers detected with DBT had larger mean and median diameters; however, the results for tumours </w:t>
      </w:r>
      <w:r>
        <w:rPr>
          <w:u w:val="single"/>
        </w:rPr>
        <w:t>&lt;</w:t>
      </w:r>
      <w:r>
        <w:t xml:space="preserve">20mm were similar between the two imaging protocols. </w:t>
      </w:r>
    </w:p>
    <w:p w14:paraId="1B9D6356" w14:textId="77777777" w:rsidR="0056259D" w:rsidRPr="004F0D75" w:rsidRDefault="0056259D" w:rsidP="0056259D">
      <w:pPr>
        <w:pStyle w:val="BodyText-GREEN"/>
        <w:rPr>
          <w:b/>
          <w:bCs/>
        </w:rPr>
      </w:pPr>
      <w:r w:rsidRPr="004F0D75">
        <w:rPr>
          <w:b/>
          <w:bCs/>
        </w:rPr>
        <w:lastRenderedPageBreak/>
        <w:t>Prospective studies embedded in screening programs</w:t>
      </w:r>
    </w:p>
    <w:p w14:paraId="69F1EDC6" w14:textId="62AD3EFA" w:rsidR="00AA4945" w:rsidRDefault="00551FFF" w:rsidP="006A4BF1">
      <w:pPr>
        <w:pStyle w:val="BodyText"/>
      </w:pPr>
      <w:r>
        <w:t>Romero Martín et al</w:t>
      </w:r>
      <w:r w:rsidR="00176980">
        <w:t>.</w:t>
      </w:r>
      <w:r>
        <w:t xml:space="preserve"> (2018) and Hofvind et al. (2018) reported a statistically significant increase</w:t>
      </w:r>
      <w:r w:rsidR="006D6416">
        <w:t>s</w:t>
      </w:r>
      <w:r>
        <w:t xml:space="preserve"> in the detection of cancers </w:t>
      </w:r>
      <w:r>
        <w:rPr>
          <w:u w:val="single"/>
        </w:rPr>
        <w:t>&lt;</w:t>
      </w:r>
      <w:r>
        <w:t>10mm</w:t>
      </w:r>
      <w:r w:rsidR="006D6416">
        <w:t xml:space="preserve"> with DBT+</w:t>
      </w:r>
      <w:r w:rsidR="00176980">
        <w:t>s2DM</w:t>
      </w:r>
      <w:r w:rsidR="006D6416">
        <w:t xml:space="preserve"> compared to FFDM alone</w:t>
      </w:r>
      <w:r>
        <w:t xml:space="preserve">. </w:t>
      </w:r>
      <w:r w:rsidR="00086A8B">
        <w:t xml:space="preserve">Results from other prospective studies </w:t>
      </w:r>
      <w:r w:rsidR="006D6416">
        <w:t xml:space="preserve">also </w:t>
      </w:r>
      <w:r w:rsidR="00086A8B">
        <w:t>suggested that DBT+</w:t>
      </w:r>
      <w:r w:rsidR="00176980">
        <w:t>s2DM</w:t>
      </w:r>
      <w:r w:rsidR="00086A8B">
        <w:t xml:space="preserve"> detected proportionally more very small cancers (</w:t>
      </w:r>
      <w:r w:rsidR="00086A8B">
        <w:rPr>
          <w:u w:val="single"/>
        </w:rPr>
        <w:t>&lt;</w:t>
      </w:r>
      <w:r w:rsidR="00086A8B">
        <w:t>5mm) compared to FFDM alone (Bernardi et al., 2019; Houssami et al., 2019).</w:t>
      </w:r>
      <w:r w:rsidR="00AA4945">
        <w:t xml:space="preserve"> Data from Maroondah suggested that DBT+</w:t>
      </w:r>
      <w:r w:rsidR="00176980">
        <w:t>s2DM</w:t>
      </w:r>
      <w:r w:rsidR="00AA4945">
        <w:t xml:space="preserve"> detected more very small cancers (</w:t>
      </w:r>
      <w:r w:rsidR="00AA4945">
        <w:rPr>
          <w:u w:val="single"/>
        </w:rPr>
        <w:t>&lt;</w:t>
      </w:r>
      <w:r w:rsidR="00AA4945">
        <w:t>5mm) but both study arms had similar results for detecting small cancers (using the BSA definition of less than 15mm): 61 percent of cancers detected with DBT+</w:t>
      </w:r>
      <w:r w:rsidR="00176980">
        <w:t>s2DM</w:t>
      </w:r>
      <w:r w:rsidR="00AA4945">
        <w:t xml:space="preserve"> were under 15mm compared to 60 percent with FFDM imaging (Houssami et al., 2019). This result was similar for cancers detected in the Trento screening program (although a direct comparison is difficult because the results are stratified by different size bands) (Bernardi et al., 2019). </w:t>
      </w:r>
      <w:r w:rsidR="00086A8B">
        <w:t xml:space="preserve">Authors </w:t>
      </w:r>
      <w:r w:rsidR="006A4BF1">
        <w:t>generally commented that, proportionally, more smaller cancers were detected with DBT or that DBT-detected cancers had a slightly smaller mean diameter, although not all studies reported statistically significant results. Median diameter was also slightly smaller</w:t>
      </w:r>
      <w:r w:rsidR="00086A8B">
        <w:t xml:space="preserve"> (when this measure was reported)</w:t>
      </w:r>
      <w:r w:rsidR="006A4BF1">
        <w:t xml:space="preserve">. </w:t>
      </w:r>
    </w:p>
    <w:p w14:paraId="01EA8E1F" w14:textId="091F6F33" w:rsidR="00AA4945" w:rsidRDefault="00AA4945" w:rsidP="00AA4945">
      <w:pPr>
        <w:pStyle w:val="BodyText"/>
      </w:pPr>
      <w:r>
        <w:t>No mean size was provided for the Trento data, but was the only data provided in the Verona study (Caumo et al., 2018), which reported that the mean diameter of tumours detected with DBT+</w:t>
      </w:r>
      <w:r w:rsidR="00176980">
        <w:t>s2DM</w:t>
      </w:r>
      <w:r>
        <w:t xml:space="preserve"> was 3.5mm smaller than those cancers detected with FFDM. This difference was much larger than the difference in mean presented in the Maroondah data, although the direction of effect is the same (i.e., more smaller cancers detected with DBT). The strongest evidence that DBT+</w:t>
      </w:r>
      <w:r w:rsidR="00176980">
        <w:t>s2DM</w:t>
      </w:r>
      <w:r>
        <w:t xml:space="preserve"> detects more smaller cancers comes from Hofvind et al.’s 2018 analysis of Norway BreastScreen Program data reported a statistically significant increase in the number of cancers under </w:t>
      </w:r>
      <w:r>
        <w:rPr>
          <w:u w:val="single"/>
        </w:rPr>
        <w:t>&lt;</w:t>
      </w:r>
      <w:r>
        <w:t>10mm and for cancers between 10</w:t>
      </w:r>
      <w:r w:rsidR="00176980">
        <w:t xml:space="preserve"> and </w:t>
      </w:r>
      <w:r>
        <w:t xml:space="preserve">20mm in diameter. </w:t>
      </w:r>
    </w:p>
    <w:p w14:paraId="3A260874" w14:textId="300E9F83" w:rsidR="006B1F48" w:rsidRPr="0056259D" w:rsidRDefault="006B1F48" w:rsidP="006B1F48">
      <w:pPr>
        <w:pStyle w:val="BodyText-GREEN"/>
        <w:rPr>
          <w:b/>
          <w:bCs/>
        </w:rPr>
      </w:pPr>
      <w:r>
        <w:rPr>
          <w:b/>
          <w:bCs/>
        </w:rPr>
        <w:t>Retrospective analysis</w:t>
      </w:r>
    </w:p>
    <w:p w14:paraId="479B0531" w14:textId="6B091FC2" w:rsidR="006B1F48" w:rsidRDefault="006B1F48" w:rsidP="00AA4945">
      <w:pPr>
        <w:pStyle w:val="BodyText"/>
      </w:pPr>
      <w:r>
        <w:t>Hovda et al. (2019) reported an increase in the detection of very small cancers with similar results presented in their retrospective analysis as that presented in the prospective studies.</w:t>
      </w:r>
    </w:p>
    <w:p w14:paraId="6D73ACA1" w14:textId="57ED5957" w:rsidR="0056259D" w:rsidRDefault="0056259D" w:rsidP="0056259D">
      <w:pPr>
        <w:pStyle w:val="Heading3"/>
      </w:pPr>
      <w:bookmarkStart w:id="324" w:name="_Toc27477608"/>
      <w:bookmarkStart w:id="325" w:name="_Toc27665741"/>
      <w:bookmarkStart w:id="326" w:name="_Toc27844520"/>
      <w:bookmarkStart w:id="327" w:name="_Toc27859650"/>
      <w:bookmarkStart w:id="328" w:name="_Toc27904765"/>
      <w:bookmarkStart w:id="329" w:name="_Toc43376316"/>
      <w:r>
        <w:t>FFDM+DBT compared to FFDM alone</w:t>
      </w:r>
      <w:bookmarkEnd w:id="324"/>
      <w:bookmarkEnd w:id="325"/>
      <w:bookmarkEnd w:id="326"/>
      <w:bookmarkEnd w:id="327"/>
      <w:bookmarkEnd w:id="328"/>
      <w:bookmarkEnd w:id="329"/>
    </w:p>
    <w:p w14:paraId="19D771B6" w14:textId="5D52AB47" w:rsidR="0056259D" w:rsidRDefault="0056259D" w:rsidP="0056259D">
      <w:pPr>
        <w:pStyle w:val="BodyText"/>
      </w:pPr>
      <w:r>
        <w:t xml:space="preserve">Results from studies comparing FFDM+DBT to FFDM alone also reported that the DBT arm resulted in detection of smaller cancers (i.e., both those </w:t>
      </w:r>
      <w:r>
        <w:rPr>
          <w:u w:val="single"/>
        </w:rPr>
        <w:t>&lt;</w:t>
      </w:r>
      <w:r w:rsidRPr="00AA4945">
        <w:t>10mm and</w:t>
      </w:r>
      <w:r>
        <w:rPr>
          <w:u w:val="single"/>
        </w:rPr>
        <w:t xml:space="preserve"> &lt;</w:t>
      </w:r>
      <w:r>
        <w:t xml:space="preserve">20mm) (Pattacini et al., 2018; Rose &amp; Shisler, 2018). </w:t>
      </w:r>
    </w:p>
    <w:p w14:paraId="4781B236" w14:textId="65741529" w:rsidR="0056259D" w:rsidRPr="0056259D" w:rsidRDefault="0056259D" w:rsidP="0056259D">
      <w:pPr>
        <w:pStyle w:val="BodyText-GREEN"/>
        <w:rPr>
          <w:b/>
          <w:bCs/>
        </w:rPr>
      </w:pPr>
      <w:r w:rsidRPr="0056259D">
        <w:rPr>
          <w:b/>
          <w:bCs/>
        </w:rPr>
        <w:t>RCT</w:t>
      </w:r>
    </w:p>
    <w:p w14:paraId="72198146" w14:textId="7861EFBF" w:rsidR="0056259D" w:rsidRDefault="0056259D" w:rsidP="0056259D">
      <w:pPr>
        <w:pStyle w:val="BodyText"/>
      </w:pPr>
      <w:r>
        <w:t>The data presented from the Reggio</w:t>
      </w:r>
      <w:r w:rsidR="00A9108F">
        <w:t xml:space="preserve"> </w:t>
      </w:r>
      <w:r>
        <w:t xml:space="preserve">Emilia trial included 69/83 invasive cancers detected with FFDM+DBT and 39/44 invasive cancers detected with FFDM alone but none of the DCIS). Other cancer characteristics reported on included DCIS (eg, grade, stage, etc.). Data relating to invasive cancer only showed an increase in the proportion of cancers detected with FFDM+DBT were </w:t>
      </w:r>
      <w:r>
        <w:rPr>
          <w:u w:val="single"/>
        </w:rPr>
        <w:t>&lt;</w:t>
      </w:r>
      <w:r>
        <w:t xml:space="preserve">10mm compared to FFDM alone. In this study, women with a family history and those having a prevalent screen were excluded, which the authors noted could mean fewer large cancers were detected during the study (and this could have influenced the non-significant results for detection of cancers </w:t>
      </w:r>
      <w:r>
        <w:rPr>
          <w:u w:val="single"/>
        </w:rPr>
        <w:t>&gt;</w:t>
      </w:r>
      <w:r>
        <w:t xml:space="preserve">20mm). </w:t>
      </w:r>
    </w:p>
    <w:p w14:paraId="5FC86A6D" w14:textId="5B554A8A" w:rsidR="0056259D" w:rsidRPr="004F0D75" w:rsidRDefault="0056259D" w:rsidP="0056259D">
      <w:pPr>
        <w:pStyle w:val="BodyText-GREEN"/>
        <w:rPr>
          <w:b/>
          <w:bCs/>
        </w:rPr>
      </w:pPr>
      <w:r w:rsidRPr="004F0D75">
        <w:rPr>
          <w:b/>
          <w:bCs/>
        </w:rPr>
        <w:t>Prospective studies embedded in screening programs</w:t>
      </w:r>
    </w:p>
    <w:p w14:paraId="402F4946" w14:textId="7403EDA4" w:rsidR="00AA4945" w:rsidRPr="004D5FEC" w:rsidRDefault="00EE66AA" w:rsidP="00AA4945">
      <w:pPr>
        <w:pStyle w:val="BodyText"/>
      </w:pPr>
      <w:r>
        <w:t>No significant differences in tumour size were reported in the OTS trial (Skaane et al., 201</w:t>
      </w:r>
      <w:r w:rsidR="00F43CAC">
        <w:t>8</w:t>
      </w:r>
      <w:r>
        <w:t>).</w:t>
      </w:r>
    </w:p>
    <w:p w14:paraId="4F314888" w14:textId="77777777" w:rsidR="0075618D" w:rsidRDefault="0075618D">
      <w:pPr>
        <w:rPr>
          <w:rFonts w:asciiTheme="majorHAnsi" w:hAnsiTheme="majorHAnsi"/>
          <w:b/>
          <w:color w:val="36424A" w:themeColor="text2"/>
          <w:sz w:val="24"/>
        </w:rPr>
      </w:pPr>
      <w:bookmarkStart w:id="330" w:name="_Toc27477609"/>
      <w:bookmarkStart w:id="331" w:name="_Toc27665742"/>
      <w:r>
        <w:br w:type="page"/>
      </w:r>
    </w:p>
    <w:p w14:paraId="1F8E0522" w14:textId="0F4E7027" w:rsidR="0056259D" w:rsidRPr="0056259D" w:rsidRDefault="0056259D" w:rsidP="0056259D">
      <w:pPr>
        <w:pStyle w:val="Heading3"/>
      </w:pPr>
      <w:bookmarkStart w:id="332" w:name="_Toc27844521"/>
      <w:bookmarkStart w:id="333" w:name="_Toc27859651"/>
      <w:bookmarkStart w:id="334" w:name="_Toc27904766"/>
      <w:bookmarkStart w:id="335" w:name="_Toc43376317"/>
      <w:r>
        <w:lastRenderedPageBreak/>
        <w:t>DBT</w:t>
      </w:r>
      <w:r>
        <w:rPr>
          <w:vertAlign w:val="subscript"/>
        </w:rPr>
        <w:t>MLO</w:t>
      </w:r>
      <w:r>
        <w:t xml:space="preserve"> compared to FFDM alone</w:t>
      </w:r>
      <w:bookmarkEnd w:id="330"/>
      <w:bookmarkEnd w:id="331"/>
      <w:bookmarkEnd w:id="332"/>
      <w:bookmarkEnd w:id="333"/>
      <w:bookmarkEnd w:id="334"/>
      <w:bookmarkEnd w:id="335"/>
    </w:p>
    <w:p w14:paraId="67BBBA14" w14:textId="27DE8B2D" w:rsidR="0056259D" w:rsidRPr="004F0D75" w:rsidRDefault="0056259D" w:rsidP="0056259D">
      <w:pPr>
        <w:pStyle w:val="BodyText-GREEN"/>
        <w:rPr>
          <w:b/>
          <w:bCs/>
        </w:rPr>
      </w:pPr>
      <w:r w:rsidRPr="004F0D75">
        <w:rPr>
          <w:b/>
          <w:bCs/>
        </w:rPr>
        <w:t>Prospective studies embedded in screening programs</w:t>
      </w:r>
    </w:p>
    <w:p w14:paraId="0CA93648" w14:textId="2CEF579F" w:rsidR="00FA4631" w:rsidRDefault="00AA4945" w:rsidP="0075618D">
      <w:pPr>
        <w:pStyle w:val="BodyText"/>
        <w:rPr>
          <w:b/>
          <w:bCs/>
          <w:color w:val="36424A" w:themeColor="accent1"/>
          <w:sz w:val="18"/>
          <w:szCs w:val="18"/>
        </w:rPr>
      </w:pPr>
      <w:r>
        <w:t>Results from the Malmö trial were equivocal with similar numbers of small cancers detected in both the DBT</w:t>
      </w:r>
      <w:r>
        <w:rPr>
          <w:vertAlign w:val="subscript"/>
        </w:rPr>
        <w:t>MLO</w:t>
      </w:r>
      <w:r>
        <w:t xml:space="preserve"> arm and the FFDM arm (Zackrisson et al., 2018).</w:t>
      </w:r>
      <w:r w:rsidRPr="00AA4945">
        <w:t xml:space="preserve"> </w:t>
      </w:r>
      <w:r>
        <w:t xml:space="preserve">The authors compared the difference in mean diameter size for cancers only detected with DBT and reported that these cancers were quite a bit smaller: 76 percent of cancers only detected with DBT were under 15mm compared to 66 percent of all cancers detected with FFDM. </w:t>
      </w:r>
    </w:p>
    <w:p w14:paraId="063A1D25" w14:textId="28958F5A" w:rsidR="006A4BF1" w:rsidRDefault="006A4BF1" w:rsidP="006A4BF1">
      <w:pPr>
        <w:pStyle w:val="Caption"/>
      </w:pPr>
      <w:r>
        <w:t xml:space="preserve">Table </w:t>
      </w:r>
      <w:r w:rsidR="00C124D2">
        <w:t>13</w:t>
      </w:r>
      <w:r>
        <w:t>: Tumor size (mm) for invasive cancers</w:t>
      </w:r>
      <w:r w:rsidR="000B4730">
        <w:t xml:space="preserve"> for a range of imaging protocols</w:t>
      </w:r>
    </w:p>
    <w:tbl>
      <w:tblPr>
        <w:tblStyle w:val="ACGreen-BasicTable"/>
        <w:tblW w:w="0" w:type="auto"/>
        <w:tblLook w:val="04A0" w:firstRow="1" w:lastRow="0" w:firstColumn="1" w:lastColumn="0" w:noHBand="0" w:noVBand="1"/>
        <w:tblDescription w:val="Table 13 is the Tumor size in millimetres (mm) for invasive cancers for a range of imaging protocols.&#10;&#10;For DBT+s2DM compared to FFDM alone for RCT a study by Hofvind et al. (2019) To-Be-1 RCT (main analysis) includes:&#10;For DBT+s2DM it was &lt;10mm: 14.3%, 10-20mm: 61.4%, &gt;20mm: 24.3%, No data: 12.5%, Mean: 16mm (SD 8.4), Median: 14.9 (11, 18).&#10;For DBTMLO it was NA.&#10;For FFDM+DBT it was NA.&#10;For FFDM alone it was &lt;10mm: 30.0% (p=.09), 10-20mm: 48.3%, &gt;20mm: 21.7%, No data: 15.5%, Mean: 14.5 (SD 8.8; p=.33), Median: 14.0 (8.5, 18.8).&#10;&#10;For prospective studies embedded in population-based screening includes the following studies:&#10;A study by Bernardi et al. (2019) Trento includes:&#10;DBT+s2DM - &lt;5mm: 7.48%, 5.1-10mm: 29.92%, 10.1-20mm: 36.16, 21-49mm: 12.72%, &gt;50mm: .997%.&#10;DBTMLO was NA.&#10;FFDM+DBT was NA.&#10;FFDM alone - &lt;5mm: 4.88%, 5.1-10mm: 26.83%, 10.1-20mm: 38.05, 21-49mm: 12.19%, &gt;50mm: 1.95%.&#10;&#10;A study by Houssami et al. (2019) Maroondah includes:&#10;DBT+s2DM - &lt;5mm: 15% , 5.1-10mm: 13%, 10.1-15mm: 33%, 15.1-20mm: 20%, &gt;20mm: 20%, Mean: 16.4mm (SD 12.8mm)&#10;DBT MLO was NA.&#10;FFDM+DBT was NA.&#10;FFDM alone - &lt;5mm: 13% , 5.1-10mm: 27%, 10.1-15mm: 20%, 15.1-20mm: 17%, &gt;20mm: 23%, Mean: 16.8 mm (SD 12.3mm).&#10;&#10;A study by Caumo et al. (2018) Verona includes:&#10;DBT+s2DM - Mean: 15.1mm.&#10;DBTMLO was NA.&#10;FFDM+DBT was NA.&#10;FFDM alone - Mean: 18.6mm (p=.052).&#10;&#10;A study by Hofvind et al. (2018) Norway BSP includes:&#10;DBT+s2DM - &lt;10mm: 3.2 per 1000, 10-20mm: 3.3 per 1000, &gt;20mm: 1.0 per 1000, No data, there was 4 cases.&#10;DBT MLO was NA.&#10;FFDM+DBT was NA.&#10;FFDM alone - &lt;10mm: 1.8 per 1000 (p&lt;.001), 10-20mm: 2.5 per 1000 (p=.03), &gt;20mm: 0.9 per 1000 (p=.747), No data: nine cancers.&#10;&#10;A study by Romero Martin et al. (2018) Cordoba includes:&#10;DBT+s2DM - &lt;10mm: 25 cancers, 11-15mm: 14, 16-19mm: 14, &gt;20mm: 39.&#10;DBT MLO was NA.&#10;FFDM+DBT was NA.&#10;FFDM alone - &lt;10mm: 19 cancers (p=.021), 11-15mm: 12, 16-19mm: 12&#10;&gt;20mm: 33.&#10;&#10;For retrospective analysis a study by Hovad et al. (2019) includes:&#10;DBT+s2DM - &lt;10mm: 1.52 per 1000,10-19mm: 1.05 per 1000, 20-29mm: 0.76 per 1000, &gt;30mm: 0.38 per 1000, Mean: 15.2mm, Median: 12mm.&#10;DBTMLO was NA.&#10;FFDM+DBT wasNA.&#10;FFDM alone - &lt;10mm: 3.33 per 1000 (p=.01), 10-19mm: 3.74 per 1000 (p=.001), 20-29mm: 0.74 per 1000, &gt;30mm: 0.44 per 1000, Mean: 13.3mm, Median: 11mm.&#10;&#10;For FFDM+DBT compared to FFDM alone for RCT a study by Pattacini et al. (2018) Reggio Emilia includes: &#10;DBT+s2DM was NA.&#10;DBTMLO was NA.&#10;FFDM+DBT - &lt;10mm: 31 cancers, 10-20mm: 31 cancers, &gt;20mm: 7 cancers.&#10;FFDM alone - &lt;10mm: 16 cancers (RR=1.94; 95%CI: 1.06, 3.54), 10-20mm: 14 cancers (RR=2.22; 95%CI: 1.18, 4.16), &gt;20mm: 8 cancers (RR=0.88; 0.32, 2.41), No data was 1.&#10;&#10;For Prospective studies embedded in population-based screening a study by Skaane et al. (2018) OTS includes:&#10;DBT+s2DM was NA.&#10;DBTMLO was NA.&#10;FFDM+DBT - &lt;10mm: 9.3%, 11-20mm: 41.9%, &gt;20mm: 48.8%.&#10;FFDM alone - &lt;10mm: 17.2%, p=.138, 11-20mm: 45.2%, &gt;20mm: 37.6%.&#10;&#10;For Retrospective analysis includes the following studies:&#10;A study by Bahl et al. (2019) includes:&#10;DBT+s2DM was NA.&#10;DBTMLO was NA.&#10;FFDM+DBT, the Mean was 12.0mm (+9.7).&#10;FFDM alone, the Mean was 12.8mm (+8.2).&#10;&#10;A study by Rose &amp; Shisler (2018) includes:&#10;DBT+s2DM was NA.&#10;DBTMLO was NA.&#10;FFDM+DBT the Mean was 14mm (6, 26), Median was 15mm.&#10;FFDM alone, - the Mean was 17mm (4, 60), Median was 19mm.&#10;&#10;For DBTMLO compared to FFDM alone, the Prospective studies embedded in population-based screening includes the following studies:&#10;&#10;A study by Johnson et al. (2018) Malmö includes:&#10;DBT+s2DM was NA.&#10;DBTMLO - &lt;10mm: 41% , 10-20mm: 43%, 20-50mm: 14%, &gt;50mm: 0%.&#10;FFDM+DBT - &lt;10mm: 32% p=.88 , 10-20mm: 52%, 20-50mm: 14%, &gt;50mm: 1%.&#10;FFDM alone was NA.&#10;&#10;A study by Zackrisson et al. (2018) Malmö includes:&#10;DBT+ s2DM was NA.&#10;DBTMLO - &lt;10mm: 37% , 11-15mm: 33%, 16-19mm: 11%, &gt;20mm: 18%, Mean: 14mm, Median: 12mm (1, 78).&#10;FFDM+DBT - &lt;10mm: 35%, 11-15mm: 31%, 16-19mm: 10%, &gt;20mm: 23%, Mean: 15mm, Median: 12mm (1, 78).&#10;FFDM alone was NA.&#10;"/>
      </w:tblPr>
      <w:tblGrid>
        <w:gridCol w:w="1555"/>
        <w:gridCol w:w="1876"/>
        <w:gridCol w:w="1667"/>
        <w:gridCol w:w="1701"/>
        <w:gridCol w:w="2262"/>
      </w:tblGrid>
      <w:tr w:rsidR="006A4BF1" w:rsidRPr="006E02AA" w14:paraId="0E5B8BA9" w14:textId="77777777" w:rsidTr="00592E7C">
        <w:trPr>
          <w:cnfStyle w:val="100000000000" w:firstRow="1" w:lastRow="0" w:firstColumn="0" w:lastColumn="0" w:oddVBand="0" w:evenVBand="0" w:oddHBand="0" w:evenHBand="0" w:firstRowFirstColumn="0" w:firstRowLastColumn="0" w:lastRowFirstColumn="0" w:lastRowLastColumn="0"/>
        </w:trPr>
        <w:tc>
          <w:tcPr>
            <w:tcW w:w="1555" w:type="dxa"/>
          </w:tcPr>
          <w:p w14:paraId="7E7CB867" w14:textId="77777777" w:rsidR="006A4BF1" w:rsidRPr="006E02AA" w:rsidRDefault="006A4BF1" w:rsidP="00592E7C">
            <w:pPr>
              <w:pStyle w:val="BodyText"/>
              <w:spacing w:before="0" w:after="0" w:line="240" w:lineRule="auto"/>
              <w:jc w:val="center"/>
              <w:rPr>
                <w:sz w:val="18"/>
                <w:szCs w:val="18"/>
              </w:rPr>
            </w:pPr>
            <w:r w:rsidRPr="006E02AA">
              <w:rPr>
                <w:sz w:val="18"/>
                <w:szCs w:val="18"/>
              </w:rPr>
              <w:t>Study</w:t>
            </w:r>
          </w:p>
        </w:tc>
        <w:tc>
          <w:tcPr>
            <w:tcW w:w="1876" w:type="dxa"/>
          </w:tcPr>
          <w:p w14:paraId="59CB6418" w14:textId="27A90573" w:rsidR="006A4BF1" w:rsidRPr="006E02AA" w:rsidRDefault="006A4BF1" w:rsidP="000B4730">
            <w:pPr>
              <w:pStyle w:val="BodyText"/>
              <w:spacing w:before="0" w:after="0" w:line="240" w:lineRule="auto"/>
              <w:jc w:val="center"/>
              <w:rPr>
                <w:b w:val="0"/>
                <w:sz w:val="18"/>
                <w:szCs w:val="18"/>
              </w:rPr>
            </w:pPr>
            <w:r w:rsidRPr="006E02AA">
              <w:rPr>
                <w:sz w:val="18"/>
                <w:szCs w:val="18"/>
              </w:rPr>
              <w:t>DBT+</w:t>
            </w:r>
            <w:r w:rsidR="00176980">
              <w:rPr>
                <w:sz w:val="18"/>
                <w:szCs w:val="18"/>
              </w:rPr>
              <w:t>s2DM</w:t>
            </w:r>
          </w:p>
        </w:tc>
        <w:tc>
          <w:tcPr>
            <w:tcW w:w="1667" w:type="dxa"/>
          </w:tcPr>
          <w:p w14:paraId="1F07D436" w14:textId="3EDD990E" w:rsidR="006A4BF1" w:rsidRPr="006E02AA" w:rsidRDefault="006A4BF1" w:rsidP="000B4730">
            <w:pPr>
              <w:pStyle w:val="BodyText"/>
              <w:spacing w:before="0" w:after="0" w:line="240" w:lineRule="auto"/>
              <w:jc w:val="center"/>
              <w:rPr>
                <w:b w:val="0"/>
                <w:sz w:val="18"/>
                <w:szCs w:val="18"/>
                <w:vertAlign w:val="subscript"/>
              </w:rPr>
            </w:pPr>
            <w:r w:rsidRPr="006E02AA">
              <w:rPr>
                <w:sz w:val="18"/>
                <w:szCs w:val="18"/>
              </w:rPr>
              <w:t>DBT</w:t>
            </w:r>
            <w:r w:rsidRPr="006E02AA">
              <w:rPr>
                <w:sz w:val="18"/>
                <w:szCs w:val="18"/>
                <w:vertAlign w:val="subscript"/>
              </w:rPr>
              <w:t>MLO</w:t>
            </w:r>
          </w:p>
        </w:tc>
        <w:tc>
          <w:tcPr>
            <w:tcW w:w="1701" w:type="dxa"/>
          </w:tcPr>
          <w:p w14:paraId="595DF266" w14:textId="6AB3276C" w:rsidR="006A4BF1" w:rsidRPr="006E02AA" w:rsidRDefault="006A4BF1" w:rsidP="000B4730">
            <w:pPr>
              <w:pStyle w:val="BodyText"/>
              <w:spacing w:before="0" w:after="0" w:line="240" w:lineRule="auto"/>
              <w:jc w:val="center"/>
              <w:rPr>
                <w:b w:val="0"/>
                <w:sz w:val="18"/>
                <w:szCs w:val="18"/>
              </w:rPr>
            </w:pPr>
            <w:r w:rsidRPr="006E02AA">
              <w:rPr>
                <w:sz w:val="18"/>
                <w:szCs w:val="18"/>
              </w:rPr>
              <w:t>FFDM+DBT</w:t>
            </w:r>
          </w:p>
        </w:tc>
        <w:tc>
          <w:tcPr>
            <w:tcW w:w="2262" w:type="dxa"/>
          </w:tcPr>
          <w:p w14:paraId="350EA84E" w14:textId="6A2D661C" w:rsidR="006A4BF1" w:rsidRPr="006E02AA" w:rsidRDefault="006A4BF1" w:rsidP="000B4730">
            <w:pPr>
              <w:pStyle w:val="BodyText"/>
              <w:spacing w:before="0" w:after="0" w:line="240" w:lineRule="auto"/>
              <w:jc w:val="center"/>
              <w:rPr>
                <w:b w:val="0"/>
                <w:sz w:val="18"/>
                <w:szCs w:val="18"/>
              </w:rPr>
            </w:pPr>
            <w:r w:rsidRPr="006E02AA">
              <w:rPr>
                <w:sz w:val="18"/>
                <w:szCs w:val="18"/>
              </w:rPr>
              <w:t>FFDM alone</w:t>
            </w:r>
          </w:p>
        </w:tc>
      </w:tr>
      <w:tr w:rsidR="001740DE" w:rsidRPr="006E02AA" w14:paraId="267BFE26" w14:textId="77777777" w:rsidTr="00592E7C">
        <w:tc>
          <w:tcPr>
            <w:tcW w:w="9061" w:type="dxa"/>
            <w:gridSpan w:val="5"/>
            <w:shd w:val="clear" w:color="auto" w:fill="E7FFBD" w:themeFill="background2" w:themeFillTint="33"/>
          </w:tcPr>
          <w:p w14:paraId="0D663E98" w14:textId="1003F633" w:rsidR="001740DE" w:rsidRPr="006E02AA" w:rsidRDefault="001740DE" w:rsidP="00592E7C">
            <w:pPr>
              <w:pStyle w:val="BodyText"/>
              <w:spacing w:before="0" w:after="0" w:line="240" w:lineRule="auto"/>
              <w:jc w:val="center"/>
              <w:rPr>
                <w:sz w:val="18"/>
                <w:szCs w:val="18"/>
              </w:rPr>
            </w:pPr>
            <w:r w:rsidRPr="006E02AA">
              <w:rPr>
                <w:sz w:val="18"/>
                <w:szCs w:val="18"/>
              </w:rPr>
              <w:t>DBT+</w:t>
            </w:r>
            <w:r w:rsidR="00176980">
              <w:rPr>
                <w:sz w:val="18"/>
                <w:szCs w:val="18"/>
              </w:rPr>
              <w:t>s2DM</w:t>
            </w:r>
            <w:r w:rsidRPr="006E02AA">
              <w:rPr>
                <w:sz w:val="18"/>
                <w:szCs w:val="18"/>
              </w:rPr>
              <w:t xml:space="preserve"> compared to FFDM alone</w:t>
            </w:r>
          </w:p>
        </w:tc>
      </w:tr>
      <w:tr w:rsidR="006A4BF1" w:rsidRPr="006E02AA" w14:paraId="2D4A8EB8" w14:textId="77777777" w:rsidTr="00592E7C">
        <w:tc>
          <w:tcPr>
            <w:tcW w:w="9061" w:type="dxa"/>
            <w:gridSpan w:val="5"/>
          </w:tcPr>
          <w:p w14:paraId="69098545" w14:textId="77777777" w:rsidR="006A4BF1" w:rsidRPr="006E02AA" w:rsidRDefault="006A4BF1" w:rsidP="00592E7C">
            <w:pPr>
              <w:pStyle w:val="BodyText"/>
              <w:spacing w:before="0" w:after="0" w:line="240" w:lineRule="auto"/>
              <w:jc w:val="left"/>
              <w:rPr>
                <w:sz w:val="18"/>
                <w:szCs w:val="18"/>
              </w:rPr>
            </w:pPr>
            <w:r w:rsidRPr="006E02AA">
              <w:rPr>
                <w:b/>
                <w:bCs/>
                <w:sz w:val="18"/>
                <w:szCs w:val="18"/>
              </w:rPr>
              <w:t>RCT</w:t>
            </w:r>
          </w:p>
        </w:tc>
      </w:tr>
      <w:tr w:rsidR="006A4BF1" w:rsidRPr="006E02AA" w14:paraId="28E62287" w14:textId="77777777" w:rsidTr="00592E7C">
        <w:tc>
          <w:tcPr>
            <w:tcW w:w="1555" w:type="dxa"/>
          </w:tcPr>
          <w:p w14:paraId="2051FCD7" w14:textId="77777777" w:rsidR="006A4BF1" w:rsidRPr="006E02AA" w:rsidRDefault="006A4BF1" w:rsidP="00592E7C">
            <w:pPr>
              <w:pStyle w:val="BodyText"/>
              <w:spacing w:before="0" w:after="0" w:line="240" w:lineRule="auto"/>
              <w:jc w:val="left"/>
              <w:rPr>
                <w:sz w:val="18"/>
                <w:szCs w:val="18"/>
              </w:rPr>
            </w:pPr>
            <w:r w:rsidRPr="006E02AA">
              <w:rPr>
                <w:sz w:val="18"/>
                <w:szCs w:val="18"/>
              </w:rPr>
              <w:t>Hofvind et al. (2019)</w:t>
            </w:r>
          </w:p>
          <w:p w14:paraId="045D8F56" w14:textId="2DA2E8A5" w:rsidR="006A4BF1" w:rsidRDefault="00815FC2" w:rsidP="00592E7C">
            <w:pPr>
              <w:pStyle w:val="BodyText"/>
              <w:spacing w:before="0" w:after="0" w:line="240" w:lineRule="auto"/>
              <w:jc w:val="left"/>
              <w:rPr>
                <w:sz w:val="18"/>
                <w:szCs w:val="18"/>
              </w:rPr>
            </w:pPr>
            <w:r w:rsidRPr="006E02AA">
              <w:rPr>
                <w:sz w:val="18"/>
                <w:szCs w:val="18"/>
              </w:rPr>
              <w:t>To-Be-1</w:t>
            </w:r>
            <w:r w:rsidR="006A4BF1" w:rsidRPr="006E02AA">
              <w:rPr>
                <w:sz w:val="18"/>
                <w:szCs w:val="18"/>
              </w:rPr>
              <w:t xml:space="preserve"> RCT</w:t>
            </w:r>
          </w:p>
          <w:p w14:paraId="5DC3D350" w14:textId="44809D9F" w:rsidR="000C5381" w:rsidRPr="006E02AA" w:rsidRDefault="000C5381" w:rsidP="00592E7C">
            <w:pPr>
              <w:pStyle w:val="BodyText"/>
              <w:spacing w:before="0" w:after="0" w:line="240" w:lineRule="auto"/>
              <w:jc w:val="left"/>
              <w:rPr>
                <w:sz w:val="18"/>
                <w:szCs w:val="18"/>
              </w:rPr>
            </w:pPr>
            <w:r>
              <w:rPr>
                <w:sz w:val="18"/>
                <w:szCs w:val="18"/>
              </w:rPr>
              <w:t>(main analysis)</w:t>
            </w:r>
          </w:p>
          <w:p w14:paraId="145097CF" w14:textId="77777777" w:rsidR="006A4BF1" w:rsidRPr="006E02AA" w:rsidRDefault="006A4BF1" w:rsidP="00592E7C">
            <w:pPr>
              <w:pStyle w:val="BodyText"/>
              <w:spacing w:before="0" w:after="0" w:line="240" w:lineRule="auto"/>
              <w:jc w:val="left"/>
              <w:rPr>
                <w:sz w:val="18"/>
                <w:szCs w:val="18"/>
              </w:rPr>
            </w:pPr>
          </w:p>
        </w:tc>
        <w:tc>
          <w:tcPr>
            <w:tcW w:w="1876" w:type="dxa"/>
          </w:tcPr>
          <w:p w14:paraId="72DC9133" w14:textId="77777777" w:rsidR="006A4BF1" w:rsidRPr="006E02AA" w:rsidRDefault="006A4BF1" w:rsidP="00592E7C">
            <w:pPr>
              <w:pStyle w:val="BodyText"/>
              <w:spacing w:before="0" w:after="0" w:line="240" w:lineRule="auto"/>
              <w:rPr>
                <w:sz w:val="18"/>
                <w:szCs w:val="18"/>
              </w:rPr>
            </w:pPr>
            <w:r w:rsidRPr="006E02AA">
              <w:rPr>
                <w:sz w:val="18"/>
                <w:szCs w:val="18"/>
                <w:u w:val="single"/>
              </w:rPr>
              <w:t>&lt;</w:t>
            </w:r>
            <w:r w:rsidRPr="006E02AA">
              <w:rPr>
                <w:sz w:val="18"/>
                <w:szCs w:val="18"/>
              </w:rPr>
              <w:t>10mm: 14.3%</w:t>
            </w:r>
          </w:p>
          <w:p w14:paraId="12BB49CA" w14:textId="77777777" w:rsidR="006A4BF1" w:rsidRPr="006E02AA" w:rsidRDefault="006A4BF1" w:rsidP="00592E7C">
            <w:pPr>
              <w:pStyle w:val="BodyText"/>
              <w:spacing w:before="0" w:after="0" w:line="240" w:lineRule="auto"/>
              <w:rPr>
                <w:sz w:val="18"/>
                <w:szCs w:val="18"/>
              </w:rPr>
            </w:pPr>
            <w:r w:rsidRPr="006E02AA">
              <w:rPr>
                <w:sz w:val="18"/>
                <w:szCs w:val="18"/>
              </w:rPr>
              <w:t>10-20mm: 61.4%</w:t>
            </w:r>
          </w:p>
          <w:p w14:paraId="360A9264" w14:textId="77777777" w:rsidR="006A4BF1" w:rsidRPr="006E02AA" w:rsidRDefault="006A4BF1" w:rsidP="00592E7C">
            <w:pPr>
              <w:pStyle w:val="BodyText"/>
              <w:spacing w:before="0" w:after="0" w:line="240" w:lineRule="auto"/>
              <w:rPr>
                <w:sz w:val="18"/>
                <w:szCs w:val="18"/>
              </w:rPr>
            </w:pPr>
            <w:r w:rsidRPr="006E02AA">
              <w:rPr>
                <w:sz w:val="18"/>
                <w:szCs w:val="18"/>
                <w:u w:val="single"/>
              </w:rPr>
              <w:t>&gt;</w:t>
            </w:r>
            <w:r w:rsidRPr="006E02AA">
              <w:rPr>
                <w:sz w:val="18"/>
                <w:szCs w:val="18"/>
              </w:rPr>
              <w:t>20mm: 24.3%</w:t>
            </w:r>
          </w:p>
          <w:p w14:paraId="4E9ECF28" w14:textId="77777777" w:rsidR="006A4BF1" w:rsidRPr="006E02AA" w:rsidRDefault="006A4BF1" w:rsidP="00592E7C">
            <w:pPr>
              <w:pStyle w:val="BodyText"/>
              <w:spacing w:before="0" w:after="0" w:line="240" w:lineRule="auto"/>
              <w:rPr>
                <w:sz w:val="18"/>
                <w:szCs w:val="18"/>
              </w:rPr>
            </w:pPr>
            <w:r w:rsidRPr="006E02AA">
              <w:rPr>
                <w:sz w:val="18"/>
                <w:szCs w:val="18"/>
              </w:rPr>
              <w:t>No data: 12.5%</w:t>
            </w:r>
          </w:p>
          <w:p w14:paraId="3D7E20A6" w14:textId="77777777" w:rsidR="006A4BF1" w:rsidRPr="006E02AA" w:rsidRDefault="006A4BF1" w:rsidP="00592E7C">
            <w:pPr>
              <w:pStyle w:val="BodyText"/>
              <w:spacing w:before="0" w:after="0" w:line="240" w:lineRule="auto"/>
              <w:rPr>
                <w:sz w:val="18"/>
                <w:szCs w:val="18"/>
              </w:rPr>
            </w:pPr>
            <w:r w:rsidRPr="006E02AA">
              <w:rPr>
                <w:sz w:val="18"/>
                <w:szCs w:val="18"/>
              </w:rPr>
              <w:t>Mean: 16mm (SD 8.4)</w:t>
            </w:r>
          </w:p>
          <w:p w14:paraId="2AB76875" w14:textId="02E53CD8" w:rsidR="006A4BF1" w:rsidRPr="006E02AA" w:rsidRDefault="006A4BF1" w:rsidP="00592E7C">
            <w:pPr>
              <w:pStyle w:val="BodyText"/>
              <w:spacing w:before="0" w:after="0" w:line="240" w:lineRule="auto"/>
              <w:rPr>
                <w:sz w:val="18"/>
                <w:szCs w:val="18"/>
              </w:rPr>
            </w:pPr>
            <w:r w:rsidRPr="006E02AA">
              <w:rPr>
                <w:sz w:val="18"/>
                <w:szCs w:val="18"/>
              </w:rPr>
              <w:t>Median: 14.9 (11</w:t>
            </w:r>
            <w:r w:rsidR="0075618D" w:rsidRPr="006E02AA">
              <w:rPr>
                <w:sz w:val="18"/>
                <w:szCs w:val="18"/>
              </w:rPr>
              <w:t xml:space="preserve">, </w:t>
            </w:r>
            <w:r w:rsidRPr="006E02AA">
              <w:rPr>
                <w:sz w:val="18"/>
                <w:szCs w:val="18"/>
              </w:rPr>
              <w:t>18)</w:t>
            </w:r>
          </w:p>
        </w:tc>
        <w:tc>
          <w:tcPr>
            <w:tcW w:w="1667" w:type="dxa"/>
          </w:tcPr>
          <w:p w14:paraId="592F1669" w14:textId="77777777" w:rsidR="006A4BF1" w:rsidRPr="006E02AA" w:rsidRDefault="006A4BF1" w:rsidP="00592E7C">
            <w:pPr>
              <w:pStyle w:val="BodyText"/>
              <w:spacing w:before="0" w:after="0" w:line="240" w:lineRule="auto"/>
              <w:jc w:val="center"/>
              <w:rPr>
                <w:sz w:val="18"/>
                <w:szCs w:val="18"/>
              </w:rPr>
            </w:pPr>
            <w:r w:rsidRPr="006E02AA">
              <w:rPr>
                <w:sz w:val="18"/>
                <w:szCs w:val="18"/>
              </w:rPr>
              <w:t>NA</w:t>
            </w:r>
          </w:p>
        </w:tc>
        <w:tc>
          <w:tcPr>
            <w:tcW w:w="1701" w:type="dxa"/>
          </w:tcPr>
          <w:p w14:paraId="7E7BA60A" w14:textId="77777777" w:rsidR="006A4BF1" w:rsidRPr="006E02AA" w:rsidRDefault="006A4BF1" w:rsidP="00592E7C">
            <w:pPr>
              <w:pStyle w:val="BodyText"/>
              <w:spacing w:before="0" w:after="0" w:line="240" w:lineRule="auto"/>
              <w:jc w:val="center"/>
              <w:rPr>
                <w:sz w:val="18"/>
                <w:szCs w:val="18"/>
              </w:rPr>
            </w:pPr>
            <w:r w:rsidRPr="006E02AA">
              <w:rPr>
                <w:sz w:val="18"/>
                <w:szCs w:val="18"/>
              </w:rPr>
              <w:t>NA</w:t>
            </w:r>
          </w:p>
        </w:tc>
        <w:tc>
          <w:tcPr>
            <w:tcW w:w="2262" w:type="dxa"/>
          </w:tcPr>
          <w:p w14:paraId="689DBD0D" w14:textId="26B0959B" w:rsidR="006A4BF1" w:rsidRPr="006E02AA" w:rsidRDefault="006A4BF1" w:rsidP="00592E7C">
            <w:pPr>
              <w:pStyle w:val="BodyText"/>
              <w:spacing w:before="0" w:after="0" w:line="240" w:lineRule="auto"/>
              <w:rPr>
                <w:sz w:val="18"/>
                <w:szCs w:val="18"/>
              </w:rPr>
            </w:pPr>
            <w:r w:rsidRPr="006E02AA">
              <w:rPr>
                <w:sz w:val="18"/>
                <w:szCs w:val="18"/>
                <w:u w:val="single"/>
              </w:rPr>
              <w:t>&lt;</w:t>
            </w:r>
            <w:r w:rsidRPr="006E02AA">
              <w:rPr>
                <w:sz w:val="18"/>
                <w:szCs w:val="18"/>
              </w:rPr>
              <w:t>10mm: 30.0%</w:t>
            </w:r>
            <w:r w:rsidR="0075618D" w:rsidRPr="006E02AA">
              <w:rPr>
                <w:sz w:val="18"/>
                <w:szCs w:val="18"/>
              </w:rPr>
              <w:t xml:space="preserve"> (</w:t>
            </w:r>
            <w:r w:rsidRPr="006E02AA">
              <w:rPr>
                <w:i/>
                <w:iCs/>
                <w:sz w:val="18"/>
                <w:szCs w:val="18"/>
              </w:rPr>
              <w:t>p</w:t>
            </w:r>
            <w:r w:rsidRPr="006E02AA">
              <w:rPr>
                <w:sz w:val="18"/>
                <w:szCs w:val="18"/>
              </w:rPr>
              <w:t>=.09</w:t>
            </w:r>
            <w:r w:rsidR="0075618D" w:rsidRPr="006E02AA">
              <w:rPr>
                <w:sz w:val="18"/>
                <w:szCs w:val="18"/>
              </w:rPr>
              <w:t>)</w:t>
            </w:r>
          </w:p>
          <w:p w14:paraId="066A7976" w14:textId="77777777" w:rsidR="006A4BF1" w:rsidRPr="006E02AA" w:rsidRDefault="006A4BF1" w:rsidP="00592E7C">
            <w:pPr>
              <w:pStyle w:val="BodyText"/>
              <w:spacing w:before="0" w:after="0" w:line="240" w:lineRule="auto"/>
              <w:rPr>
                <w:sz w:val="18"/>
                <w:szCs w:val="18"/>
              </w:rPr>
            </w:pPr>
            <w:r w:rsidRPr="006E02AA">
              <w:rPr>
                <w:sz w:val="18"/>
                <w:szCs w:val="18"/>
              </w:rPr>
              <w:t>10-20mm: 48.3%</w:t>
            </w:r>
          </w:p>
          <w:p w14:paraId="3DC26043" w14:textId="77777777" w:rsidR="006A4BF1" w:rsidRPr="006E02AA" w:rsidRDefault="006A4BF1" w:rsidP="00592E7C">
            <w:pPr>
              <w:pStyle w:val="BodyText"/>
              <w:spacing w:before="0" w:after="0" w:line="240" w:lineRule="auto"/>
              <w:rPr>
                <w:sz w:val="18"/>
                <w:szCs w:val="18"/>
              </w:rPr>
            </w:pPr>
            <w:r w:rsidRPr="006E02AA">
              <w:rPr>
                <w:sz w:val="18"/>
                <w:szCs w:val="18"/>
                <w:u w:val="single"/>
              </w:rPr>
              <w:t>&gt;</w:t>
            </w:r>
            <w:r w:rsidRPr="006E02AA">
              <w:rPr>
                <w:sz w:val="18"/>
                <w:szCs w:val="18"/>
              </w:rPr>
              <w:t>20mm: 21.7%</w:t>
            </w:r>
          </w:p>
          <w:p w14:paraId="64F3AD40" w14:textId="77777777" w:rsidR="006A4BF1" w:rsidRPr="006E02AA" w:rsidRDefault="006A4BF1" w:rsidP="00592E7C">
            <w:pPr>
              <w:pStyle w:val="BodyText"/>
              <w:spacing w:before="0" w:after="0" w:line="240" w:lineRule="auto"/>
              <w:rPr>
                <w:sz w:val="18"/>
                <w:szCs w:val="18"/>
              </w:rPr>
            </w:pPr>
            <w:r w:rsidRPr="006E02AA">
              <w:rPr>
                <w:sz w:val="18"/>
                <w:szCs w:val="18"/>
              </w:rPr>
              <w:t>No data: 15.5%</w:t>
            </w:r>
          </w:p>
          <w:p w14:paraId="734A51F4" w14:textId="77777777" w:rsidR="006A4BF1" w:rsidRPr="006E02AA" w:rsidRDefault="006A4BF1" w:rsidP="00592E7C">
            <w:pPr>
              <w:pStyle w:val="BodyText"/>
              <w:spacing w:before="0" w:after="0" w:line="240" w:lineRule="auto"/>
              <w:rPr>
                <w:sz w:val="18"/>
                <w:szCs w:val="18"/>
              </w:rPr>
            </w:pPr>
            <w:r w:rsidRPr="006E02AA">
              <w:rPr>
                <w:sz w:val="18"/>
                <w:szCs w:val="18"/>
              </w:rPr>
              <w:t xml:space="preserve">Mean: 14.5 (SD 8.8; </w:t>
            </w:r>
            <w:r w:rsidRPr="006E02AA">
              <w:rPr>
                <w:i/>
                <w:iCs/>
                <w:sz w:val="18"/>
                <w:szCs w:val="18"/>
              </w:rPr>
              <w:t>p</w:t>
            </w:r>
            <w:r w:rsidRPr="006E02AA">
              <w:rPr>
                <w:sz w:val="18"/>
                <w:szCs w:val="18"/>
              </w:rPr>
              <w:t>=.33)</w:t>
            </w:r>
          </w:p>
          <w:p w14:paraId="0536F874" w14:textId="0F50707A" w:rsidR="006A4BF1" w:rsidRPr="006E02AA" w:rsidRDefault="006A4BF1" w:rsidP="00592E7C">
            <w:pPr>
              <w:pStyle w:val="BodyText"/>
              <w:spacing w:before="0" w:after="0" w:line="240" w:lineRule="auto"/>
              <w:rPr>
                <w:sz w:val="18"/>
                <w:szCs w:val="18"/>
              </w:rPr>
            </w:pPr>
            <w:r w:rsidRPr="006E02AA">
              <w:rPr>
                <w:sz w:val="18"/>
                <w:szCs w:val="18"/>
              </w:rPr>
              <w:t>Median: 14.0 (8.5</w:t>
            </w:r>
            <w:r w:rsidR="0075618D" w:rsidRPr="006E02AA">
              <w:rPr>
                <w:sz w:val="18"/>
                <w:szCs w:val="18"/>
              </w:rPr>
              <w:t xml:space="preserve">, </w:t>
            </w:r>
            <w:r w:rsidRPr="006E02AA">
              <w:rPr>
                <w:sz w:val="18"/>
                <w:szCs w:val="18"/>
              </w:rPr>
              <w:t>18.8)</w:t>
            </w:r>
          </w:p>
        </w:tc>
      </w:tr>
      <w:tr w:rsidR="001740DE" w:rsidRPr="00201646" w14:paraId="1752F246" w14:textId="77777777" w:rsidTr="00592E7C">
        <w:tc>
          <w:tcPr>
            <w:tcW w:w="9061" w:type="dxa"/>
            <w:gridSpan w:val="5"/>
          </w:tcPr>
          <w:p w14:paraId="1BB8B05F" w14:textId="77777777" w:rsidR="001740DE" w:rsidRPr="006E02AA" w:rsidRDefault="001740DE" w:rsidP="00592E7C">
            <w:pPr>
              <w:pStyle w:val="BodyText"/>
              <w:spacing w:before="0" w:after="0" w:line="240" w:lineRule="auto"/>
              <w:jc w:val="left"/>
              <w:rPr>
                <w:b/>
                <w:bCs/>
                <w:sz w:val="18"/>
                <w:szCs w:val="18"/>
              </w:rPr>
            </w:pPr>
            <w:r w:rsidRPr="006E02AA">
              <w:rPr>
                <w:b/>
                <w:bCs/>
                <w:sz w:val="18"/>
                <w:szCs w:val="18"/>
              </w:rPr>
              <w:t>Prospective studies embedded in population-based screening</w:t>
            </w:r>
          </w:p>
        </w:tc>
      </w:tr>
      <w:tr w:rsidR="0077198A" w:rsidRPr="00201646" w14:paraId="66EE6CBA" w14:textId="77777777" w:rsidTr="00592E7C">
        <w:tc>
          <w:tcPr>
            <w:tcW w:w="1555" w:type="dxa"/>
          </w:tcPr>
          <w:p w14:paraId="64251F06" w14:textId="77777777" w:rsidR="0077198A" w:rsidRPr="006E02AA" w:rsidRDefault="0077198A" w:rsidP="0077198A">
            <w:pPr>
              <w:pStyle w:val="BodyText"/>
              <w:spacing w:before="0" w:after="0" w:line="240" w:lineRule="auto"/>
              <w:jc w:val="left"/>
              <w:rPr>
                <w:sz w:val="18"/>
                <w:szCs w:val="18"/>
              </w:rPr>
            </w:pPr>
            <w:r w:rsidRPr="006E02AA">
              <w:rPr>
                <w:sz w:val="18"/>
                <w:szCs w:val="18"/>
              </w:rPr>
              <w:t>Bernardi et al. (2019)</w:t>
            </w:r>
          </w:p>
          <w:p w14:paraId="7F2420D6" w14:textId="77777777" w:rsidR="0077198A" w:rsidRPr="006E02AA" w:rsidRDefault="0077198A" w:rsidP="0077198A">
            <w:pPr>
              <w:pStyle w:val="BodyText"/>
              <w:spacing w:before="0" w:after="0" w:line="240" w:lineRule="auto"/>
              <w:jc w:val="left"/>
              <w:rPr>
                <w:sz w:val="18"/>
                <w:szCs w:val="18"/>
              </w:rPr>
            </w:pPr>
            <w:r w:rsidRPr="006E02AA">
              <w:rPr>
                <w:sz w:val="18"/>
                <w:szCs w:val="18"/>
              </w:rPr>
              <w:t>Trento</w:t>
            </w:r>
          </w:p>
        </w:tc>
        <w:tc>
          <w:tcPr>
            <w:tcW w:w="1876" w:type="dxa"/>
          </w:tcPr>
          <w:p w14:paraId="280CB505"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5mm: 7.48%</w:t>
            </w:r>
          </w:p>
          <w:p w14:paraId="0A893D4A" w14:textId="77777777" w:rsidR="0077198A" w:rsidRPr="006E02AA" w:rsidRDefault="0077198A" w:rsidP="0077198A">
            <w:pPr>
              <w:pStyle w:val="BodyText"/>
              <w:spacing w:before="0" w:after="0" w:line="240" w:lineRule="auto"/>
              <w:jc w:val="left"/>
              <w:rPr>
                <w:sz w:val="18"/>
                <w:szCs w:val="18"/>
              </w:rPr>
            </w:pPr>
            <w:r w:rsidRPr="006E02AA">
              <w:rPr>
                <w:sz w:val="18"/>
                <w:szCs w:val="18"/>
              </w:rPr>
              <w:t>5.1-10mm: 29.92%</w:t>
            </w:r>
          </w:p>
          <w:p w14:paraId="4E00E366" w14:textId="77777777" w:rsidR="0077198A" w:rsidRPr="006E02AA" w:rsidRDefault="0077198A" w:rsidP="0077198A">
            <w:pPr>
              <w:pStyle w:val="BodyText"/>
              <w:spacing w:before="0" w:after="0" w:line="240" w:lineRule="auto"/>
              <w:jc w:val="left"/>
              <w:rPr>
                <w:sz w:val="18"/>
                <w:szCs w:val="18"/>
              </w:rPr>
            </w:pPr>
            <w:r w:rsidRPr="006E02AA">
              <w:rPr>
                <w:sz w:val="18"/>
                <w:szCs w:val="18"/>
              </w:rPr>
              <w:t>10.1-20mm: 36.16%</w:t>
            </w:r>
          </w:p>
          <w:p w14:paraId="13209DA5" w14:textId="77777777" w:rsidR="0077198A" w:rsidRPr="006E02AA" w:rsidRDefault="0077198A" w:rsidP="0077198A">
            <w:pPr>
              <w:pStyle w:val="BodyText"/>
              <w:spacing w:before="0" w:after="0" w:line="240" w:lineRule="auto"/>
              <w:jc w:val="left"/>
              <w:rPr>
                <w:sz w:val="18"/>
                <w:szCs w:val="18"/>
              </w:rPr>
            </w:pPr>
            <w:r w:rsidRPr="006E02AA">
              <w:rPr>
                <w:sz w:val="18"/>
                <w:szCs w:val="18"/>
              </w:rPr>
              <w:t>21-49mm: 12.72%</w:t>
            </w:r>
          </w:p>
          <w:p w14:paraId="654C7165"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50mm: .997%</w:t>
            </w:r>
          </w:p>
        </w:tc>
        <w:tc>
          <w:tcPr>
            <w:tcW w:w="1667" w:type="dxa"/>
          </w:tcPr>
          <w:p w14:paraId="40A72135" w14:textId="613C2B9E"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1701" w:type="dxa"/>
          </w:tcPr>
          <w:p w14:paraId="66B1CF36" w14:textId="5C624568"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2262" w:type="dxa"/>
          </w:tcPr>
          <w:p w14:paraId="4E67261B"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5mm: 4.88%</w:t>
            </w:r>
          </w:p>
          <w:p w14:paraId="662DAB54" w14:textId="77777777" w:rsidR="0077198A" w:rsidRPr="006E02AA" w:rsidRDefault="0077198A" w:rsidP="0077198A">
            <w:pPr>
              <w:pStyle w:val="BodyText"/>
              <w:spacing w:before="0" w:after="0" w:line="240" w:lineRule="auto"/>
              <w:jc w:val="left"/>
              <w:rPr>
                <w:sz w:val="18"/>
                <w:szCs w:val="18"/>
              </w:rPr>
            </w:pPr>
            <w:r w:rsidRPr="006E02AA">
              <w:rPr>
                <w:sz w:val="18"/>
                <w:szCs w:val="18"/>
              </w:rPr>
              <w:t>5.1-10mm: 26.83%</w:t>
            </w:r>
          </w:p>
          <w:p w14:paraId="0112A756" w14:textId="77777777" w:rsidR="0077198A" w:rsidRPr="006E02AA" w:rsidRDefault="0077198A" w:rsidP="0077198A">
            <w:pPr>
              <w:pStyle w:val="BodyText"/>
              <w:spacing w:before="0" w:after="0" w:line="240" w:lineRule="auto"/>
              <w:jc w:val="left"/>
              <w:rPr>
                <w:sz w:val="18"/>
                <w:szCs w:val="18"/>
              </w:rPr>
            </w:pPr>
            <w:r w:rsidRPr="006E02AA">
              <w:rPr>
                <w:sz w:val="18"/>
                <w:szCs w:val="18"/>
              </w:rPr>
              <w:t>10.1-20mm: 38.05%</w:t>
            </w:r>
          </w:p>
          <w:p w14:paraId="43AA3E59" w14:textId="77777777" w:rsidR="0077198A" w:rsidRPr="006E02AA" w:rsidRDefault="0077198A" w:rsidP="0077198A">
            <w:pPr>
              <w:pStyle w:val="BodyText"/>
              <w:spacing w:before="0" w:after="0" w:line="240" w:lineRule="auto"/>
              <w:jc w:val="left"/>
              <w:rPr>
                <w:sz w:val="18"/>
                <w:szCs w:val="18"/>
              </w:rPr>
            </w:pPr>
            <w:r w:rsidRPr="006E02AA">
              <w:rPr>
                <w:sz w:val="18"/>
                <w:szCs w:val="18"/>
              </w:rPr>
              <w:t>21-49mm: 12.19%</w:t>
            </w:r>
          </w:p>
          <w:p w14:paraId="7526A755"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50mm: 1.95%</w:t>
            </w:r>
          </w:p>
        </w:tc>
      </w:tr>
      <w:tr w:rsidR="0077198A" w:rsidRPr="00201646" w14:paraId="5B6CA2A6" w14:textId="77777777" w:rsidTr="00592E7C">
        <w:tc>
          <w:tcPr>
            <w:tcW w:w="1555" w:type="dxa"/>
          </w:tcPr>
          <w:p w14:paraId="63CDF75B" w14:textId="77777777" w:rsidR="0077198A" w:rsidRPr="006E02AA" w:rsidRDefault="0077198A" w:rsidP="0077198A">
            <w:pPr>
              <w:pStyle w:val="BodyText"/>
              <w:spacing w:before="0" w:after="0" w:line="240" w:lineRule="auto"/>
              <w:jc w:val="left"/>
              <w:rPr>
                <w:sz w:val="18"/>
                <w:szCs w:val="18"/>
              </w:rPr>
            </w:pPr>
            <w:r w:rsidRPr="006E02AA">
              <w:rPr>
                <w:sz w:val="18"/>
                <w:szCs w:val="18"/>
              </w:rPr>
              <w:t>Houssami et al. (2019)</w:t>
            </w:r>
          </w:p>
          <w:p w14:paraId="6F974B74" w14:textId="77777777" w:rsidR="0077198A" w:rsidRPr="006E02AA" w:rsidRDefault="0077198A" w:rsidP="0077198A">
            <w:pPr>
              <w:pStyle w:val="BodyText"/>
              <w:spacing w:before="0" w:after="0" w:line="240" w:lineRule="auto"/>
              <w:jc w:val="left"/>
              <w:rPr>
                <w:sz w:val="18"/>
                <w:szCs w:val="18"/>
              </w:rPr>
            </w:pPr>
            <w:r w:rsidRPr="006E02AA">
              <w:rPr>
                <w:sz w:val="18"/>
                <w:szCs w:val="18"/>
              </w:rPr>
              <w:t>Maroondah</w:t>
            </w:r>
          </w:p>
          <w:p w14:paraId="1A36827A" w14:textId="77777777" w:rsidR="0077198A" w:rsidRPr="006E02AA" w:rsidRDefault="0077198A" w:rsidP="0077198A">
            <w:pPr>
              <w:pStyle w:val="BodyText"/>
              <w:spacing w:before="0" w:after="0" w:line="240" w:lineRule="auto"/>
              <w:jc w:val="left"/>
              <w:rPr>
                <w:sz w:val="18"/>
                <w:szCs w:val="18"/>
              </w:rPr>
            </w:pPr>
          </w:p>
        </w:tc>
        <w:tc>
          <w:tcPr>
            <w:tcW w:w="1876" w:type="dxa"/>
          </w:tcPr>
          <w:p w14:paraId="38383400"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 xml:space="preserve">5mm: 15% </w:t>
            </w:r>
          </w:p>
          <w:p w14:paraId="5F2FA7E2" w14:textId="77777777" w:rsidR="0077198A" w:rsidRPr="006E02AA" w:rsidRDefault="0077198A" w:rsidP="0077198A">
            <w:pPr>
              <w:pStyle w:val="BodyText"/>
              <w:spacing w:before="0" w:after="0" w:line="240" w:lineRule="auto"/>
              <w:jc w:val="left"/>
              <w:rPr>
                <w:sz w:val="18"/>
                <w:szCs w:val="18"/>
              </w:rPr>
            </w:pPr>
            <w:r w:rsidRPr="006E02AA">
              <w:rPr>
                <w:sz w:val="18"/>
                <w:szCs w:val="18"/>
              </w:rPr>
              <w:t>5.1-10mm: 13%</w:t>
            </w:r>
          </w:p>
          <w:p w14:paraId="424878AC" w14:textId="77777777" w:rsidR="0077198A" w:rsidRPr="006E02AA" w:rsidRDefault="0077198A" w:rsidP="0077198A">
            <w:pPr>
              <w:pStyle w:val="BodyText"/>
              <w:spacing w:before="0" w:after="0" w:line="240" w:lineRule="auto"/>
              <w:jc w:val="left"/>
              <w:rPr>
                <w:sz w:val="18"/>
                <w:szCs w:val="18"/>
              </w:rPr>
            </w:pPr>
            <w:r w:rsidRPr="006E02AA">
              <w:rPr>
                <w:sz w:val="18"/>
                <w:szCs w:val="18"/>
              </w:rPr>
              <w:t>10.1-15mm: 33%</w:t>
            </w:r>
          </w:p>
          <w:p w14:paraId="714A23B7" w14:textId="77777777" w:rsidR="0077198A" w:rsidRPr="006E02AA" w:rsidRDefault="0077198A" w:rsidP="0077198A">
            <w:pPr>
              <w:pStyle w:val="BodyText"/>
              <w:spacing w:before="0" w:after="0" w:line="240" w:lineRule="auto"/>
              <w:jc w:val="left"/>
              <w:rPr>
                <w:sz w:val="18"/>
                <w:szCs w:val="18"/>
              </w:rPr>
            </w:pPr>
            <w:r w:rsidRPr="006E02AA">
              <w:rPr>
                <w:sz w:val="18"/>
                <w:szCs w:val="18"/>
              </w:rPr>
              <w:t>15.1-20mm: 20%</w:t>
            </w:r>
          </w:p>
          <w:p w14:paraId="44491D64"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20mm: 20%</w:t>
            </w:r>
          </w:p>
          <w:p w14:paraId="43F94D2F" w14:textId="77777777" w:rsidR="0077198A" w:rsidRPr="006E02AA" w:rsidRDefault="0077198A" w:rsidP="0077198A">
            <w:pPr>
              <w:pStyle w:val="BodyText"/>
              <w:spacing w:before="0" w:after="0" w:line="240" w:lineRule="auto"/>
              <w:jc w:val="left"/>
              <w:rPr>
                <w:sz w:val="18"/>
                <w:szCs w:val="18"/>
              </w:rPr>
            </w:pPr>
            <w:r w:rsidRPr="006E02AA">
              <w:rPr>
                <w:sz w:val="18"/>
                <w:szCs w:val="18"/>
              </w:rPr>
              <w:t>Mean: 16.4mm (SD 12.8mm)</w:t>
            </w:r>
          </w:p>
        </w:tc>
        <w:tc>
          <w:tcPr>
            <w:tcW w:w="1667" w:type="dxa"/>
          </w:tcPr>
          <w:p w14:paraId="4E12E555" w14:textId="6BE3949B"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1701" w:type="dxa"/>
          </w:tcPr>
          <w:p w14:paraId="45F4BEE0" w14:textId="14C8E32A"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2262" w:type="dxa"/>
          </w:tcPr>
          <w:p w14:paraId="594B7EC6"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 xml:space="preserve">5mm: 13% </w:t>
            </w:r>
          </w:p>
          <w:p w14:paraId="404B653F" w14:textId="77777777" w:rsidR="0077198A" w:rsidRPr="006E02AA" w:rsidRDefault="0077198A" w:rsidP="0077198A">
            <w:pPr>
              <w:pStyle w:val="BodyText"/>
              <w:spacing w:before="0" w:after="0" w:line="240" w:lineRule="auto"/>
              <w:jc w:val="left"/>
              <w:rPr>
                <w:sz w:val="18"/>
                <w:szCs w:val="18"/>
              </w:rPr>
            </w:pPr>
            <w:r w:rsidRPr="006E02AA">
              <w:rPr>
                <w:sz w:val="18"/>
                <w:szCs w:val="18"/>
              </w:rPr>
              <w:t>5.1-10mm: 27%</w:t>
            </w:r>
          </w:p>
          <w:p w14:paraId="2777EA45" w14:textId="77777777" w:rsidR="0077198A" w:rsidRPr="006E02AA" w:rsidRDefault="0077198A" w:rsidP="0077198A">
            <w:pPr>
              <w:pStyle w:val="BodyText"/>
              <w:spacing w:before="0" w:after="0" w:line="240" w:lineRule="auto"/>
              <w:jc w:val="left"/>
              <w:rPr>
                <w:sz w:val="18"/>
                <w:szCs w:val="18"/>
              </w:rPr>
            </w:pPr>
            <w:r w:rsidRPr="006E02AA">
              <w:rPr>
                <w:sz w:val="18"/>
                <w:szCs w:val="18"/>
              </w:rPr>
              <w:t>10.1-15mm: 20%</w:t>
            </w:r>
          </w:p>
          <w:p w14:paraId="3E631E60" w14:textId="77777777" w:rsidR="0077198A" w:rsidRPr="006E02AA" w:rsidRDefault="0077198A" w:rsidP="0077198A">
            <w:pPr>
              <w:pStyle w:val="BodyText"/>
              <w:spacing w:before="0" w:after="0" w:line="240" w:lineRule="auto"/>
              <w:jc w:val="left"/>
              <w:rPr>
                <w:sz w:val="18"/>
                <w:szCs w:val="18"/>
              </w:rPr>
            </w:pPr>
            <w:r w:rsidRPr="006E02AA">
              <w:rPr>
                <w:sz w:val="18"/>
                <w:szCs w:val="18"/>
              </w:rPr>
              <w:t>15.1-20mm: 17%</w:t>
            </w:r>
          </w:p>
          <w:p w14:paraId="7B912363"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20mm: 23%</w:t>
            </w:r>
          </w:p>
          <w:p w14:paraId="0A0776FE" w14:textId="77777777" w:rsidR="0077198A" w:rsidRPr="006E02AA" w:rsidRDefault="0077198A" w:rsidP="0077198A">
            <w:pPr>
              <w:pStyle w:val="BodyText"/>
              <w:spacing w:before="0" w:after="0" w:line="240" w:lineRule="auto"/>
              <w:jc w:val="left"/>
              <w:rPr>
                <w:sz w:val="18"/>
                <w:szCs w:val="18"/>
              </w:rPr>
            </w:pPr>
            <w:r w:rsidRPr="006E02AA">
              <w:rPr>
                <w:sz w:val="18"/>
                <w:szCs w:val="18"/>
              </w:rPr>
              <w:t>Mean: 16.8 mm (SD 12.3mm)</w:t>
            </w:r>
          </w:p>
        </w:tc>
      </w:tr>
      <w:tr w:rsidR="0077198A" w:rsidRPr="00201646" w14:paraId="52F7BE9B" w14:textId="77777777" w:rsidTr="00592E7C">
        <w:tc>
          <w:tcPr>
            <w:tcW w:w="1555" w:type="dxa"/>
          </w:tcPr>
          <w:p w14:paraId="18604CA3" w14:textId="77777777" w:rsidR="0077198A" w:rsidRPr="006E02AA" w:rsidRDefault="0077198A" w:rsidP="0077198A">
            <w:pPr>
              <w:pStyle w:val="BodyText"/>
              <w:spacing w:before="0" w:after="0" w:line="240" w:lineRule="auto"/>
              <w:jc w:val="left"/>
              <w:rPr>
                <w:sz w:val="18"/>
                <w:szCs w:val="18"/>
              </w:rPr>
            </w:pPr>
            <w:r w:rsidRPr="006E02AA">
              <w:rPr>
                <w:sz w:val="18"/>
                <w:szCs w:val="18"/>
              </w:rPr>
              <w:t>Caumo et al. (2018)</w:t>
            </w:r>
          </w:p>
          <w:p w14:paraId="4168CB3A" w14:textId="77777777" w:rsidR="0077198A" w:rsidRPr="006E02AA" w:rsidRDefault="0077198A" w:rsidP="0077198A">
            <w:pPr>
              <w:pStyle w:val="BodyText"/>
              <w:spacing w:before="0" w:after="0" w:line="240" w:lineRule="auto"/>
              <w:jc w:val="left"/>
              <w:rPr>
                <w:sz w:val="18"/>
                <w:szCs w:val="18"/>
              </w:rPr>
            </w:pPr>
            <w:r w:rsidRPr="006E02AA">
              <w:rPr>
                <w:sz w:val="18"/>
                <w:szCs w:val="18"/>
              </w:rPr>
              <w:t>Verona</w:t>
            </w:r>
          </w:p>
        </w:tc>
        <w:tc>
          <w:tcPr>
            <w:tcW w:w="1876" w:type="dxa"/>
          </w:tcPr>
          <w:p w14:paraId="6C494AE2" w14:textId="77777777" w:rsidR="0077198A" w:rsidRPr="006E02AA" w:rsidRDefault="0077198A" w:rsidP="0077198A">
            <w:pPr>
              <w:pStyle w:val="BodyText"/>
              <w:spacing w:before="0" w:after="0" w:line="240" w:lineRule="auto"/>
              <w:jc w:val="left"/>
              <w:rPr>
                <w:sz w:val="18"/>
                <w:szCs w:val="18"/>
              </w:rPr>
            </w:pPr>
            <w:r w:rsidRPr="006E02AA">
              <w:rPr>
                <w:sz w:val="18"/>
                <w:szCs w:val="18"/>
              </w:rPr>
              <w:t>Mean: 15.1mm</w:t>
            </w:r>
          </w:p>
        </w:tc>
        <w:tc>
          <w:tcPr>
            <w:tcW w:w="1667" w:type="dxa"/>
          </w:tcPr>
          <w:p w14:paraId="52CA9FA2" w14:textId="79EEAF1B"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1701" w:type="dxa"/>
          </w:tcPr>
          <w:p w14:paraId="425AFA78" w14:textId="4501DE2A"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2262" w:type="dxa"/>
          </w:tcPr>
          <w:p w14:paraId="3747A7A9" w14:textId="77777777" w:rsidR="0077198A" w:rsidRPr="006E02AA" w:rsidRDefault="0077198A" w:rsidP="0077198A">
            <w:pPr>
              <w:pStyle w:val="BodyText"/>
              <w:spacing w:before="0" w:after="0" w:line="240" w:lineRule="auto"/>
              <w:jc w:val="left"/>
              <w:rPr>
                <w:sz w:val="18"/>
                <w:szCs w:val="18"/>
              </w:rPr>
            </w:pPr>
            <w:r w:rsidRPr="006E02AA">
              <w:rPr>
                <w:sz w:val="18"/>
                <w:szCs w:val="18"/>
              </w:rPr>
              <w:t>Mean: 18.6mm (</w:t>
            </w:r>
            <w:r w:rsidRPr="006E02AA">
              <w:rPr>
                <w:i/>
                <w:iCs/>
                <w:sz w:val="18"/>
                <w:szCs w:val="18"/>
              </w:rPr>
              <w:t>p</w:t>
            </w:r>
            <w:r w:rsidRPr="006E02AA">
              <w:rPr>
                <w:sz w:val="18"/>
                <w:szCs w:val="18"/>
              </w:rPr>
              <w:t>=.052)</w:t>
            </w:r>
          </w:p>
        </w:tc>
      </w:tr>
      <w:tr w:rsidR="0077198A" w:rsidRPr="00201646" w14:paraId="1D49B8DD" w14:textId="77777777" w:rsidTr="00592E7C">
        <w:tc>
          <w:tcPr>
            <w:tcW w:w="1555" w:type="dxa"/>
          </w:tcPr>
          <w:p w14:paraId="055833B4" w14:textId="2B55E712" w:rsidR="0077198A" w:rsidRPr="006E02AA" w:rsidRDefault="0077198A" w:rsidP="0077198A">
            <w:pPr>
              <w:pStyle w:val="BodyText"/>
              <w:spacing w:before="0" w:after="0" w:line="240" w:lineRule="auto"/>
              <w:jc w:val="left"/>
              <w:rPr>
                <w:sz w:val="18"/>
                <w:szCs w:val="18"/>
              </w:rPr>
            </w:pPr>
            <w:r w:rsidRPr="006E02AA">
              <w:rPr>
                <w:sz w:val="18"/>
                <w:szCs w:val="18"/>
              </w:rPr>
              <w:t>Hofvind et al</w:t>
            </w:r>
            <w:r w:rsidR="00176980">
              <w:rPr>
                <w:sz w:val="18"/>
                <w:szCs w:val="18"/>
              </w:rPr>
              <w:t>.</w:t>
            </w:r>
            <w:r w:rsidRPr="006E02AA">
              <w:rPr>
                <w:sz w:val="18"/>
                <w:szCs w:val="18"/>
              </w:rPr>
              <w:t xml:space="preserve"> (2018)</w:t>
            </w:r>
          </w:p>
          <w:p w14:paraId="23C42961" w14:textId="77777777" w:rsidR="0077198A" w:rsidRPr="006E02AA" w:rsidRDefault="0077198A" w:rsidP="0077198A">
            <w:pPr>
              <w:pStyle w:val="BodyText"/>
              <w:spacing w:before="0" w:after="0" w:line="240" w:lineRule="auto"/>
              <w:jc w:val="left"/>
              <w:rPr>
                <w:sz w:val="18"/>
                <w:szCs w:val="18"/>
              </w:rPr>
            </w:pPr>
            <w:r w:rsidRPr="006E02AA">
              <w:rPr>
                <w:sz w:val="18"/>
                <w:szCs w:val="18"/>
              </w:rPr>
              <w:t>Norway BSP</w:t>
            </w:r>
          </w:p>
          <w:p w14:paraId="37742F6D" w14:textId="77777777" w:rsidR="0077198A" w:rsidRPr="006E02AA" w:rsidRDefault="0077198A" w:rsidP="0077198A">
            <w:pPr>
              <w:pStyle w:val="BodyText"/>
              <w:spacing w:before="0" w:after="0" w:line="240" w:lineRule="auto"/>
              <w:jc w:val="left"/>
              <w:rPr>
                <w:sz w:val="18"/>
                <w:szCs w:val="18"/>
              </w:rPr>
            </w:pPr>
          </w:p>
        </w:tc>
        <w:tc>
          <w:tcPr>
            <w:tcW w:w="1876" w:type="dxa"/>
          </w:tcPr>
          <w:p w14:paraId="7F4C437B"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10mm: 3.2 per 1000</w:t>
            </w:r>
          </w:p>
          <w:p w14:paraId="2BC5D28D" w14:textId="77777777" w:rsidR="0077198A" w:rsidRPr="006E02AA" w:rsidRDefault="0077198A" w:rsidP="0077198A">
            <w:pPr>
              <w:pStyle w:val="BodyText"/>
              <w:spacing w:before="0" w:after="0" w:line="240" w:lineRule="auto"/>
              <w:jc w:val="left"/>
              <w:rPr>
                <w:sz w:val="18"/>
                <w:szCs w:val="18"/>
              </w:rPr>
            </w:pPr>
            <w:r w:rsidRPr="006E02AA">
              <w:rPr>
                <w:sz w:val="18"/>
                <w:szCs w:val="18"/>
              </w:rPr>
              <w:t>10-20mm: 3.3 per 1000</w:t>
            </w:r>
          </w:p>
          <w:p w14:paraId="5F2B3147"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20mm: 1.0 per 1000</w:t>
            </w:r>
          </w:p>
          <w:p w14:paraId="170E6AA1" w14:textId="77777777" w:rsidR="0077198A" w:rsidRPr="006E02AA" w:rsidRDefault="0077198A" w:rsidP="0077198A">
            <w:pPr>
              <w:pStyle w:val="BodyText"/>
              <w:spacing w:before="0" w:after="0" w:line="240" w:lineRule="auto"/>
              <w:jc w:val="left"/>
              <w:rPr>
                <w:sz w:val="18"/>
                <w:szCs w:val="18"/>
              </w:rPr>
            </w:pPr>
            <w:r w:rsidRPr="006E02AA">
              <w:rPr>
                <w:sz w:val="18"/>
                <w:szCs w:val="18"/>
              </w:rPr>
              <w:t>No data: 4 cases</w:t>
            </w:r>
          </w:p>
        </w:tc>
        <w:tc>
          <w:tcPr>
            <w:tcW w:w="1667" w:type="dxa"/>
          </w:tcPr>
          <w:p w14:paraId="1F1D634E" w14:textId="554EE020"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1701" w:type="dxa"/>
          </w:tcPr>
          <w:p w14:paraId="45775F62" w14:textId="4DF90850"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2262" w:type="dxa"/>
          </w:tcPr>
          <w:p w14:paraId="0F930759"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10mm: 1.8 per 1000 (</w:t>
            </w:r>
            <w:r w:rsidRPr="006E02AA">
              <w:rPr>
                <w:i/>
                <w:iCs/>
                <w:sz w:val="18"/>
                <w:szCs w:val="18"/>
              </w:rPr>
              <w:t>p</w:t>
            </w:r>
            <w:r w:rsidRPr="006E02AA">
              <w:rPr>
                <w:sz w:val="18"/>
                <w:szCs w:val="18"/>
              </w:rPr>
              <w:t>&lt;.001)</w:t>
            </w:r>
          </w:p>
          <w:p w14:paraId="168DA585" w14:textId="77777777" w:rsidR="0077198A" w:rsidRPr="006E02AA" w:rsidRDefault="0077198A" w:rsidP="0077198A">
            <w:pPr>
              <w:pStyle w:val="BodyText"/>
              <w:spacing w:before="0" w:after="0" w:line="240" w:lineRule="auto"/>
              <w:jc w:val="left"/>
              <w:rPr>
                <w:sz w:val="18"/>
                <w:szCs w:val="18"/>
              </w:rPr>
            </w:pPr>
            <w:r w:rsidRPr="006E02AA">
              <w:rPr>
                <w:sz w:val="18"/>
                <w:szCs w:val="18"/>
              </w:rPr>
              <w:t>10-20mm: 2.5 per 1000 (</w:t>
            </w:r>
            <w:r w:rsidRPr="006E02AA">
              <w:rPr>
                <w:i/>
                <w:iCs/>
                <w:sz w:val="18"/>
                <w:szCs w:val="18"/>
              </w:rPr>
              <w:t>p</w:t>
            </w:r>
            <w:r w:rsidRPr="006E02AA">
              <w:rPr>
                <w:sz w:val="18"/>
                <w:szCs w:val="18"/>
              </w:rPr>
              <w:t>=.03)</w:t>
            </w:r>
          </w:p>
          <w:p w14:paraId="53139E08"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20mm: 0.9 per 1000 (</w:t>
            </w:r>
            <w:r w:rsidRPr="006E02AA">
              <w:rPr>
                <w:i/>
                <w:iCs/>
                <w:sz w:val="18"/>
                <w:szCs w:val="18"/>
              </w:rPr>
              <w:t>p</w:t>
            </w:r>
            <w:r w:rsidRPr="006E02AA">
              <w:rPr>
                <w:sz w:val="18"/>
                <w:szCs w:val="18"/>
              </w:rPr>
              <w:t>=.747)</w:t>
            </w:r>
          </w:p>
          <w:p w14:paraId="32A27405" w14:textId="77777777" w:rsidR="0077198A" w:rsidRPr="006E02AA" w:rsidRDefault="0077198A" w:rsidP="0077198A">
            <w:pPr>
              <w:pStyle w:val="BodyText"/>
              <w:spacing w:before="0" w:after="0" w:line="240" w:lineRule="auto"/>
              <w:jc w:val="left"/>
              <w:rPr>
                <w:sz w:val="18"/>
                <w:szCs w:val="18"/>
              </w:rPr>
            </w:pPr>
            <w:r w:rsidRPr="006E02AA">
              <w:rPr>
                <w:sz w:val="18"/>
                <w:szCs w:val="18"/>
              </w:rPr>
              <w:t>No data: nine cancers</w:t>
            </w:r>
          </w:p>
        </w:tc>
      </w:tr>
      <w:tr w:rsidR="0077198A" w:rsidRPr="00201646" w14:paraId="7C06CED3" w14:textId="77777777" w:rsidTr="00592E7C">
        <w:tc>
          <w:tcPr>
            <w:tcW w:w="1555" w:type="dxa"/>
          </w:tcPr>
          <w:p w14:paraId="75186D4B" w14:textId="77777777" w:rsidR="0077198A" w:rsidRPr="006E02AA" w:rsidRDefault="0077198A" w:rsidP="0077198A">
            <w:pPr>
              <w:pStyle w:val="BodyText"/>
              <w:spacing w:before="0" w:after="0" w:line="240" w:lineRule="auto"/>
              <w:jc w:val="left"/>
              <w:rPr>
                <w:sz w:val="18"/>
                <w:szCs w:val="18"/>
              </w:rPr>
            </w:pPr>
            <w:r w:rsidRPr="006E02AA">
              <w:rPr>
                <w:sz w:val="18"/>
                <w:szCs w:val="18"/>
              </w:rPr>
              <w:t>Romero Mart</w:t>
            </w:r>
            <w:r w:rsidRPr="006E02AA">
              <w:rPr>
                <w:rFonts w:cstheme="majorHAnsi"/>
                <w:sz w:val="18"/>
                <w:szCs w:val="18"/>
              </w:rPr>
              <w:t>í</w:t>
            </w:r>
            <w:r w:rsidRPr="006E02AA">
              <w:rPr>
                <w:sz w:val="18"/>
                <w:szCs w:val="18"/>
              </w:rPr>
              <w:t>n et al. (2018)</w:t>
            </w:r>
          </w:p>
          <w:p w14:paraId="4525C1EB" w14:textId="77777777" w:rsidR="0077198A" w:rsidRPr="006E02AA" w:rsidRDefault="0077198A" w:rsidP="0077198A">
            <w:pPr>
              <w:pStyle w:val="BodyText"/>
              <w:spacing w:before="0" w:after="0" w:line="240" w:lineRule="auto"/>
              <w:jc w:val="left"/>
              <w:rPr>
                <w:sz w:val="18"/>
                <w:szCs w:val="18"/>
              </w:rPr>
            </w:pPr>
            <w:r w:rsidRPr="006E02AA">
              <w:rPr>
                <w:sz w:val="18"/>
                <w:szCs w:val="18"/>
              </w:rPr>
              <w:t>Cordoba</w:t>
            </w:r>
          </w:p>
        </w:tc>
        <w:tc>
          <w:tcPr>
            <w:tcW w:w="1876" w:type="dxa"/>
          </w:tcPr>
          <w:p w14:paraId="548D2EF5"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10mm: 25 cancers</w:t>
            </w:r>
          </w:p>
          <w:p w14:paraId="474F5DFF" w14:textId="77777777" w:rsidR="0077198A" w:rsidRPr="006E02AA" w:rsidRDefault="0077198A" w:rsidP="0077198A">
            <w:pPr>
              <w:pStyle w:val="BodyText"/>
              <w:spacing w:before="0" w:after="0" w:line="240" w:lineRule="auto"/>
              <w:jc w:val="left"/>
              <w:rPr>
                <w:sz w:val="18"/>
                <w:szCs w:val="18"/>
              </w:rPr>
            </w:pPr>
            <w:r w:rsidRPr="006E02AA">
              <w:rPr>
                <w:sz w:val="18"/>
                <w:szCs w:val="18"/>
              </w:rPr>
              <w:t>11-15mm: 14</w:t>
            </w:r>
          </w:p>
          <w:p w14:paraId="4AD5D62E" w14:textId="77777777" w:rsidR="0077198A" w:rsidRPr="006E02AA" w:rsidRDefault="0077198A" w:rsidP="0077198A">
            <w:pPr>
              <w:pStyle w:val="BodyText"/>
              <w:spacing w:before="0" w:after="0" w:line="240" w:lineRule="auto"/>
              <w:jc w:val="left"/>
              <w:rPr>
                <w:sz w:val="18"/>
                <w:szCs w:val="18"/>
              </w:rPr>
            </w:pPr>
            <w:r w:rsidRPr="006E02AA">
              <w:rPr>
                <w:sz w:val="18"/>
                <w:szCs w:val="18"/>
              </w:rPr>
              <w:t>16-19mm: 14</w:t>
            </w:r>
          </w:p>
          <w:p w14:paraId="088674B0" w14:textId="77777777" w:rsidR="0077198A" w:rsidRPr="006E02AA" w:rsidRDefault="0077198A" w:rsidP="0077198A">
            <w:pPr>
              <w:pStyle w:val="BodyText"/>
              <w:spacing w:before="0" w:after="0" w:line="240" w:lineRule="auto"/>
              <w:jc w:val="left"/>
              <w:rPr>
                <w:sz w:val="18"/>
                <w:szCs w:val="18"/>
                <w:u w:val="single"/>
              </w:rPr>
            </w:pPr>
            <w:r w:rsidRPr="006E02AA">
              <w:rPr>
                <w:sz w:val="18"/>
                <w:szCs w:val="18"/>
                <w:u w:val="single"/>
              </w:rPr>
              <w:t>&gt;</w:t>
            </w:r>
            <w:r w:rsidRPr="006E02AA">
              <w:rPr>
                <w:sz w:val="18"/>
                <w:szCs w:val="18"/>
              </w:rPr>
              <w:t>20mm: 39</w:t>
            </w:r>
          </w:p>
        </w:tc>
        <w:tc>
          <w:tcPr>
            <w:tcW w:w="1667" w:type="dxa"/>
          </w:tcPr>
          <w:p w14:paraId="29372C7A" w14:textId="19F956B2"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1701" w:type="dxa"/>
          </w:tcPr>
          <w:p w14:paraId="44B20210" w14:textId="0D7FA69C"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2262" w:type="dxa"/>
          </w:tcPr>
          <w:p w14:paraId="7C05ED0F"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10mm: 19 cancers (</w:t>
            </w:r>
            <w:r w:rsidRPr="006E02AA">
              <w:rPr>
                <w:i/>
                <w:iCs/>
                <w:sz w:val="18"/>
                <w:szCs w:val="18"/>
              </w:rPr>
              <w:t>p</w:t>
            </w:r>
            <w:r w:rsidRPr="006E02AA">
              <w:rPr>
                <w:sz w:val="18"/>
                <w:szCs w:val="18"/>
              </w:rPr>
              <w:t>=.021)</w:t>
            </w:r>
          </w:p>
          <w:p w14:paraId="0A646312" w14:textId="77777777" w:rsidR="0077198A" w:rsidRPr="006E02AA" w:rsidRDefault="0077198A" w:rsidP="0077198A">
            <w:pPr>
              <w:pStyle w:val="BodyText"/>
              <w:spacing w:before="0" w:after="0" w:line="240" w:lineRule="auto"/>
              <w:jc w:val="left"/>
              <w:rPr>
                <w:sz w:val="18"/>
                <w:szCs w:val="18"/>
              </w:rPr>
            </w:pPr>
            <w:r w:rsidRPr="006E02AA">
              <w:rPr>
                <w:sz w:val="18"/>
                <w:szCs w:val="18"/>
              </w:rPr>
              <w:t>11-15mm: 12</w:t>
            </w:r>
          </w:p>
          <w:p w14:paraId="48395E83" w14:textId="77777777" w:rsidR="0077198A" w:rsidRPr="006E02AA" w:rsidRDefault="0077198A" w:rsidP="0077198A">
            <w:pPr>
              <w:pStyle w:val="BodyText"/>
              <w:spacing w:before="0" w:after="0" w:line="240" w:lineRule="auto"/>
              <w:jc w:val="left"/>
              <w:rPr>
                <w:sz w:val="18"/>
                <w:szCs w:val="18"/>
              </w:rPr>
            </w:pPr>
            <w:r w:rsidRPr="006E02AA">
              <w:rPr>
                <w:sz w:val="18"/>
                <w:szCs w:val="18"/>
              </w:rPr>
              <w:t>16-19mm: 12</w:t>
            </w:r>
          </w:p>
          <w:p w14:paraId="5BEBB189" w14:textId="77777777" w:rsidR="0077198A" w:rsidRPr="006E02AA" w:rsidRDefault="0077198A" w:rsidP="0077198A">
            <w:pPr>
              <w:pStyle w:val="BodyText"/>
              <w:spacing w:before="0" w:after="0" w:line="240" w:lineRule="auto"/>
              <w:jc w:val="left"/>
              <w:rPr>
                <w:sz w:val="18"/>
                <w:szCs w:val="18"/>
                <w:u w:val="single"/>
              </w:rPr>
            </w:pPr>
            <w:r w:rsidRPr="006E02AA">
              <w:rPr>
                <w:sz w:val="18"/>
                <w:szCs w:val="18"/>
                <w:u w:val="single"/>
              </w:rPr>
              <w:t>&gt;</w:t>
            </w:r>
            <w:r w:rsidRPr="006E02AA">
              <w:rPr>
                <w:sz w:val="18"/>
                <w:szCs w:val="18"/>
              </w:rPr>
              <w:t>20mm: 33</w:t>
            </w:r>
          </w:p>
        </w:tc>
      </w:tr>
      <w:tr w:rsidR="00200543" w:rsidRPr="00201646" w14:paraId="75BE931F" w14:textId="77777777" w:rsidTr="00B90EDF">
        <w:tc>
          <w:tcPr>
            <w:tcW w:w="9061" w:type="dxa"/>
            <w:gridSpan w:val="5"/>
          </w:tcPr>
          <w:p w14:paraId="390AFDFD" w14:textId="37DF82A0" w:rsidR="00200543" w:rsidRPr="006E02AA" w:rsidRDefault="00200543" w:rsidP="00B90EDF">
            <w:pPr>
              <w:pStyle w:val="BodyText"/>
              <w:spacing w:before="0" w:after="0" w:line="240" w:lineRule="auto"/>
              <w:jc w:val="left"/>
              <w:rPr>
                <w:b/>
                <w:bCs/>
                <w:sz w:val="18"/>
                <w:szCs w:val="18"/>
              </w:rPr>
            </w:pPr>
            <w:r w:rsidRPr="006E02AA">
              <w:rPr>
                <w:b/>
                <w:bCs/>
                <w:sz w:val="18"/>
                <w:szCs w:val="18"/>
              </w:rPr>
              <w:t>Retrospective analysis</w:t>
            </w:r>
          </w:p>
        </w:tc>
      </w:tr>
      <w:tr w:rsidR="00200543" w:rsidRPr="00201646" w14:paraId="224BAD16" w14:textId="77777777" w:rsidTr="00B90EDF">
        <w:tc>
          <w:tcPr>
            <w:tcW w:w="1555" w:type="dxa"/>
          </w:tcPr>
          <w:p w14:paraId="7D26F83A" w14:textId="77777777" w:rsidR="00200543" w:rsidRPr="006E02AA" w:rsidRDefault="00200543" w:rsidP="00B90EDF">
            <w:pPr>
              <w:pStyle w:val="BodyText"/>
              <w:spacing w:before="0" w:after="0" w:line="240" w:lineRule="auto"/>
              <w:jc w:val="left"/>
              <w:rPr>
                <w:sz w:val="18"/>
                <w:szCs w:val="18"/>
              </w:rPr>
            </w:pPr>
            <w:r w:rsidRPr="006E02AA">
              <w:rPr>
                <w:sz w:val="18"/>
                <w:szCs w:val="18"/>
              </w:rPr>
              <w:t>Hovda et al. (2019)</w:t>
            </w:r>
          </w:p>
        </w:tc>
        <w:tc>
          <w:tcPr>
            <w:tcW w:w="1876" w:type="dxa"/>
          </w:tcPr>
          <w:p w14:paraId="5B0DC586" w14:textId="77777777" w:rsidR="00200543" w:rsidRPr="006E02AA" w:rsidRDefault="00200543" w:rsidP="00B90EDF">
            <w:pPr>
              <w:pStyle w:val="BodyText"/>
              <w:spacing w:before="0" w:after="0" w:line="240" w:lineRule="auto"/>
              <w:jc w:val="left"/>
              <w:rPr>
                <w:sz w:val="18"/>
                <w:szCs w:val="18"/>
              </w:rPr>
            </w:pPr>
            <w:r w:rsidRPr="006E02AA">
              <w:rPr>
                <w:sz w:val="18"/>
                <w:szCs w:val="18"/>
              </w:rPr>
              <w:t>&lt;10mm: 1.52 per 1000</w:t>
            </w:r>
          </w:p>
          <w:p w14:paraId="3A5F9AA5" w14:textId="77777777" w:rsidR="00200543" w:rsidRPr="006E02AA" w:rsidRDefault="00200543" w:rsidP="00B90EDF">
            <w:pPr>
              <w:pStyle w:val="BodyText"/>
              <w:spacing w:before="0" w:after="0" w:line="240" w:lineRule="auto"/>
              <w:jc w:val="left"/>
              <w:rPr>
                <w:sz w:val="18"/>
                <w:szCs w:val="18"/>
              </w:rPr>
            </w:pPr>
            <w:r w:rsidRPr="006E02AA">
              <w:rPr>
                <w:sz w:val="18"/>
                <w:szCs w:val="18"/>
              </w:rPr>
              <w:t>10-19mm: 1.05 per 1000</w:t>
            </w:r>
          </w:p>
          <w:p w14:paraId="00BC742D" w14:textId="77777777" w:rsidR="00200543" w:rsidRPr="006E02AA" w:rsidRDefault="00200543" w:rsidP="00B90EDF">
            <w:pPr>
              <w:pStyle w:val="BodyText"/>
              <w:spacing w:before="0" w:after="0" w:line="240" w:lineRule="auto"/>
              <w:jc w:val="left"/>
              <w:rPr>
                <w:sz w:val="18"/>
                <w:szCs w:val="18"/>
              </w:rPr>
            </w:pPr>
            <w:r w:rsidRPr="006E02AA">
              <w:rPr>
                <w:sz w:val="18"/>
                <w:szCs w:val="18"/>
              </w:rPr>
              <w:t>20-29mm: 0.76 per 1000</w:t>
            </w:r>
          </w:p>
          <w:p w14:paraId="58C199B8" w14:textId="77777777" w:rsidR="00200543" w:rsidRPr="006E02AA" w:rsidRDefault="00200543" w:rsidP="00B90EDF">
            <w:pPr>
              <w:pStyle w:val="BodyText"/>
              <w:spacing w:before="0" w:after="0" w:line="240" w:lineRule="auto"/>
              <w:jc w:val="left"/>
              <w:rPr>
                <w:sz w:val="18"/>
                <w:szCs w:val="18"/>
              </w:rPr>
            </w:pPr>
            <w:r w:rsidRPr="006E02AA">
              <w:rPr>
                <w:sz w:val="18"/>
                <w:szCs w:val="18"/>
                <w:u w:val="single"/>
              </w:rPr>
              <w:t>&gt;</w:t>
            </w:r>
            <w:r w:rsidRPr="006E02AA">
              <w:rPr>
                <w:sz w:val="18"/>
                <w:szCs w:val="18"/>
              </w:rPr>
              <w:t>30mm: 0.38 per 1000</w:t>
            </w:r>
          </w:p>
          <w:p w14:paraId="16330A9A" w14:textId="77777777" w:rsidR="00200543" w:rsidRPr="006E02AA" w:rsidRDefault="00200543" w:rsidP="00B90EDF">
            <w:pPr>
              <w:pStyle w:val="BodyText"/>
              <w:spacing w:before="0" w:after="0" w:line="240" w:lineRule="auto"/>
              <w:jc w:val="left"/>
              <w:rPr>
                <w:sz w:val="18"/>
                <w:szCs w:val="18"/>
              </w:rPr>
            </w:pPr>
            <w:r w:rsidRPr="006E02AA">
              <w:rPr>
                <w:sz w:val="18"/>
                <w:szCs w:val="18"/>
              </w:rPr>
              <w:lastRenderedPageBreak/>
              <w:t>Mean: 15.2mm</w:t>
            </w:r>
          </w:p>
          <w:p w14:paraId="3F2A8452" w14:textId="77777777" w:rsidR="00200543" w:rsidRPr="006E02AA" w:rsidRDefault="00200543" w:rsidP="00B90EDF">
            <w:pPr>
              <w:pStyle w:val="BodyText"/>
              <w:spacing w:before="0" w:after="0" w:line="240" w:lineRule="auto"/>
              <w:jc w:val="left"/>
              <w:rPr>
                <w:sz w:val="18"/>
                <w:szCs w:val="18"/>
              </w:rPr>
            </w:pPr>
            <w:r w:rsidRPr="006E02AA">
              <w:rPr>
                <w:sz w:val="18"/>
                <w:szCs w:val="18"/>
              </w:rPr>
              <w:t>Median: 12mm</w:t>
            </w:r>
          </w:p>
        </w:tc>
        <w:tc>
          <w:tcPr>
            <w:tcW w:w="1667" w:type="dxa"/>
          </w:tcPr>
          <w:p w14:paraId="5D23177A" w14:textId="77777777" w:rsidR="00200543" w:rsidRPr="006E02AA" w:rsidRDefault="00200543" w:rsidP="00B90EDF">
            <w:pPr>
              <w:pStyle w:val="BodyText"/>
              <w:spacing w:before="0" w:after="0" w:line="240" w:lineRule="auto"/>
              <w:jc w:val="center"/>
              <w:rPr>
                <w:sz w:val="18"/>
                <w:szCs w:val="18"/>
              </w:rPr>
            </w:pPr>
            <w:r w:rsidRPr="006E02AA">
              <w:rPr>
                <w:sz w:val="18"/>
                <w:szCs w:val="18"/>
              </w:rPr>
              <w:lastRenderedPageBreak/>
              <w:t>NA</w:t>
            </w:r>
          </w:p>
        </w:tc>
        <w:tc>
          <w:tcPr>
            <w:tcW w:w="1701" w:type="dxa"/>
          </w:tcPr>
          <w:p w14:paraId="26488D6C" w14:textId="77777777" w:rsidR="00200543" w:rsidRPr="006E02AA" w:rsidRDefault="00200543" w:rsidP="00B90EDF">
            <w:pPr>
              <w:pStyle w:val="BodyText"/>
              <w:spacing w:before="0" w:after="0" w:line="240" w:lineRule="auto"/>
              <w:jc w:val="center"/>
              <w:rPr>
                <w:sz w:val="18"/>
                <w:szCs w:val="18"/>
              </w:rPr>
            </w:pPr>
            <w:r w:rsidRPr="006E02AA">
              <w:rPr>
                <w:sz w:val="18"/>
                <w:szCs w:val="18"/>
              </w:rPr>
              <w:t>NA</w:t>
            </w:r>
          </w:p>
        </w:tc>
        <w:tc>
          <w:tcPr>
            <w:tcW w:w="2262" w:type="dxa"/>
          </w:tcPr>
          <w:p w14:paraId="48662381" w14:textId="4D7096AF" w:rsidR="00200543" w:rsidRPr="006E02AA" w:rsidRDefault="00200543" w:rsidP="00B90EDF">
            <w:pPr>
              <w:pStyle w:val="BodyText"/>
              <w:spacing w:before="0" w:after="0" w:line="240" w:lineRule="auto"/>
              <w:jc w:val="left"/>
              <w:rPr>
                <w:i/>
                <w:iCs/>
                <w:sz w:val="18"/>
                <w:szCs w:val="18"/>
                <w:vertAlign w:val="subscript"/>
              </w:rPr>
            </w:pPr>
            <w:r w:rsidRPr="006E02AA">
              <w:rPr>
                <w:sz w:val="18"/>
                <w:szCs w:val="18"/>
              </w:rPr>
              <w:t>&lt;10mm: 3.33 per 1000</w:t>
            </w:r>
            <w:r w:rsidR="0075618D" w:rsidRPr="006E02AA">
              <w:rPr>
                <w:sz w:val="18"/>
                <w:szCs w:val="18"/>
              </w:rPr>
              <w:t xml:space="preserve"> (</w:t>
            </w:r>
            <w:r w:rsidRPr="006E02AA">
              <w:rPr>
                <w:i/>
                <w:iCs/>
                <w:sz w:val="18"/>
                <w:szCs w:val="18"/>
              </w:rPr>
              <w:t>p</w:t>
            </w:r>
            <w:r w:rsidRPr="006E02AA">
              <w:rPr>
                <w:sz w:val="18"/>
                <w:szCs w:val="18"/>
              </w:rPr>
              <w:t>=</w:t>
            </w:r>
            <w:r w:rsidR="00DA52CA" w:rsidRPr="006E02AA">
              <w:rPr>
                <w:sz w:val="18"/>
                <w:szCs w:val="18"/>
              </w:rPr>
              <w:t>.</w:t>
            </w:r>
            <w:r w:rsidRPr="006E02AA">
              <w:rPr>
                <w:sz w:val="18"/>
                <w:szCs w:val="18"/>
              </w:rPr>
              <w:t>01</w:t>
            </w:r>
            <w:r w:rsidR="0075618D" w:rsidRPr="006E02AA">
              <w:rPr>
                <w:sz w:val="18"/>
                <w:szCs w:val="18"/>
              </w:rPr>
              <w:t>)</w:t>
            </w:r>
          </w:p>
          <w:p w14:paraId="116CD958" w14:textId="12940EB5" w:rsidR="00200543" w:rsidRPr="006E02AA" w:rsidRDefault="00200543" w:rsidP="00B90EDF">
            <w:pPr>
              <w:pStyle w:val="BodyText"/>
              <w:spacing w:before="0" w:after="0" w:line="240" w:lineRule="auto"/>
              <w:jc w:val="left"/>
              <w:rPr>
                <w:sz w:val="18"/>
                <w:szCs w:val="18"/>
              </w:rPr>
            </w:pPr>
            <w:r w:rsidRPr="006E02AA">
              <w:rPr>
                <w:sz w:val="18"/>
                <w:szCs w:val="18"/>
              </w:rPr>
              <w:t>10-19mm: 3.74 per 1000</w:t>
            </w:r>
            <w:r w:rsidR="0075618D" w:rsidRPr="006E02AA">
              <w:rPr>
                <w:sz w:val="18"/>
                <w:szCs w:val="18"/>
              </w:rPr>
              <w:t xml:space="preserve"> (</w:t>
            </w:r>
            <w:r w:rsidRPr="006E02AA">
              <w:rPr>
                <w:i/>
                <w:iCs/>
                <w:sz w:val="18"/>
                <w:szCs w:val="18"/>
              </w:rPr>
              <w:t>p</w:t>
            </w:r>
            <w:r w:rsidRPr="006E02AA">
              <w:rPr>
                <w:sz w:val="18"/>
                <w:szCs w:val="18"/>
              </w:rPr>
              <w:t>=</w:t>
            </w:r>
            <w:r w:rsidR="00176980">
              <w:rPr>
                <w:sz w:val="18"/>
                <w:szCs w:val="18"/>
              </w:rPr>
              <w:t>.</w:t>
            </w:r>
            <w:r w:rsidRPr="006E02AA">
              <w:rPr>
                <w:sz w:val="18"/>
                <w:szCs w:val="18"/>
              </w:rPr>
              <w:t>001</w:t>
            </w:r>
            <w:r w:rsidR="0075618D" w:rsidRPr="006E02AA">
              <w:rPr>
                <w:sz w:val="18"/>
                <w:szCs w:val="18"/>
              </w:rPr>
              <w:t>)</w:t>
            </w:r>
          </w:p>
          <w:p w14:paraId="17DAB167" w14:textId="77777777" w:rsidR="00200543" w:rsidRPr="006E02AA" w:rsidRDefault="00200543" w:rsidP="00B90EDF">
            <w:pPr>
              <w:pStyle w:val="BodyText"/>
              <w:spacing w:before="0" w:after="0" w:line="240" w:lineRule="auto"/>
              <w:jc w:val="left"/>
              <w:rPr>
                <w:sz w:val="18"/>
                <w:szCs w:val="18"/>
              </w:rPr>
            </w:pPr>
            <w:r w:rsidRPr="006E02AA">
              <w:rPr>
                <w:sz w:val="18"/>
                <w:szCs w:val="18"/>
              </w:rPr>
              <w:lastRenderedPageBreak/>
              <w:t>20-29mm: 0.74 per 1000</w:t>
            </w:r>
          </w:p>
          <w:p w14:paraId="3BD48B3E" w14:textId="77777777" w:rsidR="00200543" w:rsidRPr="006E02AA" w:rsidRDefault="00200543" w:rsidP="00B90EDF">
            <w:pPr>
              <w:pStyle w:val="BodyText"/>
              <w:spacing w:before="0" w:after="0" w:line="240" w:lineRule="auto"/>
              <w:jc w:val="left"/>
              <w:rPr>
                <w:sz w:val="18"/>
                <w:szCs w:val="18"/>
              </w:rPr>
            </w:pPr>
            <w:r w:rsidRPr="006E02AA">
              <w:rPr>
                <w:sz w:val="18"/>
                <w:szCs w:val="18"/>
                <w:u w:val="single"/>
              </w:rPr>
              <w:t>&gt;</w:t>
            </w:r>
            <w:r w:rsidRPr="006E02AA">
              <w:rPr>
                <w:sz w:val="18"/>
                <w:szCs w:val="18"/>
              </w:rPr>
              <w:t>30mm:0.44 per 1000</w:t>
            </w:r>
          </w:p>
          <w:p w14:paraId="63EEA6A8" w14:textId="77777777" w:rsidR="00200543" w:rsidRPr="006E02AA" w:rsidRDefault="00200543" w:rsidP="00B90EDF">
            <w:pPr>
              <w:pStyle w:val="BodyText"/>
              <w:spacing w:before="0" w:after="0" w:line="240" w:lineRule="auto"/>
              <w:jc w:val="left"/>
              <w:rPr>
                <w:sz w:val="18"/>
                <w:szCs w:val="18"/>
              </w:rPr>
            </w:pPr>
            <w:r w:rsidRPr="006E02AA">
              <w:rPr>
                <w:sz w:val="18"/>
                <w:szCs w:val="18"/>
              </w:rPr>
              <w:t>Mean: 13.3mm</w:t>
            </w:r>
          </w:p>
          <w:p w14:paraId="557C72C4" w14:textId="77777777" w:rsidR="00200543" w:rsidRPr="006E02AA" w:rsidRDefault="00200543" w:rsidP="00B90EDF">
            <w:pPr>
              <w:pStyle w:val="BodyText"/>
              <w:spacing w:before="0" w:after="0" w:line="240" w:lineRule="auto"/>
              <w:jc w:val="left"/>
              <w:rPr>
                <w:sz w:val="18"/>
                <w:szCs w:val="18"/>
              </w:rPr>
            </w:pPr>
            <w:r w:rsidRPr="006E02AA">
              <w:rPr>
                <w:sz w:val="18"/>
                <w:szCs w:val="18"/>
              </w:rPr>
              <w:t>Median: 11mm</w:t>
            </w:r>
          </w:p>
        </w:tc>
      </w:tr>
      <w:tr w:rsidR="0077198A" w:rsidRPr="00201646" w14:paraId="247C49CC" w14:textId="77777777" w:rsidTr="00592E7C">
        <w:tc>
          <w:tcPr>
            <w:tcW w:w="9061" w:type="dxa"/>
            <w:gridSpan w:val="5"/>
            <w:shd w:val="clear" w:color="auto" w:fill="E7FFBD" w:themeFill="background2" w:themeFillTint="33"/>
          </w:tcPr>
          <w:p w14:paraId="2171C416" w14:textId="7C5A9192" w:rsidR="0077198A" w:rsidRPr="006E02AA" w:rsidRDefault="0077198A" w:rsidP="0077198A">
            <w:pPr>
              <w:pStyle w:val="BodyText"/>
              <w:spacing w:before="0" w:after="0" w:line="240" w:lineRule="auto"/>
              <w:jc w:val="center"/>
              <w:rPr>
                <w:sz w:val="18"/>
                <w:szCs w:val="18"/>
              </w:rPr>
            </w:pPr>
            <w:r w:rsidRPr="006E02AA">
              <w:rPr>
                <w:sz w:val="18"/>
                <w:szCs w:val="18"/>
              </w:rPr>
              <w:lastRenderedPageBreak/>
              <w:t>FFDM+DBT compared to FFDM alone</w:t>
            </w:r>
          </w:p>
        </w:tc>
      </w:tr>
      <w:tr w:rsidR="0077198A" w:rsidRPr="00201646" w14:paraId="313E3889" w14:textId="77777777" w:rsidTr="00592E7C">
        <w:tc>
          <w:tcPr>
            <w:tcW w:w="9061" w:type="dxa"/>
            <w:gridSpan w:val="5"/>
          </w:tcPr>
          <w:p w14:paraId="563458C4" w14:textId="77777777" w:rsidR="0077198A" w:rsidRPr="006E02AA" w:rsidRDefault="0077198A" w:rsidP="0077198A">
            <w:pPr>
              <w:pStyle w:val="BodyText"/>
              <w:spacing w:before="0" w:after="0" w:line="240" w:lineRule="auto"/>
              <w:jc w:val="left"/>
              <w:rPr>
                <w:sz w:val="18"/>
                <w:szCs w:val="18"/>
              </w:rPr>
            </w:pPr>
            <w:r w:rsidRPr="006E02AA">
              <w:rPr>
                <w:b/>
                <w:bCs/>
                <w:sz w:val="18"/>
                <w:szCs w:val="18"/>
              </w:rPr>
              <w:t>RCT</w:t>
            </w:r>
          </w:p>
        </w:tc>
      </w:tr>
      <w:tr w:rsidR="0077198A" w:rsidRPr="00201646" w14:paraId="7169F1E1" w14:textId="77777777" w:rsidTr="00592E7C">
        <w:tc>
          <w:tcPr>
            <w:tcW w:w="1555" w:type="dxa"/>
          </w:tcPr>
          <w:p w14:paraId="1FC76B36" w14:textId="77777777" w:rsidR="0077198A" w:rsidRPr="006E02AA" w:rsidRDefault="0077198A" w:rsidP="0077198A">
            <w:pPr>
              <w:pStyle w:val="BodyText"/>
              <w:spacing w:before="0" w:after="0" w:line="240" w:lineRule="auto"/>
              <w:jc w:val="left"/>
              <w:rPr>
                <w:sz w:val="18"/>
                <w:szCs w:val="18"/>
              </w:rPr>
            </w:pPr>
            <w:r w:rsidRPr="006E02AA">
              <w:rPr>
                <w:sz w:val="18"/>
                <w:szCs w:val="18"/>
              </w:rPr>
              <w:t>Pattacini et al. (2018)</w:t>
            </w:r>
          </w:p>
          <w:p w14:paraId="4068CC1C" w14:textId="7E012202" w:rsidR="0077198A" w:rsidRPr="006E02AA" w:rsidRDefault="0077198A" w:rsidP="0077198A">
            <w:pPr>
              <w:pStyle w:val="BodyText"/>
              <w:spacing w:before="0" w:after="0" w:line="240" w:lineRule="auto"/>
              <w:jc w:val="left"/>
              <w:rPr>
                <w:sz w:val="18"/>
                <w:szCs w:val="18"/>
              </w:rPr>
            </w:pPr>
            <w:r w:rsidRPr="006E02AA">
              <w:rPr>
                <w:sz w:val="18"/>
                <w:szCs w:val="18"/>
              </w:rPr>
              <w:t>Reggio</w:t>
            </w:r>
            <w:r w:rsidR="00A9108F">
              <w:rPr>
                <w:sz w:val="18"/>
                <w:szCs w:val="18"/>
              </w:rPr>
              <w:t xml:space="preserve"> </w:t>
            </w:r>
            <w:r w:rsidRPr="006E02AA">
              <w:rPr>
                <w:sz w:val="18"/>
                <w:szCs w:val="18"/>
              </w:rPr>
              <w:t xml:space="preserve">Emilia </w:t>
            </w:r>
          </w:p>
          <w:p w14:paraId="0F6B31AE" w14:textId="77777777" w:rsidR="0077198A" w:rsidRPr="006E02AA" w:rsidRDefault="0077198A" w:rsidP="0077198A">
            <w:pPr>
              <w:pStyle w:val="BodyText"/>
              <w:spacing w:before="0" w:after="0" w:line="240" w:lineRule="auto"/>
              <w:jc w:val="left"/>
              <w:rPr>
                <w:sz w:val="18"/>
                <w:szCs w:val="18"/>
              </w:rPr>
            </w:pPr>
          </w:p>
        </w:tc>
        <w:tc>
          <w:tcPr>
            <w:tcW w:w="1876" w:type="dxa"/>
          </w:tcPr>
          <w:p w14:paraId="1E5D9C15" w14:textId="77777777"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1667" w:type="dxa"/>
          </w:tcPr>
          <w:p w14:paraId="08398A21" w14:textId="77777777" w:rsidR="0077198A" w:rsidRPr="006E02AA" w:rsidRDefault="0077198A" w:rsidP="0077198A">
            <w:pPr>
              <w:pStyle w:val="BodyText"/>
              <w:spacing w:before="0" w:after="0" w:line="240" w:lineRule="auto"/>
              <w:jc w:val="center"/>
              <w:rPr>
                <w:sz w:val="18"/>
                <w:szCs w:val="18"/>
              </w:rPr>
            </w:pPr>
            <w:r w:rsidRPr="006E02AA">
              <w:rPr>
                <w:sz w:val="18"/>
                <w:szCs w:val="18"/>
              </w:rPr>
              <w:t>NA</w:t>
            </w:r>
          </w:p>
        </w:tc>
        <w:tc>
          <w:tcPr>
            <w:tcW w:w="1701" w:type="dxa"/>
          </w:tcPr>
          <w:p w14:paraId="2274C5D1"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10mm: 31 cancers</w:t>
            </w:r>
          </w:p>
          <w:p w14:paraId="74D5B4BF" w14:textId="3D948705" w:rsidR="0077198A" w:rsidRPr="006E02AA" w:rsidRDefault="0077198A" w:rsidP="0077198A">
            <w:pPr>
              <w:pStyle w:val="BodyText"/>
              <w:spacing w:before="0" w:after="0" w:line="240" w:lineRule="auto"/>
              <w:jc w:val="left"/>
              <w:rPr>
                <w:sz w:val="18"/>
                <w:szCs w:val="18"/>
              </w:rPr>
            </w:pPr>
            <w:r w:rsidRPr="006E02AA">
              <w:rPr>
                <w:sz w:val="18"/>
                <w:szCs w:val="18"/>
              </w:rPr>
              <w:t>10-20mm: 31 cancers</w:t>
            </w:r>
          </w:p>
          <w:p w14:paraId="4583EAB6" w14:textId="40AB4F5F"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20mm: 7 cancers</w:t>
            </w:r>
          </w:p>
        </w:tc>
        <w:tc>
          <w:tcPr>
            <w:tcW w:w="2262" w:type="dxa"/>
          </w:tcPr>
          <w:p w14:paraId="70D03489" w14:textId="3700AACC"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10mm: 16 cancers (RR</w:t>
            </w:r>
            <w:r w:rsidR="00285D7E">
              <w:rPr>
                <w:sz w:val="18"/>
                <w:szCs w:val="18"/>
              </w:rPr>
              <w:t>=</w:t>
            </w:r>
            <w:r w:rsidRPr="006E02AA">
              <w:rPr>
                <w:sz w:val="18"/>
                <w:szCs w:val="18"/>
              </w:rPr>
              <w:t>1.94; 95%CI</w:t>
            </w:r>
            <w:r w:rsidR="004F6A90" w:rsidRPr="006E02AA">
              <w:rPr>
                <w:sz w:val="18"/>
                <w:szCs w:val="18"/>
              </w:rPr>
              <w:t>:</w:t>
            </w:r>
            <w:r w:rsidRPr="006E02AA">
              <w:rPr>
                <w:sz w:val="18"/>
                <w:szCs w:val="18"/>
              </w:rPr>
              <w:t xml:space="preserve"> 1.06</w:t>
            </w:r>
            <w:r w:rsidR="004F6A90" w:rsidRPr="006E02AA">
              <w:rPr>
                <w:sz w:val="18"/>
                <w:szCs w:val="18"/>
              </w:rPr>
              <w:t xml:space="preserve">, </w:t>
            </w:r>
            <w:r w:rsidRPr="006E02AA">
              <w:rPr>
                <w:sz w:val="18"/>
                <w:szCs w:val="18"/>
              </w:rPr>
              <w:t>3.54)</w:t>
            </w:r>
          </w:p>
          <w:p w14:paraId="7E7C6599" w14:textId="713D295C" w:rsidR="0077198A" w:rsidRPr="006E02AA" w:rsidRDefault="0077198A" w:rsidP="0077198A">
            <w:pPr>
              <w:pStyle w:val="BodyText"/>
              <w:spacing w:before="0" w:after="0" w:line="240" w:lineRule="auto"/>
              <w:jc w:val="left"/>
              <w:rPr>
                <w:sz w:val="18"/>
                <w:szCs w:val="18"/>
              </w:rPr>
            </w:pPr>
            <w:r w:rsidRPr="006E02AA">
              <w:rPr>
                <w:sz w:val="18"/>
                <w:szCs w:val="18"/>
              </w:rPr>
              <w:t>10-20mm: 14 cancers (RR</w:t>
            </w:r>
            <w:r w:rsidR="00285D7E">
              <w:rPr>
                <w:sz w:val="18"/>
                <w:szCs w:val="18"/>
              </w:rPr>
              <w:t>=</w:t>
            </w:r>
            <w:r w:rsidRPr="006E02AA">
              <w:rPr>
                <w:sz w:val="18"/>
                <w:szCs w:val="18"/>
              </w:rPr>
              <w:t>2.22; 95%CI</w:t>
            </w:r>
            <w:r w:rsidR="004F6A90" w:rsidRPr="006E02AA">
              <w:rPr>
                <w:sz w:val="18"/>
                <w:szCs w:val="18"/>
              </w:rPr>
              <w:t>:</w:t>
            </w:r>
            <w:r w:rsidRPr="006E02AA">
              <w:rPr>
                <w:sz w:val="18"/>
                <w:szCs w:val="18"/>
              </w:rPr>
              <w:t xml:space="preserve"> 1.18</w:t>
            </w:r>
            <w:r w:rsidR="004F6A90" w:rsidRPr="006E02AA">
              <w:rPr>
                <w:sz w:val="18"/>
                <w:szCs w:val="18"/>
              </w:rPr>
              <w:t xml:space="preserve">, </w:t>
            </w:r>
            <w:r w:rsidRPr="006E02AA">
              <w:rPr>
                <w:sz w:val="18"/>
                <w:szCs w:val="18"/>
              </w:rPr>
              <w:t>4.16)</w:t>
            </w:r>
          </w:p>
          <w:p w14:paraId="0552AC46" w14:textId="6067D751"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20mm: 8 cancers (RR</w:t>
            </w:r>
            <w:r w:rsidR="00285D7E">
              <w:rPr>
                <w:sz w:val="18"/>
                <w:szCs w:val="18"/>
              </w:rPr>
              <w:t>=</w:t>
            </w:r>
            <w:r w:rsidRPr="006E02AA">
              <w:rPr>
                <w:sz w:val="18"/>
                <w:szCs w:val="18"/>
              </w:rPr>
              <w:t>0.88; 0.32</w:t>
            </w:r>
            <w:r w:rsidR="00176980">
              <w:rPr>
                <w:sz w:val="18"/>
                <w:szCs w:val="18"/>
              </w:rPr>
              <w:t xml:space="preserve">, </w:t>
            </w:r>
            <w:r w:rsidRPr="006E02AA">
              <w:rPr>
                <w:sz w:val="18"/>
                <w:szCs w:val="18"/>
              </w:rPr>
              <w:t>2.41)</w:t>
            </w:r>
          </w:p>
          <w:p w14:paraId="4FA7BF7D" w14:textId="77777777" w:rsidR="0077198A" w:rsidRPr="006E02AA" w:rsidRDefault="0077198A" w:rsidP="0077198A">
            <w:pPr>
              <w:pStyle w:val="BodyText"/>
              <w:spacing w:before="0" w:after="0" w:line="240" w:lineRule="auto"/>
              <w:jc w:val="left"/>
              <w:rPr>
                <w:sz w:val="18"/>
                <w:szCs w:val="18"/>
              </w:rPr>
            </w:pPr>
            <w:r w:rsidRPr="006E02AA">
              <w:rPr>
                <w:sz w:val="18"/>
                <w:szCs w:val="18"/>
              </w:rPr>
              <w:t>No data: 1</w:t>
            </w:r>
          </w:p>
        </w:tc>
      </w:tr>
      <w:tr w:rsidR="0077198A" w:rsidRPr="00201646" w14:paraId="19F1E3A2" w14:textId="77777777" w:rsidTr="002C6611">
        <w:tc>
          <w:tcPr>
            <w:tcW w:w="9061" w:type="dxa"/>
            <w:gridSpan w:val="5"/>
          </w:tcPr>
          <w:p w14:paraId="7571630D" w14:textId="77777777" w:rsidR="0077198A" w:rsidRPr="006E02AA" w:rsidRDefault="0077198A" w:rsidP="0077198A">
            <w:pPr>
              <w:pStyle w:val="BodyText"/>
              <w:spacing w:before="0" w:after="0" w:line="240" w:lineRule="auto"/>
              <w:rPr>
                <w:b/>
                <w:bCs/>
                <w:sz w:val="18"/>
                <w:szCs w:val="18"/>
              </w:rPr>
            </w:pPr>
            <w:r w:rsidRPr="006E02AA">
              <w:rPr>
                <w:b/>
                <w:bCs/>
                <w:sz w:val="18"/>
                <w:szCs w:val="18"/>
              </w:rPr>
              <w:t>Prospective studies embedded in population-based screening</w:t>
            </w:r>
          </w:p>
        </w:tc>
      </w:tr>
      <w:tr w:rsidR="0077198A" w:rsidRPr="00201646" w14:paraId="7DC1BEB8" w14:textId="77777777" w:rsidTr="002C6611">
        <w:tc>
          <w:tcPr>
            <w:tcW w:w="1555" w:type="dxa"/>
          </w:tcPr>
          <w:p w14:paraId="18597EE7" w14:textId="513A9A01" w:rsidR="0077198A" w:rsidRPr="006E02AA" w:rsidRDefault="0077198A" w:rsidP="0077198A">
            <w:pPr>
              <w:pStyle w:val="BodyText"/>
              <w:spacing w:before="0" w:after="0" w:line="240" w:lineRule="auto"/>
              <w:jc w:val="left"/>
              <w:rPr>
                <w:sz w:val="18"/>
                <w:szCs w:val="18"/>
              </w:rPr>
            </w:pPr>
            <w:r w:rsidRPr="006E02AA">
              <w:rPr>
                <w:sz w:val="18"/>
                <w:szCs w:val="18"/>
              </w:rPr>
              <w:t>Skaane et al. (2018)</w:t>
            </w:r>
          </w:p>
          <w:p w14:paraId="3C6612D3" w14:textId="3FBD2D5D" w:rsidR="0077198A" w:rsidRPr="006E02AA" w:rsidRDefault="0077198A" w:rsidP="0077198A">
            <w:pPr>
              <w:pStyle w:val="BodyText"/>
              <w:spacing w:before="0" w:after="0" w:line="240" w:lineRule="auto"/>
              <w:jc w:val="left"/>
              <w:rPr>
                <w:sz w:val="18"/>
                <w:szCs w:val="18"/>
              </w:rPr>
            </w:pPr>
            <w:r w:rsidRPr="006E02AA">
              <w:rPr>
                <w:sz w:val="18"/>
                <w:szCs w:val="18"/>
              </w:rPr>
              <w:t>OTS</w:t>
            </w:r>
          </w:p>
          <w:p w14:paraId="32ECF741" w14:textId="77777777" w:rsidR="0077198A" w:rsidRPr="006E02AA" w:rsidRDefault="0077198A" w:rsidP="0077198A">
            <w:pPr>
              <w:pStyle w:val="BodyText"/>
              <w:spacing w:before="0" w:after="0" w:line="240" w:lineRule="auto"/>
              <w:jc w:val="left"/>
              <w:rPr>
                <w:sz w:val="18"/>
                <w:szCs w:val="18"/>
              </w:rPr>
            </w:pPr>
          </w:p>
        </w:tc>
        <w:tc>
          <w:tcPr>
            <w:tcW w:w="1876" w:type="dxa"/>
          </w:tcPr>
          <w:p w14:paraId="47D640D8" w14:textId="7EFD8DE0" w:rsidR="0077198A" w:rsidRPr="006E02AA" w:rsidRDefault="00CE5C4D" w:rsidP="00CE5C4D">
            <w:pPr>
              <w:pStyle w:val="BodyText"/>
              <w:spacing w:before="0" w:after="0" w:line="240" w:lineRule="auto"/>
              <w:jc w:val="center"/>
              <w:rPr>
                <w:sz w:val="18"/>
                <w:szCs w:val="18"/>
              </w:rPr>
            </w:pPr>
            <w:r w:rsidRPr="006E02AA">
              <w:rPr>
                <w:sz w:val="18"/>
                <w:szCs w:val="18"/>
              </w:rPr>
              <w:t>NA</w:t>
            </w:r>
          </w:p>
        </w:tc>
        <w:tc>
          <w:tcPr>
            <w:tcW w:w="1667" w:type="dxa"/>
          </w:tcPr>
          <w:p w14:paraId="354B36E3" w14:textId="37F9EFFC" w:rsidR="0077198A" w:rsidRPr="006E02AA" w:rsidRDefault="00CE5C4D" w:rsidP="00CE5C4D">
            <w:pPr>
              <w:pStyle w:val="BodyText"/>
              <w:spacing w:before="0" w:after="0" w:line="240" w:lineRule="auto"/>
              <w:jc w:val="center"/>
              <w:rPr>
                <w:sz w:val="18"/>
                <w:szCs w:val="18"/>
              </w:rPr>
            </w:pPr>
            <w:r w:rsidRPr="006E02AA">
              <w:rPr>
                <w:sz w:val="18"/>
                <w:szCs w:val="18"/>
              </w:rPr>
              <w:t>NA</w:t>
            </w:r>
          </w:p>
        </w:tc>
        <w:tc>
          <w:tcPr>
            <w:tcW w:w="1701" w:type="dxa"/>
          </w:tcPr>
          <w:p w14:paraId="222C11EA" w14:textId="356FD079" w:rsidR="0077198A" w:rsidRPr="006E02AA" w:rsidRDefault="00341AE4" w:rsidP="0077198A">
            <w:pPr>
              <w:pStyle w:val="BodyText"/>
              <w:spacing w:before="0" w:after="0" w:line="240" w:lineRule="auto"/>
              <w:jc w:val="left"/>
              <w:rPr>
                <w:sz w:val="18"/>
                <w:szCs w:val="18"/>
              </w:rPr>
            </w:pPr>
            <w:r w:rsidRPr="006E02AA">
              <w:rPr>
                <w:sz w:val="18"/>
                <w:szCs w:val="18"/>
                <w:u w:val="single"/>
              </w:rPr>
              <w:t>&lt;</w:t>
            </w:r>
            <w:r w:rsidRPr="006E02AA">
              <w:rPr>
                <w:sz w:val="18"/>
                <w:szCs w:val="18"/>
              </w:rPr>
              <w:t>10mm: 9.3%</w:t>
            </w:r>
          </w:p>
          <w:p w14:paraId="04788D8A" w14:textId="33E35C49" w:rsidR="00341AE4" w:rsidRPr="006E02AA" w:rsidRDefault="00341AE4" w:rsidP="0077198A">
            <w:pPr>
              <w:pStyle w:val="BodyText"/>
              <w:spacing w:before="0" w:after="0" w:line="240" w:lineRule="auto"/>
              <w:jc w:val="left"/>
              <w:rPr>
                <w:sz w:val="18"/>
                <w:szCs w:val="18"/>
              </w:rPr>
            </w:pPr>
            <w:r w:rsidRPr="006E02AA">
              <w:rPr>
                <w:sz w:val="18"/>
                <w:szCs w:val="18"/>
              </w:rPr>
              <w:t>11-20mm: 41.9%</w:t>
            </w:r>
          </w:p>
          <w:p w14:paraId="568535D6" w14:textId="7DD94667" w:rsidR="00341AE4" w:rsidRPr="006E02AA" w:rsidRDefault="00341AE4" w:rsidP="0077198A">
            <w:pPr>
              <w:pStyle w:val="BodyText"/>
              <w:spacing w:before="0" w:after="0" w:line="240" w:lineRule="auto"/>
              <w:jc w:val="left"/>
              <w:rPr>
                <w:sz w:val="18"/>
                <w:szCs w:val="18"/>
              </w:rPr>
            </w:pPr>
            <w:r w:rsidRPr="006E02AA">
              <w:rPr>
                <w:sz w:val="18"/>
                <w:szCs w:val="18"/>
              </w:rPr>
              <w:t>&gt;20mm: 48.8%</w:t>
            </w:r>
          </w:p>
          <w:p w14:paraId="6252CEB7" w14:textId="45FFE171" w:rsidR="00341AE4" w:rsidRPr="006E02AA" w:rsidRDefault="00341AE4" w:rsidP="0077198A">
            <w:pPr>
              <w:pStyle w:val="BodyText"/>
              <w:spacing w:before="0" w:after="0" w:line="240" w:lineRule="auto"/>
              <w:jc w:val="left"/>
              <w:rPr>
                <w:sz w:val="18"/>
                <w:szCs w:val="18"/>
              </w:rPr>
            </w:pPr>
          </w:p>
        </w:tc>
        <w:tc>
          <w:tcPr>
            <w:tcW w:w="2262" w:type="dxa"/>
          </w:tcPr>
          <w:p w14:paraId="72CE894C" w14:textId="77AC4210" w:rsidR="00341AE4" w:rsidRPr="006E02AA" w:rsidRDefault="00341AE4" w:rsidP="00341AE4">
            <w:pPr>
              <w:pStyle w:val="BodyText"/>
              <w:spacing w:before="0" w:after="0" w:line="240" w:lineRule="auto"/>
              <w:jc w:val="left"/>
              <w:rPr>
                <w:sz w:val="18"/>
                <w:szCs w:val="18"/>
              </w:rPr>
            </w:pPr>
            <w:r w:rsidRPr="006E02AA">
              <w:rPr>
                <w:sz w:val="18"/>
                <w:szCs w:val="18"/>
                <w:u w:val="single"/>
              </w:rPr>
              <w:t>&lt;</w:t>
            </w:r>
            <w:r w:rsidRPr="006E02AA">
              <w:rPr>
                <w:sz w:val="18"/>
                <w:szCs w:val="18"/>
              </w:rPr>
              <w:t xml:space="preserve">10mm: 17.2%, </w:t>
            </w:r>
            <w:r w:rsidRPr="006E02AA">
              <w:rPr>
                <w:i/>
                <w:iCs/>
                <w:sz w:val="18"/>
                <w:szCs w:val="18"/>
              </w:rPr>
              <w:t>p</w:t>
            </w:r>
            <w:r w:rsidRPr="006E02AA">
              <w:rPr>
                <w:sz w:val="18"/>
                <w:szCs w:val="18"/>
              </w:rPr>
              <w:t>=.138</w:t>
            </w:r>
          </w:p>
          <w:p w14:paraId="78760E95" w14:textId="4AC16DE0" w:rsidR="00341AE4" w:rsidRPr="006E02AA" w:rsidRDefault="00341AE4" w:rsidP="00341AE4">
            <w:pPr>
              <w:pStyle w:val="BodyText"/>
              <w:spacing w:before="0" w:after="0" w:line="240" w:lineRule="auto"/>
              <w:jc w:val="left"/>
              <w:rPr>
                <w:sz w:val="18"/>
                <w:szCs w:val="18"/>
              </w:rPr>
            </w:pPr>
            <w:r w:rsidRPr="006E02AA">
              <w:rPr>
                <w:sz w:val="18"/>
                <w:szCs w:val="18"/>
              </w:rPr>
              <w:t>11-20mm: 45.2%</w:t>
            </w:r>
          </w:p>
          <w:p w14:paraId="641A7292" w14:textId="1D143082" w:rsidR="00341AE4" w:rsidRPr="006E02AA" w:rsidRDefault="00341AE4" w:rsidP="00341AE4">
            <w:pPr>
              <w:pStyle w:val="BodyText"/>
              <w:spacing w:before="0" w:after="0" w:line="240" w:lineRule="auto"/>
              <w:jc w:val="left"/>
              <w:rPr>
                <w:sz w:val="18"/>
                <w:szCs w:val="18"/>
              </w:rPr>
            </w:pPr>
            <w:r w:rsidRPr="006E02AA">
              <w:rPr>
                <w:sz w:val="18"/>
                <w:szCs w:val="18"/>
              </w:rPr>
              <w:t>&gt;20mm: 37.6%</w:t>
            </w:r>
          </w:p>
          <w:p w14:paraId="1DD133ED" w14:textId="77777777" w:rsidR="0077198A" w:rsidRPr="006E02AA" w:rsidRDefault="0077198A" w:rsidP="0077198A">
            <w:pPr>
              <w:pStyle w:val="BodyText"/>
              <w:spacing w:before="0" w:after="0" w:line="240" w:lineRule="auto"/>
              <w:jc w:val="left"/>
              <w:rPr>
                <w:sz w:val="18"/>
                <w:szCs w:val="18"/>
              </w:rPr>
            </w:pPr>
          </w:p>
        </w:tc>
      </w:tr>
      <w:tr w:rsidR="004F5904" w:rsidRPr="00201646" w14:paraId="3850CDDB" w14:textId="77777777" w:rsidTr="002C6611">
        <w:tc>
          <w:tcPr>
            <w:tcW w:w="9061" w:type="dxa"/>
            <w:gridSpan w:val="5"/>
          </w:tcPr>
          <w:p w14:paraId="0032CF8C" w14:textId="77777777" w:rsidR="004F5904" w:rsidRPr="006E02AA" w:rsidRDefault="004F5904" w:rsidP="002C6611">
            <w:pPr>
              <w:pStyle w:val="BodyText"/>
              <w:spacing w:before="0" w:after="0" w:line="240" w:lineRule="auto"/>
              <w:jc w:val="left"/>
              <w:rPr>
                <w:b/>
                <w:bCs/>
                <w:sz w:val="18"/>
                <w:szCs w:val="18"/>
              </w:rPr>
            </w:pPr>
            <w:r w:rsidRPr="006E02AA">
              <w:rPr>
                <w:b/>
                <w:bCs/>
                <w:sz w:val="18"/>
                <w:szCs w:val="18"/>
              </w:rPr>
              <w:t>Retrospective analysis</w:t>
            </w:r>
          </w:p>
        </w:tc>
      </w:tr>
      <w:tr w:rsidR="00587D2C" w:rsidRPr="00201646" w14:paraId="711122D2" w14:textId="77777777" w:rsidTr="00724130">
        <w:tc>
          <w:tcPr>
            <w:tcW w:w="1555" w:type="dxa"/>
          </w:tcPr>
          <w:p w14:paraId="69C1247D" w14:textId="08C72B3C" w:rsidR="00587D2C" w:rsidRPr="006E02AA" w:rsidRDefault="00307921" w:rsidP="00724130">
            <w:pPr>
              <w:pStyle w:val="BodyText"/>
              <w:spacing w:before="0" w:after="0" w:line="240" w:lineRule="auto"/>
              <w:jc w:val="left"/>
              <w:rPr>
                <w:sz w:val="18"/>
                <w:szCs w:val="18"/>
              </w:rPr>
            </w:pPr>
            <w:r w:rsidRPr="006E02AA">
              <w:rPr>
                <w:sz w:val="18"/>
                <w:szCs w:val="18"/>
              </w:rPr>
              <w:t>Bahl et a. (2019)</w:t>
            </w:r>
          </w:p>
        </w:tc>
        <w:tc>
          <w:tcPr>
            <w:tcW w:w="1876" w:type="dxa"/>
          </w:tcPr>
          <w:p w14:paraId="31A1D1A3" w14:textId="2FD139EC" w:rsidR="00587D2C" w:rsidRPr="006E02AA" w:rsidRDefault="00307921" w:rsidP="00724130">
            <w:pPr>
              <w:pStyle w:val="BodyText"/>
              <w:spacing w:before="0" w:after="0" w:line="240" w:lineRule="auto"/>
              <w:jc w:val="center"/>
              <w:rPr>
                <w:sz w:val="18"/>
                <w:szCs w:val="18"/>
              </w:rPr>
            </w:pPr>
            <w:r w:rsidRPr="006E02AA">
              <w:rPr>
                <w:sz w:val="18"/>
                <w:szCs w:val="18"/>
              </w:rPr>
              <w:t>NA</w:t>
            </w:r>
          </w:p>
        </w:tc>
        <w:tc>
          <w:tcPr>
            <w:tcW w:w="1667" w:type="dxa"/>
          </w:tcPr>
          <w:p w14:paraId="27F42838" w14:textId="2A5FD547" w:rsidR="00587D2C" w:rsidRPr="006E02AA" w:rsidRDefault="00307921" w:rsidP="00724130">
            <w:pPr>
              <w:pStyle w:val="BodyText"/>
              <w:spacing w:before="0" w:after="0" w:line="240" w:lineRule="auto"/>
              <w:jc w:val="center"/>
              <w:rPr>
                <w:sz w:val="18"/>
                <w:szCs w:val="18"/>
              </w:rPr>
            </w:pPr>
            <w:r w:rsidRPr="006E02AA">
              <w:rPr>
                <w:sz w:val="18"/>
                <w:szCs w:val="18"/>
              </w:rPr>
              <w:t>NA</w:t>
            </w:r>
          </w:p>
        </w:tc>
        <w:tc>
          <w:tcPr>
            <w:tcW w:w="1701" w:type="dxa"/>
          </w:tcPr>
          <w:p w14:paraId="0BFC6725" w14:textId="7875D21D" w:rsidR="00587D2C" w:rsidRPr="006E02AA" w:rsidRDefault="00307921" w:rsidP="00724130">
            <w:pPr>
              <w:pStyle w:val="BodyText"/>
              <w:spacing w:before="0" w:after="0" w:line="240" w:lineRule="auto"/>
              <w:jc w:val="left"/>
              <w:rPr>
                <w:sz w:val="18"/>
                <w:szCs w:val="18"/>
              </w:rPr>
            </w:pPr>
            <w:r w:rsidRPr="006E02AA">
              <w:rPr>
                <w:sz w:val="18"/>
                <w:szCs w:val="18"/>
              </w:rPr>
              <w:t>Mean: 12.0mm (</w:t>
            </w:r>
            <w:r w:rsidRPr="006E02AA">
              <w:rPr>
                <w:sz w:val="18"/>
                <w:szCs w:val="18"/>
                <w:u w:val="single"/>
              </w:rPr>
              <w:t>+</w:t>
            </w:r>
            <w:r w:rsidRPr="006E02AA">
              <w:rPr>
                <w:sz w:val="18"/>
                <w:szCs w:val="18"/>
              </w:rPr>
              <w:t>9.7)</w:t>
            </w:r>
          </w:p>
        </w:tc>
        <w:tc>
          <w:tcPr>
            <w:tcW w:w="2262" w:type="dxa"/>
          </w:tcPr>
          <w:p w14:paraId="411F83D4" w14:textId="0B427FDF" w:rsidR="00587D2C" w:rsidRPr="006E02AA" w:rsidRDefault="00307921" w:rsidP="00724130">
            <w:pPr>
              <w:pStyle w:val="BodyText"/>
              <w:spacing w:before="0" w:after="0" w:line="240" w:lineRule="auto"/>
              <w:jc w:val="left"/>
              <w:rPr>
                <w:sz w:val="18"/>
                <w:szCs w:val="18"/>
              </w:rPr>
            </w:pPr>
            <w:r w:rsidRPr="006E02AA">
              <w:rPr>
                <w:sz w:val="18"/>
                <w:szCs w:val="18"/>
              </w:rPr>
              <w:t>Mean: 12.8mm (</w:t>
            </w:r>
            <w:r w:rsidRPr="006E02AA">
              <w:rPr>
                <w:sz w:val="18"/>
                <w:szCs w:val="18"/>
                <w:u w:val="single"/>
              </w:rPr>
              <w:t>+</w:t>
            </w:r>
            <w:r w:rsidRPr="006E02AA">
              <w:rPr>
                <w:sz w:val="18"/>
                <w:szCs w:val="18"/>
              </w:rPr>
              <w:t>8.2)</w:t>
            </w:r>
          </w:p>
        </w:tc>
      </w:tr>
      <w:tr w:rsidR="0077198A" w:rsidRPr="00201646" w14:paraId="790BF08B" w14:textId="77777777" w:rsidTr="00592E7C">
        <w:tc>
          <w:tcPr>
            <w:tcW w:w="1555" w:type="dxa"/>
          </w:tcPr>
          <w:p w14:paraId="72E27360" w14:textId="77777777" w:rsidR="0077198A" w:rsidRPr="006E02AA" w:rsidRDefault="0077198A" w:rsidP="0077198A">
            <w:pPr>
              <w:pStyle w:val="BodyText"/>
              <w:spacing w:before="0" w:after="0" w:line="240" w:lineRule="auto"/>
              <w:jc w:val="left"/>
              <w:rPr>
                <w:sz w:val="18"/>
                <w:szCs w:val="18"/>
              </w:rPr>
            </w:pPr>
            <w:r w:rsidRPr="006E02AA">
              <w:rPr>
                <w:sz w:val="18"/>
                <w:szCs w:val="18"/>
              </w:rPr>
              <w:t>Rose &amp; Shisler (2018)</w:t>
            </w:r>
          </w:p>
        </w:tc>
        <w:tc>
          <w:tcPr>
            <w:tcW w:w="1876" w:type="dxa"/>
          </w:tcPr>
          <w:p w14:paraId="747121E8" w14:textId="2D3B1260" w:rsidR="0077198A" w:rsidRPr="006E02AA" w:rsidRDefault="00CE5C4D" w:rsidP="00CE5C4D">
            <w:pPr>
              <w:pStyle w:val="BodyText"/>
              <w:spacing w:before="0" w:after="0" w:line="240" w:lineRule="auto"/>
              <w:jc w:val="center"/>
              <w:rPr>
                <w:sz w:val="18"/>
                <w:szCs w:val="18"/>
              </w:rPr>
            </w:pPr>
            <w:r w:rsidRPr="006E02AA">
              <w:rPr>
                <w:sz w:val="18"/>
                <w:szCs w:val="18"/>
              </w:rPr>
              <w:t>NA</w:t>
            </w:r>
          </w:p>
        </w:tc>
        <w:tc>
          <w:tcPr>
            <w:tcW w:w="1667" w:type="dxa"/>
          </w:tcPr>
          <w:p w14:paraId="332EC12F" w14:textId="0C1ED1FA" w:rsidR="0077198A" w:rsidRPr="006E02AA" w:rsidRDefault="00CE5C4D" w:rsidP="00CE5C4D">
            <w:pPr>
              <w:pStyle w:val="BodyText"/>
              <w:spacing w:before="0" w:after="0" w:line="240" w:lineRule="auto"/>
              <w:jc w:val="center"/>
              <w:rPr>
                <w:sz w:val="18"/>
                <w:szCs w:val="18"/>
              </w:rPr>
            </w:pPr>
            <w:r w:rsidRPr="006E02AA">
              <w:rPr>
                <w:sz w:val="18"/>
                <w:szCs w:val="18"/>
              </w:rPr>
              <w:t>NA</w:t>
            </w:r>
          </w:p>
        </w:tc>
        <w:tc>
          <w:tcPr>
            <w:tcW w:w="1701" w:type="dxa"/>
          </w:tcPr>
          <w:p w14:paraId="23B60450" w14:textId="74AEAF4B" w:rsidR="0077198A" w:rsidRPr="006E02AA" w:rsidRDefault="0077198A" w:rsidP="0077198A">
            <w:pPr>
              <w:pStyle w:val="BodyText"/>
              <w:spacing w:before="0" w:after="0" w:line="240" w:lineRule="auto"/>
              <w:jc w:val="left"/>
              <w:rPr>
                <w:sz w:val="18"/>
                <w:szCs w:val="18"/>
              </w:rPr>
            </w:pPr>
            <w:r w:rsidRPr="006E02AA">
              <w:rPr>
                <w:sz w:val="18"/>
                <w:szCs w:val="18"/>
              </w:rPr>
              <w:t>Mean: 14mm (6</w:t>
            </w:r>
            <w:r w:rsidR="0075618D" w:rsidRPr="006E02AA">
              <w:rPr>
                <w:sz w:val="18"/>
                <w:szCs w:val="18"/>
              </w:rPr>
              <w:t xml:space="preserve">, </w:t>
            </w:r>
            <w:r w:rsidRPr="006E02AA">
              <w:rPr>
                <w:sz w:val="18"/>
                <w:szCs w:val="18"/>
              </w:rPr>
              <w:t>26)</w:t>
            </w:r>
          </w:p>
          <w:p w14:paraId="18D03B8B" w14:textId="77777777" w:rsidR="0077198A" w:rsidRPr="006E02AA" w:rsidRDefault="0077198A" w:rsidP="0077198A">
            <w:pPr>
              <w:pStyle w:val="BodyText"/>
              <w:spacing w:before="0" w:after="0" w:line="240" w:lineRule="auto"/>
              <w:jc w:val="left"/>
              <w:rPr>
                <w:sz w:val="18"/>
                <w:szCs w:val="18"/>
              </w:rPr>
            </w:pPr>
            <w:r w:rsidRPr="006E02AA">
              <w:rPr>
                <w:sz w:val="18"/>
                <w:szCs w:val="18"/>
              </w:rPr>
              <w:t>Median: 15mm</w:t>
            </w:r>
          </w:p>
        </w:tc>
        <w:tc>
          <w:tcPr>
            <w:tcW w:w="2262" w:type="dxa"/>
          </w:tcPr>
          <w:p w14:paraId="07890C1B" w14:textId="719AF9B7" w:rsidR="0077198A" w:rsidRPr="006E02AA" w:rsidRDefault="0077198A" w:rsidP="0077198A">
            <w:pPr>
              <w:pStyle w:val="BodyText"/>
              <w:spacing w:before="0" w:after="0" w:line="240" w:lineRule="auto"/>
              <w:jc w:val="left"/>
              <w:rPr>
                <w:sz w:val="18"/>
                <w:szCs w:val="18"/>
              </w:rPr>
            </w:pPr>
            <w:r w:rsidRPr="006E02AA">
              <w:rPr>
                <w:sz w:val="18"/>
                <w:szCs w:val="18"/>
              </w:rPr>
              <w:t>Mean: 17mm (4</w:t>
            </w:r>
            <w:r w:rsidR="0075618D" w:rsidRPr="006E02AA">
              <w:rPr>
                <w:sz w:val="18"/>
                <w:szCs w:val="18"/>
              </w:rPr>
              <w:t xml:space="preserve">, </w:t>
            </w:r>
            <w:r w:rsidRPr="006E02AA">
              <w:rPr>
                <w:sz w:val="18"/>
                <w:szCs w:val="18"/>
              </w:rPr>
              <w:t>60)</w:t>
            </w:r>
          </w:p>
          <w:p w14:paraId="2FA21BA9" w14:textId="77777777" w:rsidR="0077198A" w:rsidRPr="006E02AA" w:rsidRDefault="0077198A" w:rsidP="0077198A">
            <w:pPr>
              <w:pStyle w:val="BodyText"/>
              <w:spacing w:before="0" w:after="0" w:line="240" w:lineRule="auto"/>
              <w:jc w:val="left"/>
              <w:rPr>
                <w:sz w:val="18"/>
                <w:szCs w:val="18"/>
              </w:rPr>
            </w:pPr>
            <w:r w:rsidRPr="006E02AA">
              <w:rPr>
                <w:sz w:val="18"/>
                <w:szCs w:val="18"/>
              </w:rPr>
              <w:t>Median: 19mm</w:t>
            </w:r>
          </w:p>
        </w:tc>
      </w:tr>
      <w:tr w:rsidR="0077198A" w:rsidRPr="00201646" w14:paraId="75B360B9" w14:textId="77777777" w:rsidTr="00592E7C">
        <w:tc>
          <w:tcPr>
            <w:tcW w:w="9061" w:type="dxa"/>
            <w:gridSpan w:val="5"/>
            <w:shd w:val="clear" w:color="auto" w:fill="E7FFBD" w:themeFill="background2" w:themeFillTint="33"/>
          </w:tcPr>
          <w:p w14:paraId="3F7B3BD6" w14:textId="56459017" w:rsidR="0077198A" w:rsidRPr="006E02AA" w:rsidRDefault="0077198A" w:rsidP="0077198A">
            <w:pPr>
              <w:pStyle w:val="BodyText"/>
              <w:spacing w:before="0" w:after="0" w:line="240" w:lineRule="auto"/>
              <w:jc w:val="center"/>
              <w:rPr>
                <w:sz w:val="18"/>
                <w:szCs w:val="18"/>
              </w:rPr>
            </w:pPr>
            <w:r w:rsidRPr="006E02AA">
              <w:rPr>
                <w:sz w:val="18"/>
                <w:szCs w:val="18"/>
              </w:rPr>
              <w:t>DBT</w:t>
            </w:r>
            <w:r w:rsidRPr="006E02AA">
              <w:rPr>
                <w:sz w:val="18"/>
                <w:szCs w:val="18"/>
                <w:vertAlign w:val="subscript"/>
              </w:rPr>
              <w:t xml:space="preserve">MLO </w:t>
            </w:r>
            <w:r w:rsidRPr="006E02AA">
              <w:rPr>
                <w:sz w:val="18"/>
                <w:szCs w:val="18"/>
              </w:rPr>
              <w:t>compared to FFDM alone</w:t>
            </w:r>
          </w:p>
        </w:tc>
      </w:tr>
      <w:tr w:rsidR="0077198A" w:rsidRPr="00201646" w14:paraId="514318A5" w14:textId="77777777" w:rsidTr="00592E7C">
        <w:tc>
          <w:tcPr>
            <w:tcW w:w="9061" w:type="dxa"/>
            <w:gridSpan w:val="5"/>
          </w:tcPr>
          <w:p w14:paraId="57862B97" w14:textId="77777777" w:rsidR="0077198A" w:rsidRPr="006E02AA" w:rsidRDefault="0077198A" w:rsidP="0077198A">
            <w:pPr>
              <w:pStyle w:val="BodyText"/>
              <w:spacing w:before="0" w:after="0" w:line="240" w:lineRule="auto"/>
              <w:rPr>
                <w:b/>
                <w:bCs/>
                <w:sz w:val="18"/>
                <w:szCs w:val="18"/>
              </w:rPr>
            </w:pPr>
            <w:r w:rsidRPr="006E02AA">
              <w:rPr>
                <w:b/>
                <w:bCs/>
                <w:sz w:val="18"/>
                <w:szCs w:val="18"/>
              </w:rPr>
              <w:t>Prospective studies embedded in population-based screening</w:t>
            </w:r>
          </w:p>
        </w:tc>
      </w:tr>
      <w:tr w:rsidR="00587D2C" w:rsidRPr="00201646" w14:paraId="68D9AC47" w14:textId="77777777" w:rsidTr="00724130">
        <w:tc>
          <w:tcPr>
            <w:tcW w:w="1555" w:type="dxa"/>
          </w:tcPr>
          <w:p w14:paraId="62BB6D6B" w14:textId="2635CE58" w:rsidR="00587D2C" w:rsidRPr="006E02AA" w:rsidRDefault="00587D2C" w:rsidP="00724130">
            <w:pPr>
              <w:pStyle w:val="BodyText"/>
              <w:spacing w:before="0" w:after="0" w:line="240" w:lineRule="auto"/>
              <w:jc w:val="left"/>
              <w:rPr>
                <w:sz w:val="18"/>
                <w:szCs w:val="18"/>
              </w:rPr>
            </w:pPr>
            <w:r w:rsidRPr="006E02AA">
              <w:rPr>
                <w:sz w:val="18"/>
                <w:szCs w:val="18"/>
              </w:rPr>
              <w:t>Johnson et al. (2018)</w:t>
            </w:r>
          </w:p>
          <w:p w14:paraId="4B617E2F" w14:textId="77777777" w:rsidR="00587D2C" w:rsidRPr="006E02AA" w:rsidRDefault="00587D2C" w:rsidP="00724130">
            <w:pPr>
              <w:pStyle w:val="BodyText"/>
              <w:spacing w:before="0" w:after="0" w:line="240" w:lineRule="auto"/>
              <w:jc w:val="left"/>
              <w:rPr>
                <w:sz w:val="18"/>
                <w:szCs w:val="18"/>
              </w:rPr>
            </w:pPr>
            <w:r w:rsidRPr="006E02AA">
              <w:rPr>
                <w:sz w:val="18"/>
                <w:szCs w:val="18"/>
              </w:rPr>
              <w:t>Malm</w:t>
            </w:r>
            <w:r w:rsidRPr="006E02AA">
              <w:rPr>
                <w:rFonts w:cstheme="majorHAnsi"/>
                <w:sz w:val="18"/>
                <w:szCs w:val="18"/>
              </w:rPr>
              <w:t>ö</w:t>
            </w:r>
          </w:p>
          <w:p w14:paraId="7632B985" w14:textId="77777777" w:rsidR="00587D2C" w:rsidRPr="006E02AA" w:rsidRDefault="00587D2C" w:rsidP="00724130">
            <w:pPr>
              <w:pStyle w:val="BodyText"/>
              <w:spacing w:before="0" w:after="0" w:line="240" w:lineRule="auto"/>
              <w:jc w:val="left"/>
              <w:rPr>
                <w:sz w:val="18"/>
                <w:szCs w:val="18"/>
              </w:rPr>
            </w:pPr>
          </w:p>
        </w:tc>
        <w:tc>
          <w:tcPr>
            <w:tcW w:w="1876" w:type="dxa"/>
          </w:tcPr>
          <w:p w14:paraId="13042B77" w14:textId="77777777" w:rsidR="00587D2C" w:rsidRPr="006E02AA" w:rsidRDefault="00587D2C" w:rsidP="00724130">
            <w:pPr>
              <w:pStyle w:val="BodyText"/>
              <w:spacing w:before="0" w:after="0" w:line="240" w:lineRule="auto"/>
              <w:jc w:val="center"/>
              <w:rPr>
                <w:sz w:val="18"/>
                <w:szCs w:val="18"/>
              </w:rPr>
            </w:pPr>
            <w:r w:rsidRPr="006E02AA">
              <w:rPr>
                <w:sz w:val="18"/>
                <w:szCs w:val="18"/>
              </w:rPr>
              <w:t>NA</w:t>
            </w:r>
          </w:p>
        </w:tc>
        <w:tc>
          <w:tcPr>
            <w:tcW w:w="1667" w:type="dxa"/>
          </w:tcPr>
          <w:p w14:paraId="2204295B" w14:textId="32BEB569" w:rsidR="00587D2C" w:rsidRPr="006E02AA" w:rsidRDefault="00587D2C" w:rsidP="00724130">
            <w:pPr>
              <w:pStyle w:val="BodyText"/>
              <w:spacing w:before="0" w:after="0" w:line="240" w:lineRule="auto"/>
              <w:jc w:val="left"/>
              <w:rPr>
                <w:sz w:val="18"/>
                <w:szCs w:val="18"/>
              </w:rPr>
            </w:pPr>
            <w:r w:rsidRPr="006E02AA">
              <w:rPr>
                <w:sz w:val="18"/>
                <w:szCs w:val="18"/>
                <w:u w:val="single"/>
              </w:rPr>
              <w:t>&lt;</w:t>
            </w:r>
            <w:r w:rsidRPr="006E02AA">
              <w:rPr>
                <w:sz w:val="18"/>
                <w:szCs w:val="18"/>
              </w:rPr>
              <w:t xml:space="preserve">10mm: 41% </w:t>
            </w:r>
          </w:p>
          <w:p w14:paraId="14B35995" w14:textId="6151DE71" w:rsidR="00587D2C" w:rsidRPr="006E02AA" w:rsidRDefault="00587D2C" w:rsidP="00724130">
            <w:pPr>
              <w:pStyle w:val="BodyText"/>
              <w:spacing w:before="0" w:after="0" w:line="240" w:lineRule="auto"/>
              <w:jc w:val="left"/>
              <w:rPr>
                <w:sz w:val="18"/>
                <w:szCs w:val="18"/>
              </w:rPr>
            </w:pPr>
            <w:r w:rsidRPr="006E02AA">
              <w:rPr>
                <w:sz w:val="18"/>
                <w:szCs w:val="18"/>
              </w:rPr>
              <w:t>10-20mm: 43%</w:t>
            </w:r>
          </w:p>
          <w:p w14:paraId="25D9B84C" w14:textId="078C12CB" w:rsidR="00587D2C" w:rsidRPr="006E02AA" w:rsidRDefault="00587D2C" w:rsidP="00724130">
            <w:pPr>
              <w:pStyle w:val="BodyText"/>
              <w:spacing w:before="0" w:after="0" w:line="240" w:lineRule="auto"/>
              <w:jc w:val="left"/>
              <w:rPr>
                <w:sz w:val="18"/>
                <w:szCs w:val="18"/>
              </w:rPr>
            </w:pPr>
            <w:r w:rsidRPr="006E02AA">
              <w:rPr>
                <w:sz w:val="18"/>
                <w:szCs w:val="18"/>
              </w:rPr>
              <w:t>20-50mm: 14%</w:t>
            </w:r>
          </w:p>
          <w:p w14:paraId="132D6384" w14:textId="3BCAF174" w:rsidR="00587D2C" w:rsidRPr="006E02AA" w:rsidRDefault="00587D2C" w:rsidP="00724130">
            <w:pPr>
              <w:pStyle w:val="BodyText"/>
              <w:spacing w:before="0" w:after="0" w:line="240" w:lineRule="auto"/>
              <w:jc w:val="left"/>
              <w:rPr>
                <w:sz w:val="18"/>
                <w:szCs w:val="18"/>
              </w:rPr>
            </w:pPr>
            <w:r w:rsidRPr="006E02AA">
              <w:rPr>
                <w:sz w:val="18"/>
                <w:szCs w:val="18"/>
                <w:u w:val="single"/>
              </w:rPr>
              <w:t>&gt;</w:t>
            </w:r>
            <w:r w:rsidRPr="006E02AA">
              <w:rPr>
                <w:sz w:val="18"/>
                <w:szCs w:val="18"/>
              </w:rPr>
              <w:t>50mm: 0%</w:t>
            </w:r>
          </w:p>
        </w:tc>
        <w:tc>
          <w:tcPr>
            <w:tcW w:w="1701" w:type="dxa"/>
          </w:tcPr>
          <w:p w14:paraId="58CEAEB2" w14:textId="65138794" w:rsidR="00587D2C" w:rsidRPr="006E02AA" w:rsidRDefault="00587D2C" w:rsidP="00587D2C">
            <w:pPr>
              <w:pStyle w:val="BodyText"/>
              <w:spacing w:before="0" w:after="0" w:line="240" w:lineRule="auto"/>
              <w:jc w:val="left"/>
              <w:rPr>
                <w:sz w:val="18"/>
                <w:szCs w:val="18"/>
              </w:rPr>
            </w:pPr>
            <w:r w:rsidRPr="006E02AA">
              <w:rPr>
                <w:sz w:val="18"/>
                <w:szCs w:val="18"/>
                <w:u w:val="single"/>
              </w:rPr>
              <w:t>&lt;</w:t>
            </w:r>
            <w:r w:rsidRPr="006E02AA">
              <w:rPr>
                <w:sz w:val="18"/>
                <w:szCs w:val="18"/>
              </w:rPr>
              <w:t>10mm: 32%</w:t>
            </w:r>
            <w:r w:rsidRPr="006E02AA">
              <w:rPr>
                <w:i/>
                <w:iCs/>
                <w:sz w:val="18"/>
                <w:szCs w:val="18"/>
              </w:rPr>
              <w:t>p</w:t>
            </w:r>
            <w:r w:rsidRPr="006E02AA">
              <w:rPr>
                <w:sz w:val="18"/>
                <w:szCs w:val="18"/>
              </w:rPr>
              <w:t xml:space="preserve">=.88 </w:t>
            </w:r>
          </w:p>
          <w:p w14:paraId="0C10C427" w14:textId="6533003A" w:rsidR="00587D2C" w:rsidRPr="006E02AA" w:rsidRDefault="00587D2C" w:rsidP="00587D2C">
            <w:pPr>
              <w:pStyle w:val="BodyText"/>
              <w:spacing w:before="0" w:after="0" w:line="240" w:lineRule="auto"/>
              <w:jc w:val="left"/>
              <w:rPr>
                <w:sz w:val="18"/>
                <w:szCs w:val="18"/>
              </w:rPr>
            </w:pPr>
            <w:r w:rsidRPr="006E02AA">
              <w:rPr>
                <w:sz w:val="18"/>
                <w:szCs w:val="18"/>
              </w:rPr>
              <w:t>10-20mm: 52%</w:t>
            </w:r>
          </w:p>
          <w:p w14:paraId="7A41B3BA" w14:textId="77777777" w:rsidR="00587D2C" w:rsidRPr="006E02AA" w:rsidRDefault="00587D2C" w:rsidP="00587D2C">
            <w:pPr>
              <w:pStyle w:val="BodyText"/>
              <w:spacing w:before="0" w:after="0" w:line="240" w:lineRule="auto"/>
              <w:jc w:val="left"/>
              <w:rPr>
                <w:sz w:val="18"/>
                <w:szCs w:val="18"/>
              </w:rPr>
            </w:pPr>
            <w:r w:rsidRPr="006E02AA">
              <w:rPr>
                <w:sz w:val="18"/>
                <w:szCs w:val="18"/>
              </w:rPr>
              <w:t>20-50mm: 14%</w:t>
            </w:r>
          </w:p>
          <w:p w14:paraId="2B702C7E" w14:textId="42C304B6" w:rsidR="00587D2C" w:rsidRPr="006E02AA" w:rsidRDefault="00587D2C" w:rsidP="00724130">
            <w:pPr>
              <w:pStyle w:val="BodyText"/>
              <w:spacing w:before="0" w:after="0" w:line="240" w:lineRule="auto"/>
              <w:jc w:val="left"/>
              <w:rPr>
                <w:sz w:val="18"/>
                <w:szCs w:val="18"/>
              </w:rPr>
            </w:pPr>
            <w:r w:rsidRPr="006E02AA">
              <w:rPr>
                <w:sz w:val="18"/>
                <w:szCs w:val="18"/>
                <w:u w:val="single"/>
              </w:rPr>
              <w:t>&gt;</w:t>
            </w:r>
            <w:r w:rsidRPr="006E02AA">
              <w:rPr>
                <w:sz w:val="18"/>
                <w:szCs w:val="18"/>
              </w:rPr>
              <w:t>50mm: 1%</w:t>
            </w:r>
          </w:p>
        </w:tc>
        <w:tc>
          <w:tcPr>
            <w:tcW w:w="2262" w:type="dxa"/>
          </w:tcPr>
          <w:p w14:paraId="0967A961" w14:textId="77777777" w:rsidR="00587D2C" w:rsidRPr="006E02AA" w:rsidRDefault="00587D2C" w:rsidP="00724130">
            <w:pPr>
              <w:pStyle w:val="BodyText"/>
              <w:spacing w:before="0" w:after="0" w:line="240" w:lineRule="auto"/>
              <w:jc w:val="center"/>
              <w:rPr>
                <w:sz w:val="18"/>
                <w:szCs w:val="18"/>
              </w:rPr>
            </w:pPr>
            <w:r w:rsidRPr="006E02AA">
              <w:rPr>
                <w:sz w:val="18"/>
                <w:szCs w:val="18"/>
              </w:rPr>
              <w:t>NA</w:t>
            </w:r>
          </w:p>
        </w:tc>
      </w:tr>
      <w:tr w:rsidR="0077198A" w:rsidRPr="00201646" w14:paraId="299E57A6" w14:textId="77777777" w:rsidTr="00592E7C">
        <w:tc>
          <w:tcPr>
            <w:tcW w:w="1555" w:type="dxa"/>
          </w:tcPr>
          <w:p w14:paraId="413C5B68" w14:textId="77777777" w:rsidR="0077198A" w:rsidRPr="006E02AA" w:rsidRDefault="0077198A" w:rsidP="0077198A">
            <w:pPr>
              <w:pStyle w:val="BodyText"/>
              <w:spacing w:before="0" w:after="0" w:line="240" w:lineRule="auto"/>
              <w:jc w:val="left"/>
              <w:rPr>
                <w:sz w:val="18"/>
                <w:szCs w:val="18"/>
              </w:rPr>
            </w:pPr>
            <w:r w:rsidRPr="006E02AA">
              <w:rPr>
                <w:sz w:val="18"/>
                <w:szCs w:val="18"/>
              </w:rPr>
              <w:t>Zackrisson et al. (2018)</w:t>
            </w:r>
          </w:p>
          <w:p w14:paraId="438B8657" w14:textId="77777777" w:rsidR="0077198A" w:rsidRPr="006E02AA" w:rsidRDefault="0077198A" w:rsidP="0077198A">
            <w:pPr>
              <w:pStyle w:val="BodyText"/>
              <w:spacing w:before="0" w:after="0" w:line="240" w:lineRule="auto"/>
              <w:jc w:val="left"/>
              <w:rPr>
                <w:sz w:val="18"/>
                <w:szCs w:val="18"/>
              </w:rPr>
            </w:pPr>
            <w:r w:rsidRPr="006E02AA">
              <w:rPr>
                <w:sz w:val="18"/>
                <w:szCs w:val="18"/>
              </w:rPr>
              <w:t>Malm</w:t>
            </w:r>
            <w:r w:rsidRPr="006E02AA">
              <w:rPr>
                <w:rFonts w:cstheme="majorHAnsi"/>
                <w:sz w:val="18"/>
                <w:szCs w:val="18"/>
              </w:rPr>
              <w:t>ö</w:t>
            </w:r>
          </w:p>
          <w:p w14:paraId="5AAD7E1D" w14:textId="77777777" w:rsidR="0077198A" w:rsidRPr="006E02AA" w:rsidRDefault="0077198A" w:rsidP="0077198A">
            <w:pPr>
              <w:pStyle w:val="BodyText"/>
              <w:spacing w:before="0" w:after="0" w:line="240" w:lineRule="auto"/>
              <w:jc w:val="left"/>
              <w:rPr>
                <w:sz w:val="18"/>
                <w:szCs w:val="18"/>
              </w:rPr>
            </w:pPr>
          </w:p>
        </w:tc>
        <w:tc>
          <w:tcPr>
            <w:tcW w:w="1876" w:type="dxa"/>
          </w:tcPr>
          <w:p w14:paraId="4CCBF574" w14:textId="2106FC0D" w:rsidR="0077198A" w:rsidRPr="006E02AA" w:rsidRDefault="00CE5C4D" w:rsidP="00CE5C4D">
            <w:pPr>
              <w:pStyle w:val="BodyText"/>
              <w:spacing w:before="0" w:after="0" w:line="240" w:lineRule="auto"/>
              <w:jc w:val="center"/>
              <w:rPr>
                <w:sz w:val="18"/>
                <w:szCs w:val="18"/>
              </w:rPr>
            </w:pPr>
            <w:r w:rsidRPr="006E02AA">
              <w:rPr>
                <w:sz w:val="18"/>
                <w:szCs w:val="18"/>
              </w:rPr>
              <w:t>NA</w:t>
            </w:r>
          </w:p>
        </w:tc>
        <w:tc>
          <w:tcPr>
            <w:tcW w:w="1667" w:type="dxa"/>
          </w:tcPr>
          <w:p w14:paraId="47943197"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 xml:space="preserve">10mm: 37% </w:t>
            </w:r>
          </w:p>
          <w:p w14:paraId="1B3F4E84" w14:textId="77777777" w:rsidR="0077198A" w:rsidRPr="006E02AA" w:rsidRDefault="0077198A" w:rsidP="0077198A">
            <w:pPr>
              <w:pStyle w:val="BodyText"/>
              <w:spacing w:before="0" w:after="0" w:line="240" w:lineRule="auto"/>
              <w:jc w:val="left"/>
              <w:rPr>
                <w:sz w:val="18"/>
                <w:szCs w:val="18"/>
              </w:rPr>
            </w:pPr>
            <w:r w:rsidRPr="006E02AA">
              <w:rPr>
                <w:sz w:val="18"/>
                <w:szCs w:val="18"/>
              </w:rPr>
              <w:t>11-15mm: 33%</w:t>
            </w:r>
          </w:p>
          <w:p w14:paraId="66B3DD91" w14:textId="77777777" w:rsidR="0077198A" w:rsidRPr="006E02AA" w:rsidRDefault="0077198A" w:rsidP="0077198A">
            <w:pPr>
              <w:pStyle w:val="BodyText"/>
              <w:spacing w:before="0" w:after="0" w:line="240" w:lineRule="auto"/>
              <w:jc w:val="left"/>
              <w:rPr>
                <w:sz w:val="18"/>
                <w:szCs w:val="18"/>
              </w:rPr>
            </w:pPr>
            <w:r w:rsidRPr="006E02AA">
              <w:rPr>
                <w:sz w:val="18"/>
                <w:szCs w:val="18"/>
              </w:rPr>
              <w:t>16-19mm: 11%</w:t>
            </w:r>
          </w:p>
          <w:p w14:paraId="1D47E5AF"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20mm: 18%</w:t>
            </w:r>
          </w:p>
          <w:p w14:paraId="6A433487" w14:textId="77777777" w:rsidR="0077198A" w:rsidRPr="006E02AA" w:rsidRDefault="0077198A" w:rsidP="0077198A">
            <w:pPr>
              <w:pStyle w:val="BodyText"/>
              <w:spacing w:before="0" w:after="0" w:line="240" w:lineRule="auto"/>
              <w:jc w:val="left"/>
              <w:rPr>
                <w:sz w:val="18"/>
                <w:szCs w:val="18"/>
              </w:rPr>
            </w:pPr>
            <w:r w:rsidRPr="006E02AA">
              <w:rPr>
                <w:sz w:val="18"/>
                <w:szCs w:val="18"/>
              </w:rPr>
              <w:t>Mean: 14mm</w:t>
            </w:r>
          </w:p>
          <w:p w14:paraId="2F430399" w14:textId="788A95A0" w:rsidR="0077198A" w:rsidRPr="006E02AA" w:rsidRDefault="0077198A" w:rsidP="0077198A">
            <w:pPr>
              <w:pStyle w:val="BodyText"/>
              <w:spacing w:before="0" w:after="0" w:line="240" w:lineRule="auto"/>
              <w:jc w:val="left"/>
              <w:rPr>
                <w:sz w:val="18"/>
                <w:szCs w:val="18"/>
              </w:rPr>
            </w:pPr>
            <w:r w:rsidRPr="006E02AA">
              <w:rPr>
                <w:sz w:val="18"/>
                <w:szCs w:val="18"/>
              </w:rPr>
              <w:t>Median: 12mm (1</w:t>
            </w:r>
            <w:r w:rsidR="0075618D" w:rsidRPr="006E02AA">
              <w:rPr>
                <w:sz w:val="18"/>
                <w:szCs w:val="18"/>
              </w:rPr>
              <w:t>,7</w:t>
            </w:r>
            <w:r w:rsidRPr="006E02AA">
              <w:rPr>
                <w:sz w:val="18"/>
                <w:szCs w:val="18"/>
              </w:rPr>
              <w:t>8)</w:t>
            </w:r>
          </w:p>
        </w:tc>
        <w:tc>
          <w:tcPr>
            <w:tcW w:w="1701" w:type="dxa"/>
          </w:tcPr>
          <w:p w14:paraId="38EDD548"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&lt;</w:t>
            </w:r>
            <w:r w:rsidRPr="006E02AA">
              <w:rPr>
                <w:sz w:val="18"/>
                <w:szCs w:val="18"/>
              </w:rPr>
              <w:t>10mm: 35%</w:t>
            </w:r>
          </w:p>
          <w:p w14:paraId="171BF6B0" w14:textId="7DDD2FB7" w:rsidR="0077198A" w:rsidRPr="006E02AA" w:rsidRDefault="0077198A" w:rsidP="0077198A">
            <w:pPr>
              <w:pStyle w:val="BodyText"/>
              <w:spacing w:before="0" w:after="0" w:line="240" w:lineRule="auto"/>
              <w:jc w:val="left"/>
              <w:rPr>
                <w:sz w:val="18"/>
                <w:szCs w:val="18"/>
              </w:rPr>
            </w:pPr>
            <w:r w:rsidRPr="006E02AA">
              <w:rPr>
                <w:sz w:val="18"/>
                <w:szCs w:val="18"/>
              </w:rPr>
              <w:t>11-15mm: 31%</w:t>
            </w:r>
          </w:p>
          <w:p w14:paraId="26D37503" w14:textId="77777777" w:rsidR="0077198A" w:rsidRPr="006E02AA" w:rsidRDefault="0077198A" w:rsidP="0077198A">
            <w:pPr>
              <w:pStyle w:val="BodyText"/>
              <w:spacing w:before="0" w:after="0" w:line="240" w:lineRule="auto"/>
              <w:jc w:val="left"/>
              <w:rPr>
                <w:sz w:val="18"/>
                <w:szCs w:val="18"/>
              </w:rPr>
            </w:pPr>
            <w:r w:rsidRPr="006E02AA">
              <w:rPr>
                <w:sz w:val="18"/>
                <w:szCs w:val="18"/>
              </w:rPr>
              <w:t>16-19mm: 10%</w:t>
            </w:r>
          </w:p>
          <w:p w14:paraId="193CBAFA" w14:textId="77777777" w:rsidR="0077198A" w:rsidRPr="006E02AA" w:rsidRDefault="0077198A" w:rsidP="0077198A">
            <w:pPr>
              <w:pStyle w:val="BodyText"/>
              <w:spacing w:before="0" w:after="0" w:line="240" w:lineRule="auto"/>
              <w:jc w:val="left"/>
              <w:rPr>
                <w:sz w:val="18"/>
                <w:szCs w:val="18"/>
              </w:rPr>
            </w:pPr>
            <w:r w:rsidRPr="006E02AA">
              <w:rPr>
                <w:sz w:val="18"/>
                <w:szCs w:val="18"/>
                <w:u w:val="single"/>
              </w:rPr>
              <w:t>&gt;</w:t>
            </w:r>
            <w:r w:rsidRPr="006E02AA">
              <w:rPr>
                <w:sz w:val="18"/>
                <w:szCs w:val="18"/>
              </w:rPr>
              <w:t>20mm: 23%</w:t>
            </w:r>
          </w:p>
          <w:p w14:paraId="49DDB5DA" w14:textId="77777777" w:rsidR="0077198A" w:rsidRPr="006E02AA" w:rsidRDefault="0077198A" w:rsidP="0077198A">
            <w:pPr>
              <w:pStyle w:val="BodyText"/>
              <w:spacing w:before="0" w:after="0" w:line="240" w:lineRule="auto"/>
              <w:jc w:val="left"/>
              <w:rPr>
                <w:sz w:val="18"/>
                <w:szCs w:val="18"/>
              </w:rPr>
            </w:pPr>
            <w:r w:rsidRPr="006E02AA">
              <w:rPr>
                <w:sz w:val="18"/>
                <w:szCs w:val="18"/>
              </w:rPr>
              <w:t>Mean: 15mm</w:t>
            </w:r>
          </w:p>
          <w:p w14:paraId="59964C67" w14:textId="790BBA79" w:rsidR="0077198A" w:rsidRPr="006E02AA" w:rsidRDefault="0077198A" w:rsidP="0077198A">
            <w:pPr>
              <w:pStyle w:val="BodyText"/>
              <w:spacing w:before="0" w:after="0" w:line="240" w:lineRule="auto"/>
              <w:jc w:val="left"/>
              <w:rPr>
                <w:sz w:val="18"/>
                <w:szCs w:val="18"/>
              </w:rPr>
            </w:pPr>
            <w:r w:rsidRPr="006E02AA">
              <w:rPr>
                <w:sz w:val="18"/>
                <w:szCs w:val="18"/>
              </w:rPr>
              <w:t>Median: 12mm (1</w:t>
            </w:r>
            <w:r w:rsidR="0075618D" w:rsidRPr="006E02AA">
              <w:rPr>
                <w:sz w:val="18"/>
                <w:szCs w:val="18"/>
              </w:rPr>
              <w:t xml:space="preserve">, </w:t>
            </w:r>
            <w:r w:rsidRPr="006E02AA">
              <w:rPr>
                <w:sz w:val="18"/>
                <w:szCs w:val="18"/>
              </w:rPr>
              <w:t>78)</w:t>
            </w:r>
          </w:p>
        </w:tc>
        <w:tc>
          <w:tcPr>
            <w:tcW w:w="2262" w:type="dxa"/>
          </w:tcPr>
          <w:p w14:paraId="75FDEDF2" w14:textId="3AF68DA2" w:rsidR="0077198A" w:rsidRPr="006E02AA" w:rsidRDefault="00CE5C4D" w:rsidP="00CE5C4D">
            <w:pPr>
              <w:pStyle w:val="BodyText"/>
              <w:spacing w:before="0" w:after="0" w:line="240" w:lineRule="auto"/>
              <w:jc w:val="center"/>
              <w:rPr>
                <w:sz w:val="18"/>
                <w:szCs w:val="18"/>
              </w:rPr>
            </w:pPr>
            <w:r w:rsidRPr="006E02AA">
              <w:rPr>
                <w:sz w:val="18"/>
                <w:szCs w:val="18"/>
              </w:rPr>
              <w:t>NA</w:t>
            </w:r>
          </w:p>
        </w:tc>
      </w:tr>
    </w:tbl>
    <w:p w14:paraId="101C5A2D" w14:textId="79BD0CB2" w:rsidR="00BB0F1D" w:rsidRPr="005C1D79" w:rsidRDefault="00BB0F1D" w:rsidP="00BB0F1D">
      <w:pPr>
        <w:pStyle w:val="BodyText"/>
      </w:pPr>
      <w:r>
        <w:t xml:space="preserve">Taken together, these study results suggest that imaging with DBT may result in the detection of slightly smaller cancers, most of which are likely to be invasive (see previous section on </w:t>
      </w:r>
      <w:r w:rsidRPr="00E5553D">
        <w:rPr>
          <w:i/>
          <w:iCs/>
        </w:rPr>
        <w:t>cancer type</w:t>
      </w:r>
      <w:r>
        <w:t>). This suggests that use of DBT may not increase overdiagnosis due to finding more DCIS.</w:t>
      </w:r>
    </w:p>
    <w:p w14:paraId="0801CC20" w14:textId="3E146F30" w:rsidR="00201646" w:rsidRDefault="003A7995" w:rsidP="00783E1A">
      <w:pPr>
        <w:pStyle w:val="NumberedHeading3"/>
      </w:pPr>
      <w:bookmarkStart w:id="336" w:name="_Toc43376318"/>
      <w:r>
        <w:t>Lymph node involvement</w:t>
      </w:r>
      <w:bookmarkEnd w:id="336"/>
    </w:p>
    <w:p w14:paraId="75D941B4" w14:textId="01158C36" w:rsidR="00233627" w:rsidRDefault="002E44F2" w:rsidP="00616574">
      <w:pPr>
        <w:pStyle w:val="BodyText"/>
      </w:pPr>
      <w:r>
        <w:t>Early stage breast cancers have not yet spread to surrounding lymph</w:t>
      </w:r>
      <w:r w:rsidR="00F95422">
        <w:t xml:space="preserve"> nodes</w:t>
      </w:r>
      <w:r>
        <w:t xml:space="preserve"> (i.e., node negative disease). Detection of node negative disease is clinically important </w:t>
      </w:r>
      <w:r w:rsidR="004F5904">
        <w:t>because</w:t>
      </w:r>
      <w:r>
        <w:t xml:space="preserve"> detecting these cancers at screening may mean women are more likely to have a better prognosis as the cancer </w:t>
      </w:r>
      <w:r w:rsidR="00CB63D6">
        <w:t>has not yet spread</w:t>
      </w:r>
      <w:r>
        <w:t xml:space="preserve">. Most of the key studies </w:t>
      </w:r>
      <w:r w:rsidR="008A5E48">
        <w:t xml:space="preserve">(including the </w:t>
      </w:r>
      <w:r w:rsidR="00815FC2">
        <w:t>To-Be-1</w:t>
      </w:r>
      <w:r w:rsidR="008A5E48">
        <w:t xml:space="preserve"> RCT and the studies embedded in screening programs) </w:t>
      </w:r>
      <w:r>
        <w:t>reported on the proportion of cancers that were node-negative or node-positive.</w:t>
      </w:r>
      <w:r w:rsidR="00B26EA1">
        <w:t xml:space="preserve"> </w:t>
      </w:r>
      <w:r w:rsidR="00F95422">
        <w:t xml:space="preserve">Most reported no or </w:t>
      </w:r>
      <w:r w:rsidR="00616574">
        <w:t xml:space="preserve">only </w:t>
      </w:r>
      <w:r w:rsidR="00F95422">
        <w:t>small differences in the proportion of node negative and node positive disease, regardless of the imaging protocol used (i.e., DBT+</w:t>
      </w:r>
      <w:r w:rsidR="00176980">
        <w:t>s2DM</w:t>
      </w:r>
      <w:r w:rsidR="00F95422">
        <w:t>, FFDM+DBT or DBT</w:t>
      </w:r>
      <w:r w:rsidR="00F95422">
        <w:rPr>
          <w:vertAlign w:val="subscript"/>
        </w:rPr>
        <w:t>MLO</w:t>
      </w:r>
      <w:r w:rsidR="00F95422">
        <w:t>)</w:t>
      </w:r>
      <w:r w:rsidR="00616574">
        <w:t xml:space="preserve">. </w:t>
      </w:r>
    </w:p>
    <w:p w14:paraId="55F53F03" w14:textId="3D047807" w:rsidR="002E44F2" w:rsidRPr="00B26EA1" w:rsidRDefault="00CB63D6" w:rsidP="00616574">
      <w:pPr>
        <w:pStyle w:val="BodyText"/>
      </w:pPr>
      <w:r>
        <w:lastRenderedPageBreak/>
        <w:t>If there was a difference, it usually favoured the DBT imaging arm (i.e., DBT detected more node-negative disease)</w:t>
      </w:r>
      <w:r w:rsidR="00616574">
        <w:t>. For example, quite a large increase in node-negative disease when DBT was used was reported in Hovda et al.’s 2019 analysis (comparing women who had two consecutive screens with FFDM compared to women whose first screen was FFDM and the subsequent screen was either FFDM+DBT or DBT+</w:t>
      </w:r>
      <w:r w:rsidR="00176980">
        <w:t>s2DM</w:t>
      </w:r>
      <w:r w:rsidR="00616574">
        <w:t>). R</w:t>
      </w:r>
      <w:r>
        <w:t xml:space="preserve">esults suggesting slightly more detection of node-positive disease were also reported </w:t>
      </w:r>
      <w:r w:rsidR="004F5904">
        <w:t>in</w:t>
      </w:r>
      <w:r>
        <w:t xml:space="preserve"> the Verona Screening Program evaluation.</w:t>
      </w:r>
      <w:r w:rsidR="00F95422">
        <w:t xml:space="preserve"> </w:t>
      </w:r>
      <w:r w:rsidR="00B26EA1">
        <w:t xml:space="preserve">Results are presented in </w:t>
      </w:r>
      <w:r w:rsidR="00B26EA1">
        <w:rPr>
          <w:i/>
          <w:iCs/>
        </w:rPr>
        <w:t xml:space="preserve">Table </w:t>
      </w:r>
      <w:r w:rsidR="005D01DA">
        <w:rPr>
          <w:i/>
          <w:iCs/>
        </w:rPr>
        <w:t>14</w:t>
      </w:r>
      <w:r w:rsidR="00B26EA1">
        <w:t xml:space="preserve"> (below).</w:t>
      </w:r>
    </w:p>
    <w:p w14:paraId="6A2BB0F6" w14:textId="49A44B59" w:rsidR="00B46A83" w:rsidRDefault="00B46A83" w:rsidP="00B46A83">
      <w:pPr>
        <w:pStyle w:val="Caption"/>
      </w:pPr>
      <w:r>
        <w:t xml:space="preserve">Table </w:t>
      </w:r>
      <w:r w:rsidR="005D01DA">
        <w:t>14</w:t>
      </w:r>
      <w:r>
        <w:t>: Nodal status</w:t>
      </w:r>
      <w:r w:rsidR="000E4532">
        <w:t xml:space="preserve"> for a range of imaging protocols</w:t>
      </w:r>
    </w:p>
    <w:tbl>
      <w:tblPr>
        <w:tblStyle w:val="ACGreen-BasicTable"/>
        <w:tblW w:w="0" w:type="auto"/>
        <w:tblLook w:val="04A0" w:firstRow="1" w:lastRow="0" w:firstColumn="1" w:lastColumn="0" w:noHBand="0" w:noVBand="1"/>
        <w:tblDescription w:val="Table 14 is nodal status for a range of imaging protocols&#10;&#10;For DBT+s2DMcompared to FFDM alone for RCT a study by Hofvind et al. (2019), To-Be-1 RCT, (main analysis) includes:&#10;DBT+s2DM - Positive: 17.7% (10.0, 27.9).&#10;DBTMLO - NA.&#10;FFDM+DBT - NA.&#10;FFDM alone - Positive: 25.7% (16.0, 37.6; p=.24).&#10;&#10;For prospective studies embedded in population-based screening includes the following studies:&#10;&#10;A study by Bernardi et al. (2019) Trento includes:&#10;DBT+s2DM - Positive: 16.46%; Negative: 74.06%; Unknown: 9.48%.&#10;DBTMLO - NA.&#10;FFDM+DBT - NA.&#10;FFDM alone - Positive: 17.07%, Negative: 71.22%, Unknown: 11.71%.&#10;&#10;A study by Houssami et al. (2019), Maroondah includes:&#10;DBT+s2DM - Positive: 15%, Negative: 85%.&#10;DBTMLO - NA.&#10;FFDM+DBT - NA.&#10;FFDM alone - Positive: 20%, Negative: 80%.&#10;&#10;A study by Caumo et al. (2018), Verona includes:&#10;DBT+ss2DM - Positive: 26.9%.&#10;DBTMLO - NA.&#10;FFDM+DBT - NA.&#10;FFDM alone - Positive: 11.5% (p=.032).&#10;&#10;A study by Hofvind et al. (2018) Norway BSP includes:&#10;DBT+s2DM - Positive: 1 per 1000.&#10;DBTMLO - NA.&#10;FFDM+DBT - NA.&#10;FFDM alone - Positive: 0.7 per 1000, (p=341).&#10;&#10;For retrospective studies a study by Hovda et al: (2019) Norway BSP includes:&#10;DBT+s2DM - Positive: 1.28 per 1000, Negative: 6.80 per 1000, (p=.001).&#10;DBTMLO - NA.&#10;FFDM+DBT - NA.&#10;FFDM alone - Positive: 0.57 per 1000, Negative: 3.14 per 1000.&#10;&#10;For FFDM+DBT compared to FFDM alone, prospective studies embedded in population-based screening includes a study by Skaane et al. (2018) OTS includes:&#10;DBT+s2DM - NA.&#10;DBTMLO - NA.&#10;FFDM+DBT - Positive: 15.6%, Negative: 84.4%, Unknown: five cancers.&#10;FFDM alone - Positive: 21.4%, Negative: 78.6%, Unknown: three cancers.&#10;&#10;For retrospective studies includes the following studies:&#10;A study by Bahl et al. (2019) includes:&#10;DBT+s2DM - NA.&#10;DBTMLO - NA.&#10;FFDM+DBT - Positive: 10.2%.&#10;FFDM alone - 16.6% (p=.054).&#10;&#10;A study by Dang et al. (2019) includes: &#10;DBT+s2DM - NA.&#10;DBTMLO - NA.&#10;FFDM+DBT - Positive: 15%, Negative: 85%.&#10;FFDM alone - Positive: 17%, Negative: 83% (p=87).&#10;&#10;For DBTMLO compared to FFDM alone for prospective studies embedded in population-based screening a study by Zackrisson et al. (2018) Malmö includes:&#10;DBT+s2DM - NA.&#10;DBTMLO - Positive: 22%, Negative: 69%, NA: 8%.&#10;FFDM+DBT - Positive: 22%, Negative 67%, NA: 5%.&#10;FFDM alone - NA.&#10;"/>
      </w:tblPr>
      <w:tblGrid>
        <w:gridCol w:w="1696"/>
        <w:gridCol w:w="1841"/>
        <w:gridCol w:w="1841"/>
        <w:gridCol w:w="1841"/>
        <w:gridCol w:w="1842"/>
      </w:tblGrid>
      <w:tr w:rsidR="00732181" w:rsidRPr="00201646" w14:paraId="57B21BD4" w14:textId="77777777" w:rsidTr="00F95422">
        <w:trPr>
          <w:cnfStyle w:val="100000000000" w:firstRow="1" w:lastRow="0" w:firstColumn="0" w:lastColumn="0" w:oddVBand="0" w:evenVBand="0" w:oddHBand="0" w:evenHBand="0" w:firstRowFirstColumn="0" w:firstRowLastColumn="0" w:lastRowFirstColumn="0" w:lastRowLastColumn="0"/>
        </w:trPr>
        <w:tc>
          <w:tcPr>
            <w:tcW w:w="1696" w:type="dxa"/>
          </w:tcPr>
          <w:p w14:paraId="2930B67E" w14:textId="77777777" w:rsidR="00732181" w:rsidRPr="00201646" w:rsidRDefault="00732181" w:rsidP="006C6354">
            <w:pPr>
              <w:pStyle w:val="BodyText"/>
              <w:spacing w:before="0" w:after="0" w:line="240" w:lineRule="auto"/>
              <w:jc w:val="center"/>
              <w:rPr>
                <w:sz w:val="20"/>
                <w:szCs w:val="20"/>
              </w:rPr>
            </w:pPr>
            <w:r w:rsidRPr="00201646">
              <w:rPr>
                <w:sz w:val="20"/>
                <w:szCs w:val="20"/>
              </w:rPr>
              <w:t>Study</w:t>
            </w:r>
          </w:p>
        </w:tc>
        <w:tc>
          <w:tcPr>
            <w:tcW w:w="1841" w:type="dxa"/>
          </w:tcPr>
          <w:p w14:paraId="4CD5D38B" w14:textId="3BF1DC8D" w:rsidR="00732181" w:rsidRPr="00201646" w:rsidRDefault="00732181" w:rsidP="006C6354">
            <w:pPr>
              <w:pStyle w:val="BodyText"/>
              <w:spacing w:before="0" w:after="0" w:line="240" w:lineRule="auto"/>
              <w:jc w:val="center"/>
              <w:rPr>
                <w:b w:val="0"/>
                <w:sz w:val="20"/>
                <w:szCs w:val="20"/>
              </w:rPr>
            </w:pPr>
            <w:r w:rsidRPr="00201646">
              <w:rPr>
                <w:sz w:val="20"/>
                <w:szCs w:val="20"/>
              </w:rPr>
              <w:t>DBT+</w:t>
            </w:r>
            <w:r w:rsidR="00176980">
              <w:rPr>
                <w:sz w:val="20"/>
                <w:szCs w:val="20"/>
              </w:rPr>
              <w:t>s2DM</w:t>
            </w:r>
          </w:p>
          <w:p w14:paraId="4221582F" w14:textId="62870A8F" w:rsidR="00732181" w:rsidRPr="00201646" w:rsidRDefault="00732181" w:rsidP="006C6354">
            <w:pPr>
              <w:pStyle w:val="BodyText"/>
              <w:spacing w:before="0" w:after="0" w:line="240" w:lineRule="auto"/>
              <w:jc w:val="center"/>
              <w:rPr>
                <w:b w:val="0"/>
                <w:bCs/>
                <w:sz w:val="20"/>
                <w:szCs w:val="20"/>
              </w:rPr>
            </w:pPr>
          </w:p>
        </w:tc>
        <w:tc>
          <w:tcPr>
            <w:tcW w:w="1841" w:type="dxa"/>
          </w:tcPr>
          <w:p w14:paraId="1440D101" w14:textId="66945509" w:rsidR="00732181" w:rsidRDefault="00732181" w:rsidP="006C6354">
            <w:pPr>
              <w:pStyle w:val="BodyText"/>
              <w:spacing w:before="0" w:after="0" w:line="240" w:lineRule="auto"/>
              <w:jc w:val="center"/>
              <w:rPr>
                <w:b w:val="0"/>
                <w:sz w:val="20"/>
                <w:szCs w:val="20"/>
                <w:vertAlign w:val="subscript"/>
              </w:rPr>
            </w:pPr>
            <w:r>
              <w:rPr>
                <w:sz w:val="20"/>
                <w:szCs w:val="20"/>
              </w:rPr>
              <w:t>DBT</w:t>
            </w:r>
            <w:r>
              <w:rPr>
                <w:sz w:val="20"/>
                <w:szCs w:val="20"/>
                <w:vertAlign w:val="subscript"/>
              </w:rPr>
              <w:t>MLO</w:t>
            </w:r>
          </w:p>
          <w:p w14:paraId="06B4FDFD" w14:textId="71AD0549" w:rsidR="00732181" w:rsidRPr="00DF3581" w:rsidRDefault="00732181" w:rsidP="006C6354">
            <w:pPr>
              <w:pStyle w:val="BodyText"/>
              <w:spacing w:before="0" w:after="0" w:line="240" w:lineRule="auto"/>
              <w:jc w:val="center"/>
              <w:rPr>
                <w:b w:val="0"/>
                <w:bCs/>
                <w:sz w:val="20"/>
                <w:szCs w:val="20"/>
              </w:rPr>
            </w:pPr>
          </w:p>
        </w:tc>
        <w:tc>
          <w:tcPr>
            <w:tcW w:w="1841" w:type="dxa"/>
          </w:tcPr>
          <w:p w14:paraId="68808BEE" w14:textId="77777777" w:rsidR="00732181" w:rsidRPr="00201646" w:rsidRDefault="00732181" w:rsidP="006C6354">
            <w:pPr>
              <w:pStyle w:val="BodyText"/>
              <w:spacing w:before="0" w:after="0" w:line="240" w:lineRule="auto"/>
              <w:jc w:val="center"/>
              <w:rPr>
                <w:b w:val="0"/>
                <w:sz w:val="20"/>
                <w:szCs w:val="20"/>
              </w:rPr>
            </w:pPr>
            <w:r>
              <w:rPr>
                <w:sz w:val="20"/>
                <w:szCs w:val="20"/>
              </w:rPr>
              <w:t>FFDM+DBT</w:t>
            </w:r>
          </w:p>
          <w:p w14:paraId="26850C12" w14:textId="15B0AC98" w:rsidR="00732181" w:rsidRPr="00201646" w:rsidRDefault="00732181" w:rsidP="006C6354">
            <w:pPr>
              <w:pStyle w:val="BodyText"/>
              <w:spacing w:before="0" w:after="0" w:line="240" w:lineRule="auto"/>
              <w:jc w:val="center"/>
              <w:rPr>
                <w:sz w:val="20"/>
                <w:szCs w:val="20"/>
              </w:rPr>
            </w:pPr>
          </w:p>
        </w:tc>
        <w:tc>
          <w:tcPr>
            <w:tcW w:w="1842" w:type="dxa"/>
          </w:tcPr>
          <w:p w14:paraId="592CC383" w14:textId="77777777" w:rsidR="00732181" w:rsidRPr="00201646" w:rsidRDefault="00732181" w:rsidP="006C6354">
            <w:pPr>
              <w:pStyle w:val="BodyText"/>
              <w:spacing w:before="0" w:after="0" w:line="240" w:lineRule="auto"/>
              <w:jc w:val="center"/>
              <w:rPr>
                <w:b w:val="0"/>
                <w:sz w:val="20"/>
                <w:szCs w:val="20"/>
              </w:rPr>
            </w:pPr>
            <w:r>
              <w:rPr>
                <w:sz w:val="20"/>
                <w:szCs w:val="20"/>
              </w:rPr>
              <w:t>FFDM alone</w:t>
            </w:r>
          </w:p>
          <w:p w14:paraId="2555628A" w14:textId="35DA0C6D" w:rsidR="00732181" w:rsidRPr="00201646" w:rsidRDefault="00732181" w:rsidP="006C6354">
            <w:pPr>
              <w:pStyle w:val="BodyText"/>
              <w:spacing w:before="0" w:after="0" w:line="240" w:lineRule="auto"/>
              <w:jc w:val="center"/>
              <w:rPr>
                <w:sz w:val="20"/>
                <w:szCs w:val="20"/>
              </w:rPr>
            </w:pPr>
          </w:p>
        </w:tc>
      </w:tr>
      <w:tr w:rsidR="001740DE" w:rsidRPr="00201646" w14:paraId="2DBEC36B" w14:textId="77777777" w:rsidTr="00592E7C">
        <w:tc>
          <w:tcPr>
            <w:tcW w:w="9061" w:type="dxa"/>
            <w:gridSpan w:val="5"/>
            <w:shd w:val="clear" w:color="auto" w:fill="E7FFBD" w:themeFill="background2" w:themeFillTint="33"/>
          </w:tcPr>
          <w:p w14:paraId="71B7A841" w14:textId="42B3C83F" w:rsidR="001740DE" w:rsidRDefault="001740DE" w:rsidP="00592E7C">
            <w:pPr>
              <w:pStyle w:val="BodyText"/>
              <w:spacing w:before="0" w:after="0" w:line="240" w:lineRule="auto"/>
              <w:jc w:val="center"/>
              <w:rPr>
                <w:sz w:val="20"/>
                <w:szCs w:val="20"/>
              </w:rPr>
            </w:pPr>
            <w:r>
              <w:rPr>
                <w:sz w:val="20"/>
                <w:szCs w:val="20"/>
              </w:rPr>
              <w:t>DBT+</w:t>
            </w:r>
            <w:r w:rsidR="00176980">
              <w:rPr>
                <w:sz w:val="20"/>
                <w:szCs w:val="20"/>
              </w:rPr>
              <w:t>s2DM</w:t>
            </w:r>
            <w:r>
              <w:rPr>
                <w:sz w:val="20"/>
                <w:szCs w:val="20"/>
              </w:rPr>
              <w:t xml:space="preserve"> compared to FFDM alone</w:t>
            </w:r>
          </w:p>
        </w:tc>
      </w:tr>
      <w:tr w:rsidR="00732181" w:rsidRPr="00201646" w14:paraId="77057E5F" w14:textId="77777777" w:rsidTr="00592E7C">
        <w:tc>
          <w:tcPr>
            <w:tcW w:w="9061" w:type="dxa"/>
            <w:gridSpan w:val="5"/>
          </w:tcPr>
          <w:p w14:paraId="151F90DF" w14:textId="51344D64" w:rsidR="00732181" w:rsidRPr="00201646" w:rsidRDefault="00732181" w:rsidP="00732181">
            <w:pPr>
              <w:pStyle w:val="BodyText"/>
              <w:spacing w:before="0" w:after="0" w:line="240" w:lineRule="auto"/>
              <w:jc w:val="left"/>
              <w:rPr>
                <w:sz w:val="18"/>
                <w:szCs w:val="18"/>
              </w:rPr>
            </w:pPr>
            <w:r>
              <w:rPr>
                <w:b/>
                <w:bCs/>
                <w:sz w:val="18"/>
                <w:szCs w:val="18"/>
              </w:rPr>
              <w:t>RCT</w:t>
            </w:r>
          </w:p>
        </w:tc>
      </w:tr>
      <w:tr w:rsidR="00732181" w:rsidRPr="00201646" w14:paraId="5B19D6F3" w14:textId="77777777" w:rsidTr="00F95422">
        <w:tc>
          <w:tcPr>
            <w:tcW w:w="1696" w:type="dxa"/>
          </w:tcPr>
          <w:p w14:paraId="3E669773" w14:textId="77777777" w:rsidR="00B028EF" w:rsidRDefault="00B028EF" w:rsidP="00B028EF">
            <w:pPr>
              <w:pStyle w:val="BodyText"/>
              <w:spacing w:before="0" w:after="0" w:line="240" w:lineRule="auto"/>
              <w:jc w:val="left"/>
              <w:rPr>
                <w:sz w:val="18"/>
                <w:szCs w:val="18"/>
              </w:rPr>
            </w:pPr>
            <w:r w:rsidRPr="006C6354">
              <w:rPr>
                <w:sz w:val="18"/>
                <w:szCs w:val="18"/>
              </w:rPr>
              <w:t>Hofvi</w:t>
            </w:r>
            <w:r>
              <w:rPr>
                <w:sz w:val="18"/>
                <w:szCs w:val="18"/>
              </w:rPr>
              <w:t>nd et al. (2019)</w:t>
            </w:r>
          </w:p>
          <w:p w14:paraId="00CCEB13" w14:textId="5C9ED969" w:rsidR="00B028EF" w:rsidRDefault="00815FC2" w:rsidP="00B028EF">
            <w:pPr>
              <w:pStyle w:val="BodyText"/>
              <w:spacing w:before="0" w:after="0" w:line="240" w:lineRule="auto"/>
              <w:jc w:val="left"/>
              <w:rPr>
                <w:sz w:val="18"/>
                <w:szCs w:val="18"/>
              </w:rPr>
            </w:pPr>
            <w:r>
              <w:rPr>
                <w:sz w:val="18"/>
                <w:szCs w:val="18"/>
              </w:rPr>
              <w:t>To-Be-1</w:t>
            </w:r>
            <w:r w:rsidR="00B028EF">
              <w:rPr>
                <w:sz w:val="18"/>
                <w:szCs w:val="18"/>
              </w:rPr>
              <w:t xml:space="preserve"> RCT</w:t>
            </w:r>
          </w:p>
          <w:p w14:paraId="7E3D46FC" w14:textId="3526CAB5" w:rsidR="00732181" w:rsidRPr="00201646" w:rsidRDefault="000C5381" w:rsidP="00B028EF">
            <w:pPr>
              <w:pStyle w:val="BodyText"/>
              <w:spacing w:before="0" w:after="0" w:line="240" w:lineRule="auto"/>
              <w:rPr>
                <w:sz w:val="18"/>
                <w:szCs w:val="18"/>
              </w:rPr>
            </w:pPr>
            <w:r>
              <w:rPr>
                <w:sz w:val="18"/>
                <w:szCs w:val="18"/>
              </w:rPr>
              <w:t>(main analysis)</w:t>
            </w:r>
          </w:p>
        </w:tc>
        <w:tc>
          <w:tcPr>
            <w:tcW w:w="1841" w:type="dxa"/>
          </w:tcPr>
          <w:p w14:paraId="0F0F05B8" w14:textId="386DB757" w:rsidR="00732181" w:rsidRPr="00201646" w:rsidRDefault="00732181" w:rsidP="00B26EA1">
            <w:pPr>
              <w:pStyle w:val="BodyText"/>
              <w:tabs>
                <w:tab w:val="right" w:pos="1749"/>
              </w:tabs>
              <w:spacing w:before="0" w:after="0" w:line="240" w:lineRule="auto"/>
              <w:rPr>
                <w:sz w:val="18"/>
                <w:szCs w:val="18"/>
              </w:rPr>
            </w:pPr>
            <w:r>
              <w:rPr>
                <w:sz w:val="18"/>
                <w:szCs w:val="18"/>
              </w:rPr>
              <w:t>Positive: 17.7% (10.0</w:t>
            </w:r>
            <w:r w:rsidR="0075618D">
              <w:rPr>
                <w:sz w:val="18"/>
                <w:szCs w:val="18"/>
              </w:rPr>
              <w:t xml:space="preserve">, </w:t>
            </w:r>
            <w:r>
              <w:rPr>
                <w:sz w:val="18"/>
                <w:szCs w:val="18"/>
              </w:rPr>
              <w:t>27.9)</w:t>
            </w:r>
          </w:p>
        </w:tc>
        <w:tc>
          <w:tcPr>
            <w:tcW w:w="1841" w:type="dxa"/>
          </w:tcPr>
          <w:p w14:paraId="4E5B2A93" w14:textId="267136F9" w:rsidR="00732181" w:rsidRPr="00201646" w:rsidRDefault="00F95422" w:rsidP="00B26EA1">
            <w:pPr>
              <w:pStyle w:val="BodyText"/>
              <w:spacing w:before="0" w:after="0" w:line="240" w:lineRule="auto"/>
              <w:jc w:val="center"/>
              <w:rPr>
                <w:sz w:val="18"/>
                <w:szCs w:val="18"/>
              </w:rPr>
            </w:pPr>
            <w:r>
              <w:rPr>
                <w:sz w:val="18"/>
                <w:szCs w:val="18"/>
              </w:rPr>
              <w:t>NA</w:t>
            </w:r>
          </w:p>
        </w:tc>
        <w:tc>
          <w:tcPr>
            <w:tcW w:w="1841" w:type="dxa"/>
          </w:tcPr>
          <w:p w14:paraId="1A7D353A" w14:textId="788BE89A" w:rsidR="00732181" w:rsidRPr="00201646" w:rsidRDefault="00F95422" w:rsidP="00B26EA1">
            <w:pPr>
              <w:pStyle w:val="BodyText"/>
              <w:spacing w:before="0" w:after="0" w:line="240" w:lineRule="auto"/>
              <w:jc w:val="center"/>
              <w:rPr>
                <w:sz w:val="18"/>
                <w:szCs w:val="18"/>
              </w:rPr>
            </w:pPr>
            <w:r>
              <w:rPr>
                <w:sz w:val="18"/>
                <w:szCs w:val="18"/>
              </w:rPr>
              <w:t>NA</w:t>
            </w:r>
          </w:p>
        </w:tc>
        <w:tc>
          <w:tcPr>
            <w:tcW w:w="1842" w:type="dxa"/>
          </w:tcPr>
          <w:p w14:paraId="2735EEE0" w14:textId="77676F2A" w:rsidR="00732181" w:rsidRPr="00201646" w:rsidRDefault="00732181" w:rsidP="00B26EA1">
            <w:pPr>
              <w:pStyle w:val="BodyText"/>
              <w:spacing w:before="0" w:after="0" w:line="240" w:lineRule="auto"/>
              <w:rPr>
                <w:sz w:val="18"/>
                <w:szCs w:val="18"/>
              </w:rPr>
            </w:pPr>
            <w:r>
              <w:rPr>
                <w:sz w:val="18"/>
                <w:szCs w:val="18"/>
              </w:rPr>
              <w:t>Positive: 25.7% (16.0</w:t>
            </w:r>
            <w:r w:rsidR="0075618D">
              <w:rPr>
                <w:sz w:val="18"/>
                <w:szCs w:val="18"/>
              </w:rPr>
              <w:t xml:space="preserve">, </w:t>
            </w:r>
            <w:r>
              <w:rPr>
                <w:sz w:val="18"/>
                <w:szCs w:val="18"/>
              </w:rPr>
              <w:t xml:space="preserve">37.6; </w:t>
            </w:r>
            <w:r>
              <w:rPr>
                <w:i/>
                <w:iCs/>
                <w:sz w:val="18"/>
                <w:szCs w:val="18"/>
              </w:rPr>
              <w:t>p</w:t>
            </w:r>
            <w:r>
              <w:rPr>
                <w:sz w:val="18"/>
                <w:szCs w:val="18"/>
              </w:rPr>
              <w:t>=.24)</w:t>
            </w:r>
          </w:p>
        </w:tc>
      </w:tr>
      <w:tr w:rsidR="00732181" w:rsidRPr="00201646" w14:paraId="06DDC744" w14:textId="77777777" w:rsidTr="00592E7C">
        <w:tc>
          <w:tcPr>
            <w:tcW w:w="9061" w:type="dxa"/>
            <w:gridSpan w:val="5"/>
          </w:tcPr>
          <w:p w14:paraId="14547373" w14:textId="77777777" w:rsidR="00732181" w:rsidRPr="00201646" w:rsidRDefault="00732181" w:rsidP="00592E7C">
            <w:pPr>
              <w:pStyle w:val="BodyText"/>
              <w:spacing w:before="0" w:after="0" w:line="240" w:lineRule="auto"/>
              <w:rPr>
                <w:b/>
                <w:bCs/>
                <w:sz w:val="18"/>
                <w:szCs w:val="18"/>
              </w:rPr>
            </w:pPr>
            <w:r>
              <w:rPr>
                <w:b/>
                <w:bCs/>
                <w:sz w:val="18"/>
                <w:szCs w:val="18"/>
              </w:rPr>
              <w:t>Prospective studies embedded in population-based screening</w:t>
            </w:r>
          </w:p>
        </w:tc>
      </w:tr>
      <w:tr w:rsidR="00F95422" w:rsidRPr="00201646" w14:paraId="519276AA" w14:textId="77777777" w:rsidTr="00592E7C">
        <w:tc>
          <w:tcPr>
            <w:tcW w:w="1696" w:type="dxa"/>
          </w:tcPr>
          <w:p w14:paraId="357F9E83" w14:textId="77777777" w:rsidR="00F95422" w:rsidRDefault="00F95422" w:rsidP="00592E7C">
            <w:pPr>
              <w:pStyle w:val="BodyText"/>
              <w:spacing w:before="0" w:after="0" w:line="240" w:lineRule="auto"/>
              <w:rPr>
                <w:sz w:val="18"/>
                <w:szCs w:val="18"/>
              </w:rPr>
            </w:pPr>
            <w:r>
              <w:rPr>
                <w:sz w:val="18"/>
                <w:szCs w:val="18"/>
              </w:rPr>
              <w:t>Bernardi et al. (2019)</w:t>
            </w:r>
          </w:p>
          <w:p w14:paraId="7BF0D6A3" w14:textId="77777777" w:rsidR="00F95422" w:rsidRPr="00201646" w:rsidRDefault="00F95422" w:rsidP="00592E7C">
            <w:pPr>
              <w:pStyle w:val="BodyText"/>
              <w:spacing w:before="0" w:after="0" w:line="240" w:lineRule="auto"/>
              <w:rPr>
                <w:sz w:val="18"/>
                <w:szCs w:val="18"/>
              </w:rPr>
            </w:pPr>
            <w:r>
              <w:rPr>
                <w:sz w:val="18"/>
                <w:szCs w:val="18"/>
              </w:rPr>
              <w:t>Trento</w:t>
            </w:r>
          </w:p>
        </w:tc>
        <w:tc>
          <w:tcPr>
            <w:tcW w:w="1841" w:type="dxa"/>
          </w:tcPr>
          <w:p w14:paraId="61671D41" w14:textId="77777777" w:rsidR="00F95422" w:rsidRDefault="00F95422" w:rsidP="00592E7C">
            <w:pPr>
              <w:pStyle w:val="BodyText"/>
              <w:spacing w:before="0" w:after="0" w:line="240" w:lineRule="auto"/>
              <w:rPr>
                <w:sz w:val="18"/>
                <w:szCs w:val="18"/>
              </w:rPr>
            </w:pPr>
            <w:r>
              <w:rPr>
                <w:sz w:val="18"/>
                <w:szCs w:val="18"/>
              </w:rPr>
              <w:t>Positive: 16.46%</w:t>
            </w:r>
          </w:p>
          <w:p w14:paraId="4BDA3223" w14:textId="77777777" w:rsidR="00F95422" w:rsidRDefault="00F95422" w:rsidP="00592E7C">
            <w:pPr>
              <w:pStyle w:val="BodyText"/>
              <w:spacing w:before="0" w:after="0" w:line="240" w:lineRule="auto"/>
              <w:rPr>
                <w:sz w:val="18"/>
                <w:szCs w:val="18"/>
              </w:rPr>
            </w:pPr>
            <w:r>
              <w:rPr>
                <w:sz w:val="18"/>
                <w:szCs w:val="18"/>
              </w:rPr>
              <w:t>Negative: 74.06%</w:t>
            </w:r>
          </w:p>
          <w:p w14:paraId="0CC2354C" w14:textId="77777777" w:rsidR="00F95422" w:rsidRPr="00201646" w:rsidRDefault="00F95422" w:rsidP="00592E7C">
            <w:pPr>
              <w:pStyle w:val="BodyText"/>
              <w:spacing w:before="0" w:after="0" w:line="240" w:lineRule="auto"/>
              <w:rPr>
                <w:sz w:val="18"/>
                <w:szCs w:val="18"/>
              </w:rPr>
            </w:pPr>
            <w:r>
              <w:rPr>
                <w:sz w:val="18"/>
                <w:szCs w:val="18"/>
              </w:rPr>
              <w:t>Unknown: 9.48%</w:t>
            </w:r>
          </w:p>
        </w:tc>
        <w:tc>
          <w:tcPr>
            <w:tcW w:w="1841" w:type="dxa"/>
          </w:tcPr>
          <w:p w14:paraId="11834A27" w14:textId="77777777" w:rsidR="00F95422" w:rsidRPr="00201646" w:rsidRDefault="00F95422" w:rsidP="00592E7C">
            <w:pPr>
              <w:pStyle w:val="BodyText"/>
              <w:spacing w:before="0" w:after="0" w:line="240" w:lineRule="auto"/>
              <w:jc w:val="center"/>
              <w:rPr>
                <w:sz w:val="18"/>
                <w:szCs w:val="18"/>
              </w:rPr>
            </w:pPr>
            <w:r>
              <w:rPr>
                <w:sz w:val="18"/>
                <w:szCs w:val="18"/>
              </w:rPr>
              <w:t>NA</w:t>
            </w:r>
          </w:p>
        </w:tc>
        <w:tc>
          <w:tcPr>
            <w:tcW w:w="1841" w:type="dxa"/>
          </w:tcPr>
          <w:p w14:paraId="74C06DB7" w14:textId="77777777" w:rsidR="00F95422" w:rsidRPr="00201646" w:rsidRDefault="00F95422" w:rsidP="00592E7C">
            <w:pPr>
              <w:pStyle w:val="BodyText"/>
              <w:spacing w:before="0" w:after="0" w:line="240" w:lineRule="auto"/>
              <w:jc w:val="center"/>
              <w:rPr>
                <w:sz w:val="18"/>
                <w:szCs w:val="18"/>
              </w:rPr>
            </w:pPr>
            <w:r>
              <w:rPr>
                <w:sz w:val="18"/>
                <w:szCs w:val="18"/>
              </w:rPr>
              <w:t>NA</w:t>
            </w:r>
          </w:p>
        </w:tc>
        <w:tc>
          <w:tcPr>
            <w:tcW w:w="1842" w:type="dxa"/>
          </w:tcPr>
          <w:p w14:paraId="153E047D" w14:textId="77777777" w:rsidR="00F95422" w:rsidRDefault="00F95422" w:rsidP="00592E7C">
            <w:pPr>
              <w:pStyle w:val="BodyText"/>
              <w:spacing w:before="0" w:after="0" w:line="240" w:lineRule="auto"/>
              <w:rPr>
                <w:sz w:val="18"/>
                <w:szCs w:val="18"/>
              </w:rPr>
            </w:pPr>
            <w:r>
              <w:rPr>
                <w:sz w:val="18"/>
                <w:szCs w:val="18"/>
              </w:rPr>
              <w:t>Positive: 17.07%</w:t>
            </w:r>
          </w:p>
          <w:p w14:paraId="073EDE65" w14:textId="77777777" w:rsidR="00F95422" w:rsidRDefault="00F95422" w:rsidP="00592E7C">
            <w:pPr>
              <w:pStyle w:val="BodyText"/>
              <w:spacing w:before="0" w:after="0" w:line="240" w:lineRule="auto"/>
              <w:rPr>
                <w:sz w:val="18"/>
                <w:szCs w:val="18"/>
              </w:rPr>
            </w:pPr>
            <w:r>
              <w:rPr>
                <w:sz w:val="18"/>
                <w:szCs w:val="18"/>
              </w:rPr>
              <w:t>Negative: 71.22%</w:t>
            </w:r>
          </w:p>
          <w:p w14:paraId="11E677E6" w14:textId="77777777" w:rsidR="00F95422" w:rsidRPr="00201646" w:rsidRDefault="00F95422" w:rsidP="00592E7C">
            <w:pPr>
              <w:pStyle w:val="BodyText"/>
              <w:spacing w:before="0" w:after="0" w:line="240" w:lineRule="auto"/>
              <w:rPr>
                <w:sz w:val="18"/>
                <w:szCs w:val="18"/>
              </w:rPr>
            </w:pPr>
            <w:r>
              <w:rPr>
                <w:sz w:val="18"/>
                <w:szCs w:val="18"/>
              </w:rPr>
              <w:t>Unknown: 11.71%</w:t>
            </w:r>
          </w:p>
        </w:tc>
      </w:tr>
      <w:tr w:rsidR="00732181" w:rsidRPr="00201646" w14:paraId="697EB3B8" w14:textId="77777777" w:rsidTr="00F95422">
        <w:tc>
          <w:tcPr>
            <w:tcW w:w="1696" w:type="dxa"/>
          </w:tcPr>
          <w:p w14:paraId="41BF7E02" w14:textId="77777777" w:rsidR="00732181" w:rsidRDefault="00732181" w:rsidP="00B26EA1">
            <w:pPr>
              <w:pStyle w:val="BodyText"/>
              <w:spacing w:before="0" w:after="0" w:line="240" w:lineRule="auto"/>
              <w:rPr>
                <w:sz w:val="18"/>
                <w:szCs w:val="18"/>
              </w:rPr>
            </w:pPr>
            <w:r>
              <w:rPr>
                <w:sz w:val="18"/>
                <w:szCs w:val="18"/>
              </w:rPr>
              <w:t>Houssami et al. (2019)</w:t>
            </w:r>
          </w:p>
          <w:p w14:paraId="5AF8FE1B" w14:textId="6A51DB2E" w:rsidR="00732181" w:rsidRPr="00201646" w:rsidRDefault="00732181" w:rsidP="00B26EA1">
            <w:pPr>
              <w:pStyle w:val="BodyText"/>
              <w:spacing w:before="0" w:after="0" w:line="240" w:lineRule="auto"/>
              <w:rPr>
                <w:sz w:val="18"/>
                <w:szCs w:val="18"/>
              </w:rPr>
            </w:pPr>
            <w:r>
              <w:rPr>
                <w:sz w:val="18"/>
                <w:szCs w:val="18"/>
              </w:rPr>
              <w:t>Maroondah</w:t>
            </w:r>
          </w:p>
        </w:tc>
        <w:tc>
          <w:tcPr>
            <w:tcW w:w="1841" w:type="dxa"/>
          </w:tcPr>
          <w:p w14:paraId="5C121FBE" w14:textId="5A80A0E4" w:rsidR="00732181" w:rsidRDefault="00732181" w:rsidP="00B26EA1">
            <w:pPr>
              <w:pStyle w:val="BodyText"/>
              <w:spacing w:before="0" w:after="0" w:line="240" w:lineRule="auto"/>
              <w:jc w:val="left"/>
              <w:rPr>
                <w:sz w:val="18"/>
                <w:szCs w:val="18"/>
              </w:rPr>
            </w:pPr>
            <w:r>
              <w:rPr>
                <w:sz w:val="18"/>
                <w:szCs w:val="18"/>
              </w:rPr>
              <w:t>Positive: 15%</w:t>
            </w:r>
          </w:p>
          <w:p w14:paraId="7E3772B9" w14:textId="179EE2AF" w:rsidR="00732181" w:rsidRPr="00201646" w:rsidRDefault="00732181" w:rsidP="00B26EA1">
            <w:pPr>
              <w:pStyle w:val="BodyText"/>
              <w:spacing w:before="0" w:after="0" w:line="240" w:lineRule="auto"/>
              <w:jc w:val="left"/>
              <w:rPr>
                <w:sz w:val="18"/>
                <w:szCs w:val="18"/>
              </w:rPr>
            </w:pPr>
            <w:r>
              <w:rPr>
                <w:sz w:val="18"/>
                <w:szCs w:val="18"/>
              </w:rPr>
              <w:t>Negative: 85%</w:t>
            </w:r>
          </w:p>
        </w:tc>
        <w:tc>
          <w:tcPr>
            <w:tcW w:w="1841" w:type="dxa"/>
          </w:tcPr>
          <w:p w14:paraId="30391A32" w14:textId="572E797D" w:rsidR="00732181" w:rsidRPr="00201646" w:rsidRDefault="00F95422" w:rsidP="00B26EA1">
            <w:pPr>
              <w:pStyle w:val="BodyText"/>
              <w:spacing w:before="0" w:after="0" w:line="240" w:lineRule="auto"/>
              <w:jc w:val="center"/>
              <w:rPr>
                <w:sz w:val="18"/>
                <w:szCs w:val="18"/>
              </w:rPr>
            </w:pPr>
            <w:r>
              <w:rPr>
                <w:sz w:val="18"/>
                <w:szCs w:val="18"/>
              </w:rPr>
              <w:t>NA</w:t>
            </w:r>
          </w:p>
        </w:tc>
        <w:tc>
          <w:tcPr>
            <w:tcW w:w="1841" w:type="dxa"/>
          </w:tcPr>
          <w:p w14:paraId="19AEB4BA" w14:textId="5A21914E" w:rsidR="00732181" w:rsidRPr="00201646" w:rsidRDefault="00F95422" w:rsidP="00B26EA1">
            <w:pPr>
              <w:pStyle w:val="BodyText"/>
              <w:spacing w:before="0" w:after="0" w:line="240" w:lineRule="auto"/>
              <w:jc w:val="center"/>
              <w:rPr>
                <w:sz w:val="18"/>
                <w:szCs w:val="18"/>
              </w:rPr>
            </w:pPr>
            <w:r>
              <w:rPr>
                <w:sz w:val="18"/>
                <w:szCs w:val="18"/>
              </w:rPr>
              <w:t>NA</w:t>
            </w:r>
          </w:p>
        </w:tc>
        <w:tc>
          <w:tcPr>
            <w:tcW w:w="1842" w:type="dxa"/>
          </w:tcPr>
          <w:p w14:paraId="1D13A8D2" w14:textId="1FF2C6F9" w:rsidR="00732181" w:rsidRDefault="00732181" w:rsidP="00B26EA1">
            <w:pPr>
              <w:pStyle w:val="BodyText"/>
              <w:spacing w:before="0" w:after="0" w:line="240" w:lineRule="auto"/>
              <w:jc w:val="left"/>
              <w:rPr>
                <w:sz w:val="18"/>
                <w:szCs w:val="18"/>
              </w:rPr>
            </w:pPr>
            <w:r>
              <w:rPr>
                <w:sz w:val="18"/>
                <w:szCs w:val="18"/>
              </w:rPr>
              <w:t>Positive: 20%</w:t>
            </w:r>
          </w:p>
          <w:p w14:paraId="4691FC09" w14:textId="633D5C62" w:rsidR="00732181" w:rsidRPr="00201646" w:rsidRDefault="00732181" w:rsidP="00B26EA1">
            <w:pPr>
              <w:pStyle w:val="BodyText"/>
              <w:spacing w:before="0" w:after="0" w:line="240" w:lineRule="auto"/>
              <w:jc w:val="left"/>
              <w:rPr>
                <w:sz w:val="18"/>
                <w:szCs w:val="18"/>
              </w:rPr>
            </w:pPr>
            <w:r>
              <w:rPr>
                <w:sz w:val="18"/>
                <w:szCs w:val="18"/>
              </w:rPr>
              <w:t>Negative: 80%</w:t>
            </w:r>
          </w:p>
        </w:tc>
      </w:tr>
      <w:tr w:rsidR="00F95422" w:rsidRPr="00201646" w14:paraId="3490C69C" w14:textId="77777777" w:rsidTr="00592E7C">
        <w:tc>
          <w:tcPr>
            <w:tcW w:w="1696" w:type="dxa"/>
          </w:tcPr>
          <w:p w14:paraId="1AF1397C" w14:textId="77777777" w:rsidR="00F95422" w:rsidRDefault="00F95422" w:rsidP="00592E7C">
            <w:pPr>
              <w:pStyle w:val="BodyText"/>
              <w:spacing w:before="0" w:after="0" w:line="240" w:lineRule="auto"/>
              <w:rPr>
                <w:sz w:val="18"/>
                <w:szCs w:val="18"/>
              </w:rPr>
            </w:pPr>
            <w:r>
              <w:rPr>
                <w:sz w:val="18"/>
                <w:szCs w:val="18"/>
              </w:rPr>
              <w:t>Caumo et al. (2018)</w:t>
            </w:r>
          </w:p>
          <w:p w14:paraId="3336F847" w14:textId="77777777" w:rsidR="00F95422" w:rsidRPr="00201646" w:rsidRDefault="00F95422" w:rsidP="00592E7C">
            <w:pPr>
              <w:pStyle w:val="BodyText"/>
              <w:spacing w:before="0" w:after="0" w:line="240" w:lineRule="auto"/>
              <w:rPr>
                <w:sz w:val="18"/>
                <w:szCs w:val="18"/>
              </w:rPr>
            </w:pPr>
            <w:r>
              <w:rPr>
                <w:sz w:val="18"/>
                <w:szCs w:val="18"/>
              </w:rPr>
              <w:t>Verona</w:t>
            </w:r>
          </w:p>
        </w:tc>
        <w:tc>
          <w:tcPr>
            <w:tcW w:w="1841" w:type="dxa"/>
          </w:tcPr>
          <w:p w14:paraId="5EDF9867" w14:textId="77777777" w:rsidR="00F95422" w:rsidRPr="00201646" w:rsidRDefault="00F95422" w:rsidP="00592E7C">
            <w:pPr>
              <w:pStyle w:val="BodyText"/>
              <w:spacing w:before="0" w:after="0" w:line="240" w:lineRule="auto"/>
              <w:rPr>
                <w:sz w:val="18"/>
                <w:szCs w:val="18"/>
              </w:rPr>
            </w:pPr>
            <w:r>
              <w:rPr>
                <w:sz w:val="18"/>
                <w:szCs w:val="18"/>
              </w:rPr>
              <w:t>Positive: 26.9%</w:t>
            </w:r>
          </w:p>
        </w:tc>
        <w:tc>
          <w:tcPr>
            <w:tcW w:w="1841" w:type="dxa"/>
          </w:tcPr>
          <w:p w14:paraId="42E694BD" w14:textId="77777777" w:rsidR="00F95422" w:rsidRPr="00201646" w:rsidRDefault="00F95422" w:rsidP="00592E7C">
            <w:pPr>
              <w:pStyle w:val="BodyText"/>
              <w:spacing w:before="0" w:after="0" w:line="240" w:lineRule="auto"/>
              <w:jc w:val="center"/>
              <w:rPr>
                <w:sz w:val="18"/>
                <w:szCs w:val="18"/>
              </w:rPr>
            </w:pPr>
            <w:r>
              <w:rPr>
                <w:sz w:val="18"/>
                <w:szCs w:val="18"/>
              </w:rPr>
              <w:t>NA</w:t>
            </w:r>
          </w:p>
        </w:tc>
        <w:tc>
          <w:tcPr>
            <w:tcW w:w="1841" w:type="dxa"/>
          </w:tcPr>
          <w:p w14:paraId="22E4F107" w14:textId="77777777" w:rsidR="00F95422" w:rsidRPr="00201646" w:rsidRDefault="00F95422" w:rsidP="00592E7C">
            <w:pPr>
              <w:pStyle w:val="BodyText"/>
              <w:spacing w:before="0" w:after="0" w:line="240" w:lineRule="auto"/>
              <w:jc w:val="center"/>
              <w:rPr>
                <w:sz w:val="18"/>
                <w:szCs w:val="18"/>
              </w:rPr>
            </w:pPr>
            <w:r>
              <w:rPr>
                <w:sz w:val="18"/>
                <w:szCs w:val="18"/>
              </w:rPr>
              <w:t>NA</w:t>
            </w:r>
          </w:p>
        </w:tc>
        <w:tc>
          <w:tcPr>
            <w:tcW w:w="1842" w:type="dxa"/>
          </w:tcPr>
          <w:p w14:paraId="43FF4F44" w14:textId="77777777" w:rsidR="00F95422" w:rsidRPr="00F15721" w:rsidRDefault="00F95422" w:rsidP="00592E7C">
            <w:pPr>
              <w:pStyle w:val="BodyText"/>
              <w:spacing w:before="0" w:after="0" w:line="240" w:lineRule="auto"/>
              <w:rPr>
                <w:sz w:val="18"/>
                <w:szCs w:val="18"/>
              </w:rPr>
            </w:pPr>
            <w:r>
              <w:rPr>
                <w:sz w:val="18"/>
                <w:szCs w:val="18"/>
              </w:rPr>
              <w:t>Positive: 11.5% (</w:t>
            </w:r>
            <w:r>
              <w:rPr>
                <w:i/>
                <w:iCs/>
                <w:sz w:val="18"/>
                <w:szCs w:val="18"/>
              </w:rPr>
              <w:t>p</w:t>
            </w:r>
            <w:r>
              <w:rPr>
                <w:sz w:val="18"/>
                <w:szCs w:val="18"/>
              </w:rPr>
              <w:t>=.032)</w:t>
            </w:r>
          </w:p>
        </w:tc>
      </w:tr>
      <w:tr w:rsidR="00732181" w:rsidRPr="00201646" w14:paraId="637A6FDC" w14:textId="77777777" w:rsidTr="00F95422">
        <w:tc>
          <w:tcPr>
            <w:tcW w:w="1696" w:type="dxa"/>
          </w:tcPr>
          <w:p w14:paraId="109F645F" w14:textId="38FB5C00" w:rsidR="00732181" w:rsidRDefault="00732181" w:rsidP="00B26EA1">
            <w:pPr>
              <w:pStyle w:val="BodyText"/>
              <w:spacing w:before="0" w:after="0" w:line="240" w:lineRule="auto"/>
              <w:rPr>
                <w:sz w:val="18"/>
                <w:szCs w:val="18"/>
              </w:rPr>
            </w:pPr>
            <w:r>
              <w:rPr>
                <w:sz w:val="18"/>
                <w:szCs w:val="18"/>
              </w:rPr>
              <w:t>Hofvind et al. (2018) Norway BSP</w:t>
            </w:r>
          </w:p>
        </w:tc>
        <w:tc>
          <w:tcPr>
            <w:tcW w:w="1841" w:type="dxa"/>
          </w:tcPr>
          <w:p w14:paraId="42219BBA" w14:textId="5CE1CF6B" w:rsidR="00732181" w:rsidRDefault="00732181" w:rsidP="00B26EA1">
            <w:pPr>
              <w:pStyle w:val="BodyText"/>
              <w:spacing w:before="0" w:after="0" w:line="240" w:lineRule="auto"/>
              <w:jc w:val="left"/>
              <w:rPr>
                <w:sz w:val="18"/>
                <w:szCs w:val="18"/>
              </w:rPr>
            </w:pPr>
            <w:r>
              <w:rPr>
                <w:sz w:val="18"/>
                <w:szCs w:val="18"/>
              </w:rPr>
              <w:t>Positive: 1 per 1000</w:t>
            </w:r>
          </w:p>
          <w:p w14:paraId="4DDA5D17" w14:textId="0CA88B79" w:rsidR="00732181" w:rsidRDefault="00732181" w:rsidP="00B26EA1">
            <w:pPr>
              <w:pStyle w:val="BodyText"/>
              <w:spacing w:before="0" w:after="0" w:line="240" w:lineRule="auto"/>
              <w:jc w:val="left"/>
              <w:rPr>
                <w:sz w:val="18"/>
                <w:szCs w:val="18"/>
              </w:rPr>
            </w:pPr>
          </w:p>
        </w:tc>
        <w:tc>
          <w:tcPr>
            <w:tcW w:w="1841" w:type="dxa"/>
          </w:tcPr>
          <w:p w14:paraId="4D320742" w14:textId="2E9C7524" w:rsidR="00732181" w:rsidRPr="00201646" w:rsidRDefault="00F95422" w:rsidP="00B26EA1">
            <w:pPr>
              <w:pStyle w:val="BodyText"/>
              <w:spacing w:before="0" w:after="0" w:line="240" w:lineRule="auto"/>
              <w:jc w:val="center"/>
              <w:rPr>
                <w:sz w:val="18"/>
                <w:szCs w:val="18"/>
              </w:rPr>
            </w:pPr>
            <w:r>
              <w:rPr>
                <w:sz w:val="18"/>
                <w:szCs w:val="18"/>
              </w:rPr>
              <w:t>NA</w:t>
            </w:r>
          </w:p>
        </w:tc>
        <w:tc>
          <w:tcPr>
            <w:tcW w:w="1841" w:type="dxa"/>
          </w:tcPr>
          <w:p w14:paraId="134D48E5" w14:textId="09382ED6" w:rsidR="00732181" w:rsidRPr="00201646" w:rsidRDefault="00F95422" w:rsidP="00B26EA1">
            <w:pPr>
              <w:pStyle w:val="BodyText"/>
              <w:spacing w:before="0" w:after="0" w:line="240" w:lineRule="auto"/>
              <w:jc w:val="center"/>
              <w:rPr>
                <w:sz w:val="18"/>
                <w:szCs w:val="18"/>
              </w:rPr>
            </w:pPr>
            <w:r>
              <w:rPr>
                <w:sz w:val="18"/>
                <w:szCs w:val="18"/>
              </w:rPr>
              <w:t>NA</w:t>
            </w:r>
          </w:p>
        </w:tc>
        <w:tc>
          <w:tcPr>
            <w:tcW w:w="1842" w:type="dxa"/>
          </w:tcPr>
          <w:p w14:paraId="16F22B79" w14:textId="21A256A8" w:rsidR="00732181" w:rsidRDefault="00732181" w:rsidP="00B26EA1">
            <w:pPr>
              <w:pStyle w:val="BodyText"/>
              <w:spacing w:before="0" w:after="0" w:line="240" w:lineRule="auto"/>
              <w:jc w:val="left"/>
              <w:rPr>
                <w:sz w:val="18"/>
                <w:szCs w:val="18"/>
              </w:rPr>
            </w:pPr>
            <w:r>
              <w:rPr>
                <w:sz w:val="18"/>
                <w:szCs w:val="18"/>
              </w:rPr>
              <w:t xml:space="preserve">Positive: 0.7 per 1000, </w:t>
            </w:r>
            <w:r w:rsidR="0075618D">
              <w:rPr>
                <w:sz w:val="18"/>
                <w:szCs w:val="18"/>
              </w:rPr>
              <w:t>(</w:t>
            </w:r>
            <w:r>
              <w:rPr>
                <w:sz w:val="18"/>
                <w:szCs w:val="18"/>
              </w:rPr>
              <w:t>p=.341</w:t>
            </w:r>
            <w:r w:rsidR="0075618D">
              <w:rPr>
                <w:sz w:val="18"/>
                <w:szCs w:val="18"/>
              </w:rPr>
              <w:t>)</w:t>
            </w:r>
          </w:p>
        </w:tc>
      </w:tr>
      <w:tr w:rsidR="00200543" w:rsidRPr="00201646" w14:paraId="5F06053A" w14:textId="77777777" w:rsidTr="00B90EDF">
        <w:tc>
          <w:tcPr>
            <w:tcW w:w="9061" w:type="dxa"/>
            <w:gridSpan w:val="5"/>
          </w:tcPr>
          <w:p w14:paraId="10D88F81" w14:textId="77777777" w:rsidR="00200543" w:rsidRPr="00201646" w:rsidRDefault="00200543" w:rsidP="00B90EDF">
            <w:pPr>
              <w:pStyle w:val="BodyText"/>
              <w:spacing w:before="0" w:after="0" w:line="240" w:lineRule="auto"/>
              <w:rPr>
                <w:b/>
                <w:bCs/>
                <w:sz w:val="18"/>
                <w:szCs w:val="18"/>
              </w:rPr>
            </w:pPr>
            <w:r>
              <w:rPr>
                <w:b/>
                <w:bCs/>
                <w:sz w:val="18"/>
                <w:szCs w:val="18"/>
              </w:rPr>
              <w:t>Retrospective studies</w:t>
            </w:r>
          </w:p>
        </w:tc>
      </w:tr>
      <w:tr w:rsidR="00200543" w:rsidRPr="00201646" w14:paraId="067D622F" w14:textId="77777777" w:rsidTr="00B90EDF">
        <w:tc>
          <w:tcPr>
            <w:tcW w:w="1696" w:type="dxa"/>
          </w:tcPr>
          <w:p w14:paraId="066D3202" w14:textId="77777777" w:rsidR="00200543" w:rsidRDefault="00200543" w:rsidP="00B90EDF">
            <w:pPr>
              <w:pStyle w:val="BodyText"/>
              <w:spacing w:before="0" w:after="0" w:line="240" w:lineRule="auto"/>
              <w:rPr>
                <w:sz w:val="18"/>
                <w:szCs w:val="18"/>
              </w:rPr>
            </w:pPr>
            <w:r>
              <w:rPr>
                <w:sz w:val="18"/>
                <w:szCs w:val="18"/>
              </w:rPr>
              <w:t>Hovda et al. (2019)</w:t>
            </w:r>
          </w:p>
          <w:p w14:paraId="26242F73" w14:textId="77777777" w:rsidR="00200543" w:rsidRDefault="00200543" w:rsidP="00B90EDF">
            <w:pPr>
              <w:pStyle w:val="BodyText"/>
              <w:spacing w:before="0" w:after="0" w:line="240" w:lineRule="auto"/>
              <w:rPr>
                <w:sz w:val="18"/>
                <w:szCs w:val="18"/>
              </w:rPr>
            </w:pPr>
            <w:r>
              <w:rPr>
                <w:sz w:val="18"/>
                <w:szCs w:val="18"/>
              </w:rPr>
              <w:t>Norway BSP</w:t>
            </w:r>
          </w:p>
        </w:tc>
        <w:tc>
          <w:tcPr>
            <w:tcW w:w="1841" w:type="dxa"/>
          </w:tcPr>
          <w:p w14:paraId="553D1582" w14:textId="77777777" w:rsidR="00200543" w:rsidRPr="005B0089" w:rsidRDefault="00200543" w:rsidP="00B90EDF">
            <w:pPr>
              <w:pStyle w:val="BodyText"/>
              <w:spacing w:before="0" w:after="0" w:line="240" w:lineRule="auto"/>
              <w:jc w:val="left"/>
              <w:rPr>
                <w:sz w:val="18"/>
                <w:szCs w:val="18"/>
              </w:rPr>
            </w:pPr>
            <w:r>
              <w:rPr>
                <w:sz w:val="18"/>
                <w:szCs w:val="18"/>
              </w:rPr>
              <w:t>Positive: 1.28 per 1000</w:t>
            </w:r>
          </w:p>
          <w:p w14:paraId="236F080D" w14:textId="216729BB" w:rsidR="00200543" w:rsidRDefault="00200543" w:rsidP="00B90EDF">
            <w:pPr>
              <w:pStyle w:val="BodyText"/>
              <w:spacing w:before="0" w:after="0" w:line="240" w:lineRule="auto"/>
              <w:jc w:val="left"/>
              <w:rPr>
                <w:sz w:val="18"/>
                <w:szCs w:val="18"/>
              </w:rPr>
            </w:pPr>
            <w:r>
              <w:rPr>
                <w:sz w:val="18"/>
                <w:szCs w:val="18"/>
              </w:rPr>
              <w:t>Negative: 6.80 per 1000</w:t>
            </w:r>
            <w:r w:rsidR="0075618D">
              <w:rPr>
                <w:sz w:val="18"/>
                <w:szCs w:val="18"/>
              </w:rPr>
              <w:t xml:space="preserve"> (</w:t>
            </w:r>
            <w:r>
              <w:rPr>
                <w:i/>
                <w:iCs/>
                <w:sz w:val="18"/>
                <w:szCs w:val="18"/>
              </w:rPr>
              <w:t>p</w:t>
            </w:r>
            <w:r>
              <w:rPr>
                <w:sz w:val="18"/>
                <w:szCs w:val="18"/>
              </w:rPr>
              <w:t>=.001</w:t>
            </w:r>
            <w:r w:rsidR="0075618D">
              <w:rPr>
                <w:sz w:val="18"/>
                <w:szCs w:val="18"/>
              </w:rPr>
              <w:t>)</w:t>
            </w:r>
          </w:p>
        </w:tc>
        <w:tc>
          <w:tcPr>
            <w:tcW w:w="1841" w:type="dxa"/>
          </w:tcPr>
          <w:p w14:paraId="75949CCE" w14:textId="77777777" w:rsidR="00200543" w:rsidRDefault="00200543" w:rsidP="00B90EDF">
            <w:pPr>
              <w:pStyle w:val="BodyText"/>
              <w:spacing w:before="0" w:after="0" w:line="240" w:lineRule="auto"/>
              <w:jc w:val="center"/>
              <w:rPr>
                <w:sz w:val="18"/>
                <w:szCs w:val="18"/>
              </w:rPr>
            </w:pPr>
            <w:r>
              <w:rPr>
                <w:sz w:val="18"/>
                <w:szCs w:val="18"/>
              </w:rPr>
              <w:t>NA</w:t>
            </w:r>
          </w:p>
        </w:tc>
        <w:tc>
          <w:tcPr>
            <w:tcW w:w="1841" w:type="dxa"/>
          </w:tcPr>
          <w:p w14:paraId="615092FB" w14:textId="77777777" w:rsidR="00200543" w:rsidRDefault="00200543" w:rsidP="00B90EDF">
            <w:pPr>
              <w:pStyle w:val="BodyText"/>
              <w:spacing w:before="0" w:after="0" w:line="240" w:lineRule="auto"/>
              <w:jc w:val="center"/>
              <w:rPr>
                <w:sz w:val="18"/>
                <w:szCs w:val="18"/>
              </w:rPr>
            </w:pPr>
            <w:r>
              <w:rPr>
                <w:sz w:val="18"/>
                <w:szCs w:val="18"/>
              </w:rPr>
              <w:t>NA</w:t>
            </w:r>
          </w:p>
        </w:tc>
        <w:tc>
          <w:tcPr>
            <w:tcW w:w="1842" w:type="dxa"/>
          </w:tcPr>
          <w:p w14:paraId="6B2382AB" w14:textId="77777777" w:rsidR="00200543" w:rsidRDefault="00200543" w:rsidP="00B90EDF">
            <w:pPr>
              <w:pStyle w:val="BodyText"/>
              <w:spacing w:before="0" w:after="0" w:line="240" w:lineRule="auto"/>
              <w:jc w:val="left"/>
              <w:rPr>
                <w:sz w:val="18"/>
                <w:szCs w:val="18"/>
              </w:rPr>
            </w:pPr>
            <w:r>
              <w:rPr>
                <w:sz w:val="18"/>
                <w:szCs w:val="18"/>
              </w:rPr>
              <w:t>Positive: 0.57 per 1000</w:t>
            </w:r>
          </w:p>
          <w:p w14:paraId="4C58D202" w14:textId="77777777" w:rsidR="00200543" w:rsidRDefault="00200543" w:rsidP="00B90EDF">
            <w:pPr>
              <w:pStyle w:val="BodyText"/>
              <w:spacing w:before="0" w:after="0" w:line="240" w:lineRule="auto"/>
              <w:jc w:val="left"/>
              <w:rPr>
                <w:sz w:val="18"/>
                <w:szCs w:val="18"/>
              </w:rPr>
            </w:pPr>
            <w:r>
              <w:rPr>
                <w:sz w:val="18"/>
                <w:szCs w:val="18"/>
              </w:rPr>
              <w:t>Negative: 3.14 per 1000</w:t>
            </w:r>
          </w:p>
        </w:tc>
      </w:tr>
      <w:tr w:rsidR="000E4532" w:rsidRPr="00201646" w14:paraId="65713A4B" w14:textId="77777777" w:rsidTr="00592E7C">
        <w:tc>
          <w:tcPr>
            <w:tcW w:w="9061" w:type="dxa"/>
            <w:gridSpan w:val="5"/>
            <w:shd w:val="clear" w:color="auto" w:fill="E7FFBD" w:themeFill="background2" w:themeFillTint="33"/>
          </w:tcPr>
          <w:p w14:paraId="01B3AFF0" w14:textId="3580EA85" w:rsidR="000E4532" w:rsidRDefault="000E4532" w:rsidP="00592E7C">
            <w:pPr>
              <w:pStyle w:val="BodyText"/>
              <w:spacing w:before="0" w:after="0" w:line="240" w:lineRule="auto"/>
              <w:jc w:val="center"/>
              <w:rPr>
                <w:sz w:val="20"/>
                <w:szCs w:val="20"/>
              </w:rPr>
            </w:pPr>
            <w:r>
              <w:rPr>
                <w:sz w:val="20"/>
                <w:szCs w:val="20"/>
              </w:rPr>
              <w:t>FFDM+DBT compared to FFDM alone</w:t>
            </w:r>
          </w:p>
        </w:tc>
      </w:tr>
      <w:tr w:rsidR="000E4532" w:rsidRPr="00201646" w14:paraId="587B2327" w14:textId="77777777" w:rsidTr="00592E7C">
        <w:tc>
          <w:tcPr>
            <w:tcW w:w="9061" w:type="dxa"/>
            <w:gridSpan w:val="5"/>
          </w:tcPr>
          <w:p w14:paraId="3FC7364E" w14:textId="77777777" w:rsidR="000E4532" w:rsidRPr="00201646" w:rsidRDefault="000E4532" w:rsidP="00592E7C">
            <w:pPr>
              <w:pStyle w:val="BodyText"/>
              <w:spacing w:before="0" w:after="0" w:line="240" w:lineRule="auto"/>
              <w:rPr>
                <w:b/>
                <w:bCs/>
                <w:sz w:val="18"/>
                <w:szCs w:val="18"/>
              </w:rPr>
            </w:pPr>
            <w:r>
              <w:rPr>
                <w:b/>
                <w:bCs/>
                <w:sz w:val="18"/>
                <w:szCs w:val="18"/>
              </w:rPr>
              <w:t>Prospective studies embedded in population-based screening</w:t>
            </w:r>
          </w:p>
        </w:tc>
      </w:tr>
      <w:tr w:rsidR="00732181" w:rsidRPr="00201646" w14:paraId="3E8D2F3E" w14:textId="77777777" w:rsidTr="00F95422">
        <w:tc>
          <w:tcPr>
            <w:tcW w:w="1696" w:type="dxa"/>
          </w:tcPr>
          <w:p w14:paraId="6950B4C9" w14:textId="2A5D225F" w:rsidR="00732181" w:rsidRDefault="00732181" w:rsidP="006C6354">
            <w:pPr>
              <w:pStyle w:val="BodyText"/>
              <w:spacing w:before="0" w:after="0" w:line="240" w:lineRule="auto"/>
              <w:rPr>
                <w:sz w:val="18"/>
                <w:szCs w:val="18"/>
              </w:rPr>
            </w:pPr>
            <w:r>
              <w:rPr>
                <w:sz w:val="18"/>
                <w:szCs w:val="18"/>
              </w:rPr>
              <w:t>Skaane et al</w:t>
            </w:r>
            <w:r w:rsidR="00F95422">
              <w:rPr>
                <w:sz w:val="18"/>
                <w:szCs w:val="18"/>
              </w:rPr>
              <w:t>. (</w:t>
            </w:r>
            <w:r>
              <w:rPr>
                <w:sz w:val="18"/>
                <w:szCs w:val="18"/>
              </w:rPr>
              <w:t>2018</w:t>
            </w:r>
            <w:r w:rsidR="00F95422">
              <w:rPr>
                <w:sz w:val="18"/>
                <w:szCs w:val="18"/>
              </w:rPr>
              <w:t>)</w:t>
            </w:r>
          </w:p>
          <w:p w14:paraId="394B705D" w14:textId="451C8218" w:rsidR="00732181" w:rsidRDefault="00732181" w:rsidP="006C6354">
            <w:pPr>
              <w:pStyle w:val="BodyText"/>
              <w:spacing w:before="0" w:after="0" w:line="240" w:lineRule="auto"/>
              <w:rPr>
                <w:sz w:val="18"/>
                <w:szCs w:val="18"/>
              </w:rPr>
            </w:pPr>
            <w:r>
              <w:rPr>
                <w:sz w:val="18"/>
                <w:szCs w:val="18"/>
              </w:rPr>
              <w:t>OTS</w:t>
            </w:r>
          </w:p>
        </w:tc>
        <w:tc>
          <w:tcPr>
            <w:tcW w:w="1841" w:type="dxa"/>
          </w:tcPr>
          <w:p w14:paraId="1E227A00" w14:textId="26305F8D" w:rsidR="00732181" w:rsidRDefault="00F95422" w:rsidP="00F95422">
            <w:pPr>
              <w:pStyle w:val="BodyText"/>
              <w:spacing w:before="0" w:after="0" w:line="240" w:lineRule="auto"/>
              <w:jc w:val="center"/>
              <w:rPr>
                <w:sz w:val="18"/>
                <w:szCs w:val="18"/>
              </w:rPr>
            </w:pPr>
            <w:r>
              <w:rPr>
                <w:sz w:val="18"/>
                <w:szCs w:val="18"/>
              </w:rPr>
              <w:t>NA</w:t>
            </w:r>
          </w:p>
        </w:tc>
        <w:tc>
          <w:tcPr>
            <w:tcW w:w="1841" w:type="dxa"/>
          </w:tcPr>
          <w:p w14:paraId="2BAF2027" w14:textId="3710241B" w:rsidR="00732181" w:rsidRPr="00201646" w:rsidRDefault="00F95422" w:rsidP="00F95422">
            <w:pPr>
              <w:pStyle w:val="BodyText"/>
              <w:spacing w:before="0" w:after="0" w:line="240" w:lineRule="auto"/>
              <w:jc w:val="center"/>
              <w:rPr>
                <w:sz w:val="18"/>
                <w:szCs w:val="18"/>
              </w:rPr>
            </w:pPr>
            <w:r>
              <w:rPr>
                <w:sz w:val="18"/>
                <w:szCs w:val="18"/>
              </w:rPr>
              <w:t>NA</w:t>
            </w:r>
          </w:p>
        </w:tc>
        <w:tc>
          <w:tcPr>
            <w:tcW w:w="1841" w:type="dxa"/>
          </w:tcPr>
          <w:p w14:paraId="29268B7D" w14:textId="0BB7CA28" w:rsidR="00732181" w:rsidRDefault="00732181" w:rsidP="0056098F">
            <w:pPr>
              <w:pStyle w:val="BodyText"/>
              <w:spacing w:before="0" w:after="0" w:line="240" w:lineRule="auto"/>
              <w:rPr>
                <w:sz w:val="18"/>
                <w:szCs w:val="18"/>
              </w:rPr>
            </w:pPr>
            <w:r>
              <w:rPr>
                <w:sz w:val="18"/>
                <w:szCs w:val="18"/>
              </w:rPr>
              <w:t>Positive: 15.6%</w:t>
            </w:r>
          </w:p>
          <w:p w14:paraId="46C209FC" w14:textId="24D32637" w:rsidR="00732181" w:rsidRDefault="00732181" w:rsidP="0056098F">
            <w:pPr>
              <w:pStyle w:val="BodyText"/>
              <w:spacing w:before="0" w:after="0" w:line="240" w:lineRule="auto"/>
              <w:rPr>
                <w:sz w:val="18"/>
                <w:szCs w:val="18"/>
              </w:rPr>
            </w:pPr>
            <w:r>
              <w:rPr>
                <w:sz w:val="18"/>
                <w:szCs w:val="18"/>
              </w:rPr>
              <w:t>Negative: 84.4%</w:t>
            </w:r>
          </w:p>
          <w:p w14:paraId="78713CF3" w14:textId="65085528" w:rsidR="00732181" w:rsidRPr="00201646" w:rsidRDefault="00732181" w:rsidP="0056098F">
            <w:pPr>
              <w:pStyle w:val="BodyText"/>
              <w:spacing w:before="0" w:after="0" w:line="240" w:lineRule="auto"/>
              <w:rPr>
                <w:sz w:val="18"/>
                <w:szCs w:val="18"/>
              </w:rPr>
            </w:pPr>
            <w:r>
              <w:rPr>
                <w:sz w:val="18"/>
                <w:szCs w:val="18"/>
              </w:rPr>
              <w:t>Unknown: five cancers</w:t>
            </w:r>
          </w:p>
        </w:tc>
        <w:tc>
          <w:tcPr>
            <w:tcW w:w="1842" w:type="dxa"/>
          </w:tcPr>
          <w:p w14:paraId="053B081B" w14:textId="166E01FA" w:rsidR="00732181" w:rsidRDefault="00732181" w:rsidP="0056098F">
            <w:pPr>
              <w:pStyle w:val="BodyText"/>
              <w:spacing w:before="0" w:after="0" w:line="240" w:lineRule="auto"/>
              <w:rPr>
                <w:sz w:val="18"/>
                <w:szCs w:val="18"/>
              </w:rPr>
            </w:pPr>
            <w:r>
              <w:rPr>
                <w:sz w:val="18"/>
                <w:szCs w:val="18"/>
              </w:rPr>
              <w:t>Positive: 21.4%</w:t>
            </w:r>
          </w:p>
          <w:p w14:paraId="44B2B512" w14:textId="4F188462" w:rsidR="00732181" w:rsidRDefault="00732181" w:rsidP="0056098F">
            <w:pPr>
              <w:pStyle w:val="BodyText"/>
              <w:spacing w:before="0" w:after="0" w:line="240" w:lineRule="auto"/>
              <w:rPr>
                <w:sz w:val="18"/>
                <w:szCs w:val="18"/>
              </w:rPr>
            </w:pPr>
            <w:r>
              <w:rPr>
                <w:sz w:val="18"/>
                <w:szCs w:val="18"/>
              </w:rPr>
              <w:t>Negative:</w:t>
            </w:r>
            <w:r w:rsidR="00186D4E">
              <w:rPr>
                <w:sz w:val="18"/>
                <w:szCs w:val="18"/>
              </w:rPr>
              <w:t xml:space="preserve"> </w:t>
            </w:r>
            <w:r>
              <w:rPr>
                <w:sz w:val="18"/>
                <w:szCs w:val="18"/>
              </w:rPr>
              <w:t>78.6%</w:t>
            </w:r>
          </w:p>
          <w:p w14:paraId="2B3C2CBE" w14:textId="27E90990" w:rsidR="00732181" w:rsidRDefault="00732181" w:rsidP="0056098F">
            <w:pPr>
              <w:pStyle w:val="BodyText"/>
              <w:spacing w:before="0" w:after="0" w:line="240" w:lineRule="auto"/>
              <w:rPr>
                <w:sz w:val="18"/>
                <w:szCs w:val="18"/>
              </w:rPr>
            </w:pPr>
            <w:r>
              <w:rPr>
                <w:sz w:val="18"/>
                <w:szCs w:val="18"/>
              </w:rPr>
              <w:t>Unknown: three cancers</w:t>
            </w:r>
          </w:p>
        </w:tc>
      </w:tr>
      <w:tr w:rsidR="00745A3C" w:rsidRPr="00201646" w14:paraId="4D75AC39" w14:textId="77777777" w:rsidTr="00724130">
        <w:tc>
          <w:tcPr>
            <w:tcW w:w="9061" w:type="dxa"/>
            <w:gridSpan w:val="5"/>
          </w:tcPr>
          <w:p w14:paraId="1C99A5AD" w14:textId="37D97EBE" w:rsidR="00745A3C" w:rsidRPr="00201646" w:rsidRDefault="00745A3C" w:rsidP="00724130">
            <w:pPr>
              <w:pStyle w:val="BodyText"/>
              <w:spacing w:before="0" w:after="0" w:line="240" w:lineRule="auto"/>
              <w:rPr>
                <w:b/>
                <w:bCs/>
                <w:sz w:val="18"/>
                <w:szCs w:val="18"/>
              </w:rPr>
            </w:pPr>
            <w:r>
              <w:rPr>
                <w:b/>
                <w:bCs/>
                <w:sz w:val="18"/>
                <w:szCs w:val="18"/>
              </w:rPr>
              <w:t>Retrospective studies</w:t>
            </w:r>
          </w:p>
        </w:tc>
      </w:tr>
      <w:tr w:rsidR="00F971A1" w:rsidRPr="00201646" w14:paraId="52145EAB" w14:textId="77777777" w:rsidTr="00724130">
        <w:tc>
          <w:tcPr>
            <w:tcW w:w="1696" w:type="dxa"/>
          </w:tcPr>
          <w:p w14:paraId="708AC9F8" w14:textId="277B2606" w:rsidR="00F971A1" w:rsidRDefault="00F971A1" w:rsidP="00724130">
            <w:pPr>
              <w:pStyle w:val="BodyText"/>
              <w:spacing w:before="0" w:after="0" w:line="240" w:lineRule="auto"/>
              <w:rPr>
                <w:sz w:val="18"/>
                <w:szCs w:val="18"/>
              </w:rPr>
            </w:pPr>
            <w:r>
              <w:rPr>
                <w:sz w:val="18"/>
                <w:szCs w:val="18"/>
              </w:rPr>
              <w:t>Bahl et al. (2019)</w:t>
            </w:r>
          </w:p>
        </w:tc>
        <w:tc>
          <w:tcPr>
            <w:tcW w:w="1841" w:type="dxa"/>
          </w:tcPr>
          <w:p w14:paraId="17731719" w14:textId="77777777" w:rsidR="00F971A1" w:rsidRDefault="00F971A1" w:rsidP="00724130">
            <w:pPr>
              <w:pStyle w:val="BodyText"/>
              <w:spacing w:before="0" w:after="0" w:line="240" w:lineRule="auto"/>
              <w:jc w:val="center"/>
              <w:rPr>
                <w:sz w:val="18"/>
                <w:szCs w:val="18"/>
              </w:rPr>
            </w:pPr>
            <w:r>
              <w:rPr>
                <w:sz w:val="18"/>
                <w:szCs w:val="18"/>
              </w:rPr>
              <w:t>NA</w:t>
            </w:r>
          </w:p>
        </w:tc>
        <w:tc>
          <w:tcPr>
            <w:tcW w:w="1841" w:type="dxa"/>
          </w:tcPr>
          <w:p w14:paraId="3549D20E" w14:textId="77777777" w:rsidR="00F971A1" w:rsidRPr="00201646" w:rsidRDefault="00F971A1" w:rsidP="00724130">
            <w:pPr>
              <w:pStyle w:val="BodyText"/>
              <w:spacing w:before="0" w:after="0" w:line="240" w:lineRule="auto"/>
              <w:jc w:val="center"/>
              <w:rPr>
                <w:sz w:val="18"/>
                <w:szCs w:val="18"/>
              </w:rPr>
            </w:pPr>
            <w:r>
              <w:rPr>
                <w:sz w:val="18"/>
                <w:szCs w:val="18"/>
              </w:rPr>
              <w:t>NA</w:t>
            </w:r>
          </w:p>
        </w:tc>
        <w:tc>
          <w:tcPr>
            <w:tcW w:w="1841" w:type="dxa"/>
          </w:tcPr>
          <w:p w14:paraId="2ABB5698" w14:textId="2E199BCF" w:rsidR="00F971A1" w:rsidRPr="00201646" w:rsidRDefault="00F971A1" w:rsidP="00724130">
            <w:pPr>
              <w:pStyle w:val="BodyText"/>
              <w:spacing w:before="0" w:after="0" w:line="240" w:lineRule="auto"/>
              <w:rPr>
                <w:sz w:val="18"/>
                <w:szCs w:val="18"/>
              </w:rPr>
            </w:pPr>
            <w:r>
              <w:rPr>
                <w:sz w:val="18"/>
                <w:szCs w:val="18"/>
              </w:rPr>
              <w:t>Positive: 1</w:t>
            </w:r>
            <w:r w:rsidR="004D4903">
              <w:rPr>
                <w:sz w:val="18"/>
                <w:szCs w:val="18"/>
              </w:rPr>
              <w:t>0.2</w:t>
            </w:r>
            <w:r>
              <w:rPr>
                <w:sz w:val="18"/>
                <w:szCs w:val="18"/>
              </w:rPr>
              <w:t>%</w:t>
            </w:r>
          </w:p>
        </w:tc>
        <w:tc>
          <w:tcPr>
            <w:tcW w:w="1842" w:type="dxa"/>
          </w:tcPr>
          <w:p w14:paraId="425F0374" w14:textId="2B762832" w:rsidR="00F971A1" w:rsidRPr="004D4903" w:rsidRDefault="00F971A1" w:rsidP="00724130">
            <w:pPr>
              <w:pStyle w:val="BodyText"/>
              <w:spacing w:before="0" w:after="0" w:line="240" w:lineRule="auto"/>
              <w:rPr>
                <w:sz w:val="18"/>
                <w:szCs w:val="18"/>
              </w:rPr>
            </w:pPr>
            <w:r>
              <w:rPr>
                <w:sz w:val="18"/>
                <w:szCs w:val="18"/>
              </w:rPr>
              <w:t>Positive: 1</w:t>
            </w:r>
            <w:r w:rsidR="004D4903">
              <w:rPr>
                <w:sz w:val="18"/>
                <w:szCs w:val="18"/>
              </w:rPr>
              <w:t>6.6</w:t>
            </w:r>
            <w:r>
              <w:rPr>
                <w:sz w:val="18"/>
                <w:szCs w:val="18"/>
              </w:rPr>
              <w:t>%</w:t>
            </w:r>
            <w:r w:rsidR="0075618D">
              <w:rPr>
                <w:sz w:val="18"/>
                <w:szCs w:val="18"/>
              </w:rPr>
              <w:t xml:space="preserve"> (</w:t>
            </w:r>
            <w:r w:rsidR="004D4903">
              <w:rPr>
                <w:i/>
                <w:iCs/>
                <w:sz w:val="18"/>
                <w:szCs w:val="18"/>
              </w:rPr>
              <w:t>p=</w:t>
            </w:r>
            <w:r w:rsidR="004D4903">
              <w:rPr>
                <w:sz w:val="18"/>
                <w:szCs w:val="18"/>
              </w:rPr>
              <w:t>.054</w:t>
            </w:r>
            <w:r w:rsidR="0075618D">
              <w:rPr>
                <w:sz w:val="18"/>
                <w:szCs w:val="18"/>
              </w:rPr>
              <w:t>)</w:t>
            </w:r>
          </w:p>
        </w:tc>
      </w:tr>
      <w:tr w:rsidR="00745A3C" w:rsidRPr="00201646" w14:paraId="7FFB94BB" w14:textId="77777777" w:rsidTr="00724130">
        <w:tc>
          <w:tcPr>
            <w:tcW w:w="1696" w:type="dxa"/>
          </w:tcPr>
          <w:p w14:paraId="365CE066" w14:textId="76EEBE90" w:rsidR="00745A3C" w:rsidRDefault="00745A3C" w:rsidP="00724130">
            <w:pPr>
              <w:pStyle w:val="BodyText"/>
              <w:spacing w:before="0" w:after="0" w:line="240" w:lineRule="auto"/>
              <w:rPr>
                <w:sz w:val="18"/>
                <w:szCs w:val="18"/>
              </w:rPr>
            </w:pPr>
            <w:r>
              <w:rPr>
                <w:sz w:val="18"/>
                <w:szCs w:val="18"/>
              </w:rPr>
              <w:t>Dang et al. (2019)</w:t>
            </w:r>
          </w:p>
          <w:p w14:paraId="24196CCB" w14:textId="51B81EE5" w:rsidR="00745A3C" w:rsidRDefault="00745A3C" w:rsidP="00724130">
            <w:pPr>
              <w:pStyle w:val="BodyText"/>
              <w:spacing w:before="0" w:after="0" w:line="240" w:lineRule="auto"/>
              <w:rPr>
                <w:sz w:val="18"/>
                <w:szCs w:val="18"/>
              </w:rPr>
            </w:pPr>
          </w:p>
        </w:tc>
        <w:tc>
          <w:tcPr>
            <w:tcW w:w="1841" w:type="dxa"/>
          </w:tcPr>
          <w:p w14:paraId="7E6F6303" w14:textId="77777777" w:rsidR="00745A3C" w:rsidRDefault="00745A3C" w:rsidP="00724130">
            <w:pPr>
              <w:pStyle w:val="BodyText"/>
              <w:spacing w:before="0" w:after="0" w:line="240" w:lineRule="auto"/>
              <w:jc w:val="center"/>
              <w:rPr>
                <w:sz w:val="18"/>
                <w:szCs w:val="18"/>
              </w:rPr>
            </w:pPr>
            <w:r>
              <w:rPr>
                <w:sz w:val="18"/>
                <w:szCs w:val="18"/>
              </w:rPr>
              <w:t>NA</w:t>
            </w:r>
          </w:p>
        </w:tc>
        <w:tc>
          <w:tcPr>
            <w:tcW w:w="1841" w:type="dxa"/>
          </w:tcPr>
          <w:p w14:paraId="12365DEF" w14:textId="77777777" w:rsidR="00745A3C" w:rsidRPr="00201646" w:rsidRDefault="00745A3C" w:rsidP="00724130">
            <w:pPr>
              <w:pStyle w:val="BodyText"/>
              <w:spacing w:before="0" w:after="0" w:line="240" w:lineRule="auto"/>
              <w:jc w:val="center"/>
              <w:rPr>
                <w:sz w:val="18"/>
                <w:szCs w:val="18"/>
              </w:rPr>
            </w:pPr>
            <w:r>
              <w:rPr>
                <w:sz w:val="18"/>
                <w:szCs w:val="18"/>
              </w:rPr>
              <w:t>NA</w:t>
            </w:r>
          </w:p>
        </w:tc>
        <w:tc>
          <w:tcPr>
            <w:tcW w:w="1841" w:type="dxa"/>
          </w:tcPr>
          <w:p w14:paraId="4ABE4668" w14:textId="384228B9" w:rsidR="00745A3C" w:rsidRDefault="00745A3C" w:rsidP="00724130">
            <w:pPr>
              <w:pStyle w:val="BodyText"/>
              <w:spacing w:before="0" w:after="0" w:line="240" w:lineRule="auto"/>
              <w:rPr>
                <w:sz w:val="18"/>
                <w:szCs w:val="18"/>
              </w:rPr>
            </w:pPr>
            <w:r>
              <w:rPr>
                <w:sz w:val="18"/>
                <w:szCs w:val="18"/>
              </w:rPr>
              <w:t xml:space="preserve">Positive: </w:t>
            </w:r>
            <w:r w:rsidR="00CD1BF3">
              <w:rPr>
                <w:sz w:val="18"/>
                <w:szCs w:val="18"/>
              </w:rPr>
              <w:t>15%</w:t>
            </w:r>
          </w:p>
          <w:p w14:paraId="10760965" w14:textId="069482B8" w:rsidR="00745A3C" w:rsidRPr="00201646" w:rsidRDefault="00745A3C" w:rsidP="00724130">
            <w:pPr>
              <w:pStyle w:val="BodyText"/>
              <w:spacing w:before="0" w:after="0" w:line="240" w:lineRule="auto"/>
              <w:rPr>
                <w:sz w:val="18"/>
                <w:szCs w:val="18"/>
              </w:rPr>
            </w:pPr>
            <w:r>
              <w:rPr>
                <w:sz w:val="18"/>
                <w:szCs w:val="18"/>
              </w:rPr>
              <w:t>Negative:</w:t>
            </w:r>
            <w:r w:rsidR="00186D4E">
              <w:rPr>
                <w:sz w:val="18"/>
                <w:szCs w:val="18"/>
              </w:rPr>
              <w:t xml:space="preserve"> </w:t>
            </w:r>
            <w:r w:rsidR="00CD1BF3">
              <w:rPr>
                <w:sz w:val="18"/>
                <w:szCs w:val="18"/>
              </w:rPr>
              <w:t>85%</w:t>
            </w:r>
          </w:p>
        </w:tc>
        <w:tc>
          <w:tcPr>
            <w:tcW w:w="1842" w:type="dxa"/>
          </w:tcPr>
          <w:p w14:paraId="1B531374" w14:textId="672CE798" w:rsidR="00745A3C" w:rsidRDefault="00745A3C" w:rsidP="00724130">
            <w:pPr>
              <w:pStyle w:val="BodyText"/>
              <w:spacing w:before="0" w:after="0" w:line="240" w:lineRule="auto"/>
              <w:rPr>
                <w:sz w:val="18"/>
                <w:szCs w:val="18"/>
              </w:rPr>
            </w:pPr>
            <w:r>
              <w:rPr>
                <w:sz w:val="18"/>
                <w:szCs w:val="18"/>
              </w:rPr>
              <w:t xml:space="preserve">Positive: </w:t>
            </w:r>
            <w:r w:rsidR="00CD1BF3">
              <w:rPr>
                <w:sz w:val="18"/>
                <w:szCs w:val="18"/>
              </w:rPr>
              <w:t>17%</w:t>
            </w:r>
          </w:p>
          <w:p w14:paraId="649D420B" w14:textId="00E6B3BC" w:rsidR="00745A3C" w:rsidRPr="00CD1BF3" w:rsidRDefault="00745A3C" w:rsidP="00724130">
            <w:pPr>
              <w:pStyle w:val="BodyText"/>
              <w:spacing w:before="0" w:after="0" w:line="240" w:lineRule="auto"/>
              <w:rPr>
                <w:sz w:val="18"/>
                <w:szCs w:val="18"/>
              </w:rPr>
            </w:pPr>
            <w:r>
              <w:rPr>
                <w:sz w:val="18"/>
                <w:szCs w:val="18"/>
              </w:rPr>
              <w:t>Negative:</w:t>
            </w:r>
            <w:r w:rsidR="00186D4E">
              <w:rPr>
                <w:sz w:val="18"/>
                <w:szCs w:val="18"/>
              </w:rPr>
              <w:t xml:space="preserve"> </w:t>
            </w:r>
            <w:r w:rsidR="00CD1BF3">
              <w:rPr>
                <w:sz w:val="18"/>
                <w:szCs w:val="18"/>
              </w:rPr>
              <w:t>83%</w:t>
            </w:r>
            <w:r w:rsidR="0075618D">
              <w:rPr>
                <w:sz w:val="18"/>
                <w:szCs w:val="18"/>
              </w:rPr>
              <w:t xml:space="preserve"> (</w:t>
            </w:r>
            <w:r w:rsidR="00CD1BF3">
              <w:rPr>
                <w:i/>
                <w:iCs/>
                <w:sz w:val="18"/>
                <w:szCs w:val="18"/>
              </w:rPr>
              <w:t>p</w:t>
            </w:r>
            <w:r w:rsidR="00CD1BF3">
              <w:rPr>
                <w:sz w:val="18"/>
                <w:szCs w:val="18"/>
              </w:rPr>
              <w:t>=.87</w:t>
            </w:r>
            <w:r w:rsidR="0075618D">
              <w:rPr>
                <w:sz w:val="18"/>
                <w:szCs w:val="18"/>
              </w:rPr>
              <w:t>)</w:t>
            </w:r>
          </w:p>
        </w:tc>
      </w:tr>
      <w:tr w:rsidR="000E4532" w:rsidRPr="00201646" w14:paraId="0B2C2691" w14:textId="77777777" w:rsidTr="00592E7C">
        <w:tc>
          <w:tcPr>
            <w:tcW w:w="9061" w:type="dxa"/>
            <w:gridSpan w:val="5"/>
            <w:shd w:val="clear" w:color="auto" w:fill="E7FFBD" w:themeFill="background2" w:themeFillTint="33"/>
          </w:tcPr>
          <w:p w14:paraId="43D6313F" w14:textId="638F3154" w:rsidR="000E4532" w:rsidRDefault="000E4532" w:rsidP="00592E7C">
            <w:pPr>
              <w:pStyle w:val="BodyText"/>
              <w:spacing w:before="0" w:after="0" w:line="240" w:lineRule="auto"/>
              <w:jc w:val="center"/>
              <w:rPr>
                <w:sz w:val="20"/>
                <w:szCs w:val="20"/>
              </w:rPr>
            </w:pPr>
            <w:r>
              <w:rPr>
                <w:sz w:val="20"/>
                <w:szCs w:val="20"/>
              </w:rPr>
              <w:t>DBT</w:t>
            </w:r>
            <w:r>
              <w:rPr>
                <w:sz w:val="20"/>
                <w:szCs w:val="20"/>
                <w:vertAlign w:val="subscript"/>
              </w:rPr>
              <w:t xml:space="preserve">MLO </w:t>
            </w:r>
            <w:r>
              <w:rPr>
                <w:sz w:val="20"/>
                <w:szCs w:val="20"/>
              </w:rPr>
              <w:t>compared to FFDM alone</w:t>
            </w:r>
          </w:p>
        </w:tc>
      </w:tr>
      <w:tr w:rsidR="000E4532" w:rsidRPr="00201646" w14:paraId="39559A88" w14:textId="77777777" w:rsidTr="00592E7C">
        <w:tc>
          <w:tcPr>
            <w:tcW w:w="9061" w:type="dxa"/>
            <w:gridSpan w:val="5"/>
          </w:tcPr>
          <w:p w14:paraId="070080B0" w14:textId="77777777" w:rsidR="000E4532" w:rsidRPr="00201646" w:rsidRDefault="000E4532" w:rsidP="00592E7C">
            <w:pPr>
              <w:pStyle w:val="BodyText"/>
              <w:spacing w:before="0" w:after="0" w:line="240" w:lineRule="auto"/>
              <w:rPr>
                <w:b/>
                <w:bCs/>
                <w:sz w:val="18"/>
                <w:szCs w:val="18"/>
              </w:rPr>
            </w:pPr>
            <w:r>
              <w:rPr>
                <w:b/>
                <w:bCs/>
                <w:sz w:val="18"/>
                <w:szCs w:val="18"/>
              </w:rPr>
              <w:t>Prospective studies embedded in population-based screening</w:t>
            </w:r>
          </w:p>
        </w:tc>
      </w:tr>
      <w:tr w:rsidR="00F95422" w:rsidRPr="00201646" w14:paraId="265F2320" w14:textId="77777777" w:rsidTr="00F95422">
        <w:tc>
          <w:tcPr>
            <w:tcW w:w="1696" w:type="dxa"/>
          </w:tcPr>
          <w:p w14:paraId="47C860FE" w14:textId="77777777" w:rsidR="00F95422" w:rsidRDefault="00F95422" w:rsidP="00592E7C">
            <w:pPr>
              <w:pStyle w:val="BodyText"/>
              <w:spacing w:before="0" w:after="0" w:line="240" w:lineRule="auto"/>
              <w:rPr>
                <w:sz w:val="18"/>
                <w:szCs w:val="18"/>
              </w:rPr>
            </w:pPr>
            <w:r>
              <w:rPr>
                <w:sz w:val="18"/>
                <w:szCs w:val="18"/>
              </w:rPr>
              <w:t>Zackrisson et al. (2018)</w:t>
            </w:r>
          </w:p>
          <w:p w14:paraId="6D3DD8F2" w14:textId="77777777" w:rsidR="00F95422" w:rsidRPr="00201646" w:rsidRDefault="00F95422" w:rsidP="00592E7C">
            <w:pPr>
              <w:pStyle w:val="BodyText"/>
              <w:spacing w:before="0" w:after="0" w:line="240" w:lineRule="auto"/>
              <w:rPr>
                <w:sz w:val="18"/>
                <w:szCs w:val="18"/>
              </w:rPr>
            </w:pPr>
            <w:r>
              <w:rPr>
                <w:sz w:val="18"/>
                <w:szCs w:val="18"/>
              </w:rPr>
              <w:t>Malm</w:t>
            </w:r>
            <w:r>
              <w:rPr>
                <w:rFonts w:cstheme="majorHAnsi"/>
                <w:sz w:val="18"/>
                <w:szCs w:val="18"/>
              </w:rPr>
              <w:t>ö</w:t>
            </w:r>
          </w:p>
        </w:tc>
        <w:tc>
          <w:tcPr>
            <w:tcW w:w="1841" w:type="dxa"/>
          </w:tcPr>
          <w:p w14:paraId="78B8B299" w14:textId="77777777" w:rsidR="00F95422" w:rsidRPr="00201646" w:rsidRDefault="00F95422" w:rsidP="00592E7C">
            <w:pPr>
              <w:pStyle w:val="BodyText"/>
              <w:spacing w:before="0" w:after="0" w:line="240" w:lineRule="auto"/>
              <w:jc w:val="center"/>
              <w:rPr>
                <w:sz w:val="18"/>
                <w:szCs w:val="18"/>
              </w:rPr>
            </w:pPr>
            <w:r>
              <w:rPr>
                <w:sz w:val="18"/>
                <w:szCs w:val="18"/>
              </w:rPr>
              <w:t>NA</w:t>
            </w:r>
          </w:p>
        </w:tc>
        <w:tc>
          <w:tcPr>
            <w:tcW w:w="1841" w:type="dxa"/>
          </w:tcPr>
          <w:p w14:paraId="60A88CFE" w14:textId="77777777" w:rsidR="00F95422" w:rsidRDefault="00F95422" w:rsidP="00592E7C">
            <w:pPr>
              <w:pStyle w:val="BodyText"/>
              <w:spacing w:before="0" w:after="0" w:line="240" w:lineRule="auto"/>
              <w:jc w:val="left"/>
              <w:rPr>
                <w:sz w:val="18"/>
                <w:szCs w:val="18"/>
              </w:rPr>
            </w:pPr>
            <w:r>
              <w:rPr>
                <w:sz w:val="18"/>
                <w:szCs w:val="18"/>
              </w:rPr>
              <w:t>Positive: 22%</w:t>
            </w:r>
          </w:p>
          <w:p w14:paraId="3D35DE64" w14:textId="77777777" w:rsidR="00F95422" w:rsidRDefault="00F95422" w:rsidP="00592E7C">
            <w:pPr>
              <w:pStyle w:val="BodyText"/>
              <w:spacing w:before="0" w:after="0" w:line="240" w:lineRule="auto"/>
              <w:jc w:val="left"/>
              <w:rPr>
                <w:sz w:val="18"/>
                <w:szCs w:val="18"/>
              </w:rPr>
            </w:pPr>
            <w:r>
              <w:rPr>
                <w:sz w:val="18"/>
                <w:szCs w:val="18"/>
              </w:rPr>
              <w:t>Negative: 69%</w:t>
            </w:r>
          </w:p>
          <w:p w14:paraId="56A16E4E" w14:textId="77777777" w:rsidR="00F95422" w:rsidRPr="00321F3F" w:rsidRDefault="00F95422" w:rsidP="00592E7C">
            <w:pPr>
              <w:pStyle w:val="BodyText"/>
              <w:spacing w:before="0" w:after="0" w:line="240" w:lineRule="auto"/>
              <w:jc w:val="left"/>
              <w:rPr>
                <w:sz w:val="18"/>
                <w:szCs w:val="18"/>
              </w:rPr>
            </w:pPr>
            <w:r>
              <w:rPr>
                <w:sz w:val="18"/>
                <w:szCs w:val="18"/>
              </w:rPr>
              <w:t>NA: 8%</w:t>
            </w:r>
          </w:p>
        </w:tc>
        <w:tc>
          <w:tcPr>
            <w:tcW w:w="1841" w:type="dxa"/>
          </w:tcPr>
          <w:p w14:paraId="0A118739" w14:textId="77777777" w:rsidR="00F95422" w:rsidRDefault="00F95422" w:rsidP="00592E7C">
            <w:pPr>
              <w:pStyle w:val="BodyText"/>
              <w:spacing w:before="0" w:after="0" w:line="240" w:lineRule="auto"/>
              <w:rPr>
                <w:sz w:val="18"/>
                <w:szCs w:val="18"/>
              </w:rPr>
            </w:pPr>
            <w:r>
              <w:rPr>
                <w:sz w:val="18"/>
                <w:szCs w:val="18"/>
              </w:rPr>
              <w:t>Positive: 22%</w:t>
            </w:r>
          </w:p>
          <w:p w14:paraId="5D7D43DD" w14:textId="77777777" w:rsidR="00F95422" w:rsidRDefault="00F95422" w:rsidP="00592E7C">
            <w:pPr>
              <w:pStyle w:val="BodyText"/>
              <w:spacing w:before="0" w:after="0" w:line="240" w:lineRule="auto"/>
              <w:rPr>
                <w:sz w:val="18"/>
                <w:szCs w:val="18"/>
              </w:rPr>
            </w:pPr>
            <w:r>
              <w:rPr>
                <w:sz w:val="18"/>
                <w:szCs w:val="18"/>
              </w:rPr>
              <w:t>Negative: 67%</w:t>
            </w:r>
          </w:p>
          <w:p w14:paraId="29A14AEE" w14:textId="77777777" w:rsidR="00F95422" w:rsidRPr="00201646" w:rsidRDefault="00F95422" w:rsidP="00592E7C">
            <w:pPr>
              <w:pStyle w:val="BodyText"/>
              <w:spacing w:before="0" w:after="0" w:line="240" w:lineRule="auto"/>
              <w:rPr>
                <w:sz w:val="18"/>
                <w:szCs w:val="18"/>
              </w:rPr>
            </w:pPr>
            <w:r>
              <w:rPr>
                <w:sz w:val="18"/>
                <w:szCs w:val="18"/>
              </w:rPr>
              <w:t>NA: 5%</w:t>
            </w:r>
          </w:p>
        </w:tc>
        <w:tc>
          <w:tcPr>
            <w:tcW w:w="1842" w:type="dxa"/>
          </w:tcPr>
          <w:p w14:paraId="2BC4578A" w14:textId="77777777" w:rsidR="00F95422" w:rsidRPr="00201646" w:rsidRDefault="00F95422" w:rsidP="00592E7C">
            <w:pPr>
              <w:pStyle w:val="BodyText"/>
              <w:spacing w:before="0" w:after="0" w:line="240" w:lineRule="auto"/>
              <w:jc w:val="center"/>
              <w:rPr>
                <w:sz w:val="18"/>
                <w:szCs w:val="18"/>
              </w:rPr>
            </w:pPr>
            <w:r>
              <w:rPr>
                <w:sz w:val="18"/>
                <w:szCs w:val="18"/>
              </w:rPr>
              <w:t>NA</w:t>
            </w:r>
          </w:p>
        </w:tc>
      </w:tr>
    </w:tbl>
    <w:p w14:paraId="7601B7B9" w14:textId="6EE1F362" w:rsidR="00444116" w:rsidRPr="008D03F6" w:rsidRDefault="00762109" w:rsidP="00F44B87">
      <w:pPr>
        <w:pStyle w:val="NumberedHeading2"/>
      </w:pPr>
      <w:bookmarkStart w:id="337" w:name="_Toc43376319"/>
      <w:r w:rsidRPr="008D03F6">
        <w:lastRenderedPageBreak/>
        <w:t>Radiological presentation</w:t>
      </w:r>
      <w:bookmarkEnd w:id="337"/>
    </w:p>
    <w:p w14:paraId="161491EC" w14:textId="79139320" w:rsidR="00B76164" w:rsidRDefault="00B071CC" w:rsidP="00B76164">
      <w:pPr>
        <w:pStyle w:val="BodyText"/>
      </w:pPr>
      <w:r>
        <w:t>Suspicious mammographic findings may include distortion of normal breast tissue without a corresponding mass, architectural distortion (AD) a difference in breast density between the breasts (a global or focal asymmetry), specific patterns of microcalcifications or masses. Some primary mammographic features are clearly seen on FFDM (such as microcalcifications and some masses), whereas other presentations (like AD or asymmetries) can be subtle</w:t>
      </w:r>
      <w:r w:rsidR="00B76164">
        <w:t xml:space="preserve"> on FFDM</w:t>
      </w:r>
      <w:r>
        <w:t xml:space="preserve"> and </w:t>
      </w:r>
      <w:r w:rsidR="00B76164">
        <w:t xml:space="preserve">are </w:t>
      </w:r>
      <w:r>
        <w:t>much more difficult to detect. Using methods that improve visibility and clarity of primary mammographic findings (especially subtle findings like AD or focal asymmetry) has a positive impact on readers’ ability to detect areas suspicious for cancer and can improve diagnostic accuracy and reader performance.</w:t>
      </w:r>
      <w:r w:rsidR="00B76164" w:rsidRPr="00B76164">
        <w:t xml:space="preserve"> </w:t>
      </w:r>
      <w:r w:rsidR="00B76164">
        <w:t>We want to know, based on current evidence, whether DBT provides superior conspicuity of cancers by radiological presentation.</w:t>
      </w:r>
    </w:p>
    <w:p w14:paraId="1759355F" w14:textId="7E5B4EDA" w:rsidR="00BD45AD" w:rsidRDefault="00BD45AD" w:rsidP="00BD45AD">
      <w:pPr>
        <w:pStyle w:val="CV-Heading"/>
      </w:pPr>
      <w:r>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0FED017A" w14:textId="16DE2C95" w:rsidR="00B071CC" w:rsidRPr="00B071CC" w:rsidRDefault="00B071CC" w:rsidP="00B071CC">
      <w:pPr>
        <w:pStyle w:val="BodyText"/>
      </w:pPr>
      <w:r>
        <w:rPr>
          <w:i/>
          <w:iCs/>
        </w:rPr>
        <w:t>Allen + Clarke</w:t>
      </w:r>
      <w:r>
        <w:t>’s literature review of the role of tomosynthesis in the assessment of screen-detected abnormalities found that compared to FFDM, DBT improved the conspicuity of cancers presenting as AD and increased the overall detection of subtle AD (whether related to a malignant or a benign structure). Evidence suggested that AD presentation visible on DBT but occult on FFDM or ultrasound should be treated as suspicious for cancer given the high PPV</w:t>
      </w:r>
      <w:r>
        <w:rPr>
          <w:vertAlign w:val="subscript"/>
        </w:rPr>
        <w:t>3</w:t>
      </w:r>
      <w:r w:rsidRPr="00B071CC">
        <w:t>.</w:t>
      </w:r>
      <w:r>
        <w:t xml:space="preserve"> All studies (almost all of which were in mixed study populations) reported improved conspicuity of asymmetry with DBT.</w:t>
      </w:r>
      <w:r w:rsidRPr="00B071CC">
        <w:t xml:space="preserve"> </w:t>
      </w:r>
      <w:r>
        <w:t>The shape, texture and appearance of tissue in and around a mass is indicative of whether a mass is benign or suspicious for malignancy. Imaging with DBT often resulted in reclassification of primary mammographic finding from a focal asymmetry to a mass. Improved lesion conspicuity with DBT reduced tissue overlap making it easier to determine mass margin by removing ‘noise’ and making it easier to determine between masses suspicious for malignancy and those that were benign. There was sufficient evidence that DBT provides superior performance in terms of improving readers’ view of mass margins/soft tissue lesions.</w:t>
      </w:r>
      <w:r w:rsidR="008850DA">
        <w:t xml:space="preserve"> Bearing in mind that DCIS is easily seen on FFDM, overall, studies reported mixed results on whether DBT (either alone or as </w:t>
      </w:r>
      <w:r w:rsidR="00176980">
        <w:t>FFDM+DBT</w:t>
      </w:r>
      <w:r w:rsidR="008850DA">
        <w:t xml:space="preserve">) had equivalent or inferior performance in terms of detecting microcalcifications compared to FFDM. There was some consensus that DBT alone may not be sufficient for the detection of cancers presenting with microcalcification as the primary mammographic finding. There was consensus that image quality is now equivalent to or in some cases better than FFDM for microcalcifications. Viewing DBT as a slab (rather than a slice) showed some promise in improving DBT’s performance but further evidence of success </w:t>
      </w:r>
      <w:r w:rsidR="00A010D4">
        <w:t>wa</w:t>
      </w:r>
      <w:r w:rsidR="008850DA">
        <w:t>s required.</w:t>
      </w:r>
    </w:p>
    <w:p w14:paraId="45423F51" w14:textId="77777777" w:rsidR="00BD45AD" w:rsidRDefault="00BD45AD" w:rsidP="00BD45AD">
      <w:pPr>
        <w:pStyle w:val="CV-Heading"/>
      </w:pPr>
      <w:r>
        <w:t>Updated findings</w:t>
      </w:r>
    </w:p>
    <w:p w14:paraId="42B4A7C2" w14:textId="32BFDE47" w:rsidR="00FA60C4" w:rsidRDefault="00BD45AD" w:rsidP="00FA60C4">
      <w:pPr>
        <w:pStyle w:val="BodyText"/>
      </w:pPr>
      <w:r>
        <w:t xml:space="preserve">Literature published since 31 December 2017 reported on </w:t>
      </w:r>
      <w:r w:rsidR="00AF6F7D">
        <w:t>some of the radiographical presentations of cancers detected. There was not much content on this topic (usually available only in tables and with little author comment). The results presented were consistent with previous findings.</w:t>
      </w:r>
      <w:r w:rsidR="008D64FA">
        <w:t xml:space="preserve"> Because there is limited information about radiographical presentation, results are not segmented and presented by study type or in detailed data tables. Information is presented by radiological finding only.</w:t>
      </w:r>
      <w:r w:rsidR="00FA60C4">
        <w:t xml:space="preserve"> No systematic reviews of studies published since December 2017 have considered radiological presentation. Included studies are listed below.</w:t>
      </w:r>
    </w:p>
    <w:p w14:paraId="75224CA5" w14:textId="14A951FE" w:rsidR="00BD45AD" w:rsidRDefault="00BD45AD" w:rsidP="00BD45AD">
      <w:pPr>
        <w:pStyle w:val="Heading3"/>
      </w:pPr>
      <w:r>
        <w:lastRenderedPageBreak/>
        <w:tab/>
      </w:r>
      <w:bookmarkStart w:id="338" w:name="_Toc27477612"/>
      <w:bookmarkStart w:id="339" w:name="_Toc27665745"/>
      <w:bookmarkStart w:id="340" w:name="_Toc27844524"/>
      <w:bookmarkStart w:id="341" w:name="_Toc27859654"/>
      <w:bookmarkStart w:id="342" w:name="_Toc27904769"/>
      <w:bookmarkStart w:id="343" w:name="_Toc43376320"/>
      <w:r w:rsidR="00DA52CA">
        <w:t>L</w:t>
      </w:r>
      <w:r>
        <w:t>iterature review</w:t>
      </w:r>
      <w:bookmarkEnd w:id="338"/>
      <w:bookmarkEnd w:id="339"/>
      <w:bookmarkEnd w:id="340"/>
      <w:bookmarkEnd w:id="341"/>
      <w:bookmarkEnd w:id="342"/>
      <w:bookmarkEnd w:id="343"/>
    </w:p>
    <w:p w14:paraId="702E607C" w14:textId="2DD42CBA" w:rsidR="00576A6C" w:rsidRPr="00576A6C" w:rsidRDefault="00576A6C" w:rsidP="00576A6C">
      <w:pPr>
        <w:pStyle w:val="BodyText"/>
      </w:pPr>
      <w:r>
        <w:tab/>
      </w:r>
      <w:r w:rsidR="00696A0D">
        <w:t>One</w:t>
      </w:r>
      <w:r>
        <w:t xml:space="preserve"> literature review: Chong et al., 2019</w:t>
      </w:r>
    </w:p>
    <w:p w14:paraId="06C1E053" w14:textId="77777777" w:rsidR="00576A6C" w:rsidRDefault="00576A6C" w:rsidP="00576A6C">
      <w:pPr>
        <w:pStyle w:val="Heading3"/>
        <w:ind w:left="720"/>
      </w:pPr>
      <w:bookmarkStart w:id="344" w:name="_Toc27477613"/>
      <w:bookmarkStart w:id="345" w:name="_Toc27665746"/>
      <w:bookmarkStart w:id="346" w:name="_Toc27844525"/>
      <w:bookmarkStart w:id="347" w:name="_Toc27859655"/>
      <w:bookmarkStart w:id="348" w:name="_Toc27904770"/>
      <w:bookmarkStart w:id="349" w:name="_Toc43376321"/>
      <w:r>
        <w:t>Prospective studies embedded in population screening programs</w:t>
      </w:r>
      <w:bookmarkEnd w:id="344"/>
      <w:bookmarkEnd w:id="345"/>
      <w:bookmarkEnd w:id="346"/>
      <w:bookmarkEnd w:id="347"/>
      <w:bookmarkEnd w:id="348"/>
      <w:bookmarkEnd w:id="349"/>
    </w:p>
    <w:p w14:paraId="3FE353E5" w14:textId="3333D155" w:rsidR="00BD45AD" w:rsidRDefault="005866B2" w:rsidP="00D447F3">
      <w:pPr>
        <w:pStyle w:val="BodyText"/>
        <w:ind w:left="720"/>
      </w:pPr>
      <w:r>
        <w:t>Four studies (f</w:t>
      </w:r>
      <w:r w:rsidR="00E25690">
        <w:t>ive</w:t>
      </w:r>
      <w:r w:rsidR="00D447F3">
        <w:t xml:space="preserve"> </w:t>
      </w:r>
      <w:r>
        <w:t>papers)</w:t>
      </w:r>
      <w:r w:rsidR="00576A6C">
        <w:t xml:space="preserve">: </w:t>
      </w:r>
      <w:r w:rsidR="00E25690">
        <w:t xml:space="preserve">Skaane et al., 2019; </w:t>
      </w:r>
      <w:r w:rsidR="00576A6C">
        <w:t>Caumo et al., 2018</w:t>
      </w:r>
      <w:r w:rsidR="001F1EEA">
        <w:t>; Romero Martín et al., 2018;</w:t>
      </w:r>
      <w:r w:rsidR="00D447F3">
        <w:t xml:space="preserve"> Skaane et al., 2018;</w:t>
      </w:r>
      <w:r w:rsidR="001F1EEA">
        <w:t xml:space="preserve"> Zackrisson et al., 2018</w:t>
      </w:r>
    </w:p>
    <w:p w14:paraId="0F165F12" w14:textId="77777777" w:rsidR="00BD45AD" w:rsidRDefault="00BD45AD" w:rsidP="00BD45AD">
      <w:pPr>
        <w:pStyle w:val="Heading3"/>
        <w:ind w:firstLine="720"/>
      </w:pPr>
      <w:bookmarkStart w:id="350" w:name="_Toc27477614"/>
      <w:bookmarkStart w:id="351" w:name="_Toc27665747"/>
      <w:bookmarkStart w:id="352" w:name="_Toc27844526"/>
      <w:bookmarkStart w:id="353" w:name="_Toc27859656"/>
      <w:bookmarkStart w:id="354" w:name="_Toc27904771"/>
      <w:bookmarkStart w:id="355" w:name="_Toc43376322"/>
      <w:r>
        <w:t>Observational studies</w:t>
      </w:r>
      <w:bookmarkEnd w:id="350"/>
      <w:bookmarkEnd w:id="351"/>
      <w:bookmarkEnd w:id="352"/>
      <w:bookmarkEnd w:id="353"/>
      <w:bookmarkEnd w:id="354"/>
      <w:bookmarkEnd w:id="355"/>
    </w:p>
    <w:p w14:paraId="78BED621" w14:textId="1617C064" w:rsidR="00BD45AD" w:rsidRDefault="001A40F4" w:rsidP="00390AF8">
      <w:pPr>
        <w:pStyle w:val="BodyText"/>
        <w:ind w:left="720"/>
      </w:pPr>
      <w:r>
        <w:t>Five</w:t>
      </w:r>
      <w:r w:rsidR="00390AF8">
        <w:t xml:space="preserve"> </w:t>
      </w:r>
      <w:r w:rsidR="001F1EEA">
        <w:t>s</w:t>
      </w:r>
      <w:r w:rsidR="00BD45AD">
        <w:t>tudies with a retrospective design:</w:t>
      </w:r>
      <w:r w:rsidR="00AF6F7D">
        <w:t xml:space="preserve"> Bahl et al., 2019, </w:t>
      </w:r>
      <w:r w:rsidR="00335537">
        <w:t xml:space="preserve"> </w:t>
      </w:r>
      <w:r w:rsidR="00A91304">
        <w:t xml:space="preserve">Choi et al., 2019; </w:t>
      </w:r>
      <w:r>
        <w:t xml:space="preserve">Wasan et al., 2019; </w:t>
      </w:r>
      <w:r w:rsidR="00FC6784">
        <w:t>Lai et al., 2018</w:t>
      </w:r>
      <w:r w:rsidR="00F83AE4">
        <w:t>; Wahab et al., 2018</w:t>
      </w:r>
    </w:p>
    <w:p w14:paraId="6BFED8A1"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A235D7">
        <w:rPr>
          <w:b/>
          <w:bCs/>
        </w:rPr>
        <w:t>Summary of key findings published between 1 January 2018 and 31 December 2019</w:t>
      </w:r>
    </w:p>
    <w:p w14:paraId="283C7277" w14:textId="2AC97CAB" w:rsidR="000942E7" w:rsidRPr="000C0773"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Only a small number of studies (n=9) reported information on radiological presentation by different imaging protocol. Most confirmed previously known information: use of DBT detects more cancers presenting as AD than FFDM, masses are better defined in a DBT image and therefore DBT detects more cancers presenting as spiculated and circumscribed masses, and that FFDM depicts microcalcifications very well but s2DM is not inferior.</w:t>
      </w:r>
    </w:p>
    <w:p w14:paraId="217C4D73" w14:textId="412D977F" w:rsidR="00F44B87" w:rsidRDefault="00F44B87" w:rsidP="00F44B87">
      <w:pPr>
        <w:pStyle w:val="NumberedHeading3"/>
      </w:pPr>
      <w:bookmarkStart w:id="356" w:name="_Toc43376323"/>
      <w:r>
        <w:t>Architectural distortion</w:t>
      </w:r>
      <w:bookmarkEnd w:id="356"/>
    </w:p>
    <w:p w14:paraId="0B6CE8B6" w14:textId="497FB094" w:rsidR="00A95DDA" w:rsidRDefault="00A95DDA" w:rsidP="0072369A">
      <w:pPr>
        <w:pStyle w:val="BodyText"/>
      </w:pPr>
      <w:r>
        <w:t>Use of DBT results in increased detection of cancers presenting as AD due to improved conspicuity. This finding was consistent across a number of studies that reported on this presentation; however, we note that the overall number of cancers with and AD presentation is usually small.</w:t>
      </w:r>
    </w:p>
    <w:p w14:paraId="01B7C9B2" w14:textId="11AAEB08" w:rsidR="00805590" w:rsidRDefault="001F42EF" w:rsidP="00B92772">
      <w:pPr>
        <w:pStyle w:val="BodyText"/>
      </w:pPr>
      <w:r>
        <w:t xml:space="preserve">In the Verona screening </w:t>
      </w:r>
      <w:r w:rsidR="00A95DDA">
        <w:t xml:space="preserve">program </w:t>
      </w:r>
      <w:r>
        <w:t xml:space="preserve">evaluation (methodology described in </w:t>
      </w:r>
      <w:r>
        <w:rPr>
          <w:i/>
          <w:iCs/>
        </w:rPr>
        <w:t xml:space="preserve">section </w:t>
      </w:r>
      <w:r w:rsidR="00696A0D">
        <w:rPr>
          <w:i/>
          <w:iCs/>
        </w:rPr>
        <w:t>3.1.1</w:t>
      </w:r>
      <w:r>
        <w:t xml:space="preserve">), </w:t>
      </w:r>
      <w:r w:rsidR="0072369A">
        <w:t>Caumo et al. (2018)</w:t>
      </w:r>
      <w:r>
        <w:t xml:space="preserve"> reported that they detected more cancers presenting as AD with DBT+</w:t>
      </w:r>
      <w:r w:rsidR="00176980">
        <w:t>s2DM</w:t>
      </w:r>
      <w:r>
        <w:t xml:space="preserve"> (8.4 percent) compared to the previous screening rounds (5.1 percent; </w:t>
      </w:r>
      <w:r>
        <w:rPr>
          <w:i/>
          <w:iCs/>
        </w:rPr>
        <w:t>p</w:t>
      </w:r>
      <w:r>
        <w:t>=.40); however, this increase in detection was not significant.</w:t>
      </w:r>
      <w:r w:rsidR="00EA6AFC">
        <w:t xml:space="preserve"> </w:t>
      </w:r>
      <w:r w:rsidR="00241663">
        <w:t xml:space="preserve">Data from the Malmö trial also showed an increase in detection but only three cancers were involved, two of which were detected with DBT and one with FFDM (Zackrisson et al., 2018). </w:t>
      </w:r>
      <w:r w:rsidR="00805590">
        <w:t>Skaane et al. (2019) also reported more cancers presenting as AD and fewer false positives with the use of DBT (either FFDM+DBT or DBT+</w:t>
      </w:r>
      <w:r w:rsidR="00176980">
        <w:t>s2DM</w:t>
      </w:r>
      <w:r w:rsidR="00805590">
        <w:t xml:space="preserve"> compared to FFDM alone):</w:t>
      </w:r>
    </w:p>
    <w:p w14:paraId="52BBEBF2" w14:textId="133C4471" w:rsidR="00805590" w:rsidRDefault="00805590" w:rsidP="00805590">
      <w:pPr>
        <w:pStyle w:val="List-BulletLvl1"/>
      </w:pPr>
      <w:r>
        <w:t>FFDM alone: nine true positives (5.9</w:t>
      </w:r>
      <w:r w:rsidR="0075618D">
        <w:t xml:space="preserve"> percent</w:t>
      </w:r>
      <w:r>
        <w:t xml:space="preserve">); </w:t>
      </w:r>
      <w:r w:rsidR="009146C8">
        <w:t>158 false positives (11.4</w:t>
      </w:r>
      <w:r w:rsidR="0075618D">
        <w:t xml:space="preserve"> percent</w:t>
      </w:r>
      <w:r w:rsidR="009146C8">
        <w:t>)</w:t>
      </w:r>
    </w:p>
    <w:p w14:paraId="4B4822E5" w14:textId="4DEE35C2" w:rsidR="00805590" w:rsidRDefault="005F609E" w:rsidP="00805590">
      <w:pPr>
        <w:pStyle w:val="List-BulletLvl1"/>
      </w:pPr>
      <w:r>
        <w:t>FFDM+DBT</w:t>
      </w:r>
      <w:r w:rsidR="00805590">
        <w:t>: 31 true positives (15.7</w:t>
      </w:r>
      <w:r w:rsidR="0075618D">
        <w:t xml:space="preserve"> percent</w:t>
      </w:r>
      <w:r w:rsidR="00805590">
        <w:t>)</w:t>
      </w:r>
      <w:r w:rsidR="009146C8">
        <w:t>; 153 false positives (12.7</w:t>
      </w:r>
      <w:r w:rsidR="0075618D">
        <w:t xml:space="preserve"> percent</w:t>
      </w:r>
      <w:r w:rsidR="009146C8">
        <w:t>), and</w:t>
      </w:r>
    </w:p>
    <w:p w14:paraId="182B221D" w14:textId="2A620D13" w:rsidR="00805590" w:rsidRDefault="005F609E" w:rsidP="00805590">
      <w:pPr>
        <w:pStyle w:val="List-BulletLvl1"/>
      </w:pPr>
      <w:r>
        <w:t>DBT+</w:t>
      </w:r>
      <w:r w:rsidR="00176980">
        <w:t>s2DM</w:t>
      </w:r>
      <w:r w:rsidR="00805590">
        <w:t>: 28 true positives (</w:t>
      </w:r>
      <w:r w:rsidR="009146C8">
        <w:t>14.4</w:t>
      </w:r>
      <w:r w:rsidR="0075618D">
        <w:t xml:space="preserve"> percent</w:t>
      </w:r>
      <w:r w:rsidR="009146C8">
        <w:t>);  162 false positives (14.6</w:t>
      </w:r>
      <w:r w:rsidR="0075618D">
        <w:t xml:space="preserve"> percent</w:t>
      </w:r>
      <w:r w:rsidR="009146C8">
        <w:t>).</w:t>
      </w:r>
    </w:p>
    <w:p w14:paraId="11700283" w14:textId="3B56DCA9" w:rsidR="00CA2A4B" w:rsidRDefault="00CA2A4B" w:rsidP="00B92772">
      <w:pPr>
        <w:pStyle w:val="BodyText"/>
      </w:pPr>
      <w:r>
        <w:t>Bahl et al.</w:t>
      </w:r>
      <w:r w:rsidR="0096179A">
        <w:t xml:space="preserve"> </w:t>
      </w:r>
      <w:r>
        <w:t>(2019) reported statistically significant results showing an increase in cancers presenting as AD with DBT (1.5 percent) compared to FFDM (1.4 percent</w:t>
      </w:r>
      <w:r w:rsidR="00873F23">
        <w:t xml:space="preserve">, </w:t>
      </w:r>
      <w:r w:rsidR="00873F23">
        <w:rPr>
          <w:i/>
          <w:iCs/>
        </w:rPr>
        <w:t>p</w:t>
      </w:r>
      <w:r w:rsidR="00873F23">
        <w:t>=.04</w:t>
      </w:r>
      <w:r>
        <w:t xml:space="preserve">). </w:t>
      </w:r>
    </w:p>
    <w:p w14:paraId="1154FF4E" w14:textId="21822DD6" w:rsidR="00AF6F7D" w:rsidRDefault="00EA6AFC" w:rsidP="00B92772">
      <w:pPr>
        <w:pStyle w:val="BodyText"/>
      </w:pPr>
      <w:r>
        <w:t>Romero Mart</w:t>
      </w:r>
      <w:r w:rsidR="0050516A">
        <w:t>í</w:t>
      </w:r>
      <w:r>
        <w:t>n</w:t>
      </w:r>
      <w:r w:rsidR="0050516A">
        <w:t xml:space="preserve"> et al. (2018)</w:t>
      </w:r>
      <w:r>
        <w:t xml:space="preserve"> </w:t>
      </w:r>
      <w:r w:rsidR="00A95DDA">
        <w:t xml:space="preserve">also </w:t>
      </w:r>
      <w:r>
        <w:t>reported that all cancers presenting as AD were detected with DBT by both readers whereas only 40</w:t>
      </w:r>
      <w:r w:rsidR="00A95DDA">
        <w:t xml:space="preserve"> percent of cancers presenting as AD</w:t>
      </w:r>
      <w:r>
        <w:t xml:space="preserve"> were detected with FFDM</w:t>
      </w:r>
      <w:r w:rsidR="00A95DDA">
        <w:t>, which i</w:t>
      </w:r>
      <w:r>
        <w:t>ndicat</w:t>
      </w:r>
      <w:r w:rsidR="00A95DDA">
        <w:t>ed</w:t>
      </w:r>
      <w:r>
        <w:t xml:space="preserve"> that </w:t>
      </w:r>
      <w:r w:rsidR="00A95DDA">
        <w:t>cancers presenting as AD are easier to see on DBT</w:t>
      </w:r>
      <w:r w:rsidR="006772FD">
        <w:t>.</w:t>
      </w:r>
      <w:r w:rsidR="00241663">
        <w:t xml:space="preserve"> </w:t>
      </w:r>
      <w:r w:rsidR="00DA52CA">
        <w:t>T</w:t>
      </w:r>
      <w:r w:rsidR="00241663">
        <w:t>he authors also noted that AD is also often associated with benign lesions but that no difference in PPV</w:t>
      </w:r>
      <w:r w:rsidR="00241663">
        <w:rPr>
          <w:vertAlign w:val="subscript"/>
        </w:rPr>
        <w:t xml:space="preserve">3 </w:t>
      </w:r>
      <w:r w:rsidR="00241663" w:rsidRPr="00241663">
        <w:t>was</w:t>
      </w:r>
      <w:r w:rsidR="00241663">
        <w:t xml:space="preserve"> detected between DBT and FFDM reading arms.</w:t>
      </w:r>
      <w:r w:rsidR="00CA2A4B">
        <w:rPr>
          <w:vertAlign w:val="subscript"/>
        </w:rPr>
        <w:t xml:space="preserve"> </w:t>
      </w:r>
      <w:r w:rsidR="00CF3CDE">
        <w:t>Chong et al. (2019) also cited a small, retrospective study on AD only detected with DBT. DBT-only AD had a much lower PPV</w:t>
      </w:r>
      <w:r w:rsidR="00CF3CDE">
        <w:rPr>
          <w:vertAlign w:val="subscript"/>
        </w:rPr>
        <w:t xml:space="preserve">3 </w:t>
      </w:r>
      <w:r w:rsidR="00CF3CDE" w:rsidRPr="00CF3CDE">
        <w:t>(</w:t>
      </w:r>
      <w:r w:rsidR="00CF3CDE">
        <w:t xml:space="preserve">10.2 </w:t>
      </w:r>
      <w:r w:rsidR="00CF3CDE">
        <w:lastRenderedPageBreak/>
        <w:t>percent</w:t>
      </w:r>
      <w:r w:rsidR="00CF3CDE" w:rsidRPr="00CF3CDE">
        <w:t>)</w:t>
      </w:r>
      <w:r w:rsidR="00CF3CDE">
        <w:t xml:space="preserve"> compared to AD detected with FFDM (43.4 percent, </w:t>
      </w:r>
      <w:r w:rsidR="00CF3CDE">
        <w:rPr>
          <w:i/>
          <w:iCs/>
        </w:rPr>
        <w:t>p</w:t>
      </w:r>
      <w:r w:rsidR="00CF3CDE" w:rsidRPr="00CF3CDE">
        <w:t>&lt;.001</w:t>
      </w:r>
      <w:r w:rsidR="00CF3CDE">
        <w:t>)</w:t>
      </w:r>
      <w:r w:rsidR="00CA2A4B">
        <w:t>, suggesting that more benign lesions presenting as AD are detected with DBT</w:t>
      </w:r>
      <w:r w:rsidR="00CF3CDE">
        <w:t xml:space="preserve">. </w:t>
      </w:r>
      <w:r w:rsidR="004E6321">
        <w:t xml:space="preserve">Therefore, if an AD is only seen on DBT imaging, it may represent an additional assessment burden for a final benign outcome that could be avoided by using both DBT and a two-dimensional image (such as </w:t>
      </w:r>
      <w:r w:rsidR="00176980">
        <w:t>s2DM</w:t>
      </w:r>
      <w:r w:rsidR="004E6321">
        <w:t xml:space="preserve"> or DM</w:t>
      </w:r>
      <w:r w:rsidR="004E6321">
        <w:rPr>
          <w:vertAlign w:val="subscript"/>
        </w:rPr>
        <w:t>CC</w:t>
      </w:r>
      <w:r w:rsidR="004E6321">
        <w:t xml:space="preserve"> </w:t>
      </w:r>
      <w:r w:rsidR="004E6321" w:rsidRPr="004E6321">
        <w:t>or</w:t>
      </w:r>
      <w:r w:rsidR="004E6321">
        <w:rPr>
          <w:vertAlign w:val="subscript"/>
        </w:rPr>
        <w:t xml:space="preserve"> </w:t>
      </w:r>
      <w:r w:rsidR="004E6321">
        <w:t>DM</w:t>
      </w:r>
      <w:r w:rsidR="004E6321" w:rsidRPr="004E6321">
        <w:rPr>
          <w:vertAlign w:val="subscript"/>
        </w:rPr>
        <w:t>MLO</w:t>
      </w:r>
      <w:r w:rsidR="004E6321">
        <w:rPr>
          <w:vertAlign w:val="subscript"/>
        </w:rPr>
        <w:t xml:space="preserve"> </w:t>
      </w:r>
      <w:r w:rsidR="004E6321" w:rsidRPr="004E6321">
        <w:t>depe</w:t>
      </w:r>
      <w:r w:rsidR="004E6321">
        <w:t>nding on the DBT projection in which the AD is detected).</w:t>
      </w:r>
      <w:r w:rsidR="00AF6F7D">
        <w:t xml:space="preserve"> </w:t>
      </w:r>
    </w:p>
    <w:p w14:paraId="45447B79" w14:textId="7DD7D091" w:rsidR="00CE7414" w:rsidRPr="00CA2A4B" w:rsidRDefault="00CE7414" w:rsidP="00B92772">
      <w:pPr>
        <w:pStyle w:val="BodyText"/>
        <w:rPr>
          <w:vertAlign w:val="subscript"/>
        </w:rPr>
      </w:pPr>
      <w:r>
        <w:t>Skaane et al. (2018) also provided some final summary data from the OTS and reported that 14 of the cancers only detected with FFDM+DBT presented as AD (27 percent).</w:t>
      </w:r>
    </w:p>
    <w:p w14:paraId="0201CDA3" w14:textId="10EB34AE" w:rsidR="00F44B87" w:rsidRDefault="005F609E" w:rsidP="00F44B87">
      <w:pPr>
        <w:pStyle w:val="NumberedHeading3"/>
      </w:pPr>
      <w:bookmarkStart w:id="357" w:name="_Toc43376324"/>
      <w:r>
        <w:t>Asymmetric density</w:t>
      </w:r>
      <w:bookmarkEnd w:id="357"/>
    </w:p>
    <w:p w14:paraId="2C9EF4C4" w14:textId="48438B39" w:rsidR="00D73B71" w:rsidRPr="00D73B71" w:rsidRDefault="00D73B71" w:rsidP="00D73B71">
      <w:pPr>
        <w:pStyle w:val="BodyText"/>
      </w:pPr>
      <w:r>
        <w:t>Only a few studies commented on cancers presenting as focal asymmetries and the</w:t>
      </w:r>
      <w:r w:rsidR="00DA52CA">
        <w:t xml:space="preserve"> </w:t>
      </w:r>
      <w:r>
        <w:t>number</w:t>
      </w:r>
      <w:r w:rsidR="00DA52CA">
        <w:t xml:space="preserve"> of cancers presenting as asymmetric density</w:t>
      </w:r>
      <w:r>
        <w:t xml:space="preserve"> </w:t>
      </w:r>
      <w:r w:rsidR="00DA52CA">
        <w:t xml:space="preserve">was </w:t>
      </w:r>
      <w:r>
        <w:t>extremely small</w:t>
      </w:r>
      <w:r w:rsidR="00DA52CA">
        <w:t xml:space="preserve">. This </w:t>
      </w:r>
      <w:r>
        <w:t>did not provide much useful information (for example, Romero Martín et al. reported that three cancers presented as asymmetries, and two were detected with FFDM compared on one detected with DBT).</w:t>
      </w:r>
      <w:r w:rsidR="005F609E">
        <w:t xml:space="preserve"> Skaane et al. (2019) reported that, with the use of DBT, false positives associated with asymmetric density decreased (from 406 false positives with FFDM compared to 207 with FFDM+DBT or 168 false positives with DBT+</w:t>
      </w:r>
      <w:r w:rsidR="00176980">
        <w:t>s2DM</w:t>
      </w:r>
      <w:r w:rsidR="005F609E">
        <w:t>).</w:t>
      </w:r>
      <w:r w:rsidR="004521ED">
        <w:t xml:space="preserve"> This may represent a decrease in recalls and </w:t>
      </w:r>
      <w:r w:rsidR="00885A1C">
        <w:t>investigation</w:t>
      </w:r>
      <w:r w:rsidR="004521ED">
        <w:t>s for these malignancy presentations when DBT is used.</w:t>
      </w:r>
    </w:p>
    <w:p w14:paraId="1417238B" w14:textId="0090F2B0" w:rsidR="00F44B87" w:rsidRDefault="00F44B87" w:rsidP="00F44B87">
      <w:pPr>
        <w:pStyle w:val="NumberedHeading3"/>
      </w:pPr>
      <w:bookmarkStart w:id="358" w:name="_Toc43376325"/>
      <w:r>
        <w:t>Masses</w:t>
      </w:r>
      <w:bookmarkEnd w:id="358"/>
    </w:p>
    <w:p w14:paraId="4E76C899" w14:textId="29552C39" w:rsidR="00CE7414" w:rsidRPr="00CA2A4B" w:rsidRDefault="0001267F" w:rsidP="00CE7414">
      <w:pPr>
        <w:pStyle w:val="BodyText"/>
        <w:rPr>
          <w:vertAlign w:val="subscript"/>
        </w:rPr>
      </w:pPr>
      <w:r>
        <w:t xml:space="preserve">DBT </w:t>
      </w:r>
      <w:r w:rsidR="00A1054C">
        <w:t xml:space="preserve">provides improved visualisation and conspicuity of masses, and researchers indicated that more cancers presenting as spiculated and circumscribed masses were detected with DBT compared to FFDM alone. For example, </w:t>
      </w:r>
      <w:r w:rsidR="00EA6AFC">
        <w:t>Romero Mar</w:t>
      </w:r>
      <w:r w:rsidR="00A1054C">
        <w:t xml:space="preserve">tín et al. (2018) reported that </w:t>
      </w:r>
      <w:r w:rsidR="00D73B71">
        <w:t>100</w:t>
      </w:r>
      <w:r w:rsidR="00A1054C">
        <w:t xml:space="preserve"> percent of cancers presenting as </w:t>
      </w:r>
      <w:r w:rsidR="00D73B71">
        <w:t>mass were detected with DBT compa</w:t>
      </w:r>
      <w:r w:rsidR="00A1054C">
        <w:t>r</w:t>
      </w:r>
      <w:r w:rsidR="00D73B71">
        <w:t>ed to 92.7</w:t>
      </w:r>
      <w:r w:rsidR="00A1054C">
        <w:t xml:space="preserve"> percent</w:t>
      </w:r>
      <w:r w:rsidR="00D73B71">
        <w:t xml:space="preserve"> with FFDM</w:t>
      </w:r>
      <w:r w:rsidR="00A1054C">
        <w:t>. More masses were detected in Bahl et al.’s retrospective analysis: 5.6 percent of cancers detected with DBT presented as a mass compared to 1.4 percent of FFDM-detected cancers.</w:t>
      </w:r>
      <w:r w:rsidR="003470C7">
        <w:t xml:space="preserve"> </w:t>
      </w:r>
      <w:r w:rsidR="00CF798E">
        <w:t>Johnson et al.</w:t>
      </w:r>
      <w:r w:rsidR="00A1054C">
        <w:t xml:space="preserve"> (2019)</w:t>
      </w:r>
      <w:r w:rsidR="00CF798E">
        <w:t xml:space="preserve"> reported dat</w:t>
      </w:r>
      <w:r w:rsidR="00A1054C">
        <w:t>a</w:t>
      </w:r>
      <w:r w:rsidR="00CF798E">
        <w:t xml:space="preserve"> from </w:t>
      </w:r>
      <w:r w:rsidR="00A1054C">
        <w:t xml:space="preserve">the </w:t>
      </w:r>
      <w:r w:rsidR="00CF798E">
        <w:t>Malm</w:t>
      </w:r>
      <w:r w:rsidR="00A1054C">
        <w:t>ö trial but noted that there was not much difference between the two imaging protocols, although DBT was likely to result in more spiculated masses, which are often associated with ILC (which is less conspicuous on FFDM).</w:t>
      </w:r>
      <w:r w:rsidR="00CE7414">
        <w:t xml:space="preserve"> Skaane et al. (2018) also provided final summary data from the OTS and reported that 27 of the cancers only detected with FFDM+DBT presented as spiculated masses (52 percent).</w:t>
      </w:r>
    </w:p>
    <w:p w14:paraId="24B0D31C" w14:textId="20C26172" w:rsidR="001A40F4" w:rsidRDefault="001A40F4" w:rsidP="00CF798E">
      <w:pPr>
        <w:pStyle w:val="BodyText"/>
      </w:pPr>
      <w:r>
        <w:t>Wasan et al. (2019)</w:t>
      </w:r>
      <w:r w:rsidR="009255B3">
        <w:t xml:space="preserve"> assessed whether DBT can accurately predict if circumscribed masses are benign based on margin sharpness. Better delineation between circumscribed masses with a benign final outcome and those that are malignant is an important way to reduce the false positive recall rates in screening programs. The authors </w:t>
      </w:r>
      <w:r w:rsidR="0078201C">
        <w:t xml:space="preserve">reviewed </w:t>
      </w:r>
      <w:r w:rsidR="0030210A">
        <w:t>122</w:t>
      </w:r>
      <w:r w:rsidR="0078201C">
        <w:t xml:space="preserve"> lesions (drawn from the NHS UK screening population)</w:t>
      </w:r>
      <w:r w:rsidR="00B01BEF">
        <w:t xml:space="preserve"> and reported that, when FFDM was used, only 9.3 percent of masses </w:t>
      </w:r>
      <w:r w:rsidR="00DA52CA">
        <w:t xml:space="preserve">were </w:t>
      </w:r>
      <w:r w:rsidR="00B01BEF">
        <w:t>defined as having a margin visibility of greater than 50 percent (indicating better margin sharpness)</w:t>
      </w:r>
      <w:r w:rsidR="0078201C">
        <w:t xml:space="preserve">. </w:t>
      </w:r>
      <w:r w:rsidR="00B01BEF">
        <w:t xml:space="preserve">When DBT was used, 50.5 percent of lesion had a margin visibility of greater than 50 percent. </w:t>
      </w:r>
      <w:r w:rsidR="0078201C">
        <w:t>Margin visibility was better seen when DBT was used</w:t>
      </w:r>
      <w:r w:rsidR="00053E5E">
        <w:t xml:space="preserve"> but the authors also noted that all radiological features need to be considered before deciding whether to recall someone for a mass</w:t>
      </w:r>
      <w:r w:rsidR="00804622">
        <w:t>.</w:t>
      </w:r>
    </w:p>
    <w:p w14:paraId="53F6BE0D" w14:textId="4597F875" w:rsidR="00F44B87" w:rsidRDefault="00F44B87" w:rsidP="00F44B87">
      <w:pPr>
        <w:pStyle w:val="NumberedHeading3"/>
      </w:pPr>
      <w:bookmarkStart w:id="359" w:name="_Toc43376326"/>
      <w:r>
        <w:t>Microcalcifications</w:t>
      </w:r>
      <w:bookmarkEnd w:id="359"/>
      <w:r>
        <w:t xml:space="preserve"> </w:t>
      </w:r>
    </w:p>
    <w:p w14:paraId="1C6C6BCC" w14:textId="1703C3B0" w:rsidR="00390AF8" w:rsidRDefault="0001267F" w:rsidP="003A0D66">
      <w:pPr>
        <w:pStyle w:val="BodyText"/>
      </w:pPr>
      <w:r>
        <w:t>FFDM is an excellent imaging tool for detecting microcalcifications</w:t>
      </w:r>
      <w:r w:rsidR="003A0D66">
        <w:t xml:space="preserve">. One of the challenges associated with implementing DBT in the screening environment is that the slice/slabbing techniques used may not provide superior visibility of microcalcifications compared to that seen </w:t>
      </w:r>
      <w:r w:rsidR="003A0D66">
        <w:lastRenderedPageBreak/>
        <w:t xml:space="preserve">with FFDM; however, </w:t>
      </w:r>
      <w:r>
        <w:t>previous research suggest</w:t>
      </w:r>
      <w:r w:rsidR="003A0D66">
        <w:t>ed</w:t>
      </w:r>
      <w:r>
        <w:t xml:space="preserve"> that DBT+</w:t>
      </w:r>
      <w:r w:rsidR="00176980">
        <w:t>s2DM</w:t>
      </w:r>
      <w:r>
        <w:t xml:space="preserve"> is not inferior to this (see </w:t>
      </w:r>
      <w:r>
        <w:rPr>
          <w:i/>
          <w:iCs/>
        </w:rPr>
        <w:t>Allen + Clarke</w:t>
      </w:r>
      <w:r>
        <w:t>’s previous literature review). Research published since 31 December 2017 confirms this finding.</w:t>
      </w:r>
      <w:r w:rsidR="00E63F8D">
        <w:t xml:space="preserve"> Quick summary results include data from a d</w:t>
      </w:r>
      <w:r w:rsidR="00F0095D">
        <w:t>etailed assessment of tumour characteristics from cancer detected in the Malmö trial (Johnson et al., 2019)</w:t>
      </w:r>
      <w:r w:rsidR="00E63F8D">
        <w:t>, which</w:t>
      </w:r>
      <w:r w:rsidR="00F0095D">
        <w:t xml:space="preserve"> showed that DBT</w:t>
      </w:r>
      <w:r w:rsidR="00F0095D">
        <w:rPr>
          <w:vertAlign w:val="subscript"/>
        </w:rPr>
        <w:t xml:space="preserve">MLO </w:t>
      </w:r>
      <w:r w:rsidR="00F0095D">
        <w:t>did not detect more cancers presenting as microcalcifications compared to FFDM because these are conspicuous on FFDM. Romero Martín et al. (2018) also observed no difference in cancers presenting as microcalcifications (double reading of both FFDM and DBT detected 80.9 percent of cancers presenting with calcification). Bahl et al.</w:t>
      </w:r>
      <w:r w:rsidR="00696A0D">
        <w:t xml:space="preserve"> </w:t>
      </w:r>
      <w:r w:rsidR="00F0095D">
        <w:t>(2019) showed fewer cancers presenting as microcalcifications when DBT was used (28.3 percent compared to 36 percent with FFDM).</w:t>
      </w:r>
      <w:r w:rsidR="00390AF8">
        <w:t xml:space="preserve"> </w:t>
      </w:r>
    </w:p>
    <w:p w14:paraId="120D7B1A" w14:textId="6240EE8F" w:rsidR="00A91304" w:rsidRDefault="001E4DEB" w:rsidP="00A91304">
      <w:pPr>
        <w:pStyle w:val="BodyText"/>
      </w:pPr>
      <w:r>
        <w:t xml:space="preserve">Chong et al. (2019) completed a literature on clinical practice use of DBT. </w:t>
      </w:r>
      <w:r w:rsidR="00DA52CA">
        <w:t>T</w:t>
      </w:r>
      <w:r>
        <w:t xml:space="preserve">hey reported on </w:t>
      </w:r>
      <w:r w:rsidR="00FC6784">
        <w:t xml:space="preserve">two </w:t>
      </w:r>
      <w:r>
        <w:t>retrospective observer stud</w:t>
      </w:r>
      <w:r w:rsidR="00FC6784">
        <w:t xml:space="preserve">ies: Choi et al. (2019) and </w:t>
      </w:r>
      <w:r>
        <w:t>Lai et al.</w:t>
      </w:r>
      <w:r w:rsidR="00FC6784">
        <w:t xml:space="preserve"> (2018)</w:t>
      </w:r>
      <w:r>
        <w:t xml:space="preserve"> (also identified in our search).</w:t>
      </w:r>
      <w:r w:rsidR="00FC6784">
        <w:t xml:space="preserve"> </w:t>
      </w:r>
      <w:r w:rsidR="00A91304">
        <w:t xml:space="preserve">Both of these studies reported few differences between the ability of readers to detect cancers presenting as microcalcifications. </w:t>
      </w:r>
      <w:r w:rsidR="00FC6784">
        <w:t>In Lai et al.’s study, four readers compared DBT+</w:t>
      </w:r>
      <w:r w:rsidR="00176980">
        <w:t>s2DM</w:t>
      </w:r>
      <w:r w:rsidR="00FC6784">
        <w:t xml:space="preserve"> to FFDM for the detection of microcalcifications, using 72 consecutive screening mammograms recalled because of a microcalcification presentation (18 of which were cancers) and 20 FFDM mammograms. </w:t>
      </w:r>
      <w:r w:rsidR="000564C0">
        <w:t>Similar observer performance was reported for microcalcification assessment with DBT+</w:t>
      </w:r>
      <w:r w:rsidR="00176980">
        <w:t>s2DM</w:t>
      </w:r>
      <w:r w:rsidR="000564C0">
        <w:t xml:space="preserve"> and FFDM alone (DBT+</w:t>
      </w:r>
      <w:r w:rsidR="00176980">
        <w:t>s2DM</w:t>
      </w:r>
      <w:r w:rsidR="007B5B3B">
        <w:t xml:space="preserve"> kappa value</w:t>
      </w:r>
      <w:r w:rsidR="000564C0">
        <w:t xml:space="preserve">: </w:t>
      </w:r>
      <w:r w:rsidR="000564C0" w:rsidRPr="00FC6784">
        <w:t>0.63</w:t>
      </w:r>
      <w:r w:rsidR="000564C0">
        <w:t xml:space="preserve">, </w:t>
      </w:r>
      <w:r w:rsidR="000564C0">
        <w:rPr>
          <w:i/>
          <w:iCs/>
        </w:rPr>
        <w:t>p</w:t>
      </w:r>
      <w:r w:rsidR="000564C0">
        <w:t>&lt;</w:t>
      </w:r>
      <w:r w:rsidR="000564C0" w:rsidRPr="00FC6784">
        <w:t>.001</w:t>
      </w:r>
      <w:r w:rsidR="000564C0">
        <w:t>; FFDM</w:t>
      </w:r>
      <w:r w:rsidR="00FC6784" w:rsidRPr="00FC6784">
        <w:t xml:space="preserve"> kappa value</w:t>
      </w:r>
      <w:r w:rsidR="007B5B3B">
        <w:t>:</w:t>
      </w:r>
      <w:r w:rsidR="00FC6784" w:rsidRPr="00FC6784">
        <w:t xml:space="preserve"> 0.66</w:t>
      </w:r>
      <w:r w:rsidR="000564C0">
        <w:t xml:space="preserve">, </w:t>
      </w:r>
      <w:r w:rsidR="000564C0">
        <w:rPr>
          <w:i/>
          <w:iCs/>
        </w:rPr>
        <w:t>p&lt;</w:t>
      </w:r>
      <w:r w:rsidR="00FC6784" w:rsidRPr="00FC6784">
        <w:t>.001)</w:t>
      </w:r>
      <w:r w:rsidR="007B5B3B">
        <w:t>. Similar combined reader sensitivity results for cancers were reported for both DBT+</w:t>
      </w:r>
      <w:r w:rsidR="00176980">
        <w:t>s2DM</w:t>
      </w:r>
      <w:r w:rsidR="007B5B3B">
        <w:t xml:space="preserve"> (94</w:t>
      </w:r>
      <w:r w:rsidR="00176980">
        <w:t xml:space="preserve"> percent</w:t>
      </w:r>
      <w:r w:rsidR="007B5B3B">
        <w:t>) and FFDM (92</w:t>
      </w:r>
      <w:r w:rsidR="00176980">
        <w:t xml:space="preserve"> percent</w:t>
      </w:r>
      <w:r w:rsidR="007B5B3B">
        <w:t>). Combined reader specificity was also similar: for cancers presenting as microcalcifications DBT+</w:t>
      </w:r>
      <w:r w:rsidR="00176980">
        <w:t>s2DM</w:t>
      </w:r>
      <w:r w:rsidR="007B5B3B">
        <w:t xml:space="preserve"> was </w:t>
      </w:r>
      <w:r w:rsidR="00A91304">
        <w:t>95</w:t>
      </w:r>
      <w:r w:rsidR="004F6A90">
        <w:t xml:space="preserve"> percent</w:t>
      </w:r>
      <w:r w:rsidR="00A91304">
        <w:t xml:space="preserve">, for FFDM it was 98%. Choi et al. (2019) reviewed 198 cancers each with DM, </w:t>
      </w:r>
      <w:r w:rsidR="00176980">
        <w:t>s2DM</w:t>
      </w:r>
      <w:r w:rsidR="00A91304">
        <w:t xml:space="preserve"> and DBT images (i.e., </w:t>
      </w:r>
      <w:r w:rsidR="00885A1C">
        <w:t>investigative</w:t>
      </w:r>
      <w:r w:rsidR="00A91304">
        <w:t xml:space="preserve"> images). They reported that, in terms of diagnostic performance, there was little difference in AUROC measures.</w:t>
      </w:r>
      <w:r w:rsidR="00917046">
        <w:t xml:space="preserve"> </w:t>
      </w:r>
      <w:r w:rsidR="00F83AE4">
        <w:t xml:space="preserve">Wahab et al. (2018) also completed a two-reader retrospective review to determine if </w:t>
      </w:r>
      <w:r w:rsidR="00176980">
        <w:t>s2DM</w:t>
      </w:r>
      <w:r w:rsidR="00F83AE4">
        <w:t xml:space="preserve"> was equivalent to FFDM for the detection of calcifications in terms of BIRADS assessment. They reported that there was moderate to substantial agreement between the two imaging methods, concluding that </w:t>
      </w:r>
      <w:r w:rsidR="00176980">
        <w:t>s2DM</w:t>
      </w:r>
      <w:r w:rsidR="00F83AE4">
        <w:t xml:space="preserve"> can be used instead of FFDM with no decrease detection of cancers presenting as microcalcifications. </w:t>
      </w:r>
      <w:r w:rsidR="00917046">
        <w:t xml:space="preserve">Together, these studies build on the advice in </w:t>
      </w:r>
      <w:r w:rsidR="00917046">
        <w:rPr>
          <w:i/>
          <w:iCs/>
        </w:rPr>
        <w:t>Allen + Clarke</w:t>
      </w:r>
      <w:r w:rsidR="00917046">
        <w:t>’s literature on the role of DBT in the assessment of lesions, suggesting that DBT+</w:t>
      </w:r>
      <w:r w:rsidR="00176980">
        <w:t>s2DM</w:t>
      </w:r>
      <w:r w:rsidR="00917046">
        <w:t xml:space="preserve"> is not inferior to FFDM alone.</w:t>
      </w:r>
      <w:r w:rsidR="004F5B3B">
        <w:t xml:space="preserve"> Chong et al. (2019) reported on a number of clinical factors needed to ensure that DBT+</w:t>
      </w:r>
      <w:r w:rsidR="00176980">
        <w:t>s2DM</w:t>
      </w:r>
      <w:r w:rsidR="004F5B3B">
        <w:t xml:space="preserve"> can be used effectively in the screening environment, including:</w:t>
      </w:r>
    </w:p>
    <w:p w14:paraId="245C9A2D" w14:textId="77777777" w:rsidR="004F5B3B" w:rsidRPr="00917046" w:rsidRDefault="004F5B3B" w:rsidP="004F5B3B">
      <w:pPr>
        <w:pStyle w:val="List-BulletLvl1"/>
      </w:pPr>
      <w:r>
        <w:t xml:space="preserve">Assessing images during acquisition to ensure motion is minimised </w:t>
      </w:r>
    </w:p>
    <w:p w14:paraId="6DBDDBDF" w14:textId="2DCD1CB8" w:rsidR="004F5B3B" w:rsidRDefault="004F5B3B" w:rsidP="004F5B3B">
      <w:pPr>
        <w:pStyle w:val="List-BulletLvl1"/>
      </w:pPr>
      <w:r>
        <w:t>Ensuring the processing algorithm is correct</w:t>
      </w:r>
      <w:r w:rsidR="00B2486D">
        <w:t>, acknowledging the higher contrast resolution</w:t>
      </w:r>
      <w:r>
        <w:t xml:space="preserve"> </w:t>
      </w:r>
      <w:r w:rsidR="00B2486D">
        <w:t xml:space="preserve">with </w:t>
      </w:r>
      <w:r w:rsidR="00176980">
        <w:t>s2DM</w:t>
      </w:r>
      <w:r w:rsidR="00B2486D">
        <w:t xml:space="preserve"> algorithms may increase conspicuity of microcalcifications, </w:t>
      </w:r>
      <w:r>
        <w:t>and structural or quantum noise is minimised (and the reconstructed image is true), and</w:t>
      </w:r>
    </w:p>
    <w:p w14:paraId="605860A0" w14:textId="5D2AF9E0" w:rsidR="004F5B3B" w:rsidRDefault="004F5B3B" w:rsidP="004F5B3B">
      <w:pPr>
        <w:pStyle w:val="List-BulletLvl1"/>
      </w:pPr>
      <w:r>
        <w:t>Careful scrolling by radiologists through slabs and stacks</w:t>
      </w:r>
      <w:r w:rsidR="00D21B7E">
        <w:t xml:space="preserve"> and through both MLO and craniocaudal projections</w:t>
      </w:r>
      <w:r>
        <w:t xml:space="preserve"> (i.e., reader learning is important).</w:t>
      </w:r>
    </w:p>
    <w:p w14:paraId="3EC01B9C" w14:textId="0348F8C5" w:rsidR="00867836" w:rsidRDefault="00867836" w:rsidP="00867836">
      <w:pPr>
        <w:pStyle w:val="NumberedHeading2"/>
      </w:pPr>
      <w:bookmarkStart w:id="360" w:name="_Toc43376327"/>
      <w:r>
        <w:t>Specificity</w:t>
      </w:r>
      <w:bookmarkEnd w:id="360"/>
    </w:p>
    <w:p w14:paraId="7F71ADD7" w14:textId="77777777" w:rsidR="00042E35" w:rsidRDefault="00042E35" w:rsidP="00042E35">
      <w:pPr>
        <w:pStyle w:val="BodyText"/>
      </w:pPr>
      <w:r w:rsidRPr="00E44152">
        <w:t xml:space="preserve">Specificity (the proportion of people correctly identified as not </w:t>
      </w:r>
      <w:r>
        <w:t xml:space="preserve">having </w:t>
      </w:r>
      <w:r w:rsidRPr="00E44152">
        <w:t xml:space="preserve">breast cancer, or the true negative/positive rate) is an important dimension of an effective population-based breast screening program. </w:t>
      </w:r>
      <w:r>
        <w:t xml:space="preserve">The BSA’s National Accreditation Standard requires recall rates of less than 10 percent for prevalent screening and less than five percent for incident screening. </w:t>
      </w:r>
    </w:p>
    <w:p w14:paraId="47F02C1A" w14:textId="77777777" w:rsidR="00B76164" w:rsidRDefault="00042E35" w:rsidP="00042E35">
      <w:pPr>
        <w:pStyle w:val="BodyText"/>
      </w:pPr>
      <w:r w:rsidRPr="00E44152">
        <w:lastRenderedPageBreak/>
        <w:t>A</w:t>
      </w:r>
      <w:r w:rsidR="00213E81">
        <w:t>n</w:t>
      </w:r>
      <w:r w:rsidRPr="00E44152">
        <w:t xml:space="preserve"> initial or final assessment </w:t>
      </w:r>
      <w:r>
        <w:t xml:space="preserve">of a suspected cancer </w:t>
      </w:r>
      <w:r w:rsidRPr="00E44152">
        <w:t>is a true positive if it is followed by a biopsy that confirms breast cancer</w:t>
      </w:r>
      <w:r>
        <w:t xml:space="preserve">. It </w:t>
      </w:r>
      <w:r w:rsidRPr="00E44152">
        <w:t>is a false positive if no breast cancer is diagnosed within a specified follow-up time</w:t>
      </w:r>
      <w:r>
        <w:t xml:space="preserve"> (usually about 12 months</w:t>
      </w:r>
      <w:r w:rsidR="00213E81">
        <w:t xml:space="preserve"> but definitions differed across studies</w:t>
      </w:r>
      <w:r>
        <w:t>)</w:t>
      </w:r>
      <w:r w:rsidRPr="00E44152">
        <w:t>. A negative initial or final assessment is a false negative if a breast cancer is subsequently diagnosed within a specified follow-up time</w:t>
      </w:r>
      <w:r>
        <w:t xml:space="preserve">. It is </w:t>
      </w:r>
      <w:r w:rsidRPr="00E44152">
        <w:t>a true negative if it is not</w:t>
      </w:r>
      <w:r>
        <w:t xml:space="preserve"> (i.e., cancer is not detected within that time)</w:t>
      </w:r>
      <w:r w:rsidRPr="00E44152">
        <w:t xml:space="preserve">. </w:t>
      </w:r>
    </w:p>
    <w:p w14:paraId="664EFDF6" w14:textId="53F47248" w:rsidR="00042E35" w:rsidRDefault="00042E35" w:rsidP="00042E35">
      <w:pPr>
        <w:pStyle w:val="BodyText"/>
      </w:pPr>
      <w:r w:rsidRPr="00E44152">
        <w:t xml:space="preserve">We want to know, based on current evidence, what role DBT plays in a modern breast cancer screening environment and which </w:t>
      </w:r>
      <w:r w:rsidRPr="00D86CAB">
        <w:t xml:space="preserve">screening </w:t>
      </w:r>
      <w:r>
        <w:t xml:space="preserve">strategy </w:t>
      </w:r>
      <w:r w:rsidRPr="00E44152">
        <w:t>(</w:t>
      </w:r>
      <w:r>
        <w:t xml:space="preserve">DBT </w:t>
      </w:r>
      <w:r w:rsidRPr="00E44152">
        <w:t xml:space="preserve">alone or integrated with other FFDM </w:t>
      </w:r>
      <w:r>
        <w:t>imaging</w:t>
      </w:r>
      <w:r w:rsidRPr="00E44152">
        <w:t xml:space="preserve">) is best able to </w:t>
      </w:r>
      <w:r w:rsidR="00E658C0">
        <w:t xml:space="preserve">both increase cancer detection and appropriately </w:t>
      </w:r>
      <w:r>
        <w:t xml:space="preserve">reduce </w:t>
      </w:r>
      <w:r w:rsidR="0092312D">
        <w:t xml:space="preserve">recalls (especially </w:t>
      </w:r>
      <w:r w:rsidR="00870ABB">
        <w:t>false positive</w:t>
      </w:r>
      <w:r w:rsidR="0092312D">
        <w:t xml:space="preserve"> recall</w:t>
      </w:r>
      <w:r>
        <w:t>s</w:t>
      </w:r>
      <w:r w:rsidR="0092312D">
        <w:t xml:space="preserve">, i.e., </w:t>
      </w:r>
      <w:r>
        <w:t xml:space="preserve">unnecessary </w:t>
      </w:r>
      <w:r w:rsidRPr="00E44152">
        <w:t>recall</w:t>
      </w:r>
      <w:r>
        <w:t>s</w:t>
      </w:r>
      <w:r w:rsidRPr="00E44152">
        <w:t xml:space="preserve"> </w:t>
      </w:r>
      <w:r>
        <w:t xml:space="preserve">from screening for </w:t>
      </w:r>
      <w:r w:rsidRPr="00E44152">
        <w:t>women who do not have breast cancer</w:t>
      </w:r>
      <w:r w:rsidR="0092312D">
        <w:t>)</w:t>
      </w:r>
      <w:r w:rsidRPr="00E44152">
        <w:t>.</w:t>
      </w:r>
    </w:p>
    <w:p w14:paraId="3E252478" w14:textId="218DD5EA" w:rsidR="00CF2E1C" w:rsidRDefault="00CF2E1C" w:rsidP="00CF2E1C">
      <w:pPr>
        <w:pStyle w:val="BodyText"/>
      </w:pPr>
      <w:r w:rsidRPr="00CF2E1C">
        <w:rPr>
          <w:i/>
          <w:iCs/>
        </w:rPr>
        <w:t>Section 3.</w:t>
      </w:r>
      <w:r>
        <w:rPr>
          <w:i/>
          <w:iCs/>
        </w:rPr>
        <w:t>4</w:t>
      </w:r>
      <w:r>
        <w:t xml:space="preserve"> describes overall recall rate, false positive recall rate and relative specificity.</w:t>
      </w:r>
    </w:p>
    <w:p w14:paraId="329064C2" w14:textId="0B7062C1" w:rsidR="00867836" w:rsidRPr="008D03F6" w:rsidRDefault="00066779" w:rsidP="00867836">
      <w:pPr>
        <w:pStyle w:val="NumberedHeading3"/>
      </w:pPr>
      <w:bookmarkStart w:id="361" w:name="_Toc43376328"/>
      <w:r w:rsidRPr="008D03F6">
        <w:t>Overall r</w:t>
      </w:r>
      <w:r w:rsidR="00867836" w:rsidRPr="008D03F6">
        <w:t>ecall rates</w:t>
      </w:r>
      <w:bookmarkEnd w:id="361"/>
    </w:p>
    <w:p w14:paraId="489E44CC" w14:textId="700CD085" w:rsidR="00CF2E1C" w:rsidRDefault="00CF2E1C" w:rsidP="00CF2E1C">
      <w:pPr>
        <w:pStyle w:val="BodyText"/>
      </w:pPr>
      <w:r w:rsidRPr="00E44152">
        <w:t xml:space="preserve">The overall recall rate is the percentage of women asked to return for </w:t>
      </w:r>
      <w:r w:rsidR="002B3691">
        <w:t>further tests</w:t>
      </w:r>
      <w:r w:rsidR="00DF1C87">
        <w:t xml:space="preserve"> </w:t>
      </w:r>
      <w:r w:rsidRPr="00E44152">
        <w:t xml:space="preserve">after an </w:t>
      </w:r>
      <w:r>
        <w:t xml:space="preserve">abnormality </w:t>
      </w:r>
      <w:r w:rsidRPr="00E44152">
        <w:t xml:space="preserve">is </w:t>
      </w:r>
      <w:r>
        <w:t xml:space="preserve">detected </w:t>
      </w:r>
      <w:r w:rsidR="00DF1C87">
        <w:t xml:space="preserve">on a screening </w:t>
      </w:r>
      <w:r w:rsidRPr="00E44152">
        <w:t xml:space="preserve"> </w:t>
      </w:r>
      <w:r w:rsidR="00DF1C87">
        <w:t xml:space="preserve">mammogram </w:t>
      </w:r>
      <w:r w:rsidRPr="00E44152">
        <w:t>(</w:t>
      </w:r>
      <w:r>
        <w:t xml:space="preserve">i.e., </w:t>
      </w:r>
      <w:r w:rsidRPr="00E44152">
        <w:t xml:space="preserve">any recall resulting in true or false positive </w:t>
      </w:r>
      <w:r>
        <w:t>findings</w:t>
      </w:r>
      <w:r w:rsidRPr="00E44152">
        <w:t xml:space="preserve">). </w:t>
      </w:r>
      <w:r w:rsidRPr="006D290A">
        <w:t>A lower frequency of recall is beneficial for women if the proportion of screen-detected breast cancer remains stable or increases</w:t>
      </w:r>
      <w:r>
        <w:t xml:space="preserve">. </w:t>
      </w:r>
      <w:r w:rsidR="00DF1C87">
        <w:t xml:space="preserve">There is also a ‘baseline’ recall rate, below which concerns about program safety might be raised as not enough screening examinations need to be assessed. </w:t>
      </w:r>
      <w:r>
        <w:t xml:space="preserve">Reader protocols (single or double, with and without consensus) have the potential to impact recall rates, with lower recall rates generally observed by programs that employ double reading </w:t>
      </w:r>
      <w:r w:rsidR="00DF1C87">
        <w:t xml:space="preserve">(i.e., the European and Australian programs) </w:t>
      </w:r>
      <w:r>
        <w:t>compared to those that employ single reading</w:t>
      </w:r>
      <w:r w:rsidR="00DF1C87">
        <w:t xml:space="preserve"> (i.e., the American screening programs)</w:t>
      </w:r>
      <w:r>
        <w:t xml:space="preserve">. </w:t>
      </w:r>
    </w:p>
    <w:p w14:paraId="7AC22FD4" w14:textId="77777777" w:rsidR="00CF2E1C" w:rsidRDefault="00CF2E1C" w:rsidP="00CF2E1C">
      <w:pPr>
        <w:pStyle w:val="CV-Heading"/>
      </w:pPr>
      <w:r>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06B1E389" w14:textId="07A00FED" w:rsidR="00CF2E1C" w:rsidRDefault="00CF2E1C" w:rsidP="00CF2E1C">
      <w:pPr>
        <w:pStyle w:val="BodyText"/>
      </w:pPr>
      <w:r>
        <w:t xml:space="preserve">The literature </w:t>
      </w:r>
      <w:r w:rsidR="006D14E1">
        <w:t>wa</w:t>
      </w:r>
      <w:r>
        <w:t>s not settled about the association between use of DBT as a screening test and overall recall rates. Two main complexities exist</w:t>
      </w:r>
      <w:r w:rsidR="006D14E1">
        <w:t>ed</w:t>
      </w:r>
      <w:r>
        <w:t>:</w:t>
      </w:r>
    </w:p>
    <w:p w14:paraId="7172BAA2" w14:textId="5E2FF940" w:rsidR="00CF2E1C" w:rsidRDefault="00CF2E1C" w:rsidP="007E3481">
      <w:pPr>
        <w:pStyle w:val="List-AlphanumericLvl1"/>
        <w:numPr>
          <w:ilvl w:val="0"/>
          <w:numId w:val="14"/>
        </w:numPr>
        <w:jc w:val="both"/>
      </w:pPr>
      <w:r>
        <w:t>The impact of reading strategy on recall rates (rather than issues with image acquisition or quality): some studies report increased recall rates with FFDM+DBT</w:t>
      </w:r>
      <w:r w:rsidR="006D14E1">
        <w:t xml:space="preserve"> in double-reading programs but</w:t>
      </w:r>
      <w:r>
        <w:t xml:space="preserve"> others report</w:t>
      </w:r>
      <w:r w:rsidR="006D14E1">
        <w:t xml:space="preserve">ed </w:t>
      </w:r>
      <w:r>
        <w:t>reductions, and different studies use</w:t>
      </w:r>
      <w:r w:rsidR="006D14E1">
        <w:t>d</w:t>
      </w:r>
      <w:r>
        <w:t xml:space="preserve"> different interpretation or arbitration protocols which may influence recall rates, and</w:t>
      </w:r>
    </w:p>
    <w:p w14:paraId="596EDE13" w14:textId="6B4EC018" w:rsidR="00CF2E1C" w:rsidRDefault="00CF2E1C" w:rsidP="007E3481">
      <w:pPr>
        <w:pStyle w:val="List-AlphanumericLvl1"/>
        <w:numPr>
          <w:ilvl w:val="0"/>
          <w:numId w:val="8"/>
        </w:numPr>
        <w:ind w:left="992"/>
        <w:jc w:val="both"/>
      </w:pPr>
      <w:r>
        <w:t xml:space="preserve">The </w:t>
      </w:r>
      <w:r w:rsidR="006D14E1">
        <w:t xml:space="preserve">limited room for improvement if </w:t>
      </w:r>
      <w:r>
        <w:t xml:space="preserve">recall rates </w:t>
      </w:r>
      <w:r w:rsidR="006D14E1">
        <w:t xml:space="preserve">are </w:t>
      </w:r>
      <w:r>
        <w:t xml:space="preserve">already </w:t>
      </w:r>
      <w:r w:rsidR="006D14E1">
        <w:t xml:space="preserve">appropriately </w:t>
      </w:r>
      <w:r>
        <w:t>low.</w:t>
      </w:r>
    </w:p>
    <w:p w14:paraId="0D4A573F" w14:textId="528E3B91" w:rsidR="00CF2E1C" w:rsidRDefault="00CF2E1C" w:rsidP="00CF2E1C">
      <w:pPr>
        <w:pStyle w:val="BodyText"/>
        <w:rPr>
          <w:b/>
        </w:rPr>
      </w:pPr>
      <w:r>
        <w:t>For overall recall rates, b</w:t>
      </w:r>
      <w:r w:rsidRPr="00E44152">
        <w:t>oth systematic reviews included only a small range of studies (i.e., the STORM and OTS trials, which both systematic reviews report on, and some of the larger observational studies investigating DBT’s role in screening).</w:t>
      </w:r>
      <w:r>
        <w:t xml:space="preserve"> </w:t>
      </w:r>
      <w:r w:rsidRPr="00E44152">
        <w:t>Both Coop et al.</w:t>
      </w:r>
      <w:r w:rsidR="006D14E1">
        <w:t xml:space="preserve"> (2016)</w:t>
      </w:r>
      <w:r w:rsidRPr="00E44152">
        <w:t xml:space="preserve"> and Hodgson et al.</w:t>
      </w:r>
      <w:r w:rsidR="006D14E1">
        <w:t xml:space="preserve"> (2016)</w:t>
      </w:r>
      <w:r w:rsidRPr="00E44152">
        <w:t xml:space="preserve"> found that </w:t>
      </w:r>
      <w:r>
        <w:t xml:space="preserve">results from the retrospective US studies consistently showed that </w:t>
      </w:r>
      <w:r w:rsidRPr="00E44152">
        <w:t xml:space="preserve">FFDM+DBT has </w:t>
      </w:r>
      <w:r>
        <w:t xml:space="preserve">a significantly </w:t>
      </w:r>
      <w:r w:rsidRPr="00E44152">
        <w:t>lower overall recall rate compared to FFDM alone</w:t>
      </w:r>
      <w:r>
        <w:t>; however, the results from European prospective trials were mixed.</w:t>
      </w:r>
      <w:r w:rsidRPr="008459F3">
        <w:t xml:space="preserve"> </w:t>
      </w:r>
      <w:r>
        <w:t xml:space="preserve">Differences in findings between the STORM and OTS trials may be because </w:t>
      </w:r>
      <w:r w:rsidRPr="00E44152">
        <w:t xml:space="preserve">recall rates varied according to the double reading </w:t>
      </w:r>
      <w:r>
        <w:t xml:space="preserve">strategy </w:t>
      </w:r>
      <w:r w:rsidRPr="00E44152">
        <w:t>adopted</w:t>
      </w:r>
      <w:r>
        <w:t xml:space="preserve"> or because the overall recall rates in these screening programs are already low</w:t>
      </w:r>
      <w:r w:rsidRPr="00E44152">
        <w:t>.</w:t>
      </w:r>
      <w:r>
        <w:t xml:space="preserve"> Results from the STORM trial </w:t>
      </w:r>
      <w:r w:rsidR="006D14E1">
        <w:t>we</w:t>
      </w:r>
      <w:r>
        <w:t>re consistent with those from the retrospective studies, and pre-arbitration results from the OTS trial reflect what might be found in a single reader program.</w:t>
      </w:r>
    </w:p>
    <w:p w14:paraId="76FA3A3D" w14:textId="6AA84F49" w:rsidR="00CF2E1C" w:rsidRDefault="00402B4E" w:rsidP="00CF2E1C">
      <w:pPr>
        <w:pStyle w:val="BodyText"/>
      </w:pPr>
      <w:r>
        <w:lastRenderedPageBreak/>
        <w:t xml:space="preserve">Some </w:t>
      </w:r>
      <w:r w:rsidR="00CF2E1C">
        <w:t>prospective trials reported increased recall with double reading (either by two radiologists or through an arbitration process) but reduced false positive rate.</w:t>
      </w:r>
      <w:r>
        <w:t xml:space="preserve"> Others reported no difference or a decrease.</w:t>
      </w:r>
      <w:r w:rsidR="00CF2E1C">
        <w:t xml:space="preserve"> This is set against a backdrop of generally low recall rates in programs where the trials are embedded (where perhaps we may not expect to see a further decline in rate without compromising the quality of the program).</w:t>
      </w:r>
      <w:r>
        <w:t xml:space="preserve"> For example, d</w:t>
      </w:r>
      <w:r w:rsidR="00CF2E1C" w:rsidRPr="00497138">
        <w:t>ata from the STORM trial (double sequential reading with FFDM first followed by FFDM+DBT) reported that FFDM+DBT resulted in a statistically significant reduction of 0.7</w:t>
      </w:r>
      <w:r>
        <w:t xml:space="preserve"> percent</w:t>
      </w:r>
      <w:r w:rsidR="00CF2E1C" w:rsidRPr="00497138">
        <w:t xml:space="preserve"> in overall recall rate compared to FFDM alone. The STORM trial recalled women if either radiologist reported a positive finding.</w:t>
      </w:r>
      <w:r w:rsidR="00CF2E1C" w:rsidRPr="00E44152">
        <w:t xml:space="preserve"> </w:t>
      </w:r>
    </w:p>
    <w:p w14:paraId="78992354" w14:textId="5B004575" w:rsidR="00CF2E1C" w:rsidRDefault="00CF2E1C" w:rsidP="00CF2E1C">
      <w:pPr>
        <w:pStyle w:val="BodyText"/>
      </w:pPr>
      <w:r>
        <w:t xml:space="preserve">The OTS trial reported recall results by reading arm and pre- or post-implementation process. The </w:t>
      </w:r>
      <w:r w:rsidRPr="00E44152">
        <w:t>OTS</w:t>
      </w:r>
      <w:r>
        <w:t xml:space="preserve"> trial</w:t>
      </w:r>
      <w:r w:rsidRPr="00E44152">
        <w:t xml:space="preserve"> conduc</w:t>
      </w:r>
      <w:r>
        <w:t>t</w:t>
      </w:r>
      <w:r w:rsidRPr="00E44152">
        <w:t xml:space="preserve">ed an arbitration meeting for the FFDM+DBT and FFDM alone arms of the study. Pre-arbitration </w:t>
      </w:r>
      <w:r>
        <w:t>overall recall rates</w:t>
      </w:r>
      <w:r w:rsidRPr="00E44152">
        <w:t xml:space="preserve"> of individual readers (</w:t>
      </w:r>
      <w:r>
        <w:t xml:space="preserve">like that </w:t>
      </w:r>
      <w:r w:rsidRPr="00E44152">
        <w:t xml:space="preserve">found in a single reader </w:t>
      </w:r>
      <w:r>
        <w:t>strategy</w:t>
      </w:r>
      <w:r w:rsidRPr="00E44152">
        <w:t xml:space="preserve">) were </w:t>
      </w:r>
      <w:r>
        <w:t>higher</w:t>
      </w:r>
      <w:r w:rsidRPr="00E44152">
        <w:t xml:space="preserve"> for </w:t>
      </w:r>
      <w:r w:rsidR="00176980">
        <w:t>FFDM+DBT</w:t>
      </w:r>
      <w:r>
        <w:t xml:space="preserve"> (</w:t>
      </w:r>
      <w:r w:rsidRPr="0008677C">
        <w:t>2.78</w:t>
      </w:r>
      <w:r w:rsidR="00402B4E">
        <w:t xml:space="preserve"> percent</w:t>
      </w:r>
      <w:r w:rsidRPr="0008677C">
        <w:t xml:space="preserve"> for </w:t>
      </w:r>
      <w:r w:rsidR="00176980">
        <w:t>FFDM+DBT</w:t>
      </w:r>
      <w:r w:rsidRPr="0008677C">
        <w:t xml:space="preserve"> compared with 2.1</w:t>
      </w:r>
      <w:r w:rsidR="00402B4E">
        <w:t xml:space="preserve"> percent</w:t>
      </w:r>
      <w:r w:rsidRPr="0008677C">
        <w:t xml:space="preserve"> for FFDM alone</w:t>
      </w:r>
      <w:r>
        <w:t>)</w:t>
      </w:r>
      <w:r w:rsidRPr="00E44152">
        <w:t>. Post-arbitration</w:t>
      </w:r>
      <w:r>
        <w:t xml:space="preserve"> (i.e., more like a double reading strategy)</w:t>
      </w:r>
      <w:r w:rsidRPr="00E44152">
        <w:t xml:space="preserve">, higher recall rates </w:t>
      </w:r>
      <w:r>
        <w:t xml:space="preserve">than pre-arbitration </w:t>
      </w:r>
      <w:r w:rsidRPr="00E44152">
        <w:t xml:space="preserve">were observed for </w:t>
      </w:r>
      <w:r w:rsidR="00176980">
        <w:t>FFDM+DBT</w:t>
      </w:r>
      <w:r w:rsidRPr="00E44152">
        <w:t xml:space="preserve"> compared to FFDM. </w:t>
      </w:r>
      <w:r>
        <w:t>Post-arbitration, this translate</w:t>
      </w:r>
      <w:r w:rsidR="00402B4E">
        <w:t>d</w:t>
      </w:r>
      <w:r>
        <w:t xml:space="preserve"> to FFDM+DBT having 6.2 more recalls per 1000 screens than FFDM alone. </w:t>
      </w:r>
    </w:p>
    <w:p w14:paraId="25ED4062" w14:textId="65DEFBF6" w:rsidR="00CF2E1C" w:rsidRDefault="00CF2E1C" w:rsidP="00CF2E1C">
      <w:pPr>
        <w:pStyle w:val="BodyText"/>
      </w:pPr>
      <w:r>
        <w:t>Most of the studies investigating recall rates ha</w:t>
      </w:r>
      <w:r w:rsidR="00402B4E">
        <w:t>d</w:t>
      </w:r>
      <w:r>
        <w:t xml:space="preserve"> short timeframes (</w:t>
      </w:r>
      <w:r w:rsidRPr="00E44152">
        <w:rPr>
          <w:u w:val="single"/>
        </w:rPr>
        <w:t>&lt;</w:t>
      </w:r>
      <w:r>
        <w:t xml:space="preserve">24 months) and recall rates appear to be affected by reading strategy and arbitration mechanisms (which could account for the differences in results). Further research </w:t>
      </w:r>
      <w:r w:rsidR="00402B4E">
        <w:t>was</w:t>
      </w:r>
      <w:r>
        <w:t xml:space="preserve"> needed to assess the impact that having previous images available to use in </w:t>
      </w:r>
      <w:r w:rsidR="00176980">
        <w:t>s2DM</w:t>
      </w:r>
      <w:r>
        <w:t xml:space="preserve"> and DBT interpretation has on recall rates as this may also support an overall decrease in rates. Over time, it is likely that the overall and false positive recall rates associated with </w:t>
      </w:r>
      <w:r w:rsidR="00176980">
        <w:t>FFDM+DBT</w:t>
      </w:r>
      <w:r>
        <w:t xml:space="preserve"> and DBT+</w:t>
      </w:r>
      <w:r w:rsidR="00176980">
        <w:t>s2DM</w:t>
      </w:r>
      <w:r>
        <w:t xml:space="preserve"> will reduce as the readers become more familiar with the images and potentially different display of parenchymal features. </w:t>
      </w:r>
    </w:p>
    <w:p w14:paraId="36DCA9AD" w14:textId="78C45E0B" w:rsidR="00CF2E1C" w:rsidRDefault="00CF2E1C" w:rsidP="00CF2E1C">
      <w:pPr>
        <w:pStyle w:val="BodyText"/>
      </w:pPr>
      <w:r>
        <w:t xml:space="preserve">Information from the smaller retrospective studies (most of which used single reading strategies) reported that recall rate was reduced with </w:t>
      </w:r>
      <w:r w:rsidR="00402B4E">
        <w:t>FFDM+DBT</w:t>
      </w:r>
      <w:r>
        <w:t xml:space="preserve">. Differences in overall program false positive recall rates, reading strategy and arbitration protocols used to determine which women to recall from screening may account for some of the inconsistency. Increasing reader experience, knowledge of DBT and interpreting </w:t>
      </w:r>
      <w:r w:rsidR="00402B4E">
        <w:t xml:space="preserve">DBT </w:t>
      </w:r>
      <w:r>
        <w:t xml:space="preserve">images and availability of prior DBT images may also further decrease recall rates. </w:t>
      </w:r>
    </w:p>
    <w:p w14:paraId="4A6625FE" w14:textId="3E08CA2A" w:rsidR="00CF2E1C" w:rsidRDefault="00CF2E1C" w:rsidP="00CF2E1C">
      <w:pPr>
        <w:pStyle w:val="BodyText"/>
        <w:rPr>
          <w:b/>
          <w:bCs/>
        </w:rPr>
      </w:pPr>
      <w:r w:rsidRPr="00A235D7">
        <w:rPr>
          <w:b/>
          <w:bCs/>
        </w:rPr>
        <w:t>GRADE assessment</w:t>
      </w:r>
      <w:r>
        <w:rPr>
          <w:b/>
          <w:bCs/>
        </w:rPr>
        <w:t xml:space="preserve">: overall recall rate: </w:t>
      </w:r>
      <w:r w:rsidR="00176980">
        <w:rPr>
          <w:b/>
          <w:bCs/>
        </w:rPr>
        <w:t>FFDM+DBT</w:t>
      </w:r>
      <w:r>
        <w:rPr>
          <w:b/>
          <w:bCs/>
        </w:rPr>
        <w:t xml:space="preserve"> compared to FFDM alone</w:t>
      </w:r>
    </w:p>
    <w:tbl>
      <w:tblPr>
        <w:tblStyle w:val="ACGreen-BasicTable"/>
        <w:tblW w:w="9209" w:type="dxa"/>
        <w:tblLook w:val="04A0" w:firstRow="1" w:lastRow="0" w:firstColumn="1" w:lastColumn="0" w:noHBand="0" w:noVBand="1"/>
        <w:tblDescription w:val="GRADE assessment: overall recall rate: FFDM+DBT compared to FFDM alone includes:&#10;&#10;The participants studies included 572,555 participants. There were 15 studies.&#10;The quality of evidence was low.&#10;The overall results were pooled analysis and data from prospective fully paired trials and retrospective analysis shows inconsistent results."/>
      </w:tblPr>
      <w:tblGrid>
        <w:gridCol w:w="1701"/>
        <w:gridCol w:w="1134"/>
        <w:gridCol w:w="6374"/>
      </w:tblGrid>
      <w:tr w:rsidR="00CF2E1C" w14:paraId="5B9340B1" w14:textId="77777777" w:rsidTr="006859AE">
        <w:trPr>
          <w:cnfStyle w:val="100000000000" w:firstRow="1" w:lastRow="0" w:firstColumn="0" w:lastColumn="0" w:oddVBand="0" w:evenVBand="0" w:oddHBand="0" w:evenHBand="0" w:firstRowFirstColumn="0" w:firstRowLastColumn="0" w:lastRowFirstColumn="0" w:lastRowLastColumn="0"/>
        </w:trPr>
        <w:tc>
          <w:tcPr>
            <w:tcW w:w="1701" w:type="dxa"/>
          </w:tcPr>
          <w:p w14:paraId="4BCC5A70" w14:textId="77777777" w:rsidR="00CF2E1C" w:rsidRPr="00BB08AB" w:rsidRDefault="00CF2E1C" w:rsidP="00285D7E">
            <w:pPr>
              <w:rPr>
                <w:rFonts w:cstheme="majorHAnsi"/>
                <w:b w:val="0"/>
                <w:sz w:val="18"/>
                <w:szCs w:val="18"/>
              </w:rPr>
            </w:pPr>
            <w:r w:rsidRPr="00BB08AB">
              <w:rPr>
                <w:rFonts w:cstheme="majorHAnsi"/>
                <w:sz w:val="18"/>
                <w:szCs w:val="18"/>
              </w:rPr>
              <w:t xml:space="preserve">Participants </w:t>
            </w:r>
          </w:p>
          <w:p w14:paraId="63B5C6A0" w14:textId="397A0B87" w:rsidR="00CF2E1C" w:rsidRPr="00285D7E" w:rsidRDefault="00CF2E1C" w:rsidP="00285D7E">
            <w:pPr>
              <w:rPr>
                <w:rFonts w:cstheme="majorHAnsi"/>
                <w:b w:val="0"/>
                <w:sz w:val="18"/>
                <w:szCs w:val="18"/>
              </w:rPr>
            </w:pPr>
            <w:r w:rsidRPr="00BB08AB">
              <w:rPr>
                <w:rFonts w:cstheme="majorHAnsi"/>
                <w:sz w:val="18"/>
                <w:szCs w:val="18"/>
              </w:rPr>
              <w:t>Studies</w:t>
            </w:r>
          </w:p>
        </w:tc>
        <w:tc>
          <w:tcPr>
            <w:tcW w:w="1134" w:type="dxa"/>
          </w:tcPr>
          <w:p w14:paraId="4F91D957" w14:textId="77777777" w:rsidR="00CF2E1C" w:rsidRDefault="00CF2E1C" w:rsidP="00285D7E">
            <w:pPr>
              <w:pStyle w:val="BodyText"/>
              <w:spacing w:before="0" w:after="0"/>
              <w:jc w:val="left"/>
            </w:pPr>
            <w:r w:rsidRPr="00BB08AB">
              <w:rPr>
                <w:rFonts w:cstheme="majorHAnsi"/>
                <w:sz w:val="18"/>
                <w:szCs w:val="18"/>
              </w:rPr>
              <w:t xml:space="preserve">Quality of evidence </w:t>
            </w:r>
          </w:p>
        </w:tc>
        <w:tc>
          <w:tcPr>
            <w:tcW w:w="6374" w:type="dxa"/>
          </w:tcPr>
          <w:p w14:paraId="294BCA0E" w14:textId="77777777" w:rsidR="00CF2E1C" w:rsidRDefault="00CF2E1C" w:rsidP="00285D7E">
            <w:pPr>
              <w:pStyle w:val="BodyText"/>
              <w:spacing w:before="0" w:after="0"/>
            </w:pPr>
            <w:r w:rsidRPr="00BB08AB">
              <w:rPr>
                <w:rFonts w:cstheme="majorHAnsi"/>
                <w:sz w:val="18"/>
                <w:szCs w:val="18"/>
              </w:rPr>
              <w:t xml:space="preserve">Overall results </w:t>
            </w:r>
          </w:p>
        </w:tc>
      </w:tr>
      <w:tr w:rsidR="00CF2E1C" w:rsidRPr="00BB08AB" w14:paraId="7D7539AF" w14:textId="77777777" w:rsidTr="006859AE">
        <w:tc>
          <w:tcPr>
            <w:tcW w:w="1701" w:type="dxa"/>
          </w:tcPr>
          <w:p w14:paraId="3B25BCB0" w14:textId="77777777" w:rsidR="00CF2E1C" w:rsidRPr="00BB08AB" w:rsidRDefault="00CF2E1C" w:rsidP="006859AE">
            <w:pPr>
              <w:rPr>
                <w:rFonts w:cstheme="majorHAnsi"/>
                <w:sz w:val="18"/>
                <w:szCs w:val="18"/>
              </w:rPr>
            </w:pPr>
            <w:r w:rsidRPr="00BB08AB">
              <w:rPr>
                <w:rFonts w:cstheme="majorHAnsi"/>
                <w:sz w:val="18"/>
                <w:szCs w:val="18"/>
              </w:rPr>
              <w:t>572,555 participants</w:t>
            </w:r>
          </w:p>
          <w:p w14:paraId="31C4857A" w14:textId="77777777" w:rsidR="00CF2E1C" w:rsidRPr="00BB08AB" w:rsidRDefault="00CF2E1C" w:rsidP="006859AE">
            <w:pPr>
              <w:rPr>
                <w:rFonts w:cstheme="majorHAnsi"/>
                <w:sz w:val="18"/>
                <w:szCs w:val="18"/>
              </w:rPr>
            </w:pPr>
            <w:r w:rsidRPr="00BB08AB">
              <w:rPr>
                <w:rFonts w:cstheme="majorHAnsi"/>
                <w:sz w:val="18"/>
                <w:szCs w:val="18"/>
              </w:rPr>
              <w:t>15 studies</w:t>
            </w:r>
          </w:p>
        </w:tc>
        <w:tc>
          <w:tcPr>
            <w:tcW w:w="1134" w:type="dxa"/>
          </w:tcPr>
          <w:p w14:paraId="5B41757B" w14:textId="77777777" w:rsidR="00CF2E1C" w:rsidRPr="00BB08AB" w:rsidRDefault="00CF2E1C" w:rsidP="006859AE">
            <w:pPr>
              <w:rPr>
                <w:rFonts w:cstheme="majorHAnsi"/>
                <w:sz w:val="18"/>
                <w:szCs w:val="18"/>
              </w:rPr>
            </w:pPr>
            <w:r w:rsidRPr="00BB08AB">
              <w:rPr>
                <w:rFonts w:ascii="Cambria Math" w:hAnsi="Cambria Math" w:cs="Cambria Math"/>
                <w:sz w:val="18"/>
                <w:szCs w:val="18"/>
              </w:rPr>
              <w:t>⊕⊕</w:t>
            </w:r>
          </w:p>
          <w:p w14:paraId="7944D98E" w14:textId="77777777" w:rsidR="00CF2E1C" w:rsidRPr="00BB08AB" w:rsidRDefault="00CF2E1C" w:rsidP="006859AE">
            <w:pPr>
              <w:rPr>
                <w:rFonts w:cstheme="majorHAnsi"/>
                <w:sz w:val="18"/>
                <w:szCs w:val="18"/>
              </w:rPr>
            </w:pPr>
            <w:r w:rsidRPr="00BB08AB">
              <w:rPr>
                <w:rFonts w:cstheme="majorHAnsi"/>
                <w:sz w:val="18"/>
                <w:szCs w:val="18"/>
              </w:rPr>
              <w:t>Low</w:t>
            </w:r>
          </w:p>
        </w:tc>
        <w:tc>
          <w:tcPr>
            <w:tcW w:w="6374" w:type="dxa"/>
          </w:tcPr>
          <w:p w14:paraId="615B0FAD" w14:textId="77777777" w:rsidR="00CF2E1C" w:rsidRPr="00BB08AB" w:rsidRDefault="00CF2E1C" w:rsidP="006859AE">
            <w:pPr>
              <w:jc w:val="both"/>
              <w:rPr>
                <w:rFonts w:cstheme="majorHAnsi"/>
                <w:sz w:val="18"/>
                <w:szCs w:val="18"/>
              </w:rPr>
            </w:pPr>
            <w:r w:rsidRPr="00BB08AB">
              <w:rPr>
                <w:rFonts w:cstheme="majorHAnsi"/>
                <w:sz w:val="18"/>
                <w:szCs w:val="18"/>
              </w:rPr>
              <w:t xml:space="preserve">Pooled analysis and data from prospective fully paired trials </w:t>
            </w:r>
            <w:r>
              <w:rPr>
                <w:rFonts w:cstheme="majorHAnsi"/>
                <w:sz w:val="18"/>
                <w:szCs w:val="18"/>
              </w:rPr>
              <w:t xml:space="preserve">and retrospective analysis </w:t>
            </w:r>
            <w:r w:rsidRPr="00BB08AB">
              <w:rPr>
                <w:rFonts w:cstheme="majorHAnsi"/>
                <w:sz w:val="18"/>
                <w:szCs w:val="18"/>
              </w:rPr>
              <w:t>show</w:t>
            </w:r>
            <w:r>
              <w:rPr>
                <w:rFonts w:cstheme="majorHAnsi"/>
                <w:sz w:val="18"/>
                <w:szCs w:val="18"/>
              </w:rPr>
              <w:t>s</w:t>
            </w:r>
            <w:r w:rsidRPr="00BB08AB">
              <w:rPr>
                <w:rFonts w:cstheme="majorHAnsi"/>
                <w:sz w:val="18"/>
                <w:szCs w:val="18"/>
              </w:rPr>
              <w:t xml:space="preserve"> inconsistent results.</w:t>
            </w:r>
          </w:p>
        </w:tc>
      </w:tr>
    </w:tbl>
    <w:p w14:paraId="1532E69D" w14:textId="583EE5F7" w:rsidR="00CF2E1C" w:rsidRDefault="00CF2E1C" w:rsidP="00CF2E1C">
      <w:pPr>
        <w:pStyle w:val="BodyText"/>
        <w:rPr>
          <w:b/>
          <w:bCs/>
        </w:rPr>
      </w:pPr>
      <w:r w:rsidRPr="00A235D7">
        <w:rPr>
          <w:b/>
          <w:bCs/>
        </w:rPr>
        <w:t>GRADE assessment</w:t>
      </w:r>
      <w:r>
        <w:rPr>
          <w:b/>
          <w:bCs/>
        </w:rPr>
        <w:t>: overall recall rate: DBT+</w:t>
      </w:r>
      <w:r w:rsidR="00176980">
        <w:rPr>
          <w:b/>
          <w:bCs/>
        </w:rPr>
        <w:t>s2DM</w:t>
      </w:r>
      <w:r>
        <w:rPr>
          <w:b/>
          <w:bCs/>
        </w:rPr>
        <w:t xml:space="preserve"> compared to </w:t>
      </w:r>
      <w:r w:rsidR="00176980">
        <w:rPr>
          <w:b/>
          <w:bCs/>
        </w:rPr>
        <w:t>FFDM+DBT</w:t>
      </w:r>
      <w:r>
        <w:rPr>
          <w:b/>
          <w:bCs/>
        </w:rPr>
        <w:t xml:space="preserve"> or FFDM alone</w:t>
      </w:r>
    </w:p>
    <w:tbl>
      <w:tblPr>
        <w:tblStyle w:val="ACGreen-BasicTable"/>
        <w:tblW w:w="9209" w:type="dxa"/>
        <w:tblLook w:val="04A0" w:firstRow="1" w:lastRow="0" w:firstColumn="1" w:lastColumn="0" w:noHBand="0" w:noVBand="1"/>
        <w:tblDescription w:val="GRADE assessment: overall recall rate: DBT+s2DM compared to FFDM+DBT or FFDM alone includes:&#10;&#10;The participants studies included 148,814 participants. There were four studies.&#10;The quality of evidence was low.&#10;The overall results were pooled analysis and data from prospective fully paired trials and retrospective analysis shows inconsistent results"/>
      </w:tblPr>
      <w:tblGrid>
        <w:gridCol w:w="1701"/>
        <w:gridCol w:w="1134"/>
        <w:gridCol w:w="6374"/>
      </w:tblGrid>
      <w:tr w:rsidR="00CF2E1C" w14:paraId="6A27BEA7" w14:textId="77777777" w:rsidTr="006859AE">
        <w:trPr>
          <w:cnfStyle w:val="100000000000" w:firstRow="1" w:lastRow="0" w:firstColumn="0" w:lastColumn="0" w:oddVBand="0" w:evenVBand="0" w:oddHBand="0" w:evenHBand="0" w:firstRowFirstColumn="0" w:firstRowLastColumn="0" w:lastRowFirstColumn="0" w:lastRowLastColumn="0"/>
        </w:trPr>
        <w:tc>
          <w:tcPr>
            <w:tcW w:w="1701" w:type="dxa"/>
          </w:tcPr>
          <w:p w14:paraId="5CC5C836" w14:textId="77777777" w:rsidR="00CF2E1C" w:rsidRPr="00BB08AB" w:rsidRDefault="00CF2E1C" w:rsidP="006859AE">
            <w:pPr>
              <w:rPr>
                <w:rFonts w:cstheme="majorHAnsi"/>
                <w:b w:val="0"/>
                <w:sz w:val="18"/>
                <w:szCs w:val="18"/>
              </w:rPr>
            </w:pPr>
            <w:r w:rsidRPr="00BB08AB">
              <w:rPr>
                <w:rFonts w:cstheme="majorHAnsi"/>
                <w:sz w:val="18"/>
                <w:szCs w:val="18"/>
              </w:rPr>
              <w:t xml:space="preserve">Participants </w:t>
            </w:r>
          </w:p>
          <w:p w14:paraId="21CB0B2B" w14:textId="6349F010" w:rsidR="00CF2E1C" w:rsidRPr="00285D7E" w:rsidRDefault="00CF2E1C" w:rsidP="006859AE">
            <w:pPr>
              <w:rPr>
                <w:rFonts w:cstheme="majorHAnsi"/>
                <w:b w:val="0"/>
                <w:sz w:val="18"/>
                <w:szCs w:val="18"/>
              </w:rPr>
            </w:pPr>
            <w:r w:rsidRPr="00BB08AB">
              <w:rPr>
                <w:rFonts w:cstheme="majorHAnsi"/>
                <w:sz w:val="18"/>
                <w:szCs w:val="18"/>
              </w:rPr>
              <w:t>Studies</w:t>
            </w:r>
          </w:p>
        </w:tc>
        <w:tc>
          <w:tcPr>
            <w:tcW w:w="1134" w:type="dxa"/>
          </w:tcPr>
          <w:p w14:paraId="05783D5A" w14:textId="77777777" w:rsidR="00CF2E1C" w:rsidRPr="00BB08AB" w:rsidRDefault="00CF2E1C" w:rsidP="006859AE">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70D6592B" w14:textId="77777777" w:rsidR="00CF2E1C" w:rsidRPr="00BB08AB" w:rsidRDefault="00CF2E1C" w:rsidP="006859AE">
            <w:pPr>
              <w:pStyle w:val="BodyText"/>
              <w:rPr>
                <w:rFonts w:cstheme="majorHAnsi"/>
                <w:sz w:val="18"/>
                <w:szCs w:val="18"/>
              </w:rPr>
            </w:pPr>
            <w:r w:rsidRPr="00BB08AB">
              <w:rPr>
                <w:rFonts w:cstheme="majorHAnsi"/>
                <w:sz w:val="18"/>
                <w:szCs w:val="18"/>
              </w:rPr>
              <w:t xml:space="preserve">Overall results </w:t>
            </w:r>
          </w:p>
        </w:tc>
      </w:tr>
      <w:tr w:rsidR="00CF2E1C" w:rsidRPr="00BB08AB" w14:paraId="73D697D3" w14:textId="77777777" w:rsidTr="006859AE">
        <w:tc>
          <w:tcPr>
            <w:tcW w:w="1701" w:type="dxa"/>
          </w:tcPr>
          <w:p w14:paraId="11CA0C93" w14:textId="77777777" w:rsidR="00CF2E1C" w:rsidRPr="00BB08AB" w:rsidRDefault="00CF2E1C" w:rsidP="006859AE">
            <w:pPr>
              <w:rPr>
                <w:rFonts w:cstheme="majorHAnsi"/>
                <w:sz w:val="18"/>
                <w:szCs w:val="18"/>
              </w:rPr>
            </w:pPr>
            <w:r w:rsidRPr="00BB08AB">
              <w:rPr>
                <w:rFonts w:cstheme="majorHAnsi"/>
                <w:sz w:val="18"/>
                <w:szCs w:val="18"/>
              </w:rPr>
              <w:t>148,814 participants</w:t>
            </w:r>
          </w:p>
          <w:p w14:paraId="0F511934" w14:textId="77777777" w:rsidR="00CF2E1C" w:rsidRPr="00BB08AB" w:rsidRDefault="00CF2E1C" w:rsidP="006859AE">
            <w:pPr>
              <w:rPr>
                <w:rFonts w:cstheme="majorHAnsi"/>
                <w:sz w:val="18"/>
                <w:szCs w:val="18"/>
              </w:rPr>
            </w:pPr>
            <w:r w:rsidRPr="00BB08AB">
              <w:rPr>
                <w:rFonts w:cstheme="majorHAnsi"/>
                <w:sz w:val="18"/>
                <w:szCs w:val="18"/>
              </w:rPr>
              <w:t>4 studies</w:t>
            </w:r>
          </w:p>
        </w:tc>
        <w:tc>
          <w:tcPr>
            <w:tcW w:w="1134" w:type="dxa"/>
          </w:tcPr>
          <w:p w14:paraId="3540A367" w14:textId="77777777" w:rsidR="00CF2E1C" w:rsidRPr="00BB08AB" w:rsidRDefault="00CF2E1C" w:rsidP="006859AE">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0BC97326" w14:textId="77777777" w:rsidR="00CF2E1C" w:rsidRPr="00BB08AB" w:rsidRDefault="00CF2E1C" w:rsidP="006859AE">
            <w:pPr>
              <w:rPr>
                <w:rFonts w:cstheme="majorHAnsi"/>
                <w:sz w:val="18"/>
                <w:szCs w:val="18"/>
              </w:rPr>
            </w:pPr>
            <w:r w:rsidRPr="00BB08AB">
              <w:rPr>
                <w:rFonts w:cstheme="majorHAnsi"/>
                <w:sz w:val="18"/>
                <w:szCs w:val="18"/>
              </w:rPr>
              <w:t>Low</w:t>
            </w:r>
          </w:p>
        </w:tc>
        <w:tc>
          <w:tcPr>
            <w:tcW w:w="6374" w:type="dxa"/>
          </w:tcPr>
          <w:p w14:paraId="4A532C48" w14:textId="77777777" w:rsidR="00CF2E1C" w:rsidRPr="00BB08AB" w:rsidRDefault="00CF2E1C" w:rsidP="006859AE">
            <w:pPr>
              <w:jc w:val="both"/>
              <w:rPr>
                <w:rFonts w:cstheme="majorHAnsi"/>
                <w:sz w:val="18"/>
                <w:szCs w:val="18"/>
              </w:rPr>
            </w:pPr>
            <w:r w:rsidRPr="00BB08AB">
              <w:rPr>
                <w:rFonts w:cstheme="majorHAnsi"/>
                <w:sz w:val="18"/>
                <w:szCs w:val="18"/>
              </w:rPr>
              <w:t xml:space="preserve">Pooled analysis and data from prospective fully paired trials </w:t>
            </w:r>
            <w:r>
              <w:rPr>
                <w:rFonts w:cstheme="majorHAnsi"/>
                <w:sz w:val="18"/>
                <w:szCs w:val="18"/>
              </w:rPr>
              <w:t xml:space="preserve">and retrospective analysis </w:t>
            </w:r>
            <w:r w:rsidRPr="00BB08AB">
              <w:rPr>
                <w:rFonts w:cstheme="majorHAnsi"/>
                <w:sz w:val="18"/>
                <w:szCs w:val="18"/>
              </w:rPr>
              <w:t>show</w:t>
            </w:r>
            <w:r>
              <w:rPr>
                <w:rFonts w:cstheme="majorHAnsi"/>
                <w:sz w:val="18"/>
                <w:szCs w:val="18"/>
              </w:rPr>
              <w:t>s</w:t>
            </w:r>
            <w:r w:rsidRPr="00BB08AB">
              <w:rPr>
                <w:rFonts w:cstheme="majorHAnsi"/>
                <w:sz w:val="18"/>
                <w:szCs w:val="18"/>
              </w:rPr>
              <w:t xml:space="preserve"> inconsistent results.</w:t>
            </w:r>
          </w:p>
        </w:tc>
      </w:tr>
    </w:tbl>
    <w:p w14:paraId="7B2453E5" w14:textId="77777777" w:rsidR="007A16CF" w:rsidRDefault="007A16CF" w:rsidP="00CF2E1C">
      <w:pPr>
        <w:pStyle w:val="BodyText"/>
        <w:rPr>
          <w:b/>
          <w:bCs/>
        </w:rPr>
      </w:pPr>
    </w:p>
    <w:p w14:paraId="6C1C2F18" w14:textId="77777777" w:rsidR="007A16CF" w:rsidRDefault="007A16CF">
      <w:pPr>
        <w:rPr>
          <w:b/>
          <w:bCs/>
        </w:rPr>
      </w:pPr>
      <w:r>
        <w:rPr>
          <w:b/>
          <w:bCs/>
        </w:rPr>
        <w:br w:type="page"/>
      </w:r>
    </w:p>
    <w:p w14:paraId="0A8B7969" w14:textId="3BB36450" w:rsidR="00CF2E1C" w:rsidRPr="00641388" w:rsidRDefault="00CF2E1C" w:rsidP="00CF2E1C">
      <w:pPr>
        <w:pStyle w:val="BodyText"/>
      </w:pPr>
      <w:r w:rsidRPr="00A235D7">
        <w:rPr>
          <w:b/>
          <w:bCs/>
        </w:rPr>
        <w:lastRenderedPageBreak/>
        <w:t>GRADE assessment</w:t>
      </w:r>
      <w:r>
        <w:rPr>
          <w:b/>
          <w:bCs/>
        </w:rPr>
        <w:t>: overall recall rate: DBT</w:t>
      </w:r>
      <w:r>
        <w:rPr>
          <w:b/>
          <w:bCs/>
          <w:vertAlign w:val="subscript"/>
        </w:rPr>
        <w:t>MLO</w:t>
      </w:r>
      <w:r>
        <w:rPr>
          <w:b/>
          <w:bCs/>
        </w:rPr>
        <w:t xml:space="preserve"> compared to other imaging</w:t>
      </w:r>
    </w:p>
    <w:tbl>
      <w:tblPr>
        <w:tblStyle w:val="ACGreen-BasicTable"/>
        <w:tblW w:w="9209" w:type="dxa"/>
        <w:tblLook w:val="04A0" w:firstRow="1" w:lastRow="0" w:firstColumn="1" w:lastColumn="0" w:noHBand="0" w:noVBand="1"/>
        <w:tblDescription w:val="GRADE assessment: overall recall rate: DBTMLO compared to other imaging includes:&#10;&#10;The participants studies included 7,681 participants. There were 2 studies.&#10;The quality of evidence was very low.&#10;The overall results were no systematic review or pooled analysis was available.&#10;"/>
      </w:tblPr>
      <w:tblGrid>
        <w:gridCol w:w="1701"/>
        <w:gridCol w:w="1134"/>
        <w:gridCol w:w="6374"/>
      </w:tblGrid>
      <w:tr w:rsidR="00CF2E1C" w14:paraId="3F24A09D" w14:textId="77777777" w:rsidTr="006859AE">
        <w:trPr>
          <w:cnfStyle w:val="100000000000" w:firstRow="1" w:lastRow="0" w:firstColumn="0" w:lastColumn="0" w:oddVBand="0" w:evenVBand="0" w:oddHBand="0" w:evenHBand="0" w:firstRowFirstColumn="0" w:firstRowLastColumn="0" w:lastRowFirstColumn="0" w:lastRowLastColumn="0"/>
        </w:trPr>
        <w:tc>
          <w:tcPr>
            <w:tcW w:w="1701" w:type="dxa"/>
          </w:tcPr>
          <w:p w14:paraId="23BD5915" w14:textId="77777777" w:rsidR="00CF2E1C" w:rsidRPr="00BB08AB" w:rsidRDefault="00CF2E1C" w:rsidP="006859AE">
            <w:pPr>
              <w:rPr>
                <w:rFonts w:cstheme="majorHAnsi"/>
                <w:b w:val="0"/>
                <w:sz w:val="18"/>
                <w:szCs w:val="18"/>
              </w:rPr>
            </w:pPr>
            <w:r w:rsidRPr="00BB08AB">
              <w:rPr>
                <w:rFonts w:cstheme="majorHAnsi"/>
                <w:sz w:val="18"/>
                <w:szCs w:val="18"/>
              </w:rPr>
              <w:t xml:space="preserve">Participants </w:t>
            </w:r>
          </w:p>
          <w:p w14:paraId="10173D8E" w14:textId="501BB642" w:rsidR="00CF2E1C" w:rsidRPr="00285D7E" w:rsidRDefault="00CF2E1C" w:rsidP="006859AE">
            <w:pPr>
              <w:rPr>
                <w:rFonts w:cstheme="majorHAnsi"/>
                <w:b w:val="0"/>
                <w:sz w:val="18"/>
                <w:szCs w:val="18"/>
              </w:rPr>
            </w:pPr>
            <w:r w:rsidRPr="00BB08AB">
              <w:rPr>
                <w:rFonts w:cstheme="majorHAnsi"/>
                <w:sz w:val="18"/>
                <w:szCs w:val="18"/>
              </w:rPr>
              <w:t>Studies</w:t>
            </w:r>
          </w:p>
        </w:tc>
        <w:tc>
          <w:tcPr>
            <w:tcW w:w="1134" w:type="dxa"/>
          </w:tcPr>
          <w:p w14:paraId="66A12B7A" w14:textId="77777777" w:rsidR="00CF2E1C" w:rsidRPr="00BB08AB" w:rsidRDefault="00CF2E1C" w:rsidP="006859AE">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500DDEAE" w14:textId="77777777" w:rsidR="00CF2E1C" w:rsidRPr="00BB08AB" w:rsidRDefault="00CF2E1C" w:rsidP="006859AE">
            <w:pPr>
              <w:pStyle w:val="BodyText"/>
              <w:rPr>
                <w:rFonts w:cstheme="majorHAnsi"/>
                <w:sz w:val="18"/>
                <w:szCs w:val="18"/>
              </w:rPr>
            </w:pPr>
            <w:r w:rsidRPr="00BB08AB">
              <w:rPr>
                <w:rFonts w:cstheme="majorHAnsi"/>
                <w:sz w:val="18"/>
                <w:szCs w:val="18"/>
              </w:rPr>
              <w:t xml:space="preserve">Overall results </w:t>
            </w:r>
          </w:p>
        </w:tc>
      </w:tr>
      <w:tr w:rsidR="00CF2E1C" w:rsidRPr="00BB08AB" w14:paraId="5BE570E0" w14:textId="77777777" w:rsidTr="006859AE">
        <w:tc>
          <w:tcPr>
            <w:tcW w:w="1701" w:type="dxa"/>
          </w:tcPr>
          <w:p w14:paraId="7B3273FC" w14:textId="77777777" w:rsidR="00CF2E1C" w:rsidRPr="00BB08AB" w:rsidRDefault="00CF2E1C" w:rsidP="006859AE">
            <w:pPr>
              <w:rPr>
                <w:rFonts w:cstheme="majorHAnsi"/>
                <w:sz w:val="18"/>
                <w:szCs w:val="18"/>
              </w:rPr>
            </w:pPr>
            <w:r w:rsidRPr="00BB08AB">
              <w:rPr>
                <w:rFonts w:cstheme="majorHAnsi"/>
                <w:sz w:val="18"/>
                <w:szCs w:val="18"/>
              </w:rPr>
              <w:t>7,681</w:t>
            </w:r>
          </w:p>
          <w:p w14:paraId="5998794A" w14:textId="79C25228" w:rsidR="00CF2E1C" w:rsidRPr="00BB08AB" w:rsidRDefault="00CF2E1C" w:rsidP="006859AE">
            <w:pPr>
              <w:rPr>
                <w:rFonts w:cstheme="majorHAnsi"/>
                <w:sz w:val="18"/>
                <w:szCs w:val="18"/>
              </w:rPr>
            </w:pPr>
            <w:r w:rsidRPr="00BB08AB">
              <w:rPr>
                <w:rFonts w:cstheme="majorHAnsi"/>
                <w:sz w:val="18"/>
                <w:szCs w:val="18"/>
              </w:rPr>
              <w:t>2</w:t>
            </w:r>
            <w:r w:rsidR="00402B4E">
              <w:rPr>
                <w:rFonts w:cstheme="majorHAnsi"/>
                <w:sz w:val="18"/>
                <w:szCs w:val="18"/>
              </w:rPr>
              <w:t xml:space="preserve"> studies</w:t>
            </w:r>
          </w:p>
        </w:tc>
        <w:tc>
          <w:tcPr>
            <w:tcW w:w="1134" w:type="dxa"/>
          </w:tcPr>
          <w:p w14:paraId="4971F7B4" w14:textId="77777777" w:rsidR="00CF2E1C" w:rsidRPr="00BB08AB" w:rsidRDefault="00CF2E1C" w:rsidP="006859AE">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34389CD7" w14:textId="77777777" w:rsidR="00CF2E1C" w:rsidRPr="00BB08AB" w:rsidRDefault="00CF2E1C" w:rsidP="006859AE">
            <w:pPr>
              <w:rPr>
                <w:rFonts w:cstheme="majorHAnsi"/>
                <w:sz w:val="18"/>
                <w:szCs w:val="18"/>
              </w:rPr>
            </w:pPr>
            <w:r w:rsidRPr="00BB08AB">
              <w:rPr>
                <w:rFonts w:cstheme="majorHAnsi"/>
                <w:sz w:val="18"/>
                <w:szCs w:val="18"/>
              </w:rPr>
              <w:t>Very low</w:t>
            </w:r>
          </w:p>
        </w:tc>
        <w:tc>
          <w:tcPr>
            <w:tcW w:w="6374" w:type="dxa"/>
          </w:tcPr>
          <w:p w14:paraId="7AE5C5E2" w14:textId="77777777" w:rsidR="00CF2E1C" w:rsidRPr="00BB08AB" w:rsidRDefault="00CF2E1C" w:rsidP="006859AE">
            <w:pPr>
              <w:rPr>
                <w:rFonts w:cstheme="majorHAnsi"/>
                <w:sz w:val="18"/>
                <w:szCs w:val="18"/>
              </w:rPr>
            </w:pPr>
            <w:r w:rsidRPr="00BB08AB">
              <w:rPr>
                <w:rFonts w:cstheme="majorHAnsi"/>
                <w:sz w:val="18"/>
                <w:szCs w:val="18"/>
              </w:rPr>
              <w:t xml:space="preserve">No systematic review or pooled analysis was available. </w:t>
            </w:r>
          </w:p>
        </w:tc>
      </w:tr>
    </w:tbl>
    <w:p w14:paraId="32D4DD7C" w14:textId="77777777" w:rsidR="002F3343" w:rsidRPr="00642C42" w:rsidRDefault="002F3343" w:rsidP="002F3343">
      <w:pPr>
        <w:pStyle w:val="CV-Heading"/>
      </w:pPr>
      <w:r w:rsidRPr="00642C42">
        <w:t>Updated findings</w:t>
      </w:r>
    </w:p>
    <w:p w14:paraId="2B41A5FB" w14:textId="5E3E2CAD" w:rsidR="002F3343" w:rsidRPr="00642C42" w:rsidRDefault="002F3343" w:rsidP="002F3343">
      <w:pPr>
        <w:pStyle w:val="BodyText"/>
      </w:pPr>
      <w:r w:rsidRPr="00642C42">
        <w:t>Literature published since 31 December 2017 reported on overall recall rates. As BSA standard reader protocol is independent double reading, we focused most attention on</w:t>
      </w:r>
      <w:r w:rsidR="00642C42">
        <w:t xml:space="preserve"> studies with similar policy settings (rather than those with annual screening and single reading)</w:t>
      </w:r>
      <w:r w:rsidRPr="00642C42">
        <w:t xml:space="preserve">. Primary studies already incorporated into systematic or literature reviews were reviewed but not separately assessed unless additional material not described in the systematic review or narrative literature review was included in the primary study. Relevant data from all primary studies is included in evidence tables. Detailed methodologies for each of these studies is provided in </w:t>
      </w:r>
      <w:r w:rsidRPr="00642C42">
        <w:rPr>
          <w:i/>
          <w:iCs/>
        </w:rPr>
        <w:t xml:space="preserve">section 3.1.1. </w:t>
      </w:r>
      <w:r w:rsidRPr="00642C42">
        <w:t>Included studies are listed below.</w:t>
      </w:r>
      <w:r w:rsidRPr="00642C42">
        <w:rPr>
          <w:i/>
          <w:iCs/>
        </w:rPr>
        <w:t xml:space="preserve"> Tables </w:t>
      </w:r>
      <w:r w:rsidR="00BE1A3E">
        <w:rPr>
          <w:i/>
          <w:iCs/>
        </w:rPr>
        <w:t>15a-c</w:t>
      </w:r>
      <w:r w:rsidRPr="00642C42">
        <w:t xml:space="preserve"> includes a summary of all</w:t>
      </w:r>
      <w:r w:rsidRPr="00642C42">
        <w:rPr>
          <w:i/>
          <w:iCs/>
        </w:rPr>
        <w:t xml:space="preserve"> </w:t>
      </w:r>
      <w:r w:rsidRPr="00642C42">
        <w:t>study results.</w:t>
      </w:r>
    </w:p>
    <w:p w14:paraId="1089500C" w14:textId="77777777" w:rsidR="002F3343" w:rsidRPr="00642C42" w:rsidRDefault="002F3343" w:rsidP="002F3343">
      <w:pPr>
        <w:pStyle w:val="Heading3"/>
      </w:pPr>
      <w:r w:rsidRPr="00642C42">
        <w:tab/>
      </w:r>
      <w:bookmarkStart w:id="362" w:name="_Toc27859663"/>
      <w:bookmarkStart w:id="363" w:name="_Toc27904778"/>
      <w:bookmarkStart w:id="364" w:name="_Toc43376329"/>
      <w:r w:rsidRPr="00642C42">
        <w:t>Systematic reviews</w:t>
      </w:r>
      <w:bookmarkEnd w:id="362"/>
      <w:bookmarkEnd w:id="363"/>
      <w:bookmarkEnd w:id="364"/>
    </w:p>
    <w:p w14:paraId="7ED0A93B" w14:textId="77777777" w:rsidR="002F3343" w:rsidRPr="00642C42" w:rsidRDefault="002F3343" w:rsidP="002F3343">
      <w:pPr>
        <w:pStyle w:val="BodyText"/>
        <w:ind w:firstLine="720"/>
      </w:pPr>
      <w:r w:rsidRPr="00642C42">
        <w:t>Two systematic reviews: Marinovich et al., 2018, Phi et al., 2018</w:t>
      </w:r>
    </w:p>
    <w:p w14:paraId="25F94A93" w14:textId="77777777" w:rsidR="002F3343" w:rsidRPr="00642C42" w:rsidRDefault="002F3343" w:rsidP="002F3343">
      <w:pPr>
        <w:pStyle w:val="Heading3"/>
        <w:ind w:left="720"/>
      </w:pPr>
      <w:bookmarkStart w:id="365" w:name="_Toc27859664"/>
      <w:bookmarkStart w:id="366" w:name="_Toc27904779"/>
      <w:bookmarkStart w:id="367" w:name="_Toc43376330"/>
      <w:r w:rsidRPr="00642C42">
        <w:t>Randomized controlled trials</w:t>
      </w:r>
      <w:bookmarkEnd w:id="365"/>
      <w:bookmarkEnd w:id="366"/>
      <w:bookmarkEnd w:id="367"/>
      <w:r w:rsidRPr="00642C42">
        <w:t xml:space="preserve"> </w:t>
      </w:r>
    </w:p>
    <w:p w14:paraId="352E3200" w14:textId="7C2CA6C3" w:rsidR="00F23A05" w:rsidRDefault="00F23A05" w:rsidP="002F3343">
      <w:pPr>
        <w:pStyle w:val="BodyText"/>
        <w:ind w:left="720"/>
      </w:pPr>
      <w:r>
        <w:t xml:space="preserve">One </w:t>
      </w:r>
      <w:r w:rsidR="002F3343" w:rsidRPr="00642C42">
        <w:t>RCT (</w:t>
      </w:r>
      <w:r>
        <w:t>two papers</w:t>
      </w:r>
      <w:r w:rsidR="002F3343" w:rsidRPr="00642C42">
        <w:t xml:space="preserve">): Aase et al., 2019; </w:t>
      </w:r>
      <w:r w:rsidR="00642C42" w:rsidRPr="00642C42">
        <w:t>Hofvind et al., 2019</w:t>
      </w:r>
    </w:p>
    <w:p w14:paraId="67AEB2E8" w14:textId="4841057D" w:rsidR="002F3343" w:rsidRPr="00642C42" w:rsidRDefault="00F23A05" w:rsidP="002F3343">
      <w:pPr>
        <w:pStyle w:val="BodyText"/>
        <w:ind w:left="720"/>
      </w:pPr>
      <w:r>
        <w:t xml:space="preserve">One randomized study embedded in a population screening program: </w:t>
      </w:r>
      <w:r w:rsidR="002F3343" w:rsidRPr="00642C42">
        <w:t>Pattacini et al., 2018</w:t>
      </w:r>
    </w:p>
    <w:p w14:paraId="34124F64" w14:textId="77777777" w:rsidR="002F3343" w:rsidRPr="00642C42" w:rsidRDefault="002F3343" w:rsidP="002F3343">
      <w:pPr>
        <w:pStyle w:val="Heading3"/>
        <w:ind w:left="720"/>
      </w:pPr>
      <w:bookmarkStart w:id="368" w:name="_Toc27859665"/>
      <w:bookmarkStart w:id="369" w:name="_Toc27904780"/>
      <w:bookmarkStart w:id="370" w:name="_Toc43376331"/>
      <w:r w:rsidRPr="00642C42">
        <w:t>Prospective trials embedded in population screening programs</w:t>
      </w:r>
      <w:bookmarkEnd w:id="368"/>
      <w:bookmarkEnd w:id="369"/>
      <w:bookmarkEnd w:id="370"/>
    </w:p>
    <w:p w14:paraId="3D7C7264" w14:textId="77FBD22B" w:rsidR="002F3343" w:rsidRPr="00642C42" w:rsidRDefault="0076796D" w:rsidP="002F3343">
      <w:pPr>
        <w:pStyle w:val="BodyText"/>
        <w:ind w:left="720"/>
      </w:pPr>
      <w:r>
        <w:t>Eight</w:t>
      </w:r>
      <w:r w:rsidR="002F3343" w:rsidRPr="00642C42">
        <w:t xml:space="preserve"> studies: Bernardi et al., 2019; Houssami et al., 2019; </w:t>
      </w:r>
      <w:r w:rsidR="00642C42" w:rsidRPr="00642C42">
        <w:t xml:space="preserve">Skaane et al., 2019; </w:t>
      </w:r>
      <w:r>
        <w:t xml:space="preserve">Caumo et al., 2018; </w:t>
      </w:r>
      <w:r w:rsidR="002F3343" w:rsidRPr="00642C42">
        <w:t xml:space="preserve">Hofvind et al., 2018; </w:t>
      </w:r>
      <w:r w:rsidR="00642C42" w:rsidRPr="00642C42">
        <w:t xml:space="preserve">Romero Martín et al., 2018; </w:t>
      </w:r>
      <w:r w:rsidR="002F3343" w:rsidRPr="00642C42">
        <w:t>Skaane et al., 2018, Zackrisson et al</w:t>
      </w:r>
      <w:r w:rsidR="00176980" w:rsidRPr="00642C42">
        <w:t>.</w:t>
      </w:r>
      <w:r w:rsidR="002F3343" w:rsidRPr="00642C42">
        <w:t xml:space="preserve"> (2018)</w:t>
      </w:r>
    </w:p>
    <w:p w14:paraId="6A3D2F9B" w14:textId="77777777" w:rsidR="002F3343" w:rsidRPr="00642C42" w:rsidRDefault="002F3343" w:rsidP="002F3343">
      <w:pPr>
        <w:pStyle w:val="Heading3"/>
        <w:ind w:firstLine="720"/>
      </w:pPr>
      <w:bookmarkStart w:id="371" w:name="_Toc27859666"/>
      <w:bookmarkStart w:id="372" w:name="_Toc27904781"/>
      <w:bookmarkStart w:id="373" w:name="_Toc43376332"/>
      <w:r w:rsidRPr="00642C42">
        <w:t>Observational studies</w:t>
      </w:r>
      <w:bookmarkEnd w:id="371"/>
      <w:bookmarkEnd w:id="372"/>
      <w:bookmarkEnd w:id="373"/>
    </w:p>
    <w:p w14:paraId="48583FE0" w14:textId="7072DA3F" w:rsidR="002F3343" w:rsidRPr="00642C42" w:rsidRDefault="004B6BE6" w:rsidP="002F3343">
      <w:pPr>
        <w:pStyle w:val="BodyText"/>
        <w:ind w:left="720"/>
      </w:pPr>
      <w:r>
        <w:t>One</w:t>
      </w:r>
      <w:r w:rsidR="0096179A">
        <w:t xml:space="preserve"> stud</w:t>
      </w:r>
      <w:r>
        <w:t>y</w:t>
      </w:r>
      <w:r w:rsidR="0096179A">
        <w:t xml:space="preserve"> </w:t>
      </w:r>
      <w:r w:rsidR="002F3343" w:rsidRPr="00642C42">
        <w:t>with a prospective design: Miglioretti et al., 2019</w:t>
      </w:r>
    </w:p>
    <w:p w14:paraId="7C9743CC" w14:textId="012B8439" w:rsidR="002F3343" w:rsidRPr="00642C42" w:rsidRDefault="001D5E43" w:rsidP="002F3343">
      <w:pPr>
        <w:pStyle w:val="BodyText"/>
        <w:ind w:left="720"/>
      </w:pPr>
      <w:r>
        <w:t>Six</w:t>
      </w:r>
      <w:r w:rsidR="002F3343" w:rsidRPr="00642C42">
        <w:t xml:space="preserve"> studies with a retrospective design: </w:t>
      </w:r>
      <w:r w:rsidR="00642C42" w:rsidRPr="00642C42">
        <w:t xml:space="preserve">Bahl et al., 2019; </w:t>
      </w:r>
      <w:r w:rsidR="002F3343" w:rsidRPr="00642C42">
        <w:t xml:space="preserve">Conant et al., 2019; </w:t>
      </w:r>
      <w:r w:rsidR="00642C42" w:rsidRPr="00642C42">
        <w:t>Honig et al., 2019;</w:t>
      </w:r>
      <w:r w:rsidR="00642C42">
        <w:t xml:space="preserve"> </w:t>
      </w:r>
      <w:r w:rsidR="00642C42" w:rsidRPr="00642C42">
        <w:t>Hovda et al.</w:t>
      </w:r>
      <w:r w:rsidR="00642C42">
        <w:t>,</w:t>
      </w:r>
      <w:r w:rsidR="00642C42" w:rsidRPr="00642C42">
        <w:t xml:space="preserve"> 2019</w:t>
      </w:r>
      <w:r w:rsidR="00642C42">
        <w:t>;</w:t>
      </w:r>
      <w:r w:rsidR="00642C42" w:rsidRPr="00642C42">
        <w:t xml:space="preserve"> </w:t>
      </w:r>
      <w:r w:rsidR="002F3343" w:rsidRPr="00642C42">
        <w:t>Rose &amp; Shisler, 2018</w:t>
      </w:r>
      <w:r w:rsidR="004B6BE6">
        <w:t>; Upadhyay et al., 2018</w:t>
      </w:r>
    </w:p>
    <w:p w14:paraId="50194E7F" w14:textId="77777777" w:rsidR="001D5E43" w:rsidRDefault="001D5E43">
      <w:r>
        <w:br w:type="page"/>
      </w:r>
    </w:p>
    <w:p w14:paraId="22680779" w14:textId="77777777" w:rsidR="000942E7" w:rsidRPr="00A9108F"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A9108F">
        <w:rPr>
          <w:b/>
          <w:bCs/>
        </w:rPr>
        <w:lastRenderedPageBreak/>
        <w:t>Summary of key findings published between 1 January 2018 and 31 December 2019</w:t>
      </w:r>
    </w:p>
    <w:p w14:paraId="0BF36E39"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T</w:t>
      </w:r>
      <w:r w:rsidRPr="00A9108F">
        <w:t xml:space="preserve">he effect </w:t>
      </w:r>
      <w:r>
        <w:t>of DBT on</w:t>
      </w:r>
      <w:r w:rsidRPr="00A9108F">
        <w:t xml:space="preserve"> recall rate </w:t>
      </w:r>
      <w:r>
        <w:t xml:space="preserve">varies as does its importance: a decrease in recall rate with DBT may be appropriate in a program which has high recall rates overall but may be less important where rates are already appropriately low. </w:t>
      </w:r>
    </w:p>
    <w:p w14:paraId="14D83C34" w14:textId="77777777" w:rsidR="000942E7" w:rsidRDefault="000942E7" w:rsidP="000942E7">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T</w:t>
      </w:r>
      <w:r w:rsidRPr="00A9108F">
        <w:t>wo recent systematic reviews indicat</w:t>
      </w:r>
      <w:r>
        <w:t>ed</w:t>
      </w:r>
      <w:r w:rsidRPr="00A9108F">
        <w:t xml:space="preserve"> mixed results between paired and unpaired studies</w:t>
      </w:r>
      <w:r>
        <w:t>. In studies where recall rate is quite low already (often those using double reading plus some form of arbitration/consensus), recall rates with DBT were usually a little higher with DBT modalities</w:t>
      </w:r>
      <w:r w:rsidRPr="00A9108F">
        <w:t xml:space="preserve">. </w:t>
      </w:r>
      <w:r>
        <w:t>The pooled analysis suggested that overall there was a 1.8 percent decrease in recall with FFDM+DBT compared to FFDM alone. In studies where single reading was the norm, recall rates may decline more with the use of DBT. Many studies also observed a learning curve effect, with recall rates for DBT declining in time as readers learnt some of the subtle differences in presentation of cancers on DBT (for example, presentation as architectural distortion). That said, observed recall rates may still have been higher with DBT even after improvements.</w:t>
      </w:r>
      <w:r w:rsidRPr="00A9108F">
        <w:t xml:space="preserve"> </w:t>
      </w:r>
    </w:p>
    <w:p w14:paraId="72B1DA27" w14:textId="468A52E8" w:rsidR="000942E7" w:rsidRPr="000942E7" w:rsidRDefault="000942E7" w:rsidP="000942E7">
      <w:pPr>
        <w:pBdr>
          <w:top w:val="single" w:sz="4" w:space="1" w:color="auto"/>
          <w:left w:val="single" w:sz="4" w:space="4" w:color="auto"/>
          <w:bottom w:val="single" w:sz="4" w:space="1" w:color="auto"/>
          <w:right w:val="single" w:sz="4" w:space="4" w:color="auto"/>
        </w:pBdr>
        <w:shd w:val="clear" w:color="auto" w:fill="E7FFBD" w:themeFill="background2" w:themeFillTint="33"/>
        <w:spacing w:before="120" w:after="120" w:line="280" w:lineRule="exact"/>
        <w:jc w:val="both"/>
        <w:rPr>
          <w:bCs/>
          <w:color w:val="77B800" w:themeColor="background2"/>
        </w:rPr>
      </w:pPr>
      <w:r w:rsidRPr="00A9108F">
        <w:t xml:space="preserve">Of particular relevance to the BSA </w:t>
      </w:r>
      <w:r>
        <w:t xml:space="preserve">were </w:t>
      </w:r>
      <w:r w:rsidRPr="00A9108F">
        <w:t xml:space="preserve">the  findings of the Maroondah pilot trial, which </w:t>
      </w:r>
      <w:r>
        <w:t xml:space="preserve">reported </w:t>
      </w:r>
      <w:r w:rsidRPr="00A9108F">
        <w:t>an increase in recall for DBT+s2DM compared to FFDM alone</w:t>
      </w:r>
      <w:r>
        <w:t>; however, the overall increase in recall was not extremely large (4.2 recalls per 1000 women screened with DBT+s2DM compared to 3.0 recalls per 1000 women screened with FFDM).</w:t>
      </w:r>
      <w:r w:rsidRPr="00A9108F">
        <w:t xml:space="preserve"> The authors propose</w:t>
      </w:r>
      <w:r>
        <w:t>d</w:t>
      </w:r>
      <w:r w:rsidRPr="00A9108F">
        <w:t xml:space="preserve"> that DBT recall rates may decline in Australia as screen readers become more experienced with the technique and previous rounds of DBT images are made available (which is the current status of FFDM)</w:t>
      </w:r>
      <w:r>
        <w:t>.</w:t>
      </w:r>
    </w:p>
    <w:p w14:paraId="2C92CE4B" w14:textId="3EE8592D" w:rsidR="002F3343" w:rsidRPr="00642C42" w:rsidRDefault="002F3343" w:rsidP="002F3343">
      <w:pPr>
        <w:spacing w:before="120" w:after="120" w:line="280" w:lineRule="exact"/>
        <w:jc w:val="both"/>
        <w:rPr>
          <w:b/>
          <w:bCs/>
          <w:color w:val="77B800" w:themeColor="background2"/>
        </w:rPr>
      </w:pPr>
      <w:r w:rsidRPr="00642C42">
        <w:rPr>
          <w:b/>
          <w:bCs/>
          <w:color w:val="77B800" w:themeColor="background2"/>
        </w:rPr>
        <w:t>Systematic reviews</w:t>
      </w:r>
    </w:p>
    <w:p w14:paraId="1700E3F2" w14:textId="2D9FBA6A" w:rsidR="002F3343" w:rsidRPr="00642C42" w:rsidRDefault="002F3343" w:rsidP="002F3343">
      <w:pPr>
        <w:spacing w:before="120" w:after="120" w:line="280" w:lineRule="exact"/>
        <w:jc w:val="both"/>
      </w:pPr>
      <w:r w:rsidRPr="00642C42">
        <w:t xml:space="preserve">We identified two systematic reviews with pooled analysis of overall recall rate (Marinovich et al., 2018; Phi et al., 2018). A write-up of the pooled analysis methodology is provided in </w:t>
      </w:r>
      <w:r w:rsidRPr="00642C42">
        <w:rPr>
          <w:i/>
          <w:iCs/>
        </w:rPr>
        <w:t>section 3.1.1</w:t>
      </w:r>
      <w:r w:rsidRPr="00642C42">
        <w:t>.</w:t>
      </w:r>
      <w:r w:rsidR="00642C42">
        <w:t xml:space="preserve"> Results from the pooled analysis suggested that, in programs with double reading and biennial screening, recall rates did not decrease with the use of DBT (but recall rates did decrease for annual screening with single reading protocols). </w:t>
      </w:r>
    </w:p>
    <w:tbl>
      <w:tblPr>
        <w:tblStyle w:val="ACGreen-BasicTable"/>
        <w:tblpPr w:leftFromText="180" w:rightFromText="180" w:vertAnchor="text" w:horzAnchor="margin" w:tblpXSpec="right" w:tblpY="214"/>
        <w:tblW w:w="4826" w:type="dxa"/>
        <w:tblLook w:val="04A0" w:firstRow="1" w:lastRow="0" w:firstColumn="1" w:lastColumn="0" w:noHBand="0" w:noVBand="1"/>
        <w:tblDescription w:val="The study design by Marinovich et al., 2018&#10;Meta-analysis including data from Malmö, OTS and STORM includes results: overall recall rate (95%CI) which are recall rate for paired studies:&#10;FFDM+DBT: 0.5% increase (‐0.1, 1.2) compared to FFDM alone (p=.12)&#10;Recall rate for unpaired studies: FFDM+DBT: 2.8% decrease (‐3.5, ‐2.1) compared to FFFDM alone (p&lt;.001)&#10;All ‐1.8% decrease (‐2.7, ‐0.9, p&lt;.001).&#10;&#10;The study design by Phi et al., 2018 - Systematic review with meta-analysis including data from Malmö and STORM includes&#10;Results: overall recall rate (95%CI) - Recall rate for three paired studies:  Pooled RR=1.12 (0.76, 1.63) which are Recall rate for seven unpaired studies:  RR=0.72 (0.64, 0.80).&#10;"/>
      </w:tblPr>
      <w:tblGrid>
        <w:gridCol w:w="1980"/>
        <w:gridCol w:w="2846"/>
      </w:tblGrid>
      <w:tr w:rsidR="002F3343" w:rsidRPr="00642C42" w14:paraId="5C9314A4" w14:textId="77777777" w:rsidTr="00176980">
        <w:trPr>
          <w:cnfStyle w:val="100000000000" w:firstRow="1" w:lastRow="0" w:firstColumn="0" w:lastColumn="0" w:oddVBand="0" w:evenVBand="0" w:oddHBand="0" w:evenHBand="0" w:firstRowFirstColumn="0" w:firstRowLastColumn="0" w:lastRowFirstColumn="0" w:lastRowLastColumn="0"/>
        </w:trPr>
        <w:tc>
          <w:tcPr>
            <w:tcW w:w="1980" w:type="dxa"/>
          </w:tcPr>
          <w:p w14:paraId="18358672" w14:textId="77777777" w:rsidR="002F3343" w:rsidRPr="00642C42" w:rsidRDefault="002F3343" w:rsidP="00176980">
            <w:pPr>
              <w:spacing w:before="120" w:after="120" w:line="280" w:lineRule="exact"/>
              <w:rPr>
                <w:rFonts w:cstheme="majorHAnsi"/>
                <w:sz w:val="18"/>
                <w:szCs w:val="18"/>
              </w:rPr>
            </w:pPr>
            <w:r w:rsidRPr="00642C42">
              <w:rPr>
                <w:rFonts w:cstheme="majorHAnsi"/>
                <w:sz w:val="18"/>
                <w:szCs w:val="18"/>
              </w:rPr>
              <w:t xml:space="preserve">Study </w:t>
            </w:r>
          </w:p>
          <w:p w14:paraId="58737A7C" w14:textId="77777777" w:rsidR="002F3343" w:rsidRPr="00642C42" w:rsidRDefault="002F3343" w:rsidP="00176980">
            <w:pPr>
              <w:spacing w:before="120" w:after="120" w:line="280" w:lineRule="exact"/>
              <w:rPr>
                <w:rFonts w:cstheme="majorHAnsi"/>
                <w:sz w:val="18"/>
                <w:szCs w:val="18"/>
              </w:rPr>
            </w:pPr>
            <w:r w:rsidRPr="00642C42">
              <w:rPr>
                <w:rFonts w:cstheme="majorHAnsi"/>
                <w:sz w:val="18"/>
                <w:szCs w:val="18"/>
              </w:rPr>
              <w:t xml:space="preserve">Design </w:t>
            </w:r>
          </w:p>
        </w:tc>
        <w:tc>
          <w:tcPr>
            <w:tcW w:w="2846" w:type="dxa"/>
          </w:tcPr>
          <w:p w14:paraId="612ED44A" w14:textId="77777777" w:rsidR="002F3343" w:rsidRPr="00642C42" w:rsidRDefault="002F3343" w:rsidP="00176980">
            <w:pPr>
              <w:spacing w:before="120" w:after="120" w:line="280" w:lineRule="exact"/>
              <w:rPr>
                <w:rFonts w:cstheme="majorHAnsi"/>
                <w:sz w:val="18"/>
                <w:szCs w:val="18"/>
              </w:rPr>
            </w:pPr>
            <w:r w:rsidRPr="00642C42">
              <w:rPr>
                <w:rFonts w:cstheme="majorHAnsi"/>
                <w:sz w:val="18"/>
                <w:szCs w:val="18"/>
              </w:rPr>
              <w:t>Results: overall recall rate (95%CI)</w:t>
            </w:r>
          </w:p>
        </w:tc>
      </w:tr>
      <w:tr w:rsidR="002F3343" w:rsidRPr="00642C42" w14:paraId="2ADA2ACC" w14:textId="77777777" w:rsidTr="00176980">
        <w:trPr>
          <w:trHeight w:val="17"/>
        </w:trPr>
        <w:tc>
          <w:tcPr>
            <w:tcW w:w="1980" w:type="dxa"/>
          </w:tcPr>
          <w:p w14:paraId="118BB7CA" w14:textId="77777777" w:rsidR="002F3343" w:rsidRPr="00642C42" w:rsidRDefault="002F3343" w:rsidP="00176980">
            <w:pPr>
              <w:rPr>
                <w:rFonts w:cstheme="majorHAnsi"/>
                <w:b/>
                <w:sz w:val="18"/>
                <w:szCs w:val="18"/>
              </w:rPr>
            </w:pPr>
            <w:r w:rsidRPr="00642C42">
              <w:rPr>
                <w:rFonts w:cstheme="majorHAnsi"/>
                <w:b/>
                <w:sz w:val="18"/>
                <w:szCs w:val="18"/>
              </w:rPr>
              <w:t>Marinovich et al., 2018</w:t>
            </w:r>
          </w:p>
          <w:p w14:paraId="38167C8D" w14:textId="77777777" w:rsidR="002F3343" w:rsidRPr="00642C42" w:rsidRDefault="002F3343" w:rsidP="00176980">
            <w:pPr>
              <w:rPr>
                <w:rFonts w:cstheme="majorHAnsi"/>
                <w:sz w:val="18"/>
                <w:szCs w:val="18"/>
              </w:rPr>
            </w:pPr>
            <w:r w:rsidRPr="00642C42">
              <w:rPr>
                <w:rFonts w:cstheme="majorHAnsi"/>
                <w:sz w:val="18"/>
                <w:szCs w:val="18"/>
              </w:rPr>
              <w:t>Meta-analysis including data from Malmö, OTS and STORM</w:t>
            </w:r>
          </w:p>
        </w:tc>
        <w:tc>
          <w:tcPr>
            <w:tcW w:w="2846" w:type="dxa"/>
          </w:tcPr>
          <w:p w14:paraId="51B50197" w14:textId="77777777" w:rsidR="002F3343" w:rsidRPr="00642C42" w:rsidRDefault="002F3343" w:rsidP="00176980">
            <w:pPr>
              <w:rPr>
                <w:rFonts w:cstheme="majorHAnsi"/>
                <w:sz w:val="18"/>
                <w:szCs w:val="18"/>
              </w:rPr>
            </w:pPr>
            <w:r w:rsidRPr="00642C42">
              <w:rPr>
                <w:rFonts w:cstheme="majorHAnsi"/>
                <w:sz w:val="18"/>
                <w:szCs w:val="18"/>
              </w:rPr>
              <w:t>Recall rate for paired studies:</w:t>
            </w:r>
          </w:p>
          <w:p w14:paraId="280AEBED" w14:textId="77777777" w:rsidR="002F3343" w:rsidRPr="00642C42" w:rsidRDefault="002F3343" w:rsidP="00176980">
            <w:pPr>
              <w:rPr>
                <w:rFonts w:cstheme="majorHAnsi"/>
                <w:sz w:val="18"/>
                <w:szCs w:val="18"/>
              </w:rPr>
            </w:pPr>
            <w:r w:rsidRPr="00642C42">
              <w:rPr>
                <w:rFonts w:cstheme="majorHAnsi"/>
                <w:sz w:val="18"/>
                <w:szCs w:val="18"/>
              </w:rPr>
              <w:t>FFDM+DBT: 0.5% increase (‐0.1, 1.2) compared to FFDM alone (</w:t>
            </w:r>
            <w:r w:rsidRPr="00642C42">
              <w:rPr>
                <w:rFonts w:cstheme="majorHAnsi"/>
                <w:i/>
                <w:iCs/>
                <w:sz w:val="18"/>
                <w:szCs w:val="18"/>
              </w:rPr>
              <w:t>p=</w:t>
            </w:r>
            <w:r w:rsidRPr="00642C42">
              <w:rPr>
                <w:rFonts w:cstheme="majorHAnsi"/>
                <w:sz w:val="18"/>
                <w:szCs w:val="18"/>
              </w:rPr>
              <w:t>.12)</w:t>
            </w:r>
          </w:p>
          <w:p w14:paraId="4609B66B" w14:textId="77777777" w:rsidR="002F3343" w:rsidRPr="00642C42" w:rsidRDefault="002F3343" w:rsidP="00176980">
            <w:pPr>
              <w:rPr>
                <w:rFonts w:cstheme="majorHAnsi"/>
                <w:sz w:val="18"/>
                <w:szCs w:val="18"/>
              </w:rPr>
            </w:pPr>
            <w:r w:rsidRPr="00642C42">
              <w:rPr>
                <w:rFonts w:cstheme="majorHAnsi"/>
                <w:sz w:val="18"/>
                <w:szCs w:val="18"/>
              </w:rPr>
              <w:t>Recall rate for unpaired studies: FFDM+DBT: 2.8% decrease (‐3.5, ‐2.1) compared to FFFDM alone (</w:t>
            </w:r>
            <w:r w:rsidRPr="00642C42">
              <w:rPr>
                <w:rFonts w:cstheme="majorHAnsi"/>
                <w:i/>
                <w:iCs/>
                <w:sz w:val="18"/>
                <w:szCs w:val="18"/>
              </w:rPr>
              <w:t>p</w:t>
            </w:r>
            <w:r w:rsidRPr="00642C42">
              <w:rPr>
                <w:rFonts w:cstheme="majorHAnsi"/>
                <w:sz w:val="18"/>
                <w:szCs w:val="18"/>
              </w:rPr>
              <w:t>&lt;.001)</w:t>
            </w:r>
          </w:p>
          <w:p w14:paraId="311918D3" w14:textId="50173FD4" w:rsidR="002F3343" w:rsidRPr="00642C42" w:rsidRDefault="002F3343" w:rsidP="00642C42">
            <w:pPr>
              <w:pStyle w:val="BodyText"/>
              <w:spacing w:before="0" w:after="0" w:line="240" w:lineRule="auto"/>
              <w:jc w:val="left"/>
              <w:rPr>
                <w:rFonts w:cstheme="majorHAnsi"/>
                <w:sz w:val="18"/>
                <w:szCs w:val="18"/>
              </w:rPr>
            </w:pPr>
            <w:r w:rsidRPr="00642C42">
              <w:rPr>
                <w:rFonts w:cstheme="majorHAnsi"/>
                <w:sz w:val="18"/>
                <w:szCs w:val="18"/>
              </w:rPr>
              <w:t>All ‐1.8% decrease (‐2.7, ‐0.9</w:t>
            </w:r>
            <w:r w:rsidR="00642C42">
              <w:rPr>
                <w:rFonts w:cstheme="majorHAnsi"/>
                <w:sz w:val="18"/>
                <w:szCs w:val="18"/>
              </w:rPr>
              <w:t xml:space="preserve">, </w:t>
            </w:r>
            <w:r w:rsidRPr="00642C42">
              <w:rPr>
                <w:rFonts w:cstheme="majorHAnsi"/>
                <w:i/>
                <w:iCs/>
                <w:sz w:val="18"/>
                <w:szCs w:val="18"/>
              </w:rPr>
              <w:t>p</w:t>
            </w:r>
            <w:r w:rsidRPr="00642C42">
              <w:rPr>
                <w:rFonts w:cstheme="majorHAnsi"/>
                <w:sz w:val="18"/>
                <w:szCs w:val="18"/>
              </w:rPr>
              <w:t>&lt;.001</w:t>
            </w:r>
            <w:r w:rsidR="00642C42">
              <w:rPr>
                <w:rFonts w:cstheme="majorHAnsi"/>
                <w:sz w:val="18"/>
                <w:szCs w:val="18"/>
              </w:rPr>
              <w:t>)</w:t>
            </w:r>
          </w:p>
        </w:tc>
      </w:tr>
      <w:tr w:rsidR="002F3343" w:rsidRPr="00642C42" w14:paraId="3A3F84C4" w14:textId="77777777" w:rsidTr="00176980">
        <w:trPr>
          <w:trHeight w:val="17"/>
        </w:trPr>
        <w:tc>
          <w:tcPr>
            <w:tcW w:w="1980" w:type="dxa"/>
          </w:tcPr>
          <w:p w14:paraId="0EA8AD47" w14:textId="77777777" w:rsidR="002F3343" w:rsidRPr="00642C42" w:rsidRDefault="002F3343" w:rsidP="00176980">
            <w:pPr>
              <w:rPr>
                <w:rFonts w:cstheme="majorHAnsi"/>
                <w:b/>
                <w:sz w:val="18"/>
                <w:szCs w:val="18"/>
              </w:rPr>
            </w:pPr>
            <w:r w:rsidRPr="00642C42">
              <w:rPr>
                <w:rFonts w:cstheme="majorHAnsi"/>
                <w:b/>
                <w:sz w:val="18"/>
                <w:szCs w:val="18"/>
              </w:rPr>
              <w:t>Phi et al., 2018</w:t>
            </w:r>
          </w:p>
          <w:p w14:paraId="780C361C" w14:textId="77777777" w:rsidR="002F3343" w:rsidRPr="00642C42" w:rsidRDefault="002F3343" w:rsidP="00176980">
            <w:pPr>
              <w:rPr>
                <w:rFonts w:cstheme="majorHAnsi"/>
                <w:bCs/>
                <w:sz w:val="18"/>
                <w:szCs w:val="18"/>
              </w:rPr>
            </w:pPr>
            <w:r w:rsidRPr="00642C42">
              <w:rPr>
                <w:rFonts w:cstheme="majorHAnsi"/>
                <w:bCs/>
                <w:sz w:val="18"/>
                <w:szCs w:val="18"/>
              </w:rPr>
              <w:t>Systematic review with meta-analysis including data from</w:t>
            </w:r>
            <w:r w:rsidRPr="00642C42">
              <w:rPr>
                <w:rFonts w:cstheme="majorHAnsi"/>
                <w:sz w:val="18"/>
                <w:szCs w:val="18"/>
              </w:rPr>
              <w:t xml:space="preserve"> Malmö and STORM</w:t>
            </w:r>
          </w:p>
        </w:tc>
        <w:tc>
          <w:tcPr>
            <w:tcW w:w="2846" w:type="dxa"/>
          </w:tcPr>
          <w:p w14:paraId="0784CEA8" w14:textId="2E81BA4C" w:rsidR="002F3343" w:rsidRPr="00642C42" w:rsidRDefault="002F3343" w:rsidP="00176980">
            <w:pPr>
              <w:rPr>
                <w:rFonts w:cstheme="majorHAnsi"/>
                <w:sz w:val="18"/>
                <w:szCs w:val="18"/>
              </w:rPr>
            </w:pPr>
            <w:r w:rsidRPr="00642C42">
              <w:rPr>
                <w:rFonts w:cstheme="majorHAnsi"/>
                <w:sz w:val="18"/>
                <w:szCs w:val="18"/>
              </w:rPr>
              <w:t xml:space="preserve">Recall rate for </w:t>
            </w:r>
            <w:r w:rsidR="00642C42">
              <w:rPr>
                <w:rFonts w:cstheme="majorHAnsi"/>
                <w:sz w:val="18"/>
                <w:szCs w:val="18"/>
              </w:rPr>
              <w:t>three</w:t>
            </w:r>
            <w:r w:rsidRPr="00642C42">
              <w:rPr>
                <w:rFonts w:cstheme="majorHAnsi"/>
                <w:sz w:val="18"/>
                <w:szCs w:val="18"/>
              </w:rPr>
              <w:t xml:space="preserve"> paired studies: </w:t>
            </w:r>
            <w:r w:rsidRPr="00642C42">
              <w:rPr>
                <w:sz w:val="18"/>
                <w:szCs w:val="18"/>
              </w:rPr>
              <w:t xml:space="preserve"> P</w:t>
            </w:r>
            <w:r w:rsidRPr="00642C42">
              <w:rPr>
                <w:rFonts w:cstheme="majorHAnsi"/>
                <w:sz w:val="18"/>
                <w:szCs w:val="18"/>
              </w:rPr>
              <w:t>ooled RR</w:t>
            </w:r>
            <w:r w:rsidR="00285D7E" w:rsidRPr="00642C42">
              <w:rPr>
                <w:rFonts w:cstheme="majorHAnsi"/>
                <w:sz w:val="18"/>
                <w:szCs w:val="18"/>
              </w:rPr>
              <w:t>=</w:t>
            </w:r>
            <w:r w:rsidRPr="00642C42">
              <w:rPr>
                <w:rFonts w:cstheme="majorHAnsi"/>
                <w:sz w:val="18"/>
                <w:szCs w:val="18"/>
              </w:rPr>
              <w:t>1.12 (0.76</w:t>
            </w:r>
            <w:r w:rsidR="00176980" w:rsidRPr="00642C42">
              <w:rPr>
                <w:rFonts w:cstheme="majorHAnsi"/>
                <w:sz w:val="18"/>
                <w:szCs w:val="18"/>
              </w:rPr>
              <w:t xml:space="preserve">, </w:t>
            </w:r>
            <w:r w:rsidRPr="00642C42">
              <w:rPr>
                <w:rFonts w:cstheme="majorHAnsi"/>
                <w:sz w:val="18"/>
                <w:szCs w:val="18"/>
              </w:rPr>
              <w:t>1.63)</w:t>
            </w:r>
          </w:p>
          <w:p w14:paraId="0CF8A786" w14:textId="036710D7" w:rsidR="002F3343" w:rsidRPr="00642C42" w:rsidRDefault="002F3343" w:rsidP="00176980">
            <w:pPr>
              <w:rPr>
                <w:rFonts w:cstheme="majorHAnsi"/>
                <w:sz w:val="18"/>
                <w:szCs w:val="18"/>
              </w:rPr>
            </w:pPr>
            <w:r w:rsidRPr="00642C42">
              <w:rPr>
                <w:rFonts w:cstheme="majorHAnsi"/>
                <w:sz w:val="18"/>
                <w:szCs w:val="18"/>
              </w:rPr>
              <w:t xml:space="preserve">Recall rate for seven unpaired studies: </w:t>
            </w:r>
            <w:r w:rsidRPr="00642C42">
              <w:rPr>
                <w:sz w:val="18"/>
                <w:szCs w:val="18"/>
              </w:rPr>
              <w:t xml:space="preserve"> </w:t>
            </w:r>
            <w:r w:rsidRPr="00642C42">
              <w:rPr>
                <w:rFonts w:cstheme="majorHAnsi"/>
                <w:sz w:val="18"/>
                <w:szCs w:val="18"/>
              </w:rPr>
              <w:t>RR=0.72 (0.64</w:t>
            </w:r>
            <w:r w:rsidR="00176980" w:rsidRPr="00642C42">
              <w:rPr>
                <w:rFonts w:cstheme="majorHAnsi"/>
                <w:sz w:val="18"/>
                <w:szCs w:val="18"/>
              </w:rPr>
              <w:t xml:space="preserve">, </w:t>
            </w:r>
            <w:r w:rsidRPr="00642C42">
              <w:rPr>
                <w:rFonts w:cstheme="majorHAnsi"/>
                <w:sz w:val="18"/>
                <w:szCs w:val="18"/>
              </w:rPr>
              <w:t>0.80)</w:t>
            </w:r>
          </w:p>
        </w:tc>
      </w:tr>
    </w:tbl>
    <w:p w14:paraId="31D518D0" w14:textId="68B7F5FF" w:rsidR="002F3343" w:rsidRPr="00642C42" w:rsidRDefault="002F3343" w:rsidP="002F3343">
      <w:pPr>
        <w:spacing w:before="120" w:after="120" w:line="280" w:lineRule="exact"/>
        <w:jc w:val="both"/>
      </w:pPr>
      <w:r w:rsidRPr="00642C42">
        <w:t xml:space="preserve">Results from the </w:t>
      </w:r>
      <w:r w:rsidR="00642C42">
        <w:t xml:space="preserve">Marinovich et al.’s </w:t>
      </w:r>
      <w:r w:rsidRPr="00642C42">
        <w:t xml:space="preserve">meta-analysis reported a mixed result for overall recall rate when DBT was used as part of the screening test. Marinovich et al.’s 2018 pooled analysis of data from European trials </w:t>
      </w:r>
      <w:r w:rsidR="00642C42">
        <w:t xml:space="preserve">reported an </w:t>
      </w:r>
      <w:r w:rsidRPr="00642C42">
        <w:t xml:space="preserve">overall pooled estimate </w:t>
      </w:r>
      <w:r w:rsidR="00642C42">
        <w:t xml:space="preserve">showing </w:t>
      </w:r>
      <w:r w:rsidRPr="00642C42">
        <w:t>a statistically significant absolute decrease in recall rate for DBT compared with FFDM (–2.2</w:t>
      </w:r>
      <w:r w:rsidR="00176980" w:rsidRPr="00642C42">
        <w:t xml:space="preserve"> percent;</w:t>
      </w:r>
      <w:r w:rsidRPr="00642C42">
        <w:t xml:space="preserve"> 95%CI</w:t>
      </w:r>
      <w:r w:rsidR="00B6376E" w:rsidRPr="00642C42">
        <w:t>:</w:t>
      </w:r>
      <w:r w:rsidRPr="00642C42">
        <w:t xml:space="preserve"> –3.0</w:t>
      </w:r>
      <w:r w:rsidR="00B6376E" w:rsidRPr="00642C42">
        <w:t>,</w:t>
      </w:r>
      <w:r w:rsidRPr="00642C42">
        <w:t xml:space="preserve"> –1.4, </w:t>
      </w:r>
      <w:r w:rsidR="00176980" w:rsidRPr="00642C42">
        <w:rPr>
          <w:i/>
          <w:iCs/>
        </w:rPr>
        <w:t>p</w:t>
      </w:r>
      <w:r w:rsidRPr="00642C42">
        <w:t>&lt;.001, I2=98.2</w:t>
      </w:r>
      <w:r w:rsidR="00176980" w:rsidRPr="00642C42">
        <w:t xml:space="preserve"> percent</w:t>
      </w:r>
      <w:r w:rsidRPr="00642C42">
        <w:t>). Stratified analyses however indicated a difference between paired and unpaired studies, noting that decrease to be</w:t>
      </w:r>
      <w:r w:rsidR="00642C42">
        <w:t xml:space="preserve"> mainly</w:t>
      </w:r>
      <w:r w:rsidRPr="00642C42">
        <w:t xml:space="preserve"> attributable to unpaired studies (pooled difference in recall rate = –2.9</w:t>
      </w:r>
      <w:r w:rsidR="00176980" w:rsidRPr="00642C42">
        <w:t xml:space="preserve"> percent;</w:t>
      </w:r>
      <w:r w:rsidRPr="00642C42">
        <w:t xml:space="preserve"> 95%CI</w:t>
      </w:r>
      <w:r w:rsidR="00B6376E" w:rsidRPr="00642C42">
        <w:t>:</w:t>
      </w:r>
      <w:r w:rsidRPr="00642C42">
        <w:t xml:space="preserve"> –3.5</w:t>
      </w:r>
      <w:r w:rsidR="00B6376E" w:rsidRPr="00642C42">
        <w:t>,</w:t>
      </w:r>
      <w:r w:rsidRPr="00642C42">
        <w:t xml:space="preserve"> –2.4, </w:t>
      </w:r>
      <w:r w:rsidR="00176980" w:rsidRPr="00642C42">
        <w:rPr>
          <w:i/>
          <w:iCs/>
        </w:rPr>
        <w:t>p</w:t>
      </w:r>
      <w:r w:rsidRPr="00642C42">
        <w:t>&lt;.001, I2</w:t>
      </w:r>
      <w:r w:rsidR="00642C42">
        <w:t>=</w:t>
      </w:r>
      <w:r w:rsidRPr="00642C42">
        <w:t>92.9</w:t>
      </w:r>
      <w:r w:rsidR="00176980" w:rsidRPr="00642C42">
        <w:t xml:space="preserve"> percent</w:t>
      </w:r>
      <w:r w:rsidRPr="00642C42">
        <w:t>), with no statistically significant difference in recall rates observed for paired studies (0.5</w:t>
      </w:r>
      <w:r w:rsidR="00176980" w:rsidRPr="00642C42">
        <w:t xml:space="preserve"> percent</w:t>
      </w:r>
      <w:r w:rsidRPr="00642C42">
        <w:t xml:space="preserve"> increase in recall</w:t>
      </w:r>
      <w:r w:rsidR="00176980" w:rsidRPr="00642C42">
        <w:t>;</w:t>
      </w:r>
      <w:r w:rsidRPr="00642C42">
        <w:t xml:space="preserve"> 95%CI</w:t>
      </w:r>
      <w:r w:rsidR="00176980" w:rsidRPr="00642C42">
        <w:t>:</w:t>
      </w:r>
      <w:r w:rsidRPr="00642C42">
        <w:t xml:space="preserve"> –0.1</w:t>
      </w:r>
      <w:r w:rsidR="00176980" w:rsidRPr="00642C42">
        <w:t xml:space="preserve">, </w:t>
      </w:r>
      <w:r w:rsidRPr="00642C42">
        <w:t xml:space="preserve">1.2, </w:t>
      </w:r>
      <w:r w:rsidR="00176980" w:rsidRPr="00642C42">
        <w:rPr>
          <w:i/>
          <w:iCs/>
        </w:rPr>
        <w:t>p</w:t>
      </w:r>
      <w:r w:rsidR="00176980" w:rsidRPr="00642C42">
        <w:t>&lt;</w:t>
      </w:r>
      <w:r w:rsidRPr="00642C42">
        <w:t>.12</w:t>
      </w:r>
      <w:r w:rsidR="00176980" w:rsidRPr="00642C42">
        <w:t>;</w:t>
      </w:r>
      <w:r w:rsidRPr="00642C42">
        <w:t xml:space="preserve"> I2</w:t>
      </w:r>
      <w:r w:rsidR="00642C42">
        <w:t>=</w:t>
      </w:r>
      <w:r w:rsidRPr="00642C42">
        <w:t>93.5</w:t>
      </w:r>
      <w:r w:rsidR="00176980" w:rsidRPr="00642C42">
        <w:t xml:space="preserve"> percent</w:t>
      </w:r>
      <w:r w:rsidRPr="00642C42">
        <w:t xml:space="preserve">; </w:t>
      </w:r>
      <w:r w:rsidR="00176980" w:rsidRPr="00642C42">
        <w:rPr>
          <w:i/>
          <w:iCs/>
        </w:rPr>
        <w:t>p</w:t>
      </w:r>
      <w:r w:rsidRPr="00642C42">
        <w:t>&lt;.001 for difference between strata).</w:t>
      </w:r>
      <w:r w:rsidR="00642C42">
        <w:t xml:space="preserve"> The paired studies are more similar to the BSA </w:t>
      </w:r>
      <w:r w:rsidR="00642C42">
        <w:lastRenderedPageBreak/>
        <w:t>program.</w:t>
      </w:r>
      <w:r w:rsidRPr="00642C42">
        <w:t xml:space="preserve"> Given the significant heterogeneity in results in the primary studies and between the studies operating in contexts more (or less) like that seen in Australia, caution is recommended in relation to the results. These differences are likely to reflect underpinning differences in the screening process (eg, single reading and an annual screening interval is used in most of the retrospective analysis, but the paired trials used biennial screening and double reading). </w:t>
      </w:r>
    </w:p>
    <w:p w14:paraId="5725B396" w14:textId="249E137E" w:rsidR="002F3343" w:rsidRPr="00642C42" w:rsidRDefault="002F3343" w:rsidP="002F3343">
      <w:pPr>
        <w:spacing w:before="120" w:after="120" w:line="280" w:lineRule="exact"/>
        <w:jc w:val="both"/>
      </w:pPr>
      <w:r w:rsidRPr="00642C42">
        <w:t xml:space="preserve">Phi et al. (2018) completed a systematic review with meta-analysis to understand the relationship between DBT compared to FFDM for women with dense breasts. All papers were included in </w:t>
      </w:r>
      <w:r w:rsidRPr="00642C42">
        <w:rPr>
          <w:i/>
          <w:iCs/>
        </w:rPr>
        <w:t>Allen + Clarke</w:t>
      </w:r>
      <w:r w:rsidRPr="00642C42">
        <w:t>’s 2018 review on DBT in screening and are subject to the same differences in study design, intervention/ comparator and screening interval as described for Marinovich et al</w:t>
      </w:r>
      <w:r w:rsidR="00285D7E" w:rsidRPr="00642C42">
        <w:t>.</w:t>
      </w:r>
      <w:r w:rsidRPr="00642C42">
        <w:t>’s study. The pooled estimates from three paired European studies indicated that FFDM+DBT did not reduce recall rate (I2=76 percent). The pooled RR was 1.12</w:t>
      </w:r>
      <w:r w:rsidR="00176980" w:rsidRPr="00642C42">
        <w:t xml:space="preserve"> (</w:t>
      </w:r>
      <w:r w:rsidRPr="00642C42">
        <w:t>95%CI</w:t>
      </w:r>
      <w:r w:rsidR="00B6376E" w:rsidRPr="00642C42">
        <w:t>:</w:t>
      </w:r>
      <w:r w:rsidRPr="00642C42">
        <w:t xml:space="preserve"> 0.76</w:t>
      </w:r>
      <w:r w:rsidR="00176980" w:rsidRPr="00642C42">
        <w:t xml:space="preserve">, </w:t>
      </w:r>
      <w:r w:rsidRPr="00642C42">
        <w:t>1.63</w:t>
      </w:r>
      <w:r w:rsidR="00176980" w:rsidRPr="00642C42">
        <w:t>)</w:t>
      </w:r>
      <w:r w:rsidRPr="00642C42">
        <w:t>. Subgroup analysis was not performed due to a small number of studies. Pooled estimates for seven US studies showed a significant reduction in recall rate when using DBT</w:t>
      </w:r>
      <w:r w:rsidR="001D5E43">
        <w:t>+/-</w:t>
      </w:r>
      <w:r w:rsidRPr="00642C42">
        <w:t xml:space="preserve"> FFDM compared to FFDM alone. </w:t>
      </w:r>
    </w:p>
    <w:p w14:paraId="5C675B08" w14:textId="71E4110D" w:rsidR="002F3343" w:rsidRPr="00642C42" w:rsidRDefault="002F3343" w:rsidP="002F3343">
      <w:pPr>
        <w:pStyle w:val="Heading3-NOTinTOC"/>
      </w:pPr>
      <w:r w:rsidRPr="00642C42">
        <w:t>DBT+</w:t>
      </w:r>
      <w:r w:rsidR="00176980" w:rsidRPr="00642C42">
        <w:t>s2DM</w:t>
      </w:r>
      <w:r w:rsidRPr="00642C42">
        <w:t xml:space="preserve"> compared to </w:t>
      </w:r>
      <w:r w:rsidR="00176980" w:rsidRPr="00642C42">
        <w:t>FFDM+DBT</w:t>
      </w:r>
      <w:r w:rsidRPr="00642C42">
        <w:t xml:space="preserve"> and/or FFDM alone</w:t>
      </w:r>
    </w:p>
    <w:p w14:paraId="3831376D" w14:textId="0C7E1BD3" w:rsidR="00642C42" w:rsidRDefault="00642C42" w:rsidP="00642C42">
      <w:pPr>
        <w:pStyle w:val="BodyText"/>
      </w:pPr>
      <w:r>
        <w:t>Mixed results were also presented for the studies investigating DBT+s2DM compared to FFDM. RCT data suggested that recall decreases with DBT but other prospective studies set in screening environments suggest that recall did not decline.</w:t>
      </w:r>
    </w:p>
    <w:p w14:paraId="041C1E12" w14:textId="63BF2D14" w:rsidR="002F3343" w:rsidRPr="00642C42" w:rsidRDefault="002F3343" w:rsidP="002F3343">
      <w:pPr>
        <w:pStyle w:val="BodyText-GREEN"/>
        <w:rPr>
          <w:b/>
          <w:bCs/>
        </w:rPr>
      </w:pPr>
      <w:r w:rsidRPr="00642C42">
        <w:rPr>
          <w:b/>
          <w:bCs/>
        </w:rPr>
        <w:t xml:space="preserve">RCT  </w:t>
      </w:r>
    </w:p>
    <w:p w14:paraId="45BA5C0D" w14:textId="68FBC0F7" w:rsidR="002F3343" w:rsidRDefault="002070D0" w:rsidP="00642C42">
      <w:pPr>
        <w:pStyle w:val="BodyText"/>
      </w:pPr>
      <w:r>
        <w:t xml:space="preserve">In </w:t>
      </w:r>
      <w:r w:rsidR="00C46EE4">
        <w:t xml:space="preserve">the To-Be-1 </w:t>
      </w:r>
      <w:r>
        <w:t xml:space="preserve">RCT (and its sub-studies), use of DBT+s2DM resulted in fewer recalls, which is consistent with the findings of the systematic reviews. In the main analysis, </w:t>
      </w:r>
      <w:r w:rsidR="002F3343" w:rsidRPr="00642C42">
        <w:t>Hofvind et al</w:t>
      </w:r>
      <w:r w:rsidR="00176980" w:rsidRPr="00642C42">
        <w:t>.</w:t>
      </w:r>
      <w:r w:rsidR="002F3343" w:rsidRPr="00642C42">
        <w:t xml:space="preserve"> (2019) reported lower recall rates </w:t>
      </w:r>
      <w:r w:rsidR="008E6804">
        <w:t xml:space="preserve">when </w:t>
      </w:r>
      <w:r w:rsidR="002F3343" w:rsidRPr="00642C42">
        <w:t xml:space="preserve">women </w:t>
      </w:r>
      <w:r w:rsidR="008E6804">
        <w:t xml:space="preserve">were </w:t>
      </w:r>
      <w:r w:rsidR="002F3343" w:rsidRPr="00642C42">
        <w:t>screened with DBT+</w:t>
      </w:r>
      <w:r w:rsidR="00176980" w:rsidRPr="00642C42">
        <w:t>s2DM</w:t>
      </w:r>
      <w:r w:rsidR="002F3343" w:rsidRPr="00642C42">
        <w:t xml:space="preserve"> compared with FFDM</w:t>
      </w:r>
      <w:r w:rsidR="00642C42">
        <w:t>. Recall rates for DBT+s2DM were 3.1 percent (</w:t>
      </w:r>
      <w:r w:rsidR="00176980" w:rsidRPr="00642C42">
        <w:t xml:space="preserve">95%CI: </w:t>
      </w:r>
      <w:r w:rsidR="002F3343" w:rsidRPr="00642C42">
        <w:t>2·8</w:t>
      </w:r>
      <w:r w:rsidR="00176980" w:rsidRPr="00642C42">
        <w:t xml:space="preserve">, </w:t>
      </w:r>
      <w:r w:rsidR="002F3343" w:rsidRPr="00642C42">
        <w:t>3·4</w:t>
      </w:r>
      <w:r w:rsidR="00642C42">
        <w:t xml:space="preserve">) compared to </w:t>
      </w:r>
      <w:r w:rsidR="002F3343" w:rsidRPr="00642C42">
        <w:t>4·0</w:t>
      </w:r>
      <w:r w:rsidR="00176980" w:rsidRPr="00642C42">
        <w:t xml:space="preserve"> percent</w:t>
      </w:r>
      <w:r w:rsidR="00642C42">
        <w:t xml:space="preserve"> (</w:t>
      </w:r>
      <w:r w:rsidR="00176980" w:rsidRPr="00642C42">
        <w:t xml:space="preserve">95%CI: </w:t>
      </w:r>
      <w:r w:rsidR="002F3343" w:rsidRPr="00642C42">
        <w:t>3·7</w:t>
      </w:r>
      <w:r w:rsidR="00176980" w:rsidRPr="00642C42">
        <w:t xml:space="preserve">, </w:t>
      </w:r>
      <w:r w:rsidR="002F3343" w:rsidRPr="00642C42">
        <w:t>4·3</w:t>
      </w:r>
      <w:r w:rsidR="00176980" w:rsidRPr="00642C42">
        <w:t xml:space="preserve">; </w:t>
      </w:r>
      <w:r w:rsidR="002F3343" w:rsidRPr="00642C42">
        <w:rPr>
          <w:i/>
          <w:iCs/>
        </w:rPr>
        <w:t>p</w:t>
      </w:r>
      <w:r w:rsidR="002F3343" w:rsidRPr="00642C42">
        <w:t>&lt;</w:t>
      </w:r>
      <w:r w:rsidR="00176980" w:rsidRPr="00642C42">
        <w:t>.</w:t>
      </w:r>
      <w:r w:rsidR="002F3343" w:rsidRPr="00642C42">
        <w:t>0001). Ho</w:t>
      </w:r>
      <w:r w:rsidR="00176980" w:rsidRPr="00642C42">
        <w:t>f</w:t>
      </w:r>
      <w:r w:rsidR="002F3343" w:rsidRPr="00642C42">
        <w:t xml:space="preserve">vind et al. also </w:t>
      </w:r>
      <w:r w:rsidR="000C5381">
        <w:t xml:space="preserve">reported </w:t>
      </w:r>
      <w:r w:rsidR="002F3343" w:rsidRPr="00642C42">
        <w:t>that the recall rate increased during the study period for DBT (</w:t>
      </w:r>
      <w:r w:rsidR="002F3343" w:rsidRPr="00642C42">
        <w:rPr>
          <w:i/>
          <w:iCs/>
        </w:rPr>
        <w:t>p</w:t>
      </w:r>
      <w:r w:rsidR="002F3343" w:rsidRPr="00642C42">
        <w:t>=·01) and for FFDM (</w:t>
      </w:r>
      <w:r w:rsidR="002F3343" w:rsidRPr="00642C42">
        <w:rPr>
          <w:i/>
          <w:iCs/>
        </w:rPr>
        <w:t>p</w:t>
      </w:r>
      <w:r w:rsidR="002F3343" w:rsidRPr="00642C42">
        <w:t>=·01)</w:t>
      </w:r>
      <w:r w:rsidR="00642C42">
        <w:t xml:space="preserve">. Reasons proposed </w:t>
      </w:r>
      <w:r w:rsidR="0024768A">
        <w:t xml:space="preserve">included </w:t>
      </w:r>
      <w:r w:rsidR="00642C42">
        <w:t>that this finding reflected some</w:t>
      </w:r>
      <w:r w:rsidR="002F3343" w:rsidRPr="00642C42">
        <w:t xml:space="preserve"> natural variation, </w:t>
      </w:r>
      <w:r w:rsidR="00642C42">
        <w:t xml:space="preserve">a </w:t>
      </w:r>
      <w:r w:rsidR="002F3343" w:rsidRPr="00642C42">
        <w:t xml:space="preserve">study effect </w:t>
      </w:r>
      <w:r w:rsidR="00642C42">
        <w:t>or,</w:t>
      </w:r>
      <w:r w:rsidR="002F3343" w:rsidRPr="00642C42">
        <w:t xml:space="preserve"> in the case of DBT,</w:t>
      </w:r>
      <w:r w:rsidR="00642C42">
        <w:t xml:space="preserve"> a</w:t>
      </w:r>
      <w:r w:rsidR="002F3343" w:rsidRPr="00642C42">
        <w:t xml:space="preserve"> learning effect</w:t>
      </w:r>
      <w:r w:rsidR="00642C42">
        <w:t>.</w:t>
      </w:r>
      <w:r w:rsidR="002F3343" w:rsidRPr="00642C42">
        <w:t xml:space="preserve"> </w:t>
      </w:r>
    </w:p>
    <w:p w14:paraId="40B42BC2" w14:textId="0DC54451" w:rsidR="001D5E43" w:rsidRPr="001D5E43" w:rsidRDefault="008E6804" w:rsidP="001D5E43">
      <w:pPr>
        <w:pStyle w:val="BodyText"/>
      </w:pPr>
      <w:r>
        <w:t xml:space="preserve">A further sub-study </w:t>
      </w:r>
      <w:r w:rsidR="002070D0">
        <w:t xml:space="preserve">(interim analysis) </w:t>
      </w:r>
      <w:r>
        <w:t xml:space="preserve">from this RCT was completed by Aase et al. (2019). They assessed </w:t>
      </w:r>
      <w:r w:rsidR="00A541F4">
        <w:t>cases discussed at consensus (</w:t>
      </w:r>
      <w:r w:rsidR="002070D0">
        <w:t>a meeting between two or more radiologists to discuss all findings identified as probably benign or suspicious of cancer</w:t>
      </w:r>
      <w:r w:rsidR="00A541F4">
        <w:t xml:space="preserve">) and </w:t>
      </w:r>
      <w:r>
        <w:t>recall rates by breast density (using a Volpara density grade, VDG)</w:t>
      </w:r>
      <w:r w:rsidR="00A541F4">
        <w:t xml:space="preserve"> and by prevalent or incidence screening round</w:t>
      </w:r>
      <w:r>
        <w:t xml:space="preserve">. </w:t>
      </w:r>
      <w:r w:rsidR="002070D0">
        <w:t xml:space="preserve">In this study, fewer cases were discussed at consensus for DBT+s2DM compared to FFDM (6.4 percent compared to 7.4 percent, </w:t>
      </w:r>
      <w:r w:rsidR="002070D0">
        <w:rPr>
          <w:i/>
          <w:iCs/>
        </w:rPr>
        <w:t>p</w:t>
      </w:r>
      <w:r w:rsidR="002070D0">
        <w:t xml:space="preserve">=.03). Following consensus, fewer women were recalled when DBT+s2DM was used (3 percent with DBT+s2DM compared to 3.6 percent with FFDM). No differences were observed between </w:t>
      </w:r>
      <w:r w:rsidR="000C5381">
        <w:t xml:space="preserve">women undergoing </w:t>
      </w:r>
      <w:r w:rsidR="002070D0">
        <w:t>prevalent screening (i.e., there was no increased recall for women undergoing mammography for the first time).</w:t>
      </w:r>
      <w:r w:rsidR="000C5381">
        <w:t xml:space="preserve"> A difference was observed for incident screening, with fewer women recalled with DBT+s2DM.</w:t>
      </w:r>
      <w:r w:rsidR="00A05362">
        <w:t xml:space="preserve"> Decreases in recall were also observed for women screened with DBT who ha</w:t>
      </w:r>
      <w:r w:rsidR="0096179A">
        <w:t>ve</w:t>
      </w:r>
      <w:r w:rsidR="00A05362">
        <w:t xml:space="preserve"> less dense breasts (see </w:t>
      </w:r>
      <w:r w:rsidR="00A05362">
        <w:rPr>
          <w:i/>
          <w:iCs/>
        </w:rPr>
        <w:t>Table 15a</w:t>
      </w:r>
      <w:r w:rsidR="00A05362">
        <w:t>).</w:t>
      </w:r>
    </w:p>
    <w:p w14:paraId="196A2B74" w14:textId="75E080A5" w:rsidR="002F3343" w:rsidRPr="00642C42" w:rsidRDefault="002F3343" w:rsidP="002F3343">
      <w:pPr>
        <w:pStyle w:val="BodyText-GREEN"/>
        <w:rPr>
          <w:b/>
          <w:bCs/>
        </w:rPr>
      </w:pPr>
      <w:r w:rsidRPr="00642C42">
        <w:rPr>
          <w:b/>
          <w:bCs/>
        </w:rPr>
        <w:t>Prospective studies embedded in screening programs</w:t>
      </w:r>
    </w:p>
    <w:p w14:paraId="43C43DA8" w14:textId="7A8A9557" w:rsidR="00A05362" w:rsidRDefault="00A05362" w:rsidP="00642C42">
      <w:pPr>
        <w:pStyle w:val="BodyText"/>
      </w:pPr>
      <w:r>
        <w:t>Mixed results were presented in the prospective studies reporting on recall for DBT+s2DM compared to FFDM alone. Some studies reported decreasing recall with DBT, others (including data from the Maroondah trial) reported increases in recall rate</w:t>
      </w:r>
      <w:r w:rsidR="001D5E43">
        <w:t>. S</w:t>
      </w:r>
      <w:r>
        <w:t>ome</w:t>
      </w:r>
      <w:r w:rsidR="00B81932">
        <w:t xml:space="preserve">, like the Verona </w:t>
      </w:r>
      <w:r w:rsidR="0024768A">
        <w:t>pilot evaluation</w:t>
      </w:r>
      <w:r w:rsidR="00B81932">
        <w:t xml:space="preserve">, </w:t>
      </w:r>
      <w:r>
        <w:t xml:space="preserve"> observed no </w:t>
      </w:r>
      <w:r w:rsidR="00B81932">
        <w:t xml:space="preserve">significant </w:t>
      </w:r>
      <w:r>
        <w:t>differences</w:t>
      </w:r>
      <w:r w:rsidR="0076796D">
        <w:t xml:space="preserve"> </w:t>
      </w:r>
      <w:r w:rsidR="0024768A">
        <w:t>(</w:t>
      </w:r>
      <w:r w:rsidR="0076796D">
        <w:t>Caumo, et al., 2018)</w:t>
      </w:r>
      <w:r>
        <w:t>.</w:t>
      </w:r>
    </w:p>
    <w:p w14:paraId="0A3E9D85" w14:textId="64AD14A4" w:rsidR="00642C42" w:rsidRPr="00642C42" w:rsidRDefault="00642C42" w:rsidP="00642C42">
      <w:pPr>
        <w:pStyle w:val="BodyText"/>
      </w:pPr>
      <w:r w:rsidRPr="00642C42">
        <w:lastRenderedPageBreak/>
        <w:t xml:space="preserve">The Maroondah pilot reported by Houssami et al. (2019) reported recall rates for DBT+s2DM to be higher than for FFDM: DBT+s2DM had a recall rate of 4.2 percent (95%CI: 3.6, 4.8) compared with 3.0 percent (95%CI: 2.6, 3.5) for FFDM. The recall rates for women aged under 60 years and for those aged over 60 years were similar. Houssami et al. suggested that DBT recall rates may decline in Australia as screen readers become more experienced with the technique and have DBT screens from earlier screen rounds </w:t>
      </w:r>
      <w:r w:rsidR="00B81932">
        <w:t xml:space="preserve">available for </w:t>
      </w:r>
      <w:r w:rsidR="0024768A">
        <w:t xml:space="preserve">review and </w:t>
      </w:r>
      <w:r w:rsidR="00B81932">
        <w:t xml:space="preserve">comparison. </w:t>
      </w:r>
    </w:p>
    <w:p w14:paraId="574AE312" w14:textId="5FB8ABE6" w:rsidR="002F3343" w:rsidRPr="00642C42" w:rsidRDefault="002F3343" w:rsidP="002F3343">
      <w:pPr>
        <w:pStyle w:val="BodyText"/>
      </w:pPr>
      <w:r w:rsidRPr="00642C42">
        <w:t>Bernardi et al</w:t>
      </w:r>
      <w:r w:rsidR="00176980" w:rsidRPr="00642C42">
        <w:t>.</w:t>
      </w:r>
      <w:r w:rsidRPr="00642C42">
        <w:t xml:space="preserve"> (2019) </w:t>
      </w:r>
      <w:r w:rsidR="00A05362">
        <w:t>reported data from the Trento pilot evaluation</w:t>
      </w:r>
      <w:r w:rsidR="0024768A">
        <w:t xml:space="preserve"> using an </w:t>
      </w:r>
      <w:r w:rsidRPr="00642C42">
        <w:t>independent double reading strategy with consensus</w:t>
      </w:r>
      <w:r w:rsidR="00642C42" w:rsidRPr="00642C42">
        <w:t xml:space="preserve">. Unlike the Maroondah trial, it </w:t>
      </w:r>
      <w:r w:rsidRPr="00642C42">
        <w:t>demonstrated lower recall rates for DBT+</w:t>
      </w:r>
      <w:r w:rsidR="00176980" w:rsidRPr="00642C42">
        <w:t>s2DM</w:t>
      </w:r>
      <w:r w:rsidRPr="00642C42">
        <w:t>. The study design used screening round data stratification (prevalent and incident) and observed that the reduction in recall observed by DBT+</w:t>
      </w:r>
      <w:r w:rsidR="00176980" w:rsidRPr="00642C42">
        <w:t>s2DM</w:t>
      </w:r>
      <w:r w:rsidRPr="00642C42">
        <w:t xml:space="preserve"> was mostly achieved through a reduction in recall for </w:t>
      </w:r>
      <w:r w:rsidR="00642C42" w:rsidRPr="00642C42">
        <w:t>prev</w:t>
      </w:r>
      <w:r w:rsidR="00A05362">
        <w:t>a</w:t>
      </w:r>
      <w:r w:rsidR="00642C42" w:rsidRPr="00642C42">
        <w:t>l</w:t>
      </w:r>
      <w:r w:rsidR="00A05362">
        <w:t>e</w:t>
      </w:r>
      <w:r w:rsidR="00642C42" w:rsidRPr="00642C42">
        <w:t>nt</w:t>
      </w:r>
      <w:r w:rsidRPr="00642C42">
        <w:t xml:space="preserve"> screen</w:t>
      </w:r>
      <w:r w:rsidR="00A05362">
        <w:t>ing examinations</w:t>
      </w:r>
      <w:r w:rsidRPr="00642C42">
        <w:t>. The study indicated that recall percent was generally low</w:t>
      </w:r>
      <w:r w:rsidR="00A05362">
        <w:t>er</w:t>
      </w:r>
      <w:r w:rsidRPr="00642C42">
        <w:t xml:space="preserve"> for </w:t>
      </w:r>
      <w:r w:rsidR="00642C42">
        <w:t xml:space="preserve">incident </w:t>
      </w:r>
      <w:r w:rsidRPr="00642C42">
        <w:t>screening rounds for both DBT+</w:t>
      </w:r>
      <w:r w:rsidR="00176980" w:rsidRPr="00642C42">
        <w:t>s2DM</w:t>
      </w:r>
      <w:r w:rsidRPr="00642C42">
        <w:t xml:space="preserve"> and FFDM (around 2.3</w:t>
      </w:r>
      <w:r w:rsidR="00176980" w:rsidRPr="00642C42">
        <w:t xml:space="preserve"> percent</w:t>
      </w:r>
      <w:r w:rsidRPr="00642C42">
        <w:t>)</w:t>
      </w:r>
      <w:r w:rsidR="00642C42">
        <w:t>.</w:t>
      </w:r>
      <w:r w:rsidR="00A05362">
        <w:t xml:space="preserve"> This may have been due to the availability of prior mammograms (as lower recall in incident screening</w:t>
      </w:r>
      <w:r w:rsidR="001D5E43">
        <w:t xml:space="preserve"> is expected</w:t>
      </w:r>
      <w:r w:rsidR="00A05362">
        <w:t>).</w:t>
      </w:r>
      <w:r w:rsidR="00642C42">
        <w:t xml:space="preserve"> The authors considered that, </w:t>
      </w:r>
      <w:r w:rsidRPr="00642C42">
        <w:t xml:space="preserve">there was limited scope for DBT to further reduce </w:t>
      </w:r>
      <w:r w:rsidR="00642C42">
        <w:t>the already l</w:t>
      </w:r>
      <w:r w:rsidRPr="00642C42">
        <w:t xml:space="preserve">ow recall percentage. </w:t>
      </w:r>
    </w:p>
    <w:p w14:paraId="6EF602ED" w14:textId="0B881C2A" w:rsidR="002F3343" w:rsidRPr="00642C42" w:rsidRDefault="002F3343" w:rsidP="002F3343">
      <w:pPr>
        <w:pStyle w:val="BodyText"/>
        <w:rPr>
          <w:rFonts w:cs="WwmttcAdvTT3713a231"/>
        </w:rPr>
      </w:pPr>
      <w:r w:rsidRPr="00642C42">
        <w:t>A BreastScreen Norway study reported by Hofvind et al. (2018) which used an independent double reading strategy with consensus, found no significant difference in recall rate between DBT+</w:t>
      </w:r>
      <w:r w:rsidR="00176980" w:rsidRPr="00642C42">
        <w:t>s2DM</w:t>
      </w:r>
      <w:r w:rsidRPr="00642C42">
        <w:t xml:space="preserve"> (3.4</w:t>
      </w:r>
      <w:r w:rsidR="00176980" w:rsidRPr="00642C42">
        <w:t xml:space="preserve"> percent</w:t>
      </w:r>
      <w:r w:rsidRPr="00642C42">
        <w:t>) and FFDM (3.3</w:t>
      </w:r>
      <w:r w:rsidR="00176980" w:rsidRPr="00642C42">
        <w:t xml:space="preserve"> percent</w:t>
      </w:r>
      <w:r w:rsidRPr="00642C42">
        <w:t xml:space="preserve">, </w:t>
      </w:r>
      <w:r w:rsidRPr="00642C42">
        <w:rPr>
          <w:i/>
          <w:iCs/>
        </w:rPr>
        <w:t>p</w:t>
      </w:r>
      <w:r w:rsidR="00176980" w:rsidRPr="00642C42">
        <w:rPr>
          <w:i/>
          <w:iCs/>
        </w:rPr>
        <w:t>=</w:t>
      </w:r>
      <w:r w:rsidRPr="00642C42">
        <w:t>.563). Additionally, no significan</w:t>
      </w:r>
      <w:r w:rsidR="00642C42" w:rsidRPr="00642C42">
        <w:t xml:space="preserve">t differences were </w:t>
      </w:r>
      <w:r w:rsidRPr="00642C42">
        <w:t>found for either prevalent screening (DBT+</w:t>
      </w:r>
      <w:r w:rsidR="00176980" w:rsidRPr="00642C42">
        <w:t>s2DM</w:t>
      </w:r>
      <w:r w:rsidR="00642C42" w:rsidRPr="00642C42">
        <w:t>:</w:t>
      </w:r>
      <w:r w:rsidRPr="00642C42">
        <w:t xml:space="preserve"> 7.4</w:t>
      </w:r>
      <w:r w:rsidR="00176980" w:rsidRPr="00642C42">
        <w:t xml:space="preserve"> percent</w:t>
      </w:r>
      <w:r w:rsidRPr="00642C42">
        <w:t>; FFDM, 7.6</w:t>
      </w:r>
      <w:r w:rsidR="00176980" w:rsidRPr="00642C42">
        <w:t xml:space="preserve"> percent</w:t>
      </w:r>
      <w:r w:rsidRPr="00642C42">
        <w:t xml:space="preserve">; </w:t>
      </w:r>
      <w:r w:rsidR="00176980" w:rsidRPr="00642C42">
        <w:rPr>
          <w:i/>
          <w:iCs/>
        </w:rPr>
        <w:t>p=</w:t>
      </w:r>
      <w:r w:rsidRPr="00642C42">
        <w:t>.591) or incident screening (DBT+</w:t>
      </w:r>
      <w:r w:rsidR="00176980" w:rsidRPr="00642C42">
        <w:t>s2DM</w:t>
      </w:r>
      <w:r w:rsidR="00642C42" w:rsidRPr="00642C42">
        <w:t>:</w:t>
      </w:r>
      <w:r w:rsidRPr="00642C42">
        <w:t xml:space="preserve"> 2.4</w:t>
      </w:r>
      <w:r w:rsidR="00176980" w:rsidRPr="00642C42">
        <w:t xml:space="preserve"> percent</w:t>
      </w:r>
      <w:r w:rsidRPr="00642C42">
        <w:t>; FFDM</w:t>
      </w:r>
      <w:r w:rsidR="00642C42" w:rsidRPr="00642C42">
        <w:t>:</w:t>
      </w:r>
      <w:r w:rsidRPr="00642C42">
        <w:t xml:space="preserve"> 2.5</w:t>
      </w:r>
      <w:r w:rsidR="00176980" w:rsidRPr="00642C42">
        <w:t xml:space="preserve"> percent</w:t>
      </w:r>
      <w:r w:rsidRPr="00642C42">
        <w:t xml:space="preserve">; </w:t>
      </w:r>
      <w:r w:rsidR="00176980" w:rsidRPr="00642C42">
        <w:rPr>
          <w:i/>
          <w:iCs/>
        </w:rPr>
        <w:t>p=</w:t>
      </w:r>
      <w:r w:rsidRPr="00642C42">
        <w:t xml:space="preserve">.284). </w:t>
      </w:r>
    </w:p>
    <w:p w14:paraId="68589C6D" w14:textId="18B7133D" w:rsidR="00642C42" w:rsidRPr="00642C42" w:rsidRDefault="00642C42" w:rsidP="00642C42">
      <w:pPr>
        <w:pStyle w:val="BodyText"/>
      </w:pPr>
      <w:r w:rsidRPr="00642C42">
        <w:t xml:space="preserve">Recall rates for the Cordoba trial (Romero Martín et al., 2018) were observed to be lower at 2.9 percent for single reading of DBT+s2DM (arm 3) compared with 3.1 percent for double reading of FFDM (arm 2). In the study a reduction in recalls of 40.5 percent (95%CI: 37.2, 43.9, </w:t>
      </w:r>
      <w:r w:rsidRPr="00642C42">
        <w:rPr>
          <w:i/>
          <w:iCs/>
        </w:rPr>
        <w:t>p</w:t>
      </w:r>
      <w:r w:rsidRPr="00642C42">
        <w:t xml:space="preserve">&lt;.001) for single reading DBT+s2DM compared to double FFDM was reported. This study also reported a significant increase in cancer detection and an increased rate of PPV recalls and PPV biopsies for single reading DBT+s2DM. For this reason, the authors propose that single reading of DBT+s2DM could be an alternative to double reading of FFDM. </w:t>
      </w:r>
    </w:p>
    <w:p w14:paraId="6A3455B0" w14:textId="77777777" w:rsidR="002F3343" w:rsidRPr="00642C42" w:rsidRDefault="002F3343" w:rsidP="002F3343">
      <w:pPr>
        <w:pStyle w:val="BodyText-GREEN"/>
        <w:rPr>
          <w:b/>
          <w:bCs/>
        </w:rPr>
      </w:pPr>
      <w:r w:rsidRPr="00642C42">
        <w:rPr>
          <w:b/>
          <w:bCs/>
        </w:rPr>
        <w:t>Retrospective analysis</w:t>
      </w:r>
    </w:p>
    <w:p w14:paraId="74C8335A" w14:textId="5B65DB44" w:rsidR="002F3343" w:rsidRPr="00642C42" w:rsidRDefault="002F3343" w:rsidP="002F3343">
      <w:pPr>
        <w:pStyle w:val="BodyText"/>
      </w:pPr>
      <w:r w:rsidRPr="00642C42">
        <w:rPr>
          <w:rFonts w:cs="WwmttcAdvTT3713a231"/>
        </w:rPr>
        <w:t>Hovda et al</w:t>
      </w:r>
      <w:r w:rsidR="00176980" w:rsidRPr="00642C42">
        <w:rPr>
          <w:rFonts w:cs="WwmttcAdvTT3713a231"/>
        </w:rPr>
        <w:t>.</w:t>
      </w:r>
      <w:r w:rsidRPr="00642C42">
        <w:rPr>
          <w:rFonts w:cs="WwmttcAdvTT3713a231"/>
        </w:rPr>
        <w:t xml:space="preserve"> (2019)</w:t>
      </w:r>
      <w:r w:rsidR="004B6BE6">
        <w:rPr>
          <w:rFonts w:cs="WwmttcAdvTT3713a231"/>
        </w:rPr>
        <w:t xml:space="preserve"> </w:t>
      </w:r>
      <w:r w:rsidR="00AB5E1C">
        <w:rPr>
          <w:rFonts w:cs="WwmttcAdvTT3713a231"/>
        </w:rPr>
        <w:t>reported a decrease in</w:t>
      </w:r>
      <w:r w:rsidRPr="00642C42">
        <w:rPr>
          <w:rFonts w:cs="WwmttcAdvTT3713a231"/>
        </w:rPr>
        <w:t xml:space="preserve"> recall rates </w:t>
      </w:r>
      <w:r w:rsidR="00AB5E1C">
        <w:rPr>
          <w:rFonts w:cs="WwmttcAdvTT3713a231"/>
        </w:rPr>
        <w:t xml:space="preserve">with </w:t>
      </w:r>
      <w:r w:rsidRPr="00642C42">
        <w:rPr>
          <w:rFonts w:cs="WwmttcAdvTT3713a231"/>
        </w:rPr>
        <w:t xml:space="preserve">DBT </w:t>
      </w:r>
      <w:r w:rsidR="00AB5E1C">
        <w:rPr>
          <w:rFonts w:cs="WwmttcAdvTT3713a231"/>
        </w:rPr>
        <w:t xml:space="preserve">compared to </w:t>
      </w:r>
      <w:r w:rsidRPr="00642C42">
        <w:rPr>
          <w:rFonts w:cs="WwmttcAdvTT3713a231"/>
        </w:rPr>
        <w:t xml:space="preserve">FFDM. </w:t>
      </w:r>
      <w:r w:rsidR="00AB5E1C">
        <w:rPr>
          <w:rFonts w:cs="WwmttcAdvTT3713a231"/>
        </w:rPr>
        <w:t xml:space="preserve">Hovda et al. </w:t>
      </w:r>
      <w:r w:rsidRPr="00642C42">
        <w:rPr>
          <w:rFonts w:cs="WwmttcAdvTT3713a231"/>
        </w:rPr>
        <w:t xml:space="preserve">investigated the impact of </w:t>
      </w:r>
      <w:r w:rsidRPr="00642C42">
        <w:t>subsequent screening with four screening protocols</w:t>
      </w:r>
      <w:r w:rsidR="00AB5E1C">
        <w:t>:</w:t>
      </w:r>
      <w:r w:rsidRPr="00642C42">
        <w:t xml:space="preserve"> FFDM after FFDM, DBT after FFDM, DBT after DBT, and FFDM after DBT. The study found that recall for women screened with </w:t>
      </w:r>
      <w:r w:rsidR="00A05362">
        <w:t xml:space="preserve">two FFDM screening examinations </w:t>
      </w:r>
      <w:r w:rsidRPr="00642C42">
        <w:t>was 3.6</w:t>
      </w:r>
      <w:r w:rsidR="00AB5E1C">
        <w:t xml:space="preserve"> percent</w:t>
      </w:r>
      <w:r w:rsidR="00A05362">
        <w:t>, which was</w:t>
      </w:r>
      <w:r w:rsidRPr="00642C42">
        <w:t xml:space="preserve"> higher than for all other study groups (</w:t>
      </w:r>
      <w:r w:rsidRPr="00AB5E1C">
        <w:rPr>
          <w:i/>
          <w:iCs/>
        </w:rPr>
        <w:t>p</w:t>
      </w:r>
      <w:r w:rsidRPr="00642C42">
        <w:t>&lt;.001). The lowest recall</w:t>
      </w:r>
      <w:r w:rsidR="00511C0E">
        <w:t xml:space="preserve"> rate</w:t>
      </w:r>
      <w:r w:rsidR="00A05362">
        <w:t xml:space="preserve"> (</w:t>
      </w:r>
      <w:r w:rsidRPr="00642C42">
        <w:t>1.9</w:t>
      </w:r>
      <w:r w:rsidR="00511C0E">
        <w:t xml:space="preserve"> percent</w:t>
      </w:r>
      <w:r w:rsidR="00A05362">
        <w:t>)</w:t>
      </w:r>
      <w:r w:rsidRPr="00642C42">
        <w:t xml:space="preserve"> was observed among women with two consecutive DBT examinations. The recall for </w:t>
      </w:r>
      <w:r w:rsidR="009C1233">
        <w:t>FF</w:t>
      </w:r>
      <w:r w:rsidRPr="00642C42">
        <w:t xml:space="preserve">DM after DBT </w:t>
      </w:r>
      <w:r w:rsidR="009C1233">
        <w:t>(</w:t>
      </w:r>
      <w:r w:rsidRPr="00642C42">
        <w:t>2.2</w:t>
      </w:r>
      <w:r w:rsidR="00176980" w:rsidRPr="00642C42">
        <w:t xml:space="preserve"> percent</w:t>
      </w:r>
      <w:r w:rsidR="009C1233">
        <w:t>)</w:t>
      </w:r>
      <w:r w:rsidR="00176980" w:rsidRPr="00642C42">
        <w:t xml:space="preserve"> </w:t>
      </w:r>
      <w:r w:rsidRPr="00642C42">
        <w:t xml:space="preserve">was significantly lower than for DBT after </w:t>
      </w:r>
      <w:r w:rsidR="0024768A">
        <w:t>FF</w:t>
      </w:r>
      <w:r w:rsidRPr="00642C42">
        <w:t>DM (2.7</w:t>
      </w:r>
      <w:r w:rsidR="00511C0E">
        <w:t xml:space="preserve"> percent</w:t>
      </w:r>
      <w:r w:rsidRPr="00642C42">
        <w:t xml:space="preserve">, </w:t>
      </w:r>
      <w:r w:rsidRPr="00642C42">
        <w:rPr>
          <w:i/>
          <w:iCs/>
        </w:rPr>
        <w:t>p</w:t>
      </w:r>
      <w:r w:rsidRPr="00642C42">
        <w:t xml:space="preserve">&lt;.001). Hovda et al. proposed that a significantly lower recall for those with a prior DBT </w:t>
      </w:r>
      <w:r w:rsidR="009C1233">
        <w:t xml:space="preserve">compared to </w:t>
      </w:r>
      <w:r w:rsidRPr="00642C42">
        <w:t>those with a prior FFDM may indicate that the availability of prior DBT examinations at screen reading and/or consensus lower</w:t>
      </w:r>
      <w:r w:rsidR="00511C0E">
        <w:t>ed</w:t>
      </w:r>
      <w:r w:rsidRPr="00642C42">
        <w:t xml:space="preserve"> the probability of recall.</w:t>
      </w:r>
      <w:r w:rsidR="00511C0E">
        <w:t xml:space="preserve"> This was also one of the findings of the To-Be-1 RCT (that the availability of all prior mammograms may influence CDR).</w:t>
      </w:r>
      <w:r w:rsidRPr="00642C42">
        <w:t xml:space="preserve"> Additionally, suspicious findings on screening images could be explained by the superimposition of overlapping tissue when compared with prior DBT images, resulting in a negative screening interpretation. A learning effect as the radiologists were becoming more experienced with DBT </w:t>
      </w:r>
      <w:r w:rsidR="001D5E43">
        <w:t xml:space="preserve">should </w:t>
      </w:r>
      <w:r w:rsidRPr="00642C42">
        <w:t>also be considered.</w:t>
      </w:r>
    </w:p>
    <w:p w14:paraId="3F66EB8C" w14:textId="52E6D3D9" w:rsidR="002F3343" w:rsidRPr="00511C0E" w:rsidRDefault="00176980" w:rsidP="002F3343">
      <w:pPr>
        <w:pStyle w:val="Heading3-NOTinTOC"/>
      </w:pPr>
      <w:r w:rsidRPr="00511C0E">
        <w:lastRenderedPageBreak/>
        <w:t>FFDM+DBT</w:t>
      </w:r>
      <w:r w:rsidR="002F3343" w:rsidRPr="00511C0E">
        <w:t xml:space="preserve"> compared to FFDM alone</w:t>
      </w:r>
    </w:p>
    <w:p w14:paraId="6A672A68" w14:textId="77777777" w:rsidR="002F3343" w:rsidRPr="00511C0E" w:rsidRDefault="002F3343" w:rsidP="002F3343">
      <w:pPr>
        <w:pStyle w:val="BodyText-GREEN"/>
        <w:rPr>
          <w:b/>
          <w:bCs/>
        </w:rPr>
      </w:pPr>
      <w:r w:rsidRPr="00511C0E">
        <w:rPr>
          <w:b/>
          <w:bCs/>
        </w:rPr>
        <w:t>RCT</w:t>
      </w:r>
    </w:p>
    <w:p w14:paraId="12D2BBBD" w14:textId="50B130B5" w:rsidR="002F3343" w:rsidRPr="00511C0E" w:rsidRDefault="002F3343" w:rsidP="002F3343">
      <w:pPr>
        <w:pStyle w:val="BodyText"/>
        <w:rPr>
          <w:rFonts w:cs="AGaramondPro-Regular"/>
        </w:rPr>
      </w:pPr>
      <w:r w:rsidRPr="00511C0E">
        <w:t xml:space="preserve">The Reggio Emilia RCT (Pattacini et al. 2018) </w:t>
      </w:r>
      <w:r w:rsidR="00B6376E" w:rsidRPr="00511C0E">
        <w:t>used</w:t>
      </w:r>
      <w:r w:rsidRPr="00511C0E">
        <w:t xml:space="preserve"> an independent double reading strategy and arbitration, noted a recall rate </w:t>
      </w:r>
      <w:r w:rsidRPr="00511C0E">
        <w:rPr>
          <w:rFonts w:cs="AGaramondPro-Regular"/>
        </w:rPr>
        <w:t>of 3.5</w:t>
      </w:r>
      <w:r w:rsidR="00511C0E">
        <w:rPr>
          <w:rFonts w:cs="AGaramondPro-Regular"/>
        </w:rPr>
        <w:t xml:space="preserve"> percent</w:t>
      </w:r>
      <w:r w:rsidR="00562CD2">
        <w:rPr>
          <w:rFonts w:cs="AGaramondPro-Regular"/>
        </w:rPr>
        <w:t xml:space="preserve"> for both </w:t>
      </w:r>
      <w:r w:rsidR="00562CD2" w:rsidRPr="00511C0E">
        <w:rPr>
          <w:rFonts w:cs="AGaramondPro-Regular"/>
        </w:rPr>
        <w:t>DBT+FFDM and FFDM</w:t>
      </w:r>
      <w:r w:rsidRPr="00511C0E">
        <w:rPr>
          <w:rFonts w:cs="AGaramondPro-Regular"/>
        </w:rPr>
        <w:t>. This result becomes noteworthy when compared to the other primary outcomes reported in favour of DBT which were 90</w:t>
      </w:r>
      <w:r w:rsidR="00285D7E" w:rsidRPr="00511C0E">
        <w:rPr>
          <w:rFonts w:cs="AGaramondPro-Regular"/>
        </w:rPr>
        <w:t xml:space="preserve"> </w:t>
      </w:r>
      <w:r w:rsidR="00285D7E" w:rsidRPr="00511C0E">
        <w:t>percent</w:t>
      </w:r>
      <w:r w:rsidRPr="00511C0E">
        <w:rPr>
          <w:rFonts w:cs="AGaramondPro-Regular"/>
        </w:rPr>
        <w:t xml:space="preserve"> more cancers detected (8.6 per 1000 compared to 4.5 per 1000</w:t>
      </w:r>
      <w:r w:rsidR="0024768A">
        <w:rPr>
          <w:rFonts w:cs="AGaramondPro-Regular"/>
        </w:rPr>
        <w:t>)</w:t>
      </w:r>
      <w:r w:rsidRPr="00511C0E">
        <w:rPr>
          <w:rFonts w:cs="AGaramondPro-Regular"/>
        </w:rPr>
        <w:t>; PPV almost doubled (24.1</w:t>
      </w:r>
      <w:r w:rsidR="00176980" w:rsidRPr="00511C0E">
        <w:rPr>
          <w:rFonts w:cs="AGaramondPro-Regular"/>
        </w:rPr>
        <w:t xml:space="preserve"> </w:t>
      </w:r>
      <w:r w:rsidR="00176980" w:rsidRPr="00511C0E">
        <w:t>percent</w:t>
      </w:r>
      <w:r w:rsidR="00176980" w:rsidRPr="00511C0E">
        <w:rPr>
          <w:rFonts w:cs="AGaramondPro-Regular"/>
        </w:rPr>
        <w:t xml:space="preserve"> </w:t>
      </w:r>
      <w:r w:rsidR="00B6376E" w:rsidRPr="00511C0E">
        <w:rPr>
          <w:rFonts w:cs="AGaramondPro-Regular"/>
        </w:rPr>
        <w:t>compared to</w:t>
      </w:r>
      <w:r w:rsidRPr="00511C0E">
        <w:rPr>
          <w:rFonts w:cs="AGaramondPro-Regular"/>
        </w:rPr>
        <w:t xml:space="preserve"> 13.0</w:t>
      </w:r>
      <w:r w:rsidR="00285D7E" w:rsidRPr="00511C0E">
        <w:rPr>
          <w:rFonts w:cs="AGaramondPro-Regular"/>
        </w:rPr>
        <w:t xml:space="preserve"> </w:t>
      </w:r>
      <w:r w:rsidR="00285D7E" w:rsidRPr="00511C0E">
        <w:t>percent</w:t>
      </w:r>
      <w:r w:rsidR="0024768A">
        <w:t>),</w:t>
      </w:r>
      <w:r w:rsidRPr="00511C0E">
        <w:rPr>
          <w:rFonts w:cs="AGaramondPro-Regular"/>
        </w:rPr>
        <w:t xml:space="preserve"> and false positive </w:t>
      </w:r>
      <w:r w:rsidR="00562CD2">
        <w:rPr>
          <w:rFonts w:cs="AGaramondPro-Regular"/>
        </w:rPr>
        <w:t xml:space="preserve">recall rates </w:t>
      </w:r>
      <w:r w:rsidRPr="00511C0E">
        <w:rPr>
          <w:rFonts w:cs="AGaramondPro-Regular"/>
        </w:rPr>
        <w:t xml:space="preserve">decreased </w:t>
      </w:r>
      <w:r w:rsidR="0024768A">
        <w:rPr>
          <w:rFonts w:cs="AGaramondPro-Regular"/>
        </w:rPr>
        <w:t>(</w:t>
      </w:r>
      <w:r w:rsidRPr="00511C0E">
        <w:rPr>
          <w:rFonts w:cs="AGaramondPro-Regular"/>
        </w:rPr>
        <w:t>30 per 1000 to 27 per 1000</w:t>
      </w:r>
      <w:r w:rsidR="00511C0E">
        <w:rPr>
          <w:rFonts w:cs="AGaramondPro-Regular"/>
        </w:rPr>
        <w:t>)</w:t>
      </w:r>
      <w:r w:rsidRPr="00511C0E">
        <w:rPr>
          <w:rFonts w:cs="AGaramondPro-Regular"/>
        </w:rPr>
        <w:t xml:space="preserve">. These statistics indicate that maintaining a steady recall rate </w:t>
      </w:r>
      <w:r w:rsidR="00B6376E" w:rsidRPr="00511C0E">
        <w:rPr>
          <w:rFonts w:cs="AGaramondPro-Regular"/>
        </w:rPr>
        <w:t>while</w:t>
      </w:r>
      <w:r w:rsidRPr="00511C0E">
        <w:rPr>
          <w:rFonts w:cs="AGaramondPro-Regular"/>
        </w:rPr>
        <w:t xml:space="preserve"> improving other outcomes is an overall positive effect. </w:t>
      </w:r>
    </w:p>
    <w:p w14:paraId="397900FA" w14:textId="77777777" w:rsidR="002F3343" w:rsidRPr="00511C0E" w:rsidRDefault="002F3343" w:rsidP="002F3343">
      <w:pPr>
        <w:pStyle w:val="BodyText-GREEN"/>
        <w:rPr>
          <w:b/>
          <w:bCs/>
        </w:rPr>
      </w:pPr>
      <w:r w:rsidRPr="00511C0E">
        <w:rPr>
          <w:b/>
          <w:bCs/>
        </w:rPr>
        <w:t>Prospective studies embedded in screening programs</w:t>
      </w:r>
    </w:p>
    <w:p w14:paraId="72273CF3" w14:textId="1859349C" w:rsidR="002F3343" w:rsidRPr="00773B4C" w:rsidRDefault="002F3343" w:rsidP="002F3343">
      <w:pPr>
        <w:pStyle w:val="BodyText"/>
      </w:pPr>
      <w:r w:rsidRPr="00511C0E">
        <w:t xml:space="preserve">Both OTS trial studies reported </w:t>
      </w:r>
      <w:r w:rsidR="00511C0E">
        <w:t>in this literature review</w:t>
      </w:r>
      <w:r w:rsidRPr="00511C0E">
        <w:t xml:space="preserve"> </w:t>
      </w:r>
      <w:r w:rsidR="00B6376E" w:rsidRPr="00511C0E">
        <w:t>used</w:t>
      </w:r>
      <w:r w:rsidRPr="00511C0E">
        <w:t xml:space="preserve"> an independent double reading and arbitration consensus protocol. Skaane et al.</w:t>
      </w:r>
      <w:r w:rsidR="00511C0E">
        <w:t xml:space="preserve"> (2019) and Skaane et al. (2018)</w:t>
      </w:r>
      <w:r w:rsidRPr="00511C0E">
        <w:t xml:space="preserve"> observed mixed results in relation to recall rates. In </w:t>
      </w:r>
      <w:r w:rsidR="00285D7E" w:rsidRPr="00511C0E">
        <w:t>Skaane</w:t>
      </w:r>
      <w:r w:rsidRPr="00511C0E">
        <w:t xml:space="preserve"> et al. (2018)</w:t>
      </w:r>
      <w:r w:rsidR="00562CD2">
        <w:t>,</w:t>
      </w:r>
      <w:r w:rsidRPr="00511C0E">
        <w:t xml:space="preserve"> reported </w:t>
      </w:r>
      <w:r w:rsidR="00562CD2">
        <w:t xml:space="preserve">results favoured a </w:t>
      </w:r>
      <w:r w:rsidRPr="00511C0E">
        <w:t xml:space="preserve">significantly lower recall rate </w:t>
      </w:r>
      <w:r w:rsidR="00562CD2">
        <w:t>for FFDM+DBT:</w:t>
      </w:r>
      <w:r w:rsidRPr="00511C0E">
        <w:t xml:space="preserve"> 3.4</w:t>
      </w:r>
      <w:r w:rsidR="00176980" w:rsidRPr="00511C0E">
        <w:t xml:space="preserve"> percent </w:t>
      </w:r>
      <w:r w:rsidRPr="00511C0E">
        <w:t>(33.7 per 1000 screen</w:t>
      </w:r>
      <w:r w:rsidR="00511C0E">
        <w:t>ing examination</w:t>
      </w:r>
      <w:r w:rsidRPr="00511C0E">
        <w:t>s) for FFDM+DBT compared to 4.2</w:t>
      </w:r>
      <w:r w:rsidR="00176980" w:rsidRPr="00511C0E">
        <w:t xml:space="preserve"> percent </w:t>
      </w:r>
      <w:r w:rsidRPr="00511C0E">
        <w:t>(42.3 per 1000</w:t>
      </w:r>
      <w:r w:rsidR="00511C0E">
        <w:t xml:space="preserve"> screening examinations</w:t>
      </w:r>
      <w:r w:rsidRPr="00511C0E">
        <w:t>) for FFDM alone in previous rounds</w:t>
      </w:r>
      <w:r w:rsidR="00511C0E">
        <w:t xml:space="preserve">. This was </w:t>
      </w:r>
      <w:r w:rsidRPr="00511C0E">
        <w:t>a difference of -8.5 per 1000 observed</w:t>
      </w:r>
      <w:r w:rsidR="00285D7E" w:rsidRPr="00511C0E">
        <w:t xml:space="preserve"> (95%</w:t>
      </w:r>
      <w:r w:rsidRPr="00511C0E">
        <w:t>CI</w:t>
      </w:r>
      <w:r w:rsidR="00285D7E" w:rsidRPr="00511C0E">
        <w:t>:</w:t>
      </w:r>
      <w:r w:rsidRPr="00511C0E">
        <w:t xml:space="preserve"> </w:t>
      </w:r>
      <w:r w:rsidRPr="00511C0E">
        <w:noBreakHyphen/>
        <w:t>11.3</w:t>
      </w:r>
      <w:r w:rsidR="00285D7E" w:rsidRPr="00511C0E">
        <w:t>,</w:t>
      </w:r>
      <w:r w:rsidRPr="00511C0E">
        <w:t xml:space="preserve"> </w:t>
      </w:r>
      <w:r w:rsidRPr="00511C0E">
        <w:noBreakHyphen/>
        <w:t xml:space="preserve">5.7, </w:t>
      </w:r>
      <w:r w:rsidRPr="00511C0E">
        <w:rPr>
          <w:i/>
          <w:iCs/>
        </w:rPr>
        <w:t>p</w:t>
      </w:r>
      <w:r w:rsidRPr="00511C0E">
        <w:t>&lt;.001). However, in the second study, Skaane et al. (2019) reported on the final data of the trial</w:t>
      </w:r>
      <w:r w:rsidR="00511C0E">
        <w:t>. T</w:t>
      </w:r>
      <w:r w:rsidRPr="00511C0E">
        <w:t>he</w:t>
      </w:r>
      <w:r w:rsidR="00511C0E">
        <w:t xml:space="preserve"> observed</w:t>
      </w:r>
      <w:r w:rsidRPr="00511C0E">
        <w:t xml:space="preserve"> recall rate was 3.4</w:t>
      </w:r>
      <w:r w:rsidR="00176980" w:rsidRPr="00511C0E">
        <w:t xml:space="preserve"> percent</w:t>
      </w:r>
      <w:r w:rsidRPr="00511C0E">
        <w:t xml:space="preserve"> for FFDM+DBT compared with 2.6</w:t>
      </w:r>
      <w:r w:rsidR="00176980" w:rsidRPr="00511C0E">
        <w:t xml:space="preserve"> percent</w:t>
      </w:r>
      <w:r w:rsidRPr="00511C0E">
        <w:t xml:space="preserve"> for FFDM. The study authors acknowledge</w:t>
      </w:r>
      <w:r w:rsidR="00511C0E">
        <w:t>d</w:t>
      </w:r>
      <w:r w:rsidRPr="00511C0E">
        <w:t xml:space="preserve"> that in their previous paper that recall rates for two previous rounds of screening using FFDM had an average recall rate of 4.2</w:t>
      </w:r>
      <w:r w:rsidR="00176980" w:rsidRPr="00511C0E">
        <w:t xml:space="preserve"> percent</w:t>
      </w:r>
      <w:r w:rsidRPr="00511C0E">
        <w:t>. In this later study, the post-arbitration recall rate for FFDM arms A + B was 2.6</w:t>
      </w:r>
      <w:r w:rsidR="00285D7E" w:rsidRPr="00511C0E">
        <w:t xml:space="preserve"> percent</w:t>
      </w:r>
      <w:r w:rsidRPr="00511C0E">
        <w:t>. The authors state</w:t>
      </w:r>
      <w:r w:rsidR="00511C0E">
        <w:t>d</w:t>
      </w:r>
      <w:r w:rsidRPr="00511C0E">
        <w:t xml:space="preserve"> that it is likely that the availability of DBT images at consensus meetings allowed cases that would have been recalled according to FFDM findings alone to be dismissed. To avoid distortions made after the consensus meeting, they focused on pre-consensus interpretations in their analysis. It is therefore possible </w:t>
      </w:r>
      <w:r w:rsidRPr="00773B4C">
        <w:t xml:space="preserve">to consider that this may have impacted the differences in recall rates reported in the two studies. </w:t>
      </w:r>
    </w:p>
    <w:p w14:paraId="665A3714" w14:textId="77777777" w:rsidR="002F3343" w:rsidRPr="00773B4C" w:rsidRDefault="002F3343" w:rsidP="002F3343">
      <w:pPr>
        <w:pStyle w:val="BodyText-GREEN"/>
        <w:rPr>
          <w:b/>
          <w:bCs/>
        </w:rPr>
      </w:pPr>
      <w:r w:rsidRPr="00773B4C">
        <w:rPr>
          <w:b/>
          <w:bCs/>
        </w:rPr>
        <w:t>Observational studies: retrospective design</w:t>
      </w:r>
    </w:p>
    <w:p w14:paraId="2DFFDD66" w14:textId="38A668EB" w:rsidR="002F3343" w:rsidRPr="00511C0E" w:rsidRDefault="002F3343" w:rsidP="002F3343">
      <w:pPr>
        <w:pStyle w:val="BodyText"/>
      </w:pPr>
      <w:r w:rsidRPr="00855B71">
        <w:t xml:space="preserve">Four retrospective observational studies conducted in the </w:t>
      </w:r>
      <w:r w:rsidR="0096179A" w:rsidRPr="00855B71">
        <w:t>US</w:t>
      </w:r>
      <w:r w:rsidRPr="00BC5B19">
        <w:t xml:space="preserve"> </w:t>
      </w:r>
      <w:r w:rsidR="000677C9" w:rsidRPr="00773B4C">
        <w:t xml:space="preserve">and one study conducted in the United Kingdom </w:t>
      </w:r>
      <w:r w:rsidRPr="00773B4C">
        <w:t xml:space="preserve">all </w:t>
      </w:r>
      <w:r w:rsidR="00DB1494" w:rsidRPr="00773B4C">
        <w:t>reported</w:t>
      </w:r>
      <w:r w:rsidRPr="00773B4C">
        <w:t xml:space="preserve"> lower recall rates for DBT+FFDM than FFDM alone. </w:t>
      </w:r>
    </w:p>
    <w:p w14:paraId="4BDD5172" w14:textId="08228BDD" w:rsidR="002F3343" w:rsidRDefault="002F3343" w:rsidP="002F3343">
      <w:pPr>
        <w:pStyle w:val="BodyText"/>
      </w:pPr>
      <w:r w:rsidRPr="00511C0E">
        <w:t>The PROSPR consortium retrospective multicentre study conducted by Conant et al</w:t>
      </w:r>
      <w:r w:rsidR="00176980" w:rsidRPr="00511C0E">
        <w:t>.</w:t>
      </w:r>
      <w:r w:rsidRPr="00511C0E">
        <w:t xml:space="preserve"> (2019) found that recall rates for DBT compared to FFDM were lower. The generalized estimating equation analysis confirmed the lower recall rate for DBT (OR</w:t>
      </w:r>
      <w:r w:rsidR="00285D7E" w:rsidRPr="00511C0E">
        <w:t>=</w:t>
      </w:r>
      <w:r w:rsidRPr="00511C0E">
        <w:t>0.64; 95%CI</w:t>
      </w:r>
      <w:r w:rsidR="00176980" w:rsidRPr="00511C0E">
        <w:t>:</w:t>
      </w:r>
      <w:r w:rsidRPr="00511C0E">
        <w:t xml:space="preserve"> 0.57</w:t>
      </w:r>
      <w:r w:rsidR="00176980" w:rsidRPr="00511C0E">
        <w:t xml:space="preserve">, </w:t>
      </w:r>
      <w:r w:rsidRPr="00511C0E">
        <w:t xml:space="preserve">0.72; </w:t>
      </w:r>
      <w:r w:rsidR="00176980" w:rsidRPr="00511C0E">
        <w:rPr>
          <w:i/>
          <w:iCs/>
        </w:rPr>
        <w:t>p</w:t>
      </w:r>
      <w:r w:rsidRPr="00511C0E">
        <w:t xml:space="preserve">&lt;.001) after adjustment for age group, breast density, first or subsequent screening, and research centre. As can be seen in </w:t>
      </w:r>
      <w:r w:rsidR="00DB1494">
        <w:rPr>
          <w:i/>
          <w:iCs/>
        </w:rPr>
        <w:t>F</w:t>
      </w:r>
      <w:r w:rsidRPr="00DB1494">
        <w:rPr>
          <w:i/>
          <w:iCs/>
        </w:rPr>
        <w:t xml:space="preserve">igure </w:t>
      </w:r>
      <w:r w:rsidR="001D5E43">
        <w:rPr>
          <w:i/>
          <w:iCs/>
        </w:rPr>
        <w:t xml:space="preserve">3 </w:t>
      </w:r>
      <w:r w:rsidR="001D5E43">
        <w:t>(overleaf)</w:t>
      </w:r>
      <w:r w:rsidRPr="00511C0E">
        <w:t>, this pattern remained within every age group with similar OR across age groups. Recall rates were consistently higher for younger women, women with dense breasts, and those at first screening. Screening examinations among women with non</w:t>
      </w:r>
      <w:r w:rsidR="00285D7E" w:rsidRPr="00511C0E">
        <w:t>-</w:t>
      </w:r>
      <w:r w:rsidRPr="00511C0E">
        <w:t xml:space="preserve">dense breasts had lower recall for DBT </w:t>
      </w:r>
      <w:r w:rsidR="00B6376E" w:rsidRPr="00511C0E">
        <w:t>compared to</w:t>
      </w:r>
      <w:r w:rsidRPr="00511C0E">
        <w:t xml:space="preserve"> FFDM (OR</w:t>
      </w:r>
      <w:r w:rsidR="00285D7E" w:rsidRPr="00511C0E">
        <w:t>=</w:t>
      </w:r>
      <w:r w:rsidRPr="00511C0E">
        <w:t>0.62; 95%CI</w:t>
      </w:r>
      <w:r w:rsidR="00B6376E" w:rsidRPr="00511C0E">
        <w:t>:</w:t>
      </w:r>
      <w:r w:rsidRPr="00511C0E">
        <w:t xml:space="preserve"> 0.54</w:t>
      </w:r>
      <w:r w:rsidR="00176980" w:rsidRPr="00511C0E">
        <w:t xml:space="preserve">, </w:t>
      </w:r>
      <w:r w:rsidRPr="00511C0E">
        <w:t xml:space="preserve">0.72; </w:t>
      </w:r>
      <w:r w:rsidR="00176980" w:rsidRPr="00511C0E">
        <w:rPr>
          <w:i/>
          <w:iCs/>
        </w:rPr>
        <w:t>p</w:t>
      </w:r>
      <w:r w:rsidRPr="00511C0E">
        <w:t>&lt;.001), as did those among women with dense breasts (OR</w:t>
      </w:r>
      <w:r w:rsidR="00285D7E" w:rsidRPr="00511C0E">
        <w:t>=</w:t>
      </w:r>
      <w:r w:rsidRPr="00511C0E">
        <w:t>0.65; 95%CI</w:t>
      </w:r>
      <w:r w:rsidR="00B6376E" w:rsidRPr="00511C0E">
        <w:t>:</w:t>
      </w:r>
      <w:r w:rsidRPr="00511C0E">
        <w:t xml:space="preserve"> 0.58</w:t>
      </w:r>
      <w:r w:rsidR="00176980" w:rsidRPr="00511C0E">
        <w:t>, 0</w:t>
      </w:r>
      <w:r w:rsidRPr="00511C0E">
        <w:t xml:space="preserve">.73; </w:t>
      </w:r>
      <w:r w:rsidR="00176980" w:rsidRPr="00511C0E">
        <w:rPr>
          <w:i/>
          <w:iCs/>
        </w:rPr>
        <w:t>p</w:t>
      </w:r>
      <w:r w:rsidRPr="00511C0E">
        <w:t>&lt;.001).</w:t>
      </w:r>
      <w:r w:rsidR="001D5E43">
        <w:t xml:space="preserve"> </w:t>
      </w:r>
    </w:p>
    <w:p w14:paraId="048A4F85" w14:textId="3CA3809B" w:rsidR="002F3343" w:rsidRPr="00511C0E" w:rsidRDefault="001D5E43" w:rsidP="002F3343">
      <w:pPr>
        <w:pStyle w:val="BodyText"/>
      </w:pPr>
      <w:r w:rsidRPr="00511C0E">
        <w:t>Honig et al. (2019) undertook retrospective analysis of data from 1887 women (FFDM: 5029,</w:t>
      </w:r>
      <w:r w:rsidR="006E5A43">
        <w:t xml:space="preserve"> </w:t>
      </w:r>
      <w:r w:rsidRPr="00511C0E">
        <w:t>DBT:  17,026) and identified  that DBT+FFDM recorded a significantly lower recall rate than FFDM alone (8 percent; 10.6 percent;</w:t>
      </w:r>
      <w:r w:rsidRPr="00511C0E">
        <w:rPr>
          <w:i/>
          <w:iCs/>
        </w:rPr>
        <w:t xml:space="preserve"> p</w:t>
      </w:r>
      <w:r w:rsidRPr="00511C0E">
        <w:t xml:space="preserve">&lt;.001). Rose &amp; Shisler also found that DBT compared to FFDM reduced </w:t>
      </w:r>
      <w:r w:rsidRPr="00511C0E">
        <w:lastRenderedPageBreak/>
        <w:t>the recall rates.</w:t>
      </w:r>
      <w:r w:rsidR="0076796D">
        <w:t xml:space="preserve"> </w:t>
      </w:r>
      <w:r w:rsidRPr="00B66968">
        <w:rPr>
          <w:noProof/>
          <w:highlight w:val="magenta"/>
          <w:lang w:val="en-AU" w:eastAsia="en-AU"/>
        </w:rPr>
        <w:drawing>
          <wp:anchor distT="0" distB="0" distL="114300" distR="114300" simplePos="0" relativeHeight="251669504" behindDoc="0" locked="0" layoutInCell="1" allowOverlap="1" wp14:anchorId="54CE7776" wp14:editId="1D22A695">
            <wp:simplePos x="0" y="0"/>
            <wp:positionH relativeFrom="margin">
              <wp:posOffset>785495</wp:posOffset>
            </wp:positionH>
            <wp:positionV relativeFrom="paragraph">
              <wp:posOffset>956945</wp:posOffset>
            </wp:positionV>
            <wp:extent cx="4194810" cy="2387600"/>
            <wp:effectExtent l="0" t="0" r="0" b="0"/>
            <wp:wrapTopAndBottom/>
            <wp:docPr id="4" name="Picture 4" descr="Figure two graphs comparing recalls and cancer detection rates between digital mammography and Digital Breast Tomosynthesis overall and for nondense breasts and dense breasts by age group and modality.&#10;Graph A - Recall rate - Vertical axis is recall rate, in percentage, 0 to 20, while the Horizontal axis contains Digital Mammography and Tomosynthesis&#10;&#10;Overall (by age) - 40 to 49 years of age for Digital Mammography is approximately 16% compared to Tomosynthesis which is approximately 13%.&#10;&#10;Overall (by age) - 50 to 64 years of age - Digital mammography is approximately 10% compared to Tomosynthesis which is approximately 8%.&#10;&#10;Overall (by age) - 65 to 74 years of age - digital mammography is approximately 8% compared to Tomosynthesis which is approximately 6%.&#10;&#10;Dense breasts (by age) - 40 to 49 years of age, digital mammography is approximately 18% compared to Tomosynthesis which is approximately 14%.&#10;&#10;Dense breasts (by age) - 50 to 64 years of age, digital mammography is approximately 12% compared to Tomography which is approximately &#10;9%.&#10;&#10;Dense breasts (by age) - 65 to 74 years of age - digital mammography is approximately 13% compared to Tomography which is approximately 7%.&#10;&#10;Nondense breasts (by age) - 40 to 49 years of age - digital mammography is approximately 15% compared to Tomography which is approximately 11%.&#10;&#10;Nondense breasts (by age) - 50 to 64 years of age - digital mammography is approximately 9% compared to Tomography which is approximately 7%.&#10;&#10;Nondense breast (by age) - 65 to 74 years of age - digital mammography is approximately 8% compared to Tomosynthesis which is approximately 6%.&#10;&#10;Graph B Cancer detection rate - Vertical axis is Cancer Detection Rate per 1000 Screening while the Horizontal axis is Digital Mammography and Tomosynthesis.&#10;&#10;Overall (by age) - 40 to 49 years of age Digital Mammography is approximately 2.5 per 1000 screening compared to Tomosynthesis  which is approximately 4.5 per 1000 screening.&#10;&#10;Overall (by age) - 50 to 64 years of age Digital Mammography is approximately between 4 and 5 per 1000 screening compared to Tomosynthesis which is approximately 5 per 1000 screening.&#10;&#10;Overall (by age) - 65 to 74 years of age - Digital Mammography is approximately 7 per 1000 per screening compared to Tomosynthesis which is approximately 9.5 per 1000 screening.&#10;&#10;Dense breast (by age) 40 to 49 years of age for Digital mammography is approximately 2.5 per 1000 screening compared to Tomosynthesis which is approximately 5 per 1000 screening.&#10;&#10;Dense breast (by age) 50 to 64 years of age for Digital mammography is approximately 5.5 per 1000 screening compared to Tomosynthesis which is approximately 7.5 per 1000 screening.&#10;&#10;Dense breast (by age) 65 to 74 years of age is approximately 7.5 per 1000 screening compared to Tomosynthesis which is approximately 9.5 per 1000 screening.&#10;&#10;Nondense Breast (by age) 40 to 49 years of age is approximately 2.5 per 1000 screening compared to Tomosynthesis which is approximately 4.5 per 1000 screening.&#10;&#10;Nondense Breast (by age) 50 to 64 years of age is approximately just below 4 per 10000 screening compared to Tomosynthesis which is approximately 4 per 1000.&#10;&#10;Nondense Breast (by age) 65 to 74 years of age is approximately 7 per 1000 screening compared to Tomosynthesis which is just below 10 per 1000 screening. &#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194810" cy="2387600"/>
                    </a:xfrm>
                    <a:prstGeom prst="rect">
                      <a:avLst/>
                    </a:prstGeom>
                  </pic:spPr>
                </pic:pic>
              </a:graphicData>
            </a:graphic>
            <wp14:sizeRelH relativeFrom="margin">
              <wp14:pctWidth>0</wp14:pctWidth>
            </wp14:sizeRelH>
            <wp14:sizeRelV relativeFrom="margin">
              <wp14:pctHeight>0</wp14:pctHeight>
            </wp14:sizeRelV>
          </wp:anchor>
        </w:drawing>
      </w:r>
      <w:r w:rsidR="002F3343" w:rsidRPr="00511C0E">
        <w:t>Rose and Shisler determined that for women younger than 50 years that recall rates with DBT+FFDM were 11.7</w:t>
      </w:r>
      <w:r w:rsidR="00176980" w:rsidRPr="00511C0E">
        <w:t xml:space="preserve"> percent</w:t>
      </w:r>
      <w:r w:rsidR="002F3343" w:rsidRPr="00511C0E">
        <w:t xml:space="preserve"> compared to 10.9</w:t>
      </w:r>
      <w:r w:rsidR="00285D7E" w:rsidRPr="00511C0E">
        <w:t xml:space="preserve"> percent</w:t>
      </w:r>
      <w:r w:rsidR="002F3343" w:rsidRPr="00511C0E">
        <w:t xml:space="preserve"> for FFDM alone (a difference of -7.4</w:t>
      </w:r>
      <w:r w:rsidR="00176980" w:rsidRPr="00511C0E">
        <w:t xml:space="preserve"> percent,</w:t>
      </w:r>
      <w:r w:rsidR="002F3343" w:rsidRPr="00511C0E">
        <w:t xml:space="preserve"> </w:t>
      </w:r>
      <w:r w:rsidR="002F3343" w:rsidRPr="00511C0E">
        <w:rPr>
          <w:i/>
          <w:iCs/>
        </w:rPr>
        <w:t>p</w:t>
      </w:r>
      <w:r w:rsidR="00176980" w:rsidRPr="00511C0E">
        <w:t>=</w:t>
      </w:r>
      <w:r w:rsidR="002F3343" w:rsidRPr="00511C0E">
        <w:t>.003),  and a non-significant reduction was observed for women with and without dense breasts (9.5</w:t>
      </w:r>
      <w:r w:rsidR="00176980" w:rsidRPr="00511C0E">
        <w:t xml:space="preserve"> percent</w:t>
      </w:r>
      <w:r w:rsidR="002F3343" w:rsidRPr="00511C0E">
        <w:t xml:space="preserve"> reduced to 8</w:t>
      </w:r>
      <w:r w:rsidR="00176980" w:rsidRPr="00511C0E">
        <w:t xml:space="preserve"> percent</w:t>
      </w:r>
      <w:r w:rsidR="002F3343" w:rsidRPr="00511C0E">
        <w:t xml:space="preserve"> [-15] and 13.6</w:t>
      </w:r>
      <w:r w:rsidR="00176980" w:rsidRPr="00511C0E">
        <w:t xml:space="preserve"> percent</w:t>
      </w:r>
      <w:r w:rsidR="002F3343" w:rsidRPr="00511C0E">
        <w:t xml:space="preserve"> to 13.2</w:t>
      </w:r>
      <w:r w:rsidR="00176980" w:rsidRPr="00511C0E">
        <w:t xml:space="preserve"> percent</w:t>
      </w:r>
      <w:r w:rsidR="002F3343" w:rsidRPr="00511C0E">
        <w:t xml:space="preserve"> [-4]) respectively. </w:t>
      </w:r>
    </w:p>
    <w:p w14:paraId="32DCCDE9" w14:textId="5BD42F8C" w:rsidR="004B6BE6" w:rsidRDefault="004B6BE6" w:rsidP="004B6BE6">
      <w:pPr>
        <w:pStyle w:val="BodyText"/>
      </w:pPr>
      <w:r>
        <w:t>One study also reported on reader recall results for women attending for prevalent screening in the United Kingdom’s breast-screening program (Upadhyay et al., 2018). This was a very small study (compared to the other studies discussed in this literature review): only 880 women participated. A total of 153 women screened with FFDM were recalled and 101 women screened with FFDM+DBT were recalled (17.4 percent compared to 11.4 percent, an overall reduction of 35 percent). These recall rates seem very high overall, but the authors do not provide considerations as to why this might be. Recall was high regardless of breast density.</w:t>
      </w:r>
    </w:p>
    <w:p w14:paraId="69D98E66" w14:textId="15ECA759" w:rsidR="002F3343" w:rsidRPr="00B2500F" w:rsidRDefault="002F3343" w:rsidP="00B2500F">
      <w:pPr>
        <w:pStyle w:val="Heading3"/>
      </w:pPr>
      <w:bookmarkStart w:id="374" w:name="_Toc27904782"/>
      <w:bookmarkStart w:id="375" w:name="_Toc43376333"/>
      <w:r w:rsidRPr="00B2500F">
        <w:t>DBT alone verses FFDM alone</w:t>
      </w:r>
      <w:bookmarkEnd w:id="374"/>
      <w:bookmarkEnd w:id="375"/>
      <w:r w:rsidRPr="00B2500F">
        <w:t xml:space="preserve"> </w:t>
      </w:r>
    </w:p>
    <w:p w14:paraId="5A38C22F" w14:textId="667390B1" w:rsidR="002F3343" w:rsidRPr="00B2500F" w:rsidRDefault="002F3343" w:rsidP="002F3343">
      <w:pPr>
        <w:pStyle w:val="BodyText-GREEN"/>
        <w:rPr>
          <w:b/>
          <w:bCs/>
        </w:rPr>
      </w:pPr>
      <w:r w:rsidRPr="00B2500F">
        <w:rPr>
          <w:b/>
          <w:bCs/>
        </w:rPr>
        <w:t>Prospective observational study</w:t>
      </w:r>
    </w:p>
    <w:p w14:paraId="4E7E6AD4" w14:textId="03664C07" w:rsidR="002F3343" w:rsidRDefault="002F3343" w:rsidP="002F3343">
      <w:pPr>
        <w:pStyle w:val="BodyText"/>
      </w:pPr>
      <w:r w:rsidRPr="00B2500F">
        <w:t xml:space="preserve">A Breast Cancer Surveillance </w:t>
      </w:r>
      <w:r w:rsidR="004B6BE6">
        <w:t xml:space="preserve">study </w:t>
      </w:r>
      <w:r w:rsidRPr="00B2500F">
        <w:t>by Miglioretti et al</w:t>
      </w:r>
      <w:r w:rsidR="00176980" w:rsidRPr="00B2500F">
        <w:t>.</w:t>
      </w:r>
      <w:r w:rsidRPr="00B2500F">
        <w:t xml:space="preserve"> (2019) evaluated screening DBT performance by cumulative DBT volume. </w:t>
      </w:r>
      <w:r w:rsidR="004B6BE6">
        <w:t xml:space="preserve">The timeframe was </w:t>
      </w:r>
      <w:r w:rsidR="00B2500F">
        <w:t>two</w:t>
      </w:r>
      <w:r w:rsidRPr="00B2500F">
        <w:t xml:space="preserve"> years post</w:t>
      </w:r>
      <w:r w:rsidR="004B6BE6">
        <w:t>-</w:t>
      </w:r>
      <w:r w:rsidR="00176980" w:rsidRPr="00B2500F">
        <w:t>DBT</w:t>
      </w:r>
      <w:r w:rsidRPr="00B2500F">
        <w:t xml:space="preserve"> adoption relative to FFDM performance one year before. The reader protocol </w:t>
      </w:r>
      <w:r w:rsidR="004B6BE6">
        <w:t>wa</w:t>
      </w:r>
      <w:r w:rsidRPr="00B2500F">
        <w:t xml:space="preserve">s </w:t>
      </w:r>
      <w:r w:rsidR="004B6BE6">
        <w:t>not reported</w:t>
      </w:r>
      <w:r w:rsidRPr="00B2500F">
        <w:t>. Miglioretti et al</w:t>
      </w:r>
      <w:r w:rsidR="00176980" w:rsidRPr="00B2500F">
        <w:t>.</w:t>
      </w:r>
      <w:r w:rsidRPr="00B2500F">
        <w:t xml:space="preserve"> </w:t>
      </w:r>
      <w:r w:rsidR="004B6BE6">
        <w:t xml:space="preserve">reported </w:t>
      </w:r>
      <w:r w:rsidRPr="00B2500F">
        <w:t>that</w:t>
      </w:r>
      <w:r w:rsidR="004B6BE6">
        <w:t>,</w:t>
      </w:r>
      <w:r w:rsidRPr="00B2500F">
        <w:t xml:space="preserve"> before DBT adoption, FFDM recall rate was 10.4</w:t>
      </w:r>
      <w:r w:rsidR="00176980" w:rsidRPr="00B2500F">
        <w:t xml:space="preserve"> percent</w:t>
      </w:r>
      <w:r w:rsidRPr="00B2500F">
        <w:t xml:space="preserve"> (95%</w:t>
      </w:r>
      <w:r w:rsidR="00B6376E" w:rsidRPr="00B2500F">
        <w:t>CI:</w:t>
      </w:r>
      <w:r w:rsidRPr="00B2500F">
        <w:t xml:space="preserve"> 9.5, 11.4)</w:t>
      </w:r>
      <w:r w:rsidR="004B6BE6">
        <w:t>. Af</w:t>
      </w:r>
      <w:r w:rsidRPr="00B2500F">
        <w:t xml:space="preserve">ter DBT adoption, </w:t>
      </w:r>
      <w:r w:rsidR="004B6BE6">
        <w:t xml:space="preserve">it </w:t>
      </w:r>
      <w:r w:rsidRPr="00B2500F">
        <w:t xml:space="preserve">was lower </w:t>
      </w:r>
      <w:r w:rsidR="004B6BE6">
        <w:t>(</w:t>
      </w:r>
      <w:r w:rsidRPr="00B2500F">
        <w:t>9.</w:t>
      </w:r>
      <w:r w:rsidR="00176980" w:rsidRPr="00B2500F">
        <w:t>4 percent</w:t>
      </w:r>
      <w:r w:rsidR="004B6BE6">
        <w:t xml:space="preserve">; </w:t>
      </w:r>
      <w:r w:rsidRPr="00B2500F">
        <w:t xml:space="preserve">95%CI: 8.2, 10.6; </w:t>
      </w:r>
      <w:r w:rsidR="00176980" w:rsidRPr="00B2500F">
        <w:rPr>
          <w:i/>
          <w:iCs/>
        </w:rPr>
        <w:t>p=</w:t>
      </w:r>
      <w:r w:rsidRPr="00B2500F">
        <w:t>.02). Relative to FFDM, DBT recall rate decreased for a cumulative DBT volume of fewer than 400 studies (OR=0.83; 95%CI: 0.78, 0.89) and remained lower as volume increased (OR=0.8</w:t>
      </w:r>
      <w:r w:rsidR="0024768A">
        <w:t xml:space="preserve">; </w:t>
      </w:r>
      <w:r w:rsidRPr="00B2500F">
        <w:t>95%CI: 0.75, 0.85; OR=0.81</w:t>
      </w:r>
      <w:r w:rsidR="0024768A">
        <w:t xml:space="preserve">; </w:t>
      </w:r>
      <w:r w:rsidRPr="00B2500F">
        <w:t>95%CI: 0.76, 0.87; OR=0.78</w:t>
      </w:r>
      <w:r w:rsidR="0024768A">
        <w:t xml:space="preserve">; </w:t>
      </w:r>
      <w:r w:rsidRPr="00B2500F">
        <w:t>95%CI: 0.73, 0.84]; OR=0.81</w:t>
      </w:r>
      <w:r w:rsidR="0024768A">
        <w:t>;</w:t>
      </w:r>
      <w:r w:rsidRPr="00B2500F">
        <w:t xml:space="preserve"> 95%CI: 0.75, 0.88;</w:t>
      </w:r>
      <w:r w:rsidR="00176980" w:rsidRPr="00B2500F">
        <w:t xml:space="preserve"> </w:t>
      </w:r>
      <w:r w:rsidR="00176980" w:rsidRPr="00B2500F">
        <w:rPr>
          <w:i/>
          <w:iCs/>
        </w:rPr>
        <w:t>p=</w:t>
      </w:r>
      <w:r w:rsidRPr="00B2500F">
        <w:t xml:space="preserve">.001). </w:t>
      </w:r>
      <w:r w:rsidR="004B6BE6">
        <w:t>An</w:t>
      </w:r>
      <w:r w:rsidRPr="00B2500F">
        <w:t xml:space="preserve">alysis was undertaken for radiologists who specialised in breast screening and for those </w:t>
      </w:r>
      <w:r w:rsidR="004B6BE6">
        <w:t>who</w:t>
      </w:r>
      <w:r w:rsidRPr="00B2500F">
        <w:t xml:space="preserve"> did not. Improvements were sustained for breast imaging subspecialists (OR range, 0.67</w:t>
      </w:r>
      <w:r w:rsidR="00176980" w:rsidRPr="00B2500F">
        <w:t xml:space="preserve">, </w:t>
      </w:r>
      <w:r w:rsidRPr="00B2500F">
        <w:t xml:space="preserve">0.85; </w:t>
      </w:r>
      <w:r w:rsidRPr="00B2500F">
        <w:rPr>
          <w:i/>
          <w:iCs/>
        </w:rPr>
        <w:t>p</w:t>
      </w:r>
      <w:r w:rsidR="00176980" w:rsidRPr="00B2500F">
        <w:t>=</w:t>
      </w:r>
      <w:r w:rsidRPr="00B2500F">
        <w:t>.02) and readers who were not breast imaging specialists (OR range, 0.80</w:t>
      </w:r>
      <w:r w:rsidR="00176980" w:rsidRPr="00B2500F">
        <w:t xml:space="preserve">, </w:t>
      </w:r>
      <w:r w:rsidRPr="00B2500F">
        <w:t xml:space="preserve">0.85; </w:t>
      </w:r>
      <w:r w:rsidRPr="00B2500F">
        <w:rPr>
          <w:i/>
          <w:iCs/>
        </w:rPr>
        <w:t>p</w:t>
      </w:r>
      <w:r w:rsidR="00176980" w:rsidRPr="00B2500F">
        <w:t>=</w:t>
      </w:r>
      <w:r w:rsidRPr="00B2500F">
        <w:t>.001). Recall rates decreased more in women with non-dense breasts (OR range, 0.68</w:t>
      </w:r>
      <w:r w:rsidR="00176980" w:rsidRPr="00B2500F">
        <w:t xml:space="preserve">, </w:t>
      </w:r>
      <w:r w:rsidRPr="00B2500F">
        <w:t>0.76;</w:t>
      </w:r>
      <w:r w:rsidR="00176980" w:rsidRPr="00B2500F">
        <w:t xml:space="preserve"> </w:t>
      </w:r>
      <w:r w:rsidR="00176980" w:rsidRPr="00B2500F">
        <w:rPr>
          <w:i/>
          <w:iCs/>
        </w:rPr>
        <w:t>p=</w:t>
      </w:r>
      <w:r w:rsidRPr="00B2500F">
        <w:t>.001) than in those with dense breasts (OR range, 0.86</w:t>
      </w:r>
      <w:r w:rsidR="00176980" w:rsidRPr="00B2500F">
        <w:t xml:space="preserve">, </w:t>
      </w:r>
      <w:r w:rsidRPr="00B2500F">
        <w:t xml:space="preserve">0.90; </w:t>
      </w:r>
      <w:r w:rsidRPr="00B2500F">
        <w:rPr>
          <w:i/>
          <w:iCs/>
        </w:rPr>
        <w:t>p</w:t>
      </w:r>
      <w:r w:rsidR="00176980" w:rsidRPr="00B2500F">
        <w:t>=</w:t>
      </w:r>
      <w:r w:rsidRPr="00B2500F">
        <w:t>.05). Miglioretti et al</w:t>
      </w:r>
      <w:r w:rsidR="00176980" w:rsidRPr="00B2500F">
        <w:t>.</w:t>
      </w:r>
      <w:r w:rsidRPr="00B2500F">
        <w:t xml:space="preserve"> observed an improvement in recall rate with no decrease in </w:t>
      </w:r>
      <w:r w:rsidR="004B6BE6">
        <w:t>CDR</w:t>
      </w:r>
      <w:r w:rsidRPr="00B2500F">
        <w:t>, regardless of DBT volume, for both breast imaging subspecialists and readers who were not breast imaging subspecialists. Improvements in recall rates were also observed regardless of breast density but were larger in women with non</w:t>
      </w:r>
      <w:r w:rsidR="00285D7E" w:rsidRPr="00B2500F">
        <w:t>-</w:t>
      </w:r>
      <w:r w:rsidRPr="00B2500F">
        <w:t>dense breasts than in those with dense breasts.</w:t>
      </w:r>
    </w:p>
    <w:p w14:paraId="72AF7183" w14:textId="77777777" w:rsidR="00B2500F" w:rsidRPr="0056259D" w:rsidRDefault="00B2500F" w:rsidP="00B2500F">
      <w:pPr>
        <w:pStyle w:val="Heading3"/>
      </w:pPr>
      <w:bookmarkStart w:id="376" w:name="_Toc27904783"/>
      <w:bookmarkStart w:id="377" w:name="_Toc43376334"/>
      <w:r>
        <w:lastRenderedPageBreak/>
        <w:t>DBT</w:t>
      </w:r>
      <w:r>
        <w:rPr>
          <w:vertAlign w:val="subscript"/>
        </w:rPr>
        <w:t>MLO</w:t>
      </w:r>
      <w:r>
        <w:t xml:space="preserve"> compared to FFDM alone</w:t>
      </w:r>
      <w:bookmarkEnd w:id="376"/>
      <w:bookmarkEnd w:id="377"/>
    </w:p>
    <w:p w14:paraId="4FA2B430" w14:textId="77777777" w:rsidR="00B2500F" w:rsidRPr="004F0D75" w:rsidRDefault="00B2500F" w:rsidP="00B2500F">
      <w:pPr>
        <w:pStyle w:val="BodyText-GREEN"/>
        <w:rPr>
          <w:b/>
          <w:bCs/>
        </w:rPr>
      </w:pPr>
      <w:r w:rsidRPr="004F0D75">
        <w:rPr>
          <w:b/>
          <w:bCs/>
        </w:rPr>
        <w:t>Prospective studies embedded in screening programs</w:t>
      </w:r>
    </w:p>
    <w:p w14:paraId="3DF4E51D" w14:textId="77777777" w:rsidR="00B2500F" w:rsidRDefault="00B2500F" w:rsidP="00B2500F">
      <w:pPr>
        <w:pStyle w:val="BodyText"/>
      </w:pPr>
      <w:r>
        <w:t xml:space="preserve">Results from the Malmö trial (Zackrisson et al., 2018) reported that </w:t>
      </w:r>
      <w:r w:rsidR="00CA4094">
        <w:t xml:space="preserve"> lower recall rates with FFDM compared to DBT</w:t>
      </w:r>
      <w:r w:rsidR="00CA4094">
        <w:rPr>
          <w:vertAlign w:val="subscript"/>
        </w:rPr>
        <w:t>MLO</w:t>
      </w:r>
      <w:r w:rsidR="00CA4094">
        <w:t xml:space="preserve"> (2.5 percent compared to 3.5 percent, </w:t>
      </w:r>
      <w:r w:rsidR="00CA4094">
        <w:rPr>
          <w:i/>
          <w:iCs/>
        </w:rPr>
        <w:t>p</w:t>
      </w:r>
      <w:r w:rsidR="00CA4094">
        <w:t>&lt;.0001).</w:t>
      </w:r>
    </w:p>
    <w:p w14:paraId="3B7FAA14" w14:textId="4080DA65" w:rsidR="004B6BE6" w:rsidRPr="0096179A" w:rsidRDefault="004B6BE6" w:rsidP="004B6BE6">
      <w:pPr>
        <w:pStyle w:val="NumberedHeading3"/>
      </w:pPr>
      <w:bookmarkStart w:id="378" w:name="_Toc43376335"/>
      <w:r w:rsidRPr="0096179A">
        <w:t>False positive recall rate</w:t>
      </w:r>
      <w:bookmarkEnd w:id="378"/>
    </w:p>
    <w:p w14:paraId="2BACA705" w14:textId="4269D903" w:rsidR="004B6BE6" w:rsidRPr="00870ABB" w:rsidRDefault="004B6BE6" w:rsidP="004B6BE6">
      <w:pPr>
        <w:pStyle w:val="BodyText"/>
      </w:pPr>
      <w:r w:rsidRPr="0096179A">
        <w:t>False positive recall results are concerning for both women and breast screening program administrators. Women who are recalled for further investigation may experience high levels of anxiety, along with the inconvenience and expense of attending a further appointment which may</w:t>
      </w:r>
      <w:r w:rsidRPr="00870ABB">
        <w:t xml:space="preserve"> bring no health benefit to </w:t>
      </w:r>
      <w:r>
        <w:t xml:space="preserve">her </w:t>
      </w:r>
      <w:r w:rsidRPr="00870ABB">
        <w:t xml:space="preserve">or may lead to her undergoing additional and unneeded invasive tests and/or biopsy. The health system may incur unnecessary costs based on biopsy and further assessment of suspected abnormalities which have a benign final outcome. A reduction in false positive recall rate would be favourable for DBT as it would mean radiologists are making more accurate decisions about whether an abnormality seen on imaging requires </w:t>
      </w:r>
      <w:r w:rsidR="002B3691">
        <w:t>investigation</w:t>
      </w:r>
      <w:r w:rsidRPr="00870ABB">
        <w:t>.</w:t>
      </w:r>
    </w:p>
    <w:p w14:paraId="199037EC" w14:textId="451207F3" w:rsidR="004B6BE6" w:rsidRPr="00870ABB" w:rsidRDefault="004B6BE6" w:rsidP="004B6BE6">
      <w:pPr>
        <w:pStyle w:val="CV-Heading"/>
      </w:pPr>
      <w:r w:rsidRPr="00870ABB">
        <w:t xml:space="preserve">Key findings from </w:t>
      </w:r>
      <w:r w:rsidRPr="00870ABB">
        <w:rPr>
          <w:i/>
          <w:iCs/>
        </w:rPr>
        <w:t>Allen + Clarke</w:t>
      </w:r>
      <w:r w:rsidRPr="00870ABB">
        <w:t>’s 2018 literature reviews on tomosynthesis in screening and the assessment of screen-detected abnormalities</w:t>
      </w:r>
    </w:p>
    <w:p w14:paraId="4CBE08B0" w14:textId="6FEA0763" w:rsidR="004B6BE6" w:rsidRPr="00870ABB" w:rsidRDefault="004B6BE6" w:rsidP="004B6BE6">
      <w:pPr>
        <w:pStyle w:val="BodyText"/>
      </w:pPr>
      <w:r w:rsidRPr="00870ABB">
        <w:t xml:space="preserve">Like overall recall rates, there was variance in the direction of effect when DBT was used, with some studies reporting a decrease in false positive recall rate and others reporting an increase (often associated with screening interval but not always). For example, Hodgson et al. (2016) reported that STORM and OTS trials observed different results for false positive rate when using FFDM+DBT compared to FFDM alone. </w:t>
      </w:r>
    </w:p>
    <w:p w14:paraId="31602B5E" w14:textId="591D7DCE" w:rsidR="004B6BE6" w:rsidRPr="00870ABB" w:rsidRDefault="004B6BE6" w:rsidP="004B6BE6">
      <w:pPr>
        <w:pStyle w:val="List-BulletLvl1"/>
        <w:numPr>
          <w:ilvl w:val="0"/>
          <w:numId w:val="6"/>
        </w:numPr>
      </w:pPr>
      <w:r w:rsidRPr="00870ABB">
        <w:t>In STORM, lower overall recall rates and lower false positive recall rates were observed when using FFDM+DBT compared to FFDM alone: FFDM+DBT had 9.1 fewer false positives per 1000 screens compared to FFDM (95%CI: -11.8</w:t>
      </w:r>
      <w:r>
        <w:t xml:space="preserve">, </w:t>
      </w:r>
      <w:r w:rsidRPr="00870ABB">
        <w:t xml:space="preserve">-7.2). </w:t>
      </w:r>
    </w:p>
    <w:p w14:paraId="516C9069" w14:textId="1347972C" w:rsidR="004B6BE6" w:rsidRPr="00870ABB" w:rsidRDefault="004B6BE6" w:rsidP="004B6BE6">
      <w:pPr>
        <w:pStyle w:val="List-BulletLvl1"/>
        <w:numPr>
          <w:ilvl w:val="0"/>
          <w:numId w:val="6"/>
        </w:numPr>
      </w:pPr>
      <w:r w:rsidRPr="00870ABB">
        <w:t xml:space="preserve">In the OTS trial, lower false positive recall rates using FFDM+DBT were found pre-arbitration (difference per 1000 screens was -8 for FFDM+DBT </w:t>
      </w:r>
      <w:r>
        <w:t>compared to</w:t>
      </w:r>
      <w:r w:rsidRPr="00870ABB">
        <w:t xml:space="preserve"> FFDM alone), but higher false positive recall rates were reported post-arbitration (and higher recall rates were observed overall). After consensus by arbitration, the difference for FFDM+DBT versus FFDM was +5.4 per 1000 screens for false positives (95%CI: 4.2</w:t>
      </w:r>
      <w:r>
        <w:t xml:space="preserve">, </w:t>
      </w:r>
      <w:r w:rsidRPr="00870ABB">
        <w:t xml:space="preserve">6.8). </w:t>
      </w:r>
    </w:p>
    <w:p w14:paraId="62D5141D" w14:textId="10CF4027" w:rsidR="004B6BE6" w:rsidRPr="00CA4094" w:rsidRDefault="004B6BE6" w:rsidP="00B2500F">
      <w:pPr>
        <w:pStyle w:val="BodyText"/>
        <w:sectPr w:rsidR="004B6BE6" w:rsidRPr="00CA4094" w:rsidSect="00BE1A3E">
          <w:footerReference w:type="even" r:id="rId20"/>
          <w:footerReference w:type="default" r:id="rId21"/>
          <w:pgSz w:w="11907" w:h="16839" w:code="9"/>
          <w:pgMar w:top="1418" w:right="1418" w:bottom="1418" w:left="1418" w:header="964" w:footer="964" w:gutter="0"/>
          <w:cols w:space="708"/>
          <w:docGrid w:linePitch="360"/>
        </w:sectPr>
      </w:pPr>
      <w:r w:rsidRPr="00870ABB">
        <w:t>Results from STORM-2 also showed a false positive recall rate for DBT+</w:t>
      </w:r>
      <w:r>
        <w:t>s2DM</w:t>
      </w:r>
      <w:r w:rsidRPr="00870ABB">
        <w:t xml:space="preserve"> that was significantly greater than for FFDM+DBT and FFDM alone. It is possible that the results from the STORM-2 trial relate to early experiences of incorporating </w:t>
      </w:r>
      <w:r>
        <w:t>s2DM</w:t>
      </w:r>
      <w:r w:rsidRPr="00870ABB">
        <w:t xml:space="preserve"> into </w:t>
      </w:r>
      <w:r>
        <w:t>‘</w:t>
      </w:r>
      <w:r w:rsidRPr="00870ABB">
        <w:t>real</w:t>
      </w:r>
      <w:r>
        <w:t xml:space="preserve"> </w:t>
      </w:r>
      <w:r w:rsidRPr="00870ABB">
        <w:t>world</w:t>
      </w:r>
      <w:r>
        <w:t>’</w:t>
      </w:r>
      <w:r w:rsidRPr="00870ABB">
        <w:t xml:space="preserve"> screening practice for the first time without previous experience with </w:t>
      </w:r>
      <w:r>
        <w:t>s2DM</w:t>
      </w:r>
      <w:r w:rsidRPr="00870ABB">
        <w:t xml:space="preserve"> images relative to FFDM (and noting that there is a learning effect associated with reading the synthesized images). Secondary analysis from the STORM-2 trial indicated that false positive recall rates for FFDM+DBT and DBT+</w:t>
      </w:r>
      <w:r>
        <w:t>s2DM</w:t>
      </w:r>
      <w:r w:rsidRPr="00870ABB">
        <w:t xml:space="preserve"> significantly reduced compared to those for FFDM. These results reflect developing and increasing knowledge in the use of FFDM+DBT, with some interpretation issues still present for </w:t>
      </w:r>
      <w:r>
        <w:t>s2DM</w:t>
      </w:r>
      <w:r w:rsidRPr="00870ABB">
        <w:t>. Interim results from the Malmö trial reported a reduction in the false positive recall rate of screens using DBT over the first 1.5 years, which also indicates that false positive recall could be associated with a learning curve in interpretation.</w:t>
      </w:r>
    </w:p>
    <w:p w14:paraId="23719938" w14:textId="1E776FFD" w:rsidR="002F3343" w:rsidRPr="00BE1A3E" w:rsidRDefault="002F3343" w:rsidP="002F3343">
      <w:pPr>
        <w:pStyle w:val="Caption"/>
      </w:pPr>
      <w:r w:rsidRPr="00BE1A3E">
        <w:lastRenderedPageBreak/>
        <w:t xml:space="preserve">Table </w:t>
      </w:r>
      <w:r w:rsidR="00BE1A3E">
        <w:t>15a</w:t>
      </w:r>
      <w:r w:rsidRPr="00BE1A3E">
        <w:t xml:space="preserve">: </w:t>
      </w:r>
      <w:r w:rsidR="00176980" w:rsidRPr="00BE1A3E">
        <w:t>DBT+s2DM</w:t>
      </w:r>
      <w:r w:rsidRPr="00BE1A3E">
        <w:t xml:space="preserve"> compared to </w:t>
      </w:r>
      <w:r w:rsidR="00176980" w:rsidRPr="00BE1A3E">
        <w:t>FFDM+DBT</w:t>
      </w:r>
      <w:r w:rsidRPr="00BE1A3E">
        <w:t xml:space="preserve"> or FFDM alone: studies reporting on overall recall rate</w:t>
      </w:r>
    </w:p>
    <w:tbl>
      <w:tblPr>
        <w:tblW w:w="5000" w:type="pct"/>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Description w:val="Table 15a shows DBT+s2DM compared to FFDM+DBT or FFDM alone, studies reporting on overall recall rate.&#10;&#10;For randomized controlled trials the following studies are:&#10;&#10;A study by Aase et al. (2019), To-Be-1, (sub-study) includes a sample of 14,274 women randomized to DBT (n=7155) or FFDM (n=7119) as part BreastScreen Norway biennial screening program.&#10;The study type was first year of RCT imaged on GE SenoClair with independent double reading and consensus or arbitration. Non-dense breasts = VDG 1 and 2, Dense breasts = VDG 3 and 4.&#10;For DBT+s2DM, Overall recall rate, (95%CI; p-value) was All: 3.0%, Prevalent: 6.3%, Incident: 2.3%, VDG 1: 2.2% (1.4, 2.9), VDG 2: 2.5% (1.9, 3.0), VDG 3: 4.2% (3.3, 5.1), VDG  4: 3.6% (2.1, 5.2).&#10;For FFDM alone, Overall recall rate, (95%CI; p-value) was All: 3.6%, Prevalent: 6.2%, Incident: 3.1%, VDG 1: 3.4% (2.5, 4.3), VDG 2: 3.6% (2.9, 4.2), VDG 3: 3.8% (3.0, 4.7), VDG  4: 3.6% (2.1, 5.0).&#10;For Difference between Overall recall rate detection (95%CI) was All: p=.03, Prevalent: p=.95, Incident: p&lt;.01, VDG 1: p=.04, VDG 2: p=.01, VDG 3:  p=.56, VDG  4: p=.93.&#10;&#10;A study by Hofvind et al. (2019), To-Be-1, (main analysis) included a sample of 28,749 women aged 50-69 years participating in BreastScreen, Norway biennial screening program. DBT+s2DM included 14,380 women. FFDM alone included 14,369 women.&#10;The study type was Single site RCT of one screening round, imaged on GE SenoClair with independent double reading with independent double reading and consensus or arbitration.&#10;For DBT+s2DM, Overall recall rate , (95%CI; p-value)  was 3·1% (2·8,3·4). &#10;For FFDM alone, Overall recall rate, (95%CI; p-value) was 4·0% (3·7, 4·3, p&lt;.0001).  &#10;For Difference between Overall recall rate, detection (95%CI) was NA.&#10;&#10;For prospective studies embedded in population-based screening programs a study by Bernardi et al. (2019) Trento included a sample of DBT+s2DM: 46,343 participants in the Trento biennial screening program (mean age = 57.9 years). FFDM alone: historical cohort of 37,436 women previously screened in the Trento program (mean age = 57.9 years).&#10;The study type was prospective single site pilot evaluation following the implementation of DBT into the Trento screening program imaged with Hologic systems. Independent double-reading with arbitration. &#10;For DBT+s2DM, Overall recall rate (95%CI; p-value) was 2.55%.&#10;For FFDM alone,  Overall recall rate (95%CI; p-value) was 3.21%.&#10;Difference between Overall recall rate detection (95%CI) - RR=0.79 (0.73, 0.86)."/>
      </w:tblPr>
      <w:tblGrid>
        <w:gridCol w:w="1274"/>
        <w:gridCol w:w="2689"/>
        <w:gridCol w:w="2829"/>
        <w:gridCol w:w="2023"/>
        <w:gridCol w:w="2158"/>
        <w:gridCol w:w="3020"/>
      </w:tblGrid>
      <w:tr w:rsidR="002F3343" w:rsidRPr="00BE1A3E" w14:paraId="26A7EB92" w14:textId="77777777" w:rsidTr="00176980">
        <w:trPr>
          <w:trHeight w:val="429"/>
          <w:tblHeader/>
        </w:trPr>
        <w:tc>
          <w:tcPr>
            <w:tcW w:w="455" w:type="pct"/>
            <w:shd w:val="clear" w:color="auto" w:fill="77B800" w:themeFill="background2"/>
          </w:tcPr>
          <w:p w14:paraId="580FB669"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8"/>
                <w:szCs w:val="18"/>
              </w:rPr>
            </w:pPr>
            <w:r w:rsidRPr="00BE1A3E">
              <w:rPr>
                <w:rFonts w:asciiTheme="majorHAnsi" w:hAnsiTheme="majorHAnsi" w:cstheme="majorHAnsi"/>
                <w:b/>
                <w:color w:val="FFFFFF" w:themeColor="background1"/>
                <w:sz w:val="18"/>
                <w:szCs w:val="18"/>
              </w:rPr>
              <w:t>Study</w:t>
            </w:r>
          </w:p>
          <w:p w14:paraId="6DD5B568" w14:textId="77777777" w:rsidR="002F3343" w:rsidRPr="00BE1A3E" w:rsidRDefault="002F3343" w:rsidP="00176980">
            <w:pPr>
              <w:jc w:val="center"/>
              <w:rPr>
                <w:rFonts w:asciiTheme="majorHAnsi" w:hAnsiTheme="majorHAnsi" w:cstheme="majorHAnsi"/>
                <w:sz w:val="18"/>
                <w:szCs w:val="18"/>
              </w:rPr>
            </w:pPr>
          </w:p>
        </w:tc>
        <w:tc>
          <w:tcPr>
            <w:tcW w:w="961" w:type="pct"/>
            <w:shd w:val="clear" w:color="auto" w:fill="77B800" w:themeFill="background2"/>
          </w:tcPr>
          <w:p w14:paraId="3A9D39C3" w14:textId="77777777" w:rsidR="002F3343" w:rsidRPr="00BE1A3E" w:rsidRDefault="002F3343"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b/>
                <w:color w:val="FFFFFF" w:themeColor="background1"/>
                <w:sz w:val="18"/>
                <w:szCs w:val="18"/>
              </w:rPr>
              <w:t>Sample</w:t>
            </w:r>
          </w:p>
        </w:tc>
        <w:tc>
          <w:tcPr>
            <w:tcW w:w="1011" w:type="pct"/>
            <w:shd w:val="clear" w:color="auto" w:fill="77B800" w:themeFill="background2"/>
          </w:tcPr>
          <w:p w14:paraId="3CBDC5BB" w14:textId="77777777" w:rsidR="002F3343" w:rsidRPr="00BE1A3E" w:rsidRDefault="002F3343"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b/>
                <w:color w:val="FFFFFF" w:themeColor="background1"/>
                <w:sz w:val="18"/>
                <w:szCs w:val="18"/>
              </w:rPr>
              <w:t>Study type</w:t>
            </w:r>
          </w:p>
        </w:tc>
        <w:tc>
          <w:tcPr>
            <w:tcW w:w="723" w:type="pct"/>
            <w:shd w:val="clear" w:color="auto" w:fill="77B800" w:themeFill="background2"/>
          </w:tcPr>
          <w:p w14:paraId="5757733F" w14:textId="133133A6" w:rsidR="002F3343" w:rsidRPr="00BE1A3E" w:rsidRDefault="00176980"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b/>
                <w:color w:val="FFFFFF" w:themeColor="background1"/>
                <w:sz w:val="18"/>
                <w:szCs w:val="18"/>
              </w:rPr>
              <w:t>DBT+s2DM</w:t>
            </w:r>
          </w:p>
          <w:p w14:paraId="50ED0955"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8"/>
                <w:szCs w:val="18"/>
              </w:rPr>
            </w:pPr>
            <w:r w:rsidRPr="00BE1A3E">
              <w:rPr>
                <w:rFonts w:asciiTheme="majorHAnsi" w:hAnsiTheme="majorHAnsi" w:cstheme="majorHAnsi"/>
                <w:color w:val="FFFFFF" w:themeColor="background1"/>
                <w:sz w:val="18"/>
                <w:szCs w:val="18"/>
              </w:rPr>
              <w:t xml:space="preserve">Overall recall rate </w:t>
            </w:r>
          </w:p>
          <w:p w14:paraId="308BECBA"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6"/>
                <w:szCs w:val="16"/>
              </w:rPr>
            </w:pPr>
            <w:r w:rsidRPr="00BE1A3E">
              <w:rPr>
                <w:rFonts w:asciiTheme="majorHAnsi" w:hAnsiTheme="majorHAnsi" w:cstheme="majorHAnsi"/>
                <w:color w:val="FFFFFF" w:themeColor="background1"/>
                <w:sz w:val="16"/>
                <w:szCs w:val="16"/>
              </w:rPr>
              <w:t xml:space="preserve"> (95%CI; p-value)</w:t>
            </w:r>
          </w:p>
        </w:tc>
        <w:tc>
          <w:tcPr>
            <w:tcW w:w="771" w:type="pct"/>
            <w:shd w:val="clear" w:color="auto" w:fill="77B800" w:themeFill="background2"/>
          </w:tcPr>
          <w:p w14:paraId="0305762A" w14:textId="77777777" w:rsidR="002F3343" w:rsidRPr="00BE1A3E" w:rsidRDefault="002F3343"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b/>
                <w:color w:val="FFFFFF" w:themeColor="background1"/>
                <w:sz w:val="18"/>
                <w:szCs w:val="18"/>
              </w:rPr>
              <w:t>FFDM alone</w:t>
            </w:r>
          </w:p>
          <w:p w14:paraId="0392CD87"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8"/>
                <w:szCs w:val="18"/>
              </w:rPr>
            </w:pPr>
            <w:r w:rsidRPr="00BE1A3E">
              <w:rPr>
                <w:rFonts w:asciiTheme="majorHAnsi" w:hAnsiTheme="majorHAnsi" w:cstheme="majorHAnsi"/>
                <w:color w:val="FFFFFF" w:themeColor="background1"/>
                <w:sz w:val="18"/>
                <w:szCs w:val="18"/>
              </w:rPr>
              <w:t xml:space="preserve">Overall recall rate </w:t>
            </w:r>
          </w:p>
          <w:p w14:paraId="31E3643A" w14:textId="77777777" w:rsidR="002F3343" w:rsidRPr="00BE1A3E" w:rsidRDefault="002F3343" w:rsidP="00176980">
            <w:pPr>
              <w:pStyle w:val="BodyText"/>
              <w:spacing w:before="0" w:after="0" w:line="240" w:lineRule="auto"/>
              <w:jc w:val="center"/>
              <w:rPr>
                <w:rFonts w:asciiTheme="majorHAnsi" w:hAnsiTheme="majorHAnsi" w:cstheme="majorHAnsi"/>
                <w:b/>
                <w:color w:val="FFFFFF" w:themeColor="background1"/>
                <w:sz w:val="16"/>
                <w:szCs w:val="16"/>
              </w:rPr>
            </w:pPr>
            <w:r w:rsidRPr="00BE1A3E">
              <w:rPr>
                <w:rFonts w:asciiTheme="majorHAnsi" w:hAnsiTheme="majorHAnsi" w:cstheme="majorHAnsi"/>
                <w:color w:val="FFFFFF" w:themeColor="background1"/>
                <w:sz w:val="16"/>
                <w:szCs w:val="16"/>
              </w:rPr>
              <w:t xml:space="preserve"> (95%CI; p-value)</w:t>
            </w:r>
          </w:p>
        </w:tc>
        <w:tc>
          <w:tcPr>
            <w:tcW w:w="1078" w:type="pct"/>
            <w:shd w:val="clear" w:color="auto" w:fill="77B800" w:themeFill="background2"/>
          </w:tcPr>
          <w:p w14:paraId="7B88C7AB"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6"/>
                <w:szCs w:val="16"/>
              </w:rPr>
            </w:pPr>
            <w:r w:rsidRPr="00BE1A3E">
              <w:rPr>
                <w:rFonts w:asciiTheme="majorHAnsi" w:hAnsiTheme="majorHAnsi" w:cstheme="majorHAnsi"/>
                <w:b/>
                <w:color w:val="FFFFFF" w:themeColor="background1"/>
                <w:sz w:val="18"/>
                <w:szCs w:val="18"/>
              </w:rPr>
              <w:t xml:space="preserve">Difference between </w:t>
            </w:r>
            <w:r w:rsidRPr="00BE1A3E">
              <w:rPr>
                <w:rFonts w:asciiTheme="majorHAnsi" w:hAnsiTheme="majorHAnsi" w:cstheme="majorHAnsi"/>
                <w:color w:val="FFFFFF" w:themeColor="background1"/>
                <w:sz w:val="16"/>
                <w:szCs w:val="16"/>
              </w:rPr>
              <w:t xml:space="preserve">Overall recall rate </w:t>
            </w:r>
          </w:p>
          <w:p w14:paraId="4960EE6F" w14:textId="77777777" w:rsidR="002F3343" w:rsidRPr="00BE1A3E" w:rsidRDefault="002F3343" w:rsidP="00176980">
            <w:pPr>
              <w:pStyle w:val="BodyText"/>
              <w:spacing w:before="0" w:after="0" w:line="240" w:lineRule="auto"/>
              <w:jc w:val="center"/>
              <w:rPr>
                <w:rFonts w:asciiTheme="majorHAnsi" w:hAnsiTheme="majorHAnsi" w:cstheme="majorHAnsi"/>
                <w:bCs/>
                <w:color w:val="FFFFFF" w:themeColor="background1"/>
                <w:sz w:val="16"/>
                <w:szCs w:val="16"/>
              </w:rPr>
            </w:pPr>
            <w:r w:rsidRPr="00BE1A3E">
              <w:rPr>
                <w:rFonts w:asciiTheme="majorHAnsi" w:hAnsiTheme="majorHAnsi" w:cstheme="majorHAnsi"/>
                <w:bCs/>
                <w:color w:val="FFFFFF" w:themeColor="background1"/>
                <w:sz w:val="16"/>
                <w:szCs w:val="16"/>
              </w:rPr>
              <w:t>detection (95%CI)</w:t>
            </w:r>
          </w:p>
        </w:tc>
      </w:tr>
      <w:tr w:rsidR="002F3343" w:rsidRPr="00BE1A3E" w14:paraId="449C4B79" w14:textId="77777777" w:rsidTr="00176980">
        <w:trPr>
          <w:trHeight w:val="137"/>
          <w:tblHeader/>
        </w:trPr>
        <w:tc>
          <w:tcPr>
            <w:tcW w:w="5000" w:type="pct"/>
            <w:gridSpan w:val="6"/>
            <w:shd w:val="clear" w:color="auto" w:fill="auto"/>
          </w:tcPr>
          <w:p w14:paraId="13051250" w14:textId="77777777" w:rsidR="002F3343" w:rsidRPr="00BE1A3E" w:rsidRDefault="002F3343" w:rsidP="00176980">
            <w:pPr>
              <w:pStyle w:val="BodyText"/>
              <w:spacing w:before="0" w:after="0" w:line="240" w:lineRule="auto"/>
              <w:jc w:val="left"/>
              <w:rPr>
                <w:rFonts w:asciiTheme="majorHAnsi" w:hAnsiTheme="majorHAnsi" w:cstheme="majorHAnsi"/>
                <w:b/>
                <w:color w:val="FFFFFF" w:themeColor="background1"/>
                <w:sz w:val="18"/>
                <w:szCs w:val="18"/>
              </w:rPr>
            </w:pPr>
            <w:r w:rsidRPr="00BE1A3E">
              <w:rPr>
                <w:rFonts w:asciiTheme="majorHAnsi" w:hAnsiTheme="majorHAnsi" w:cstheme="majorHAnsi"/>
                <w:b/>
                <w:sz w:val="18"/>
                <w:szCs w:val="18"/>
              </w:rPr>
              <w:t>Randomized controlled trials</w:t>
            </w:r>
          </w:p>
        </w:tc>
      </w:tr>
      <w:tr w:rsidR="002F3343" w:rsidRPr="00BE1A3E" w14:paraId="4A5BB901" w14:textId="77777777" w:rsidTr="00176980">
        <w:trPr>
          <w:trHeight w:val="429"/>
          <w:tblHeader/>
        </w:trPr>
        <w:tc>
          <w:tcPr>
            <w:tcW w:w="455" w:type="pct"/>
            <w:shd w:val="clear" w:color="auto" w:fill="auto"/>
          </w:tcPr>
          <w:p w14:paraId="3B083494" w14:textId="5487694F"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Aase et al</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(2019)</w:t>
            </w:r>
          </w:p>
          <w:p w14:paraId="44D5E084" w14:textId="1EC32B9A"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To-Be</w:t>
            </w:r>
            <w:r w:rsidR="000C5381">
              <w:rPr>
                <w:rFonts w:asciiTheme="majorHAnsi" w:hAnsiTheme="majorHAnsi" w:cstheme="majorHAnsi"/>
                <w:bCs/>
                <w:sz w:val="18"/>
                <w:szCs w:val="18"/>
              </w:rPr>
              <w:t>-1</w:t>
            </w:r>
          </w:p>
          <w:p w14:paraId="5C12FE1F" w14:textId="101CC08D"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w:t>
            </w:r>
            <w:r w:rsidR="000C5381">
              <w:rPr>
                <w:rFonts w:asciiTheme="majorHAnsi" w:hAnsiTheme="majorHAnsi" w:cstheme="majorHAnsi"/>
                <w:bCs/>
                <w:sz w:val="18"/>
                <w:szCs w:val="18"/>
              </w:rPr>
              <w:t>sub-study</w:t>
            </w:r>
            <w:r w:rsidRPr="00BE1A3E">
              <w:rPr>
                <w:rFonts w:asciiTheme="majorHAnsi" w:hAnsiTheme="majorHAnsi" w:cstheme="majorHAnsi"/>
                <w:bCs/>
                <w:sz w:val="18"/>
                <w:szCs w:val="18"/>
              </w:rPr>
              <w:t>)</w:t>
            </w:r>
          </w:p>
          <w:p w14:paraId="5FABC0C1" w14:textId="77777777" w:rsidR="002F3343" w:rsidRPr="00BE1A3E" w:rsidRDefault="002F3343" w:rsidP="00176980">
            <w:pPr>
              <w:pStyle w:val="BodyText"/>
              <w:spacing w:before="0" w:after="0" w:line="240" w:lineRule="auto"/>
              <w:jc w:val="left"/>
              <w:rPr>
                <w:rFonts w:asciiTheme="majorHAnsi" w:hAnsiTheme="majorHAnsi" w:cstheme="majorHAnsi"/>
                <w:b/>
                <w:color w:val="FFFFFF" w:themeColor="background1"/>
                <w:sz w:val="18"/>
                <w:szCs w:val="18"/>
              </w:rPr>
            </w:pPr>
          </w:p>
        </w:tc>
        <w:tc>
          <w:tcPr>
            <w:tcW w:w="961" w:type="pct"/>
            <w:shd w:val="clear" w:color="auto" w:fill="auto"/>
          </w:tcPr>
          <w:p w14:paraId="5B0E8F9E" w14:textId="3CE22D1C" w:rsidR="002F3343" w:rsidRPr="00BE1A3E" w:rsidRDefault="002F3343" w:rsidP="00176980">
            <w:pPr>
              <w:pStyle w:val="BodyText"/>
              <w:spacing w:before="0" w:after="0" w:line="240" w:lineRule="auto"/>
              <w:jc w:val="left"/>
              <w:rPr>
                <w:rFonts w:asciiTheme="majorHAnsi" w:hAnsiTheme="majorHAnsi" w:cstheme="majorHAnsi"/>
                <w:b/>
                <w:color w:val="FFFFFF" w:themeColor="background1"/>
                <w:sz w:val="18"/>
                <w:szCs w:val="18"/>
              </w:rPr>
            </w:pPr>
            <w:r w:rsidRPr="00BE1A3E">
              <w:rPr>
                <w:rFonts w:asciiTheme="majorHAnsi" w:hAnsiTheme="majorHAnsi" w:cstheme="majorHAnsi"/>
                <w:bCs/>
                <w:sz w:val="18"/>
                <w:szCs w:val="18"/>
              </w:rPr>
              <w:t>14,274 women randomized to DBT (n=7155) or FFDM (n=7119) as part BreastScreen Norway</w:t>
            </w:r>
            <w:bookmarkStart w:id="379" w:name="_Hlk27298439"/>
            <w:r w:rsidRPr="00BE1A3E">
              <w:rPr>
                <w:rFonts w:asciiTheme="majorHAnsi" w:hAnsiTheme="majorHAnsi" w:cstheme="majorHAnsi"/>
                <w:bCs/>
                <w:sz w:val="18"/>
                <w:szCs w:val="18"/>
              </w:rPr>
              <w:t xml:space="preserve"> biennial screening program.</w:t>
            </w:r>
            <w:bookmarkEnd w:id="379"/>
          </w:p>
        </w:tc>
        <w:tc>
          <w:tcPr>
            <w:tcW w:w="1011" w:type="pct"/>
            <w:shd w:val="clear" w:color="auto" w:fill="auto"/>
          </w:tcPr>
          <w:p w14:paraId="58A882A1" w14:textId="5A6D4E5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First year of RCT imaged on GE Seno</w:t>
            </w:r>
            <w:r w:rsidR="00285D7E" w:rsidRPr="00BE1A3E">
              <w:rPr>
                <w:rFonts w:asciiTheme="majorHAnsi" w:hAnsiTheme="majorHAnsi" w:cstheme="majorHAnsi"/>
                <w:bCs/>
                <w:sz w:val="18"/>
                <w:szCs w:val="18"/>
              </w:rPr>
              <w:t>C</w:t>
            </w:r>
            <w:r w:rsidRPr="00BE1A3E">
              <w:rPr>
                <w:rFonts w:asciiTheme="majorHAnsi" w:hAnsiTheme="majorHAnsi" w:cstheme="majorHAnsi"/>
                <w:bCs/>
                <w:sz w:val="18"/>
                <w:szCs w:val="18"/>
              </w:rPr>
              <w:t xml:space="preserve">lair with independent double reading and consensus or arbitration. </w:t>
            </w:r>
          </w:p>
          <w:p w14:paraId="53A83959" w14:textId="77777777"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Non-dense breasts = VDG 1 and 2</w:t>
            </w:r>
          </w:p>
          <w:p w14:paraId="77ACE385"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Dense breasts = VDG 3 and 4</w:t>
            </w:r>
          </w:p>
          <w:p w14:paraId="4F8CDED3" w14:textId="77777777" w:rsidR="002F3343" w:rsidRPr="00BE1A3E" w:rsidRDefault="002F3343" w:rsidP="00176980">
            <w:pPr>
              <w:pStyle w:val="BodyText"/>
              <w:spacing w:before="0" w:after="0" w:line="240" w:lineRule="auto"/>
              <w:rPr>
                <w:rFonts w:asciiTheme="majorHAnsi" w:hAnsiTheme="majorHAnsi" w:cstheme="majorHAnsi"/>
                <w:b/>
                <w:color w:val="FFFFFF" w:themeColor="background1"/>
                <w:sz w:val="18"/>
                <w:szCs w:val="18"/>
              </w:rPr>
            </w:pPr>
          </w:p>
        </w:tc>
        <w:tc>
          <w:tcPr>
            <w:tcW w:w="723" w:type="pct"/>
            <w:shd w:val="clear" w:color="auto" w:fill="auto"/>
          </w:tcPr>
          <w:p w14:paraId="6A4D30FF" w14:textId="3DD43513"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3.0%</w:t>
            </w:r>
          </w:p>
          <w:p w14:paraId="2E5D9981" w14:textId="0FFDF9AB"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6.3%</w:t>
            </w:r>
          </w:p>
          <w:p w14:paraId="57D6AECC" w14:textId="5E1D86D2" w:rsidR="002F3343" w:rsidRPr="00BE1A3E" w:rsidRDefault="00176980"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Incident: </w:t>
            </w:r>
            <w:r w:rsidR="002F3343" w:rsidRPr="00BE1A3E">
              <w:rPr>
                <w:rFonts w:asciiTheme="majorHAnsi" w:hAnsiTheme="majorHAnsi" w:cstheme="majorHAnsi"/>
                <w:bCs/>
                <w:sz w:val="18"/>
                <w:szCs w:val="18"/>
              </w:rPr>
              <w:t>2.3%</w:t>
            </w:r>
          </w:p>
          <w:p w14:paraId="347EB1B5" w14:textId="155ABD07"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1</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2.2% </w:t>
            </w:r>
            <w:r w:rsidRPr="00BE1A3E">
              <w:rPr>
                <w:rFonts w:asciiTheme="majorHAnsi" w:hAnsiTheme="majorHAnsi" w:cstheme="majorHAnsi"/>
                <w:color w:val="131413"/>
                <w:sz w:val="18"/>
                <w:szCs w:val="18"/>
              </w:rPr>
              <w:t>(1.4</w:t>
            </w:r>
            <w:r w:rsidR="00176980" w:rsidRPr="00BE1A3E">
              <w:rPr>
                <w:rFonts w:asciiTheme="majorHAnsi" w:hAnsiTheme="majorHAnsi" w:cstheme="majorHAnsi"/>
                <w:color w:val="131413"/>
                <w:sz w:val="18"/>
                <w:szCs w:val="18"/>
              </w:rPr>
              <w:t xml:space="preserve">, </w:t>
            </w:r>
            <w:r w:rsidRPr="00BE1A3E">
              <w:rPr>
                <w:rFonts w:asciiTheme="majorHAnsi" w:hAnsiTheme="majorHAnsi" w:cstheme="majorHAnsi"/>
                <w:color w:val="131413"/>
                <w:sz w:val="18"/>
                <w:szCs w:val="18"/>
              </w:rPr>
              <w:t>2.9)</w:t>
            </w:r>
          </w:p>
          <w:p w14:paraId="7B74458A" w14:textId="775FF078"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2</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2.5% </w:t>
            </w:r>
            <w:r w:rsidRPr="00BE1A3E">
              <w:rPr>
                <w:rFonts w:asciiTheme="majorHAnsi" w:hAnsiTheme="majorHAnsi" w:cstheme="majorHAnsi"/>
                <w:color w:val="131413"/>
                <w:sz w:val="18"/>
                <w:szCs w:val="18"/>
              </w:rPr>
              <w:t>(1.9</w:t>
            </w:r>
            <w:r w:rsidR="00176980" w:rsidRPr="00BE1A3E">
              <w:rPr>
                <w:rFonts w:asciiTheme="majorHAnsi" w:hAnsiTheme="majorHAnsi" w:cstheme="majorHAnsi"/>
                <w:color w:val="131413"/>
                <w:sz w:val="18"/>
                <w:szCs w:val="18"/>
              </w:rPr>
              <w:t xml:space="preserve">, </w:t>
            </w:r>
            <w:r w:rsidRPr="00BE1A3E">
              <w:rPr>
                <w:rFonts w:asciiTheme="majorHAnsi" w:hAnsiTheme="majorHAnsi" w:cstheme="majorHAnsi"/>
                <w:color w:val="131413"/>
                <w:sz w:val="18"/>
                <w:szCs w:val="18"/>
              </w:rPr>
              <w:t>3.0)</w:t>
            </w:r>
          </w:p>
          <w:p w14:paraId="369CC8B4" w14:textId="2422833A"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3</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4.2% </w:t>
            </w:r>
            <w:r w:rsidRPr="00BE1A3E">
              <w:rPr>
                <w:rFonts w:asciiTheme="majorHAnsi" w:hAnsiTheme="majorHAnsi" w:cstheme="majorHAnsi"/>
                <w:color w:val="131413"/>
                <w:sz w:val="18"/>
                <w:szCs w:val="18"/>
              </w:rPr>
              <w:t>(3.3</w:t>
            </w:r>
            <w:r w:rsidR="00176980" w:rsidRPr="00BE1A3E">
              <w:rPr>
                <w:rFonts w:asciiTheme="majorHAnsi" w:hAnsiTheme="majorHAnsi" w:cstheme="majorHAnsi"/>
                <w:color w:val="131413"/>
                <w:sz w:val="18"/>
                <w:szCs w:val="18"/>
              </w:rPr>
              <w:t xml:space="preserve">, </w:t>
            </w:r>
            <w:r w:rsidRPr="00BE1A3E">
              <w:rPr>
                <w:rFonts w:asciiTheme="majorHAnsi" w:hAnsiTheme="majorHAnsi" w:cstheme="majorHAnsi"/>
                <w:color w:val="131413"/>
                <w:sz w:val="18"/>
                <w:szCs w:val="18"/>
              </w:rPr>
              <w:t>5.1)</w:t>
            </w:r>
          </w:p>
          <w:p w14:paraId="37CC67C0" w14:textId="64AF9154"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4</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3.6% </w:t>
            </w:r>
            <w:r w:rsidRPr="00BE1A3E">
              <w:rPr>
                <w:rFonts w:asciiTheme="majorHAnsi" w:hAnsiTheme="majorHAnsi" w:cstheme="majorHAnsi"/>
                <w:color w:val="131413"/>
                <w:sz w:val="18"/>
                <w:szCs w:val="18"/>
              </w:rPr>
              <w:t>(2.1</w:t>
            </w:r>
            <w:r w:rsidR="00176980" w:rsidRPr="00BE1A3E">
              <w:rPr>
                <w:rFonts w:asciiTheme="majorHAnsi" w:hAnsiTheme="majorHAnsi" w:cstheme="majorHAnsi"/>
                <w:color w:val="131413"/>
                <w:sz w:val="18"/>
                <w:szCs w:val="18"/>
              </w:rPr>
              <w:t xml:space="preserve">, </w:t>
            </w:r>
            <w:r w:rsidRPr="00BE1A3E">
              <w:rPr>
                <w:rFonts w:asciiTheme="majorHAnsi" w:hAnsiTheme="majorHAnsi" w:cstheme="majorHAnsi"/>
                <w:color w:val="131413"/>
                <w:sz w:val="18"/>
                <w:szCs w:val="18"/>
              </w:rPr>
              <w:t>5.2)</w:t>
            </w:r>
          </w:p>
        </w:tc>
        <w:tc>
          <w:tcPr>
            <w:tcW w:w="771" w:type="pct"/>
            <w:shd w:val="clear" w:color="auto" w:fill="auto"/>
          </w:tcPr>
          <w:p w14:paraId="37B4F9BB" w14:textId="143E4F93"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3.6% </w:t>
            </w:r>
          </w:p>
          <w:p w14:paraId="34DD51A0" w14:textId="7592D7CD"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6.2%</w:t>
            </w:r>
          </w:p>
          <w:p w14:paraId="29914709" w14:textId="655D0C97" w:rsidR="002F3343" w:rsidRPr="00BE1A3E" w:rsidRDefault="00176980"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Incident:</w:t>
            </w:r>
            <w:r w:rsidR="002F3343" w:rsidRPr="00BE1A3E">
              <w:rPr>
                <w:rFonts w:asciiTheme="majorHAnsi" w:hAnsiTheme="majorHAnsi" w:cstheme="majorHAnsi"/>
                <w:bCs/>
                <w:sz w:val="18"/>
                <w:szCs w:val="18"/>
              </w:rPr>
              <w:t xml:space="preserve"> 3.1% </w:t>
            </w:r>
          </w:p>
          <w:p w14:paraId="65676AF3" w14:textId="4A67190B"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w:t>
            </w:r>
            <w:r w:rsidR="00A05362">
              <w:rPr>
                <w:rFonts w:asciiTheme="majorHAnsi" w:hAnsiTheme="majorHAnsi" w:cstheme="majorHAnsi"/>
                <w:bCs/>
                <w:sz w:val="18"/>
                <w:szCs w:val="18"/>
              </w:rPr>
              <w:t xml:space="preserve"> 1</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3.4% </w:t>
            </w:r>
            <w:r w:rsidRPr="00BE1A3E">
              <w:rPr>
                <w:rFonts w:asciiTheme="majorHAnsi" w:hAnsiTheme="majorHAnsi" w:cstheme="majorHAnsi"/>
                <w:color w:val="131413"/>
                <w:sz w:val="18"/>
                <w:szCs w:val="18"/>
              </w:rPr>
              <w:t>(2.5</w:t>
            </w:r>
            <w:r w:rsidR="00176980" w:rsidRPr="00BE1A3E">
              <w:rPr>
                <w:rFonts w:asciiTheme="majorHAnsi" w:hAnsiTheme="majorHAnsi" w:cstheme="majorHAnsi"/>
                <w:color w:val="131413"/>
                <w:sz w:val="18"/>
                <w:szCs w:val="18"/>
              </w:rPr>
              <w:t xml:space="preserve">, </w:t>
            </w:r>
            <w:r w:rsidRPr="00BE1A3E">
              <w:rPr>
                <w:rFonts w:asciiTheme="majorHAnsi" w:hAnsiTheme="majorHAnsi" w:cstheme="majorHAnsi"/>
                <w:color w:val="131413"/>
                <w:sz w:val="18"/>
                <w:szCs w:val="18"/>
              </w:rPr>
              <w:t>4.3)</w:t>
            </w:r>
          </w:p>
          <w:p w14:paraId="4B7ED8D9" w14:textId="36AD7D85"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2</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3.6% </w:t>
            </w:r>
            <w:r w:rsidRPr="00BE1A3E">
              <w:rPr>
                <w:rFonts w:asciiTheme="majorHAnsi" w:hAnsiTheme="majorHAnsi" w:cstheme="majorHAnsi"/>
                <w:color w:val="131413"/>
                <w:sz w:val="18"/>
                <w:szCs w:val="18"/>
              </w:rPr>
              <w:t>(2.9</w:t>
            </w:r>
            <w:r w:rsidR="00176980" w:rsidRPr="00BE1A3E">
              <w:rPr>
                <w:rFonts w:asciiTheme="majorHAnsi" w:hAnsiTheme="majorHAnsi" w:cstheme="majorHAnsi"/>
                <w:color w:val="131413"/>
                <w:sz w:val="18"/>
                <w:szCs w:val="18"/>
              </w:rPr>
              <w:t xml:space="preserve">, </w:t>
            </w:r>
            <w:r w:rsidRPr="00BE1A3E">
              <w:rPr>
                <w:rFonts w:asciiTheme="majorHAnsi" w:hAnsiTheme="majorHAnsi" w:cstheme="majorHAnsi"/>
                <w:color w:val="131413"/>
                <w:sz w:val="18"/>
                <w:szCs w:val="18"/>
              </w:rPr>
              <w:t>4.2)</w:t>
            </w:r>
          </w:p>
          <w:p w14:paraId="5C51DE3D" w14:textId="4109FCBA"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3</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3.8% </w:t>
            </w:r>
            <w:r w:rsidRPr="00BE1A3E">
              <w:rPr>
                <w:rFonts w:asciiTheme="majorHAnsi" w:hAnsiTheme="majorHAnsi" w:cstheme="majorHAnsi"/>
                <w:color w:val="131413"/>
                <w:sz w:val="18"/>
                <w:szCs w:val="18"/>
              </w:rPr>
              <w:t>(3.0</w:t>
            </w:r>
            <w:r w:rsidR="00176980" w:rsidRPr="00BE1A3E">
              <w:rPr>
                <w:rFonts w:asciiTheme="majorHAnsi" w:hAnsiTheme="majorHAnsi" w:cstheme="majorHAnsi"/>
                <w:color w:val="131413"/>
                <w:sz w:val="18"/>
                <w:szCs w:val="18"/>
              </w:rPr>
              <w:t xml:space="preserve">, </w:t>
            </w:r>
            <w:r w:rsidRPr="00BE1A3E">
              <w:rPr>
                <w:rFonts w:asciiTheme="majorHAnsi" w:hAnsiTheme="majorHAnsi" w:cstheme="majorHAnsi"/>
                <w:color w:val="131413"/>
                <w:sz w:val="18"/>
                <w:szCs w:val="18"/>
              </w:rPr>
              <w:t>4.7)</w:t>
            </w:r>
          </w:p>
          <w:p w14:paraId="4BC7A918" w14:textId="71629D5C"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4</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 xml:space="preserve">3.6% </w:t>
            </w:r>
            <w:r w:rsidRPr="00BE1A3E">
              <w:rPr>
                <w:rFonts w:asciiTheme="majorHAnsi" w:hAnsiTheme="majorHAnsi" w:cstheme="majorHAnsi"/>
                <w:color w:val="131413"/>
                <w:sz w:val="18"/>
                <w:szCs w:val="18"/>
              </w:rPr>
              <w:t>(2.1</w:t>
            </w:r>
            <w:r w:rsidR="00176980" w:rsidRPr="00BE1A3E">
              <w:rPr>
                <w:rFonts w:asciiTheme="majorHAnsi" w:hAnsiTheme="majorHAnsi" w:cstheme="majorHAnsi"/>
                <w:color w:val="131413"/>
                <w:sz w:val="18"/>
                <w:szCs w:val="18"/>
              </w:rPr>
              <w:t xml:space="preserve">, </w:t>
            </w:r>
            <w:r w:rsidRPr="00BE1A3E">
              <w:rPr>
                <w:rFonts w:asciiTheme="majorHAnsi" w:hAnsiTheme="majorHAnsi" w:cstheme="majorHAnsi"/>
                <w:color w:val="131413"/>
                <w:sz w:val="18"/>
                <w:szCs w:val="18"/>
              </w:rPr>
              <w:t>5.0)</w:t>
            </w:r>
          </w:p>
        </w:tc>
        <w:tc>
          <w:tcPr>
            <w:tcW w:w="1078" w:type="pct"/>
            <w:shd w:val="clear" w:color="auto" w:fill="auto"/>
          </w:tcPr>
          <w:p w14:paraId="45AEDCE1" w14:textId="2839AB33"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w:t>
            </w:r>
            <w:r w:rsidRPr="00BE1A3E">
              <w:rPr>
                <w:rFonts w:asciiTheme="majorHAnsi" w:hAnsiTheme="majorHAnsi" w:cstheme="majorHAnsi"/>
                <w:bCs/>
                <w:i/>
                <w:iCs/>
                <w:sz w:val="18"/>
                <w:szCs w:val="18"/>
              </w:rPr>
              <w:t>p</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.03</w:t>
            </w:r>
          </w:p>
          <w:p w14:paraId="605C7170" w14:textId="2A4EA4A4"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w:t>
            </w:r>
            <w:r w:rsidR="00176980" w:rsidRPr="00BE1A3E">
              <w:rPr>
                <w:rFonts w:asciiTheme="majorHAnsi" w:hAnsiTheme="majorHAnsi" w:cstheme="majorHAnsi"/>
                <w:bCs/>
                <w:sz w:val="18"/>
                <w:szCs w:val="18"/>
              </w:rPr>
              <w:t>:</w:t>
            </w:r>
            <w:r w:rsidRPr="00BE1A3E">
              <w:rPr>
                <w:rFonts w:asciiTheme="majorHAnsi" w:hAnsiTheme="majorHAnsi" w:cstheme="majorHAnsi"/>
                <w:bCs/>
                <w:i/>
                <w:iCs/>
                <w:sz w:val="18"/>
                <w:szCs w:val="18"/>
              </w:rPr>
              <w:t xml:space="preserve"> 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.95</w:t>
            </w:r>
          </w:p>
          <w:p w14:paraId="5578BD63" w14:textId="7E9F71CA" w:rsidR="002F3343" w:rsidRPr="00BE1A3E" w:rsidRDefault="00176980"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Incident:</w:t>
            </w:r>
            <w:r w:rsidR="002F3343" w:rsidRPr="00BE1A3E">
              <w:rPr>
                <w:rFonts w:asciiTheme="majorHAnsi" w:hAnsiTheme="majorHAnsi" w:cstheme="majorHAnsi"/>
                <w:bCs/>
                <w:sz w:val="18"/>
                <w:szCs w:val="18"/>
              </w:rPr>
              <w:t xml:space="preserve"> </w:t>
            </w:r>
            <w:r w:rsidR="002F3343" w:rsidRPr="00BE1A3E">
              <w:rPr>
                <w:rFonts w:asciiTheme="majorHAnsi" w:hAnsiTheme="majorHAnsi" w:cstheme="majorHAnsi"/>
                <w:bCs/>
                <w:i/>
                <w:iCs/>
                <w:sz w:val="18"/>
                <w:szCs w:val="18"/>
              </w:rPr>
              <w:t>p</w:t>
            </w:r>
            <w:r w:rsidRPr="00BE1A3E">
              <w:rPr>
                <w:rFonts w:asciiTheme="majorHAnsi" w:hAnsiTheme="majorHAnsi" w:cstheme="majorHAnsi"/>
                <w:bCs/>
                <w:i/>
                <w:iCs/>
                <w:sz w:val="18"/>
                <w:szCs w:val="18"/>
              </w:rPr>
              <w:t>&lt;</w:t>
            </w:r>
            <w:r w:rsidR="002F3343" w:rsidRPr="00BE1A3E">
              <w:rPr>
                <w:rFonts w:asciiTheme="majorHAnsi" w:hAnsiTheme="majorHAnsi" w:cstheme="majorHAnsi"/>
                <w:bCs/>
                <w:sz w:val="18"/>
                <w:szCs w:val="18"/>
              </w:rPr>
              <w:t>.01</w:t>
            </w:r>
          </w:p>
          <w:p w14:paraId="54C88EA4" w14:textId="08F76948"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1</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w:t>
            </w:r>
            <w:r w:rsidRPr="00BE1A3E">
              <w:rPr>
                <w:rFonts w:asciiTheme="majorHAnsi" w:hAnsiTheme="majorHAnsi" w:cstheme="majorHAnsi"/>
                <w:bCs/>
                <w:i/>
                <w:iCs/>
                <w:sz w:val="18"/>
                <w:szCs w:val="18"/>
              </w:rPr>
              <w:t>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.04</w:t>
            </w:r>
          </w:p>
          <w:p w14:paraId="2D1516C0" w14:textId="7E15E72D"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2</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w:t>
            </w:r>
            <w:r w:rsidRPr="00BE1A3E">
              <w:rPr>
                <w:rFonts w:asciiTheme="majorHAnsi" w:hAnsiTheme="majorHAnsi" w:cstheme="majorHAnsi"/>
                <w:bCs/>
                <w:i/>
                <w:iCs/>
                <w:sz w:val="18"/>
                <w:szCs w:val="18"/>
              </w:rPr>
              <w:t>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.01</w:t>
            </w:r>
          </w:p>
          <w:p w14:paraId="1D16902E" w14:textId="7C20D3F4"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3</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w:t>
            </w:r>
            <w:r w:rsidRPr="00BE1A3E">
              <w:rPr>
                <w:rFonts w:asciiTheme="majorHAnsi" w:hAnsiTheme="majorHAnsi" w:cstheme="majorHAnsi"/>
                <w:bCs/>
                <w:i/>
                <w:iCs/>
                <w:sz w:val="18"/>
                <w:szCs w:val="18"/>
              </w:rPr>
              <w:t>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.56</w:t>
            </w:r>
          </w:p>
          <w:p w14:paraId="05A5F2AE" w14:textId="24CA00D0"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VDG  4</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w:t>
            </w:r>
            <w:r w:rsidRPr="00BE1A3E">
              <w:rPr>
                <w:rFonts w:asciiTheme="majorHAnsi" w:hAnsiTheme="majorHAnsi" w:cstheme="majorHAnsi"/>
                <w:bCs/>
                <w:i/>
                <w:iCs/>
                <w:sz w:val="18"/>
                <w:szCs w:val="18"/>
              </w:rPr>
              <w:t>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.93</w:t>
            </w:r>
          </w:p>
        </w:tc>
      </w:tr>
      <w:tr w:rsidR="002F3343" w:rsidRPr="00BE1A3E" w14:paraId="5B4F1BED" w14:textId="77777777" w:rsidTr="00176980">
        <w:trPr>
          <w:trHeight w:val="429"/>
          <w:tblHeader/>
        </w:trPr>
        <w:tc>
          <w:tcPr>
            <w:tcW w:w="455" w:type="pct"/>
            <w:shd w:val="clear" w:color="auto" w:fill="auto"/>
          </w:tcPr>
          <w:p w14:paraId="3BD53341" w14:textId="69DFF0FF"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Hofvind et al</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(2019)</w:t>
            </w:r>
          </w:p>
          <w:p w14:paraId="7D1C20EC" w14:textId="766203DB" w:rsidR="002F3343"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To-Be</w:t>
            </w:r>
            <w:r w:rsidR="000C5381">
              <w:rPr>
                <w:rFonts w:asciiTheme="majorHAnsi" w:hAnsiTheme="majorHAnsi" w:cstheme="majorHAnsi"/>
                <w:bCs/>
                <w:sz w:val="18"/>
                <w:szCs w:val="18"/>
              </w:rPr>
              <w:t>-1</w:t>
            </w:r>
          </w:p>
          <w:p w14:paraId="293AE0AC" w14:textId="3822C43D" w:rsidR="000C5381" w:rsidRPr="00BE1A3E" w:rsidRDefault="000C5381" w:rsidP="0017698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(main analysis)</w:t>
            </w:r>
          </w:p>
          <w:p w14:paraId="3B27F58C" w14:textId="77777777" w:rsidR="002F3343" w:rsidRPr="00BE1A3E" w:rsidRDefault="002F3343" w:rsidP="00176980">
            <w:pPr>
              <w:pStyle w:val="BodyText"/>
              <w:spacing w:before="0" w:after="0" w:line="240" w:lineRule="auto"/>
              <w:jc w:val="left"/>
              <w:rPr>
                <w:rFonts w:asciiTheme="majorHAnsi" w:hAnsiTheme="majorHAnsi" w:cstheme="majorHAnsi"/>
                <w:b/>
                <w:color w:val="FFFFFF" w:themeColor="background1"/>
                <w:sz w:val="18"/>
                <w:szCs w:val="18"/>
              </w:rPr>
            </w:pPr>
          </w:p>
        </w:tc>
        <w:tc>
          <w:tcPr>
            <w:tcW w:w="961" w:type="pct"/>
            <w:shd w:val="clear" w:color="auto" w:fill="auto"/>
          </w:tcPr>
          <w:p w14:paraId="0703C06C" w14:textId="77777777" w:rsidR="002F3343" w:rsidRPr="00BE1A3E" w:rsidRDefault="002F3343" w:rsidP="00176980">
            <w:pPr>
              <w:pStyle w:val="BodyText-GREEN"/>
              <w:spacing w:before="0" w:after="0" w:line="240" w:lineRule="auto"/>
              <w:jc w:val="left"/>
              <w:rPr>
                <w:rFonts w:asciiTheme="majorHAnsi" w:hAnsiTheme="majorHAnsi" w:cstheme="majorHAnsi"/>
                <w:color w:val="auto"/>
                <w:sz w:val="18"/>
                <w:szCs w:val="18"/>
              </w:rPr>
            </w:pPr>
            <w:r w:rsidRPr="00BE1A3E">
              <w:rPr>
                <w:rFonts w:asciiTheme="majorHAnsi" w:hAnsiTheme="majorHAnsi" w:cstheme="majorHAnsi"/>
                <w:color w:val="auto"/>
                <w:sz w:val="18"/>
                <w:szCs w:val="18"/>
              </w:rPr>
              <w:t>28,749 women aged 50-69y participating in BreastScreen Norway biennial screening program.</w:t>
            </w:r>
          </w:p>
          <w:p w14:paraId="35F9AA6E" w14:textId="7E60EB83" w:rsidR="002F3343" w:rsidRPr="00BE1A3E" w:rsidRDefault="002F3343" w:rsidP="00176980">
            <w:pPr>
              <w:pStyle w:val="BodyText-GREEN"/>
              <w:spacing w:before="0" w:after="0" w:line="240" w:lineRule="auto"/>
              <w:jc w:val="left"/>
              <w:rPr>
                <w:rFonts w:asciiTheme="majorHAnsi" w:hAnsiTheme="majorHAnsi" w:cstheme="majorHAnsi"/>
                <w:color w:val="auto"/>
                <w:sz w:val="18"/>
                <w:szCs w:val="18"/>
              </w:rPr>
            </w:pPr>
            <w:r w:rsidRPr="00BE1A3E">
              <w:rPr>
                <w:rFonts w:asciiTheme="majorHAnsi" w:hAnsiTheme="majorHAnsi" w:cstheme="majorHAnsi"/>
                <w:color w:val="auto"/>
                <w:sz w:val="18"/>
                <w:szCs w:val="18"/>
              </w:rPr>
              <w:t>DBT+</w:t>
            </w:r>
            <w:r w:rsidR="00176980" w:rsidRPr="00BE1A3E">
              <w:rPr>
                <w:rFonts w:asciiTheme="majorHAnsi" w:hAnsiTheme="majorHAnsi" w:cstheme="majorHAnsi"/>
                <w:color w:val="auto"/>
                <w:sz w:val="18"/>
                <w:szCs w:val="18"/>
              </w:rPr>
              <w:t>s2DM</w:t>
            </w:r>
            <w:r w:rsidRPr="00BE1A3E">
              <w:rPr>
                <w:rFonts w:asciiTheme="majorHAnsi" w:hAnsiTheme="majorHAnsi" w:cstheme="majorHAnsi"/>
                <w:color w:val="auto"/>
                <w:sz w:val="18"/>
                <w:szCs w:val="18"/>
              </w:rPr>
              <w:t>: 14,380</w:t>
            </w:r>
          </w:p>
          <w:p w14:paraId="460C0478"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sz w:val="18"/>
                <w:szCs w:val="18"/>
              </w:rPr>
              <w:t>FFDM alone: 14,369</w:t>
            </w:r>
          </w:p>
        </w:tc>
        <w:tc>
          <w:tcPr>
            <w:tcW w:w="1011" w:type="pct"/>
            <w:shd w:val="clear" w:color="auto" w:fill="auto"/>
          </w:tcPr>
          <w:p w14:paraId="56144682" w14:textId="317706E1"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Single site RCT of one screening round, imaged on GE </w:t>
            </w:r>
            <w:r w:rsidR="00285D7E" w:rsidRPr="00BE1A3E">
              <w:rPr>
                <w:rFonts w:asciiTheme="majorHAnsi" w:hAnsiTheme="majorHAnsi" w:cstheme="majorHAnsi"/>
                <w:bCs/>
                <w:sz w:val="18"/>
                <w:szCs w:val="18"/>
              </w:rPr>
              <w:t>SenoClair</w:t>
            </w:r>
            <w:r w:rsidRPr="00BE1A3E">
              <w:rPr>
                <w:rFonts w:asciiTheme="majorHAnsi" w:hAnsiTheme="majorHAnsi" w:cstheme="majorHAnsi"/>
                <w:bCs/>
                <w:sz w:val="18"/>
                <w:szCs w:val="18"/>
              </w:rPr>
              <w:t xml:space="preserve"> with independent double reading with independent double reading and consensus or arbitration.</w:t>
            </w:r>
          </w:p>
        </w:tc>
        <w:tc>
          <w:tcPr>
            <w:tcW w:w="723" w:type="pct"/>
            <w:shd w:val="clear" w:color="auto" w:fill="auto"/>
          </w:tcPr>
          <w:p w14:paraId="62E1DE0A" w14:textId="0320754C"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3·1%</w:t>
            </w:r>
            <w:r w:rsidR="00BE1A3E">
              <w:rPr>
                <w:rFonts w:asciiTheme="majorHAnsi" w:hAnsiTheme="majorHAnsi" w:cstheme="majorHAnsi"/>
                <w:bCs/>
                <w:sz w:val="18"/>
                <w:szCs w:val="18"/>
              </w:rPr>
              <w:t xml:space="preserve"> </w:t>
            </w:r>
            <w:r w:rsidRPr="00BE1A3E">
              <w:rPr>
                <w:rFonts w:asciiTheme="majorHAnsi" w:hAnsiTheme="majorHAnsi" w:cstheme="majorHAnsi"/>
                <w:bCs/>
                <w:sz w:val="18"/>
                <w:szCs w:val="18"/>
              </w:rPr>
              <w:t>(2·8</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3·4) </w:t>
            </w:r>
          </w:p>
        </w:tc>
        <w:tc>
          <w:tcPr>
            <w:tcW w:w="771" w:type="pct"/>
            <w:shd w:val="clear" w:color="auto" w:fill="auto"/>
          </w:tcPr>
          <w:p w14:paraId="0E10064B" w14:textId="0A45EC92"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4·0% (3·7</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4·3</w:t>
            </w:r>
            <w:r w:rsidR="00BE1A3E">
              <w:rPr>
                <w:rFonts w:asciiTheme="majorHAnsi" w:hAnsiTheme="majorHAnsi" w:cstheme="majorHAnsi"/>
                <w:bCs/>
                <w:sz w:val="18"/>
                <w:szCs w:val="18"/>
              </w:rPr>
              <w:t xml:space="preserve">, </w:t>
            </w:r>
            <w:r w:rsidR="00BE1A3E" w:rsidRPr="00BE1A3E">
              <w:rPr>
                <w:rFonts w:asciiTheme="majorHAnsi" w:hAnsiTheme="majorHAnsi" w:cstheme="majorHAnsi"/>
                <w:bCs/>
                <w:i/>
                <w:iCs/>
                <w:sz w:val="18"/>
                <w:szCs w:val="18"/>
              </w:rPr>
              <w:t>p</w:t>
            </w:r>
            <w:r w:rsidR="00BE1A3E" w:rsidRPr="00BE1A3E">
              <w:rPr>
                <w:rFonts w:asciiTheme="majorHAnsi" w:hAnsiTheme="majorHAnsi" w:cstheme="majorHAnsi"/>
                <w:bCs/>
                <w:sz w:val="18"/>
                <w:szCs w:val="18"/>
              </w:rPr>
              <w:t>&lt;.0001</w:t>
            </w:r>
            <w:r w:rsidRPr="00BE1A3E">
              <w:rPr>
                <w:rFonts w:asciiTheme="majorHAnsi" w:hAnsiTheme="majorHAnsi" w:cstheme="majorHAnsi"/>
                <w:bCs/>
                <w:sz w:val="18"/>
                <w:szCs w:val="18"/>
              </w:rPr>
              <w:t xml:space="preserve">)  </w:t>
            </w:r>
          </w:p>
        </w:tc>
        <w:tc>
          <w:tcPr>
            <w:tcW w:w="1078" w:type="pct"/>
            <w:shd w:val="clear" w:color="auto" w:fill="auto"/>
          </w:tcPr>
          <w:p w14:paraId="17CE2ADD" w14:textId="62ACE617" w:rsidR="002F3343" w:rsidRPr="00BE1A3E" w:rsidRDefault="00091BF0" w:rsidP="00091BF0">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NA</w:t>
            </w:r>
          </w:p>
        </w:tc>
      </w:tr>
      <w:tr w:rsidR="002F3343" w:rsidRPr="00BE1A3E" w14:paraId="69FA1E0F" w14:textId="77777777" w:rsidTr="00176980">
        <w:trPr>
          <w:trHeight w:val="244"/>
          <w:tblHeader/>
        </w:trPr>
        <w:tc>
          <w:tcPr>
            <w:tcW w:w="5000" w:type="pct"/>
            <w:gridSpan w:val="6"/>
            <w:shd w:val="clear" w:color="auto" w:fill="auto"/>
          </w:tcPr>
          <w:p w14:paraId="04EF436B" w14:textId="77777777" w:rsidR="002F3343" w:rsidRPr="00BE1A3E" w:rsidRDefault="002F3343" w:rsidP="00176980">
            <w:pPr>
              <w:pStyle w:val="BodyText"/>
              <w:spacing w:before="0" w:after="0" w:line="240" w:lineRule="auto"/>
              <w:jc w:val="left"/>
              <w:rPr>
                <w:rFonts w:asciiTheme="majorHAnsi" w:hAnsiTheme="majorHAnsi" w:cstheme="majorHAnsi"/>
                <w:b/>
                <w:color w:val="FFFFFF" w:themeColor="background1"/>
                <w:sz w:val="18"/>
                <w:szCs w:val="18"/>
              </w:rPr>
            </w:pPr>
            <w:r w:rsidRPr="00BE1A3E">
              <w:rPr>
                <w:rFonts w:asciiTheme="majorHAnsi" w:hAnsiTheme="majorHAnsi" w:cstheme="majorHAnsi"/>
                <w:b/>
                <w:sz w:val="18"/>
                <w:szCs w:val="18"/>
              </w:rPr>
              <w:t>Prospective studies embedded in population-based screening programs</w:t>
            </w:r>
          </w:p>
        </w:tc>
      </w:tr>
      <w:tr w:rsidR="002F3343" w:rsidRPr="00662649" w14:paraId="61771A05" w14:textId="77777777" w:rsidTr="00176980">
        <w:trPr>
          <w:trHeight w:val="429"/>
          <w:tblHeader/>
        </w:trPr>
        <w:tc>
          <w:tcPr>
            <w:tcW w:w="455" w:type="pct"/>
            <w:shd w:val="clear" w:color="auto" w:fill="auto"/>
          </w:tcPr>
          <w:p w14:paraId="3B601C83" w14:textId="1307CC68"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sz w:val="18"/>
                <w:szCs w:val="18"/>
              </w:rPr>
              <w:t>Bernardi et al. (2019) Trento</w:t>
            </w:r>
          </w:p>
        </w:tc>
        <w:tc>
          <w:tcPr>
            <w:tcW w:w="961" w:type="pct"/>
            <w:shd w:val="clear" w:color="auto" w:fill="auto"/>
          </w:tcPr>
          <w:p w14:paraId="7132991D" w14:textId="6AA5BBF0"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DBT+</w:t>
            </w:r>
            <w:r w:rsidR="00176980" w:rsidRPr="00BE1A3E">
              <w:rPr>
                <w:rFonts w:asciiTheme="majorHAnsi" w:hAnsiTheme="majorHAnsi" w:cstheme="majorHAnsi"/>
                <w:bCs/>
                <w:sz w:val="18"/>
                <w:szCs w:val="18"/>
              </w:rPr>
              <w:t>s2DM</w:t>
            </w:r>
            <w:r w:rsidRPr="00BE1A3E">
              <w:rPr>
                <w:rFonts w:asciiTheme="majorHAnsi" w:hAnsiTheme="majorHAnsi" w:cstheme="majorHAnsi"/>
                <w:bCs/>
                <w:sz w:val="18"/>
                <w:szCs w:val="18"/>
              </w:rPr>
              <w:t>: 46,343 participants in the Trento biennial screening program (mean age = 57.9y)</w:t>
            </w:r>
          </w:p>
          <w:p w14:paraId="3D28F156"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 alone: historical cohort of 37,436 women previously screened in the Trento program (mean age = 57.9y)</w:t>
            </w:r>
          </w:p>
        </w:tc>
        <w:tc>
          <w:tcPr>
            <w:tcW w:w="1011" w:type="pct"/>
            <w:shd w:val="clear" w:color="auto" w:fill="auto"/>
          </w:tcPr>
          <w:p w14:paraId="66BF3732" w14:textId="77777777"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 xml:space="preserve">Prospective single site pilot evaluation following the implementation of DBT into the Trento screening program imaged with Hologic systems. </w:t>
            </w:r>
          </w:p>
          <w:p w14:paraId="50B579E4" w14:textId="77777777" w:rsidR="002F3343" w:rsidRPr="00BE1A3E" w:rsidRDefault="002F3343" w:rsidP="00176980">
            <w:pPr>
              <w:pStyle w:val="BodyText"/>
              <w:spacing w:before="0" w:after="0" w:line="240" w:lineRule="auto"/>
              <w:rPr>
                <w:rFonts w:asciiTheme="majorHAnsi" w:hAnsiTheme="majorHAnsi" w:cstheme="majorHAnsi"/>
                <w:sz w:val="18"/>
                <w:szCs w:val="18"/>
              </w:rPr>
            </w:pPr>
            <w:r w:rsidRPr="00BE1A3E">
              <w:rPr>
                <w:rFonts w:asciiTheme="majorHAnsi" w:hAnsiTheme="majorHAnsi" w:cstheme="majorHAnsi"/>
                <w:bCs/>
                <w:sz w:val="18"/>
                <w:szCs w:val="18"/>
              </w:rPr>
              <w:t xml:space="preserve">Independent double-reading with arbitration. </w:t>
            </w:r>
          </w:p>
        </w:tc>
        <w:tc>
          <w:tcPr>
            <w:tcW w:w="723" w:type="pct"/>
            <w:shd w:val="clear" w:color="auto" w:fill="auto"/>
          </w:tcPr>
          <w:p w14:paraId="5D11FBEA"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2.55%</w:t>
            </w:r>
          </w:p>
        </w:tc>
        <w:tc>
          <w:tcPr>
            <w:tcW w:w="771" w:type="pct"/>
            <w:shd w:val="clear" w:color="auto" w:fill="auto"/>
          </w:tcPr>
          <w:p w14:paraId="15FA22EB"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3.21%</w:t>
            </w:r>
          </w:p>
        </w:tc>
        <w:tc>
          <w:tcPr>
            <w:tcW w:w="1078" w:type="pct"/>
            <w:shd w:val="clear" w:color="auto" w:fill="auto"/>
          </w:tcPr>
          <w:p w14:paraId="381A3BDB" w14:textId="65CAA4C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RR</w:t>
            </w:r>
            <w:r w:rsidR="00285D7E" w:rsidRPr="00BE1A3E">
              <w:rPr>
                <w:rFonts w:asciiTheme="majorHAnsi" w:hAnsiTheme="majorHAnsi" w:cstheme="majorHAnsi"/>
                <w:bCs/>
                <w:sz w:val="18"/>
                <w:szCs w:val="18"/>
              </w:rPr>
              <w:t>=</w:t>
            </w:r>
            <w:r w:rsidRPr="00BE1A3E">
              <w:rPr>
                <w:rFonts w:asciiTheme="majorHAnsi" w:hAnsiTheme="majorHAnsi" w:cstheme="majorHAnsi"/>
                <w:bCs/>
                <w:sz w:val="18"/>
                <w:szCs w:val="18"/>
              </w:rPr>
              <w:t>0.79 (0.73</w:t>
            </w:r>
            <w:r w:rsidR="00285D7E"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0.86)</w:t>
            </w:r>
          </w:p>
        </w:tc>
      </w:tr>
    </w:tbl>
    <w:p w14:paraId="312E2D60" w14:textId="77777777" w:rsidR="002F3343" w:rsidRPr="00662649" w:rsidRDefault="002F3343" w:rsidP="002F3343">
      <w:pPr>
        <w:rPr>
          <w:highlight w:val="magenta"/>
        </w:rPr>
      </w:pPr>
      <w:r w:rsidRPr="00662649">
        <w:rPr>
          <w:highlight w:val="magenta"/>
        </w:rPr>
        <w:br w:type="page"/>
      </w:r>
    </w:p>
    <w:tbl>
      <w:tblPr>
        <w:tblW w:w="5000" w:type="pct"/>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Pr>
      <w:tblGrid>
        <w:gridCol w:w="1330"/>
        <w:gridCol w:w="2804"/>
        <w:gridCol w:w="2955"/>
        <w:gridCol w:w="2253"/>
        <w:gridCol w:w="2253"/>
        <w:gridCol w:w="2398"/>
      </w:tblGrid>
      <w:tr w:rsidR="002F3343" w:rsidRPr="00662649" w14:paraId="056CF7C7" w14:textId="77777777" w:rsidTr="003C2C66">
        <w:trPr>
          <w:trHeight w:val="429"/>
          <w:tblHeader/>
        </w:trPr>
        <w:tc>
          <w:tcPr>
            <w:tcW w:w="475" w:type="pct"/>
            <w:shd w:val="clear" w:color="auto" w:fill="77B800" w:themeFill="background2"/>
          </w:tcPr>
          <w:p w14:paraId="538F8381"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8"/>
                <w:szCs w:val="18"/>
              </w:rPr>
            </w:pPr>
            <w:r w:rsidRPr="00BE1A3E">
              <w:rPr>
                <w:rFonts w:asciiTheme="majorHAnsi" w:hAnsiTheme="majorHAnsi" w:cstheme="majorHAnsi"/>
                <w:b/>
                <w:color w:val="FFFFFF" w:themeColor="background1"/>
                <w:sz w:val="18"/>
                <w:szCs w:val="18"/>
              </w:rPr>
              <w:lastRenderedPageBreak/>
              <w:t>Study</w:t>
            </w:r>
          </w:p>
          <w:p w14:paraId="43B4DE94" w14:textId="77777777" w:rsidR="002F3343" w:rsidRPr="00BE1A3E" w:rsidRDefault="002F3343" w:rsidP="00176980">
            <w:pPr>
              <w:jc w:val="center"/>
            </w:pPr>
          </w:p>
        </w:tc>
        <w:tc>
          <w:tcPr>
            <w:tcW w:w="1002" w:type="pct"/>
            <w:shd w:val="clear" w:color="auto" w:fill="77B800" w:themeFill="background2"/>
          </w:tcPr>
          <w:p w14:paraId="0CCBB121" w14:textId="77777777" w:rsidR="002F3343" w:rsidRPr="00BE1A3E" w:rsidRDefault="002F3343"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b/>
                <w:color w:val="FFFFFF" w:themeColor="background1"/>
                <w:sz w:val="18"/>
                <w:szCs w:val="18"/>
              </w:rPr>
              <w:t>Sample</w:t>
            </w:r>
          </w:p>
        </w:tc>
        <w:tc>
          <w:tcPr>
            <w:tcW w:w="1056" w:type="pct"/>
            <w:shd w:val="clear" w:color="auto" w:fill="77B800" w:themeFill="background2"/>
          </w:tcPr>
          <w:p w14:paraId="7D56FEE6" w14:textId="77777777" w:rsidR="002F3343" w:rsidRPr="00BE1A3E" w:rsidRDefault="002F3343"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b/>
                <w:color w:val="FFFFFF" w:themeColor="background1"/>
                <w:sz w:val="18"/>
                <w:szCs w:val="18"/>
              </w:rPr>
              <w:t>Study type</w:t>
            </w:r>
          </w:p>
        </w:tc>
        <w:tc>
          <w:tcPr>
            <w:tcW w:w="805" w:type="pct"/>
            <w:shd w:val="clear" w:color="auto" w:fill="77B800" w:themeFill="background2"/>
          </w:tcPr>
          <w:p w14:paraId="0D7DBB70" w14:textId="5C0F03E3" w:rsidR="002F3343" w:rsidRPr="00BE1A3E" w:rsidRDefault="00176980"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b/>
                <w:color w:val="FFFFFF" w:themeColor="background1"/>
                <w:sz w:val="18"/>
                <w:szCs w:val="18"/>
              </w:rPr>
              <w:t>DBT+s2DM</w:t>
            </w:r>
          </w:p>
          <w:p w14:paraId="2B8C7129"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6"/>
                <w:szCs w:val="16"/>
              </w:rPr>
            </w:pPr>
            <w:r w:rsidRPr="00BE1A3E">
              <w:rPr>
                <w:rFonts w:asciiTheme="majorHAnsi" w:hAnsiTheme="majorHAnsi" w:cstheme="majorHAnsi"/>
                <w:color w:val="FFFFFF" w:themeColor="background1"/>
                <w:sz w:val="16"/>
                <w:szCs w:val="16"/>
              </w:rPr>
              <w:t xml:space="preserve">Overall recall rate </w:t>
            </w:r>
          </w:p>
          <w:p w14:paraId="45DDF195"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8"/>
                <w:szCs w:val="18"/>
              </w:rPr>
            </w:pPr>
            <w:r w:rsidRPr="00BE1A3E">
              <w:rPr>
                <w:rFonts w:asciiTheme="majorHAnsi" w:hAnsiTheme="majorHAnsi" w:cstheme="majorHAnsi"/>
                <w:color w:val="FFFFFF" w:themeColor="background1"/>
                <w:sz w:val="16"/>
                <w:szCs w:val="16"/>
              </w:rPr>
              <w:t xml:space="preserve"> (95%CI; p-value)</w:t>
            </w:r>
          </w:p>
        </w:tc>
        <w:tc>
          <w:tcPr>
            <w:tcW w:w="805" w:type="pct"/>
            <w:shd w:val="clear" w:color="auto" w:fill="77B800" w:themeFill="background2"/>
          </w:tcPr>
          <w:p w14:paraId="6E89CA1A" w14:textId="77777777" w:rsidR="002F3343" w:rsidRPr="00BE1A3E" w:rsidRDefault="002F3343"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b/>
                <w:color w:val="FFFFFF" w:themeColor="background1"/>
                <w:sz w:val="18"/>
                <w:szCs w:val="18"/>
              </w:rPr>
              <w:t>FFDM alone</w:t>
            </w:r>
          </w:p>
          <w:p w14:paraId="371B33A5"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6"/>
                <w:szCs w:val="16"/>
              </w:rPr>
            </w:pPr>
            <w:r w:rsidRPr="00BE1A3E">
              <w:rPr>
                <w:rFonts w:asciiTheme="majorHAnsi" w:hAnsiTheme="majorHAnsi" w:cstheme="majorHAnsi"/>
                <w:color w:val="FFFFFF" w:themeColor="background1"/>
                <w:sz w:val="16"/>
                <w:szCs w:val="16"/>
              </w:rPr>
              <w:t xml:space="preserve">Overall recall rate </w:t>
            </w:r>
          </w:p>
          <w:p w14:paraId="2998FF82" w14:textId="77777777" w:rsidR="002F3343" w:rsidRPr="00BE1A3E" w:rsidRDefault="002F3343" w:rsidP="00176980">
            <w:pPr>
              <w:pStyle w:val="BodyText"/>
              <w:spacing w:before="0" w:after="0" w:line="240" w:lineRule="auto"/>
              <w:jc w:val="center"/>
              <w:rPr>
                <w:rFonts w:asciiTheme="majorHAnsi" w:hAnsiTheme="majorHAnsi" w:cstheme="majorHAnsi"/>
                <w:b/>
                <w:color w:val="FFFFFF" w:themeColor="background1"/>
                <w:sz w:val="18"/>
                <w:szCs w:val="18"/>
              </w:rPr>
            </w:pPr>
            <w:r w:rsidRPr="00BE1A3E">
              <w:rPr>
                <w:rFonts w:asciiTheme="majorHAnsi" w:hAnsiTheme="majorHAnsi" w:cstheme="majorHAnsi"/>
                <w:color w:val="FFFFFF" w:themeColor="background1"/>
                <w:sz w:val="16"/>
                <w:szCs w:val="16"/>
              </w:rPr>
              <w:t xml:space="preserve"> (95%CI; p-value)</w:t>
            </w:r>
          </w:p>
        </w:tc>
        <w:tc>
          <w:tcPr>
            <w:tcW w:w="857" w:type="pct"/>
            <w:shd w:val="clear" w:color="auto" w:fill="77B800" w:themeFill="background2"/>
          </w:tcPr>
          <w:p w14:paraId="6D8EEB66" w14:textId="77777777" w:rsidR="002F3343" w:rsidRPr="00BE1A3E" w:rsidRDefault="002F3343" w:rsidP="00176980">
            <w:pPr>
              <w:pStyle w:val="BodyText"/>
              <w:spacing w:before="0" w:after="0" w:line="240" w:lineRule="auto"/>
              <w:jc w:val="center"/>
              <w:rPr>
                <w:rFonts w:asciiTheme="majorHAnsi" w:hAnsiTheme="majorHAnsi" w:cstheme="majorHAnsi"/>
                <w:color w:val="FFFFFF" w:themeColor="background1"/>
                <w:sz w:val="16"/>
                <w:szCs w:val="16"/>
              </w:rPr>
            </w:pPr>
            <w:r w:rsidRPr="00BE1A3E">
              <w:rPr>
                <w:rFonts w:asciiTheme="majorHAnsi" w:hAnsiTheme="majorHAnsi" w:cstheme="majorHAnsi"/>
                <w:b/>
                <w:color w:val="FFFFFF" w:themeColor="background1"/>
                <w:sz w:val="18"/>
                <w:szCs w:val="18"/>
              </w:rPr>
              <w:t xml:space="preserve">Difference between </w:t>
            </w:r>
            <w:r w:rsidRPr="00BE1A3E">
              <w:rPr>
                <w:rFonts w:asciiTheme="majorHAnsi" w:hAnsiTheme="majorHAnsi" w:cstheme="majorHAnsi"/>
                <w:color w:val="FFFFFF" w:themeColor="background1"/>
                <w:sz w:val="16"/>
                <w:szCs w:val="16"/>
              </w:rPr>
              <w:t xml:space="preserve">Overall recall rate </w:t>
            </w:r>
          </w:p>
          <w:p w14:paraId="1EE9ABB5" w14:textId="77777777" w:rsidR="002F3343" w:rsidRPr="00BE1A3E" w:rsidRDefault="002F3343" w:rsidP="00176980">
            <w:pPr>
              <w:pStyle w:val="BodyText"/>
              <w:spacing w:before="0" w:after="0" w:line="240" w:lineRule="auto"/>
              <w:jc w:val="center"/>
              <w:rPr>
                <w:rFonts w:asciiTheme="majorHAnsi" w:hAnsiTheme="majorHAnsi" w:cstheme="majorHAnsi"/>
                <w:bCs/>
                <w:color w:val="FFFFFF" w:themeColor="background1"/>
                <w:sz w:val="16"/>
                <w:szCs w:val="16"/>
              </w:rPr>
            </w:pPr>
            <w:r w:rsidRPr="00BE1A3E">
              <w:rPr>
                <w:rFonts w:asciiTheme="majorHAnsi" w:hAnsiTheme="majorHAnsi" w:cstheme="majorHAnsi"/>
                <w:bCs/>
                <w:color w:val="FFFFFF" w:themeColor="background1"/>
                <w:sz w:val="16"/>
                <w:szCs w:val="16"/>
              </w:rPr>
              <w:t>detection (95%CI)</w:t>
            </w:r>
          </w:p>
        </w:tc>
      </w:tr>
      <w:tr w:rsidR="002F3343" w:rsidRPr="00662649" w14:paraId="3ED69532" w14:textId="77777777" w:rsidTr="003C2C66">
        <w:trPr>
          <w:trHeight w:val="429"/>
          <w:tblHeader/>
        </w:trPr>
        <w:tc>
          <w:tcPr>
            <w:tcW w:w="475" w:type="pct"/>
            <w:shd w:val="clear" w:color="auto" w:fill="auto"/>
          </w:tcPr>
          <w:p w14:paraId="406A4989"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Houssami et al. (2019)</w:t>
            </w:r>
          </w:p>
          <w:p w14:paraId="4893E81B"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Maroondah</w:t>
            </w:r>
          </w:p>
        </w:tc>
        <w:tc>
          <w:tcPr>
            <w:tcW w:w="1002" w:type="pct"/>
            <w:shd w:val="clear" w:color="auto" w:fill="auto"/>
          </w:tcPr>
          <w:p w14:paraId="6D3C3DC1"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10,146 women presenting for biennial screening:</w:t>
            </w:r>
          </w:p>
          <w:p w14:paraId="3B1A0F2C" w14:textId="0D329F0F"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DBT+</w:t>
            </w:r>
            <w:r w:rsidR="00176980" w:rsidRPr="00BE1A3E">
              <w:rPr>
                <w:rFonts w:asciiTheme="majorHAnsi" w:hAnsiTheme="majorHAnsi" w:cstheme="majorHAnsi"/>
                <w:bCs/>
                <w:sz w:val="18"/>
                <w:szCs w:val="18"/>
              </w:rPr>
              <w:t>s2DM</w:t>
            </w:r>
            <w:r w:rsidRPr="00BE1A3E">
              <w:rPr>
                <w:rFonts w:asciiTheme="majorHAnsi" w:hAnsiTheme="majorHAnsi" w:cstheme="majorHAnsi"/>
                <w:bCs/>
                <w:sz w:val="18"/>
                <w:szCs w:val="18"/>
              </w:rPr>
              <w:t>: 4993 women (5018 screening examinations)</w:t>
            </w:r>
          </w:p>
          <w:p w14:paraId="71C4E0C6"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 alone: 5153 women (5166 screening examinations)</w:t>
            </w:r>
          </w:p>
        </w:tc>
        <w:tc>
          <w:tcPr>
            <w:tcW w:w="1056" w:type="pct"/>
            <w:shd w:val="clear" w:color="auto" w:fill="auto"/>
          </w:tcPr>
          <w:p w14:paraId="28F00B4F" w14:textId="1C73DCB9" w:rsidR="002F3343" w:rsidRPr="00BE1A3E" w:rsidRDefault="002F3343" w:rsidP="00176980">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bCs/>
                <w:sz w:val="18"/>
                <w:szCs w:val="18"/>
              </w:rPr>
              <w:t xml:space="preserve">Prospective single site pilot trial embedded in </w:t>
            </w:r>
            <w:r w:rsidR="00BE1A3E">
              <w:rPr>
                <w:rFonts w:asciiTheme="majorHAnsi" w:hAnsiTheme="majorHAnsi" w:cstheme="majorHAnsi"/>
                <w:bCs/>
                <w:sz w:val="18"/>
                <w:szCs w:val="18"/>
              </w:rPr>
              <w:t xml:space="preserve">BSA, </w:t>
            </w:r>
            <w:r w:rsidRPr="00BE1A3E">
              <w:rPr>
                <w:rFonts w:asciiTheme="majorHAnsi" w:hAnsiTheme="majorHAnsi" w:cstheme="majorHAnsi"/>
                <w:bCs/>
                <w:sz w:val="18"/>
                <w:szCs w:val="18"/>
              </w:rPr>
              <w:t>imaged on Hologic Selenia Dimensions 8000 (+/- C-view software) or Siemens Mammomat Inspiration. Double reading with consensus or arbitration</w:t>
            </w:r>
          </w:p>
        </w:tc>
        <w:tc>
          <w:tcPr>
            <w:tcW w:w="805" w:type="pct"/>
            <w:shd w:val="clear" w:color="auto" w:fill="auto"/>
          </w:tcPr>
          <w:p w14:paraId="1BEEA773" w14:textId="61C90D48"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 4.2% (3.6</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4.8)</w:t>
            </w:r>
          </w:p>
          <w:p w14:paraId="2D9AA0C6" w14:textId="22C2F06D"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 7.6% (6.0</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9.4)</w:t>
            </w:r>
          </w:p>
          <w:p w14:paraId="20169609" w14:textId="15A815BB"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Incident: 3.4% (2.8</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4.0)</w:t>
            </w:r>
          </w:p>
          <w:p w14:paraId="1D86A366" w14:textId="41BD0B49" w:rsidR="002F3343" w:rsidRPr="00BE1A3E" w:rsidRDefault="002F3343" w:rsidP="00176980">
            <w:pPr>
              <w:autoSpaceDE w:val="0"/>
              <w:autoSpaceDN w:val="0"/>
              <w:adjustRightInd w:val="0"/>
              <w:spacing w:after="0" w:line="240" w:lineRule="auto"/>
              <w:rPr>
                <w:rFonts w:asciiTheme="majorHAnsi" w:hAnsiTheme="majorHAnsi" w:cstheme="majorHAnsi"/>
                <w:bCs/>
                <w:sz w:val="18"/>
                <w:szCs w:val="18"/>
              </w:rPr>
            </w:pPr>
            <w:r w:rsidRPr="00BE1A3E">
              <w:rPr>
                <w:rFonts w:asciiTheme="majorHAnsi" w:hAnsiTheme="majorHAnsi" w:cstheme="majorHAnsi"/>
                <w:bCs/>
                <w:sz w:val="18"/>
                <w:szCs w:val="18"/>
              </w:rPr>
              <w:t xml:space="preserve">&lt;60y: </w:t>
            </w:r>
            <w:r w:rsidRPr="00BE1A3E">
              <w:rPr>
                <w:rFonts w:asciiTheme="majorHAnsi" w:hAnsiTheme="majorHAnsi" w:cstheme="majorHAnsi"/>
                <w:sz w:val="18"/>
                <w:szCs w:val="18"/>
              </w:rPr>
              <w:t>4.2% (3.6</w:t>
            </w:r>
            <w:r w:rsidR="00176980" w:rsidRPr="00BE1A3E">
              <w:rPr>
                <w:rFonts w:asciiTheme="majorHAnsi" w:hAnsiTheme="majorHAnsi" w:cstheme="majorHAnsi"/>
                <w:sz w:val="18"/>
                <w:szCs w:val="18"/>
              </w:rPr>
              <w:t xml:space="preserve">, </w:t>
            </w:r>
            <w:r w:rsidRPr="00BE1A3E">
              <w:rPr>
                <w:rFonts w:asciiTheme="majorHAnsi" w:hAnsiTheme="majorHAnsi" w:cstheme="majorHAnsi"/>
                <w:sz w:val="18"/>
                <w:szCs w:val="18"/>
              </w:rPr>
              <w:t>5.0)</w:t>
            </w:r>
          </w:p>
          <w:p w14:paraId="51374882" w14:textId="57D8D925" w:rsidR="002F3343" w:rsidRPr="00BE1A3E" w:rsidRDefault="002F3343" w:rsidP="00176980">
            <w:pPr>
              <w:autoSpaceDE w:val="0"/>
              <w:autoSpaceDN w:val="0"/>
              <w:adjustRightInd w:val="0"/>
              <w:spacing w:after="0" w:line="240" w:lineRule="auto"/>
              <w:rPr>
                <w:rFonts w:asciiTheme="majorHAnsi" w:hAnsiTheme="majorHAnsi" w:cstheme="majorHAnsi"/>
                <w:bCs/>
                <w:sz w:val="18"/>
                <w:szCs w:val="18"/>
              </w:rPr>
            </w:pPr>
            <w:r w:rsidRPr="00BE1A3E">
              <w:rPr>
                <w:rFonts w:asciiTheme="majorHAnsi" w:hAnsiTheme="majorHAnsi" w:cstheme="majorHAnsi"/>
                <w:bCs/>
                <w:sz w:val="18"/>
                <w:szCs w:val="18"/>
              </w:rPr>
              <w:t xml:space="preserve">&gt;60y: </w:t>
            </w:r>
            <w:r w:rsidRPr="00BE1A3E">
              <w:rPr>
                <w:rFonts w:asciiTheme="majorHAnsi" w:hAnsiTheme="majorHAnsi" w:cstheme="majorHAnsi"/>
                <w:sz w:val="18"/>
                <w:szCs w:val="18"/>
              </w:rPr>
              <w:t>4.1% (3.3</w:t>
            </w:r>
            <w:r w:rsidR="00176980" w:rsidRPr="00BE1A3E">
              <w:rPr>
                <w:rFonts w:asciiTheme="majorHAnsi" w:hAnsiTheme="majorHAnsi" w:cstheme="majorHAnsi"/>
                <w:sz w:val="18"/>
                <w:szCs w:val="18"/>
              </w:rPr>
              <w:t xml:space="preserve">, </w:t>
            </w:r>
            <w:r w:rsidRPr="00BE1A3E">
              <w:rPr>
                <w:rFonts w:asciiTheme="majorHAnsi" w:hAnsiTheme="majorHAnsi" w:cstheme="majorHAnsi"/>
                <w:sz w:val="18"/>
                <w:szCs w:val="18"/>
              </w:rPr>
              <w:t>5.0)</w:t>
            </w:r>
          </w:p>
        </w:tc>
        <w:tc>
          <w:tcPr>
            <w:tcW w:w="805" w:type="pct"/>
            <w:shd w:val="clear" w:color="auto" w:fill="auto"/>
          </w:tcPr>
          <w:p w14:paraId="50E595DE" w14:textId="4EF15C5C"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 3.0% (2.6</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3.5)</w:t>
            </w:r>
          </w:p>
          <w:p w14:paraId="12B33C0B" w14:textId="142F1A3C"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 7.4% (4.9</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10.7)</w:t>
            </w:r>
          </w:p>
          <w:p w14:paraId="01133609" w14:textId="2ACDF19D"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Incident: 2.7% (2.2</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3.2)</w:t>
            </w:r>
          </w:p>
          <w:p w14:paraId="590CA80C" w14:textId="4972159A"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&lt;60 y</w:t>
            </w:r>
            <w:r w:rsidR="00285D7E"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3.2% </w:t>
            </w:r>
            <w:r w:rsidRPr="00BE1A3E">
              <w:rPr>
                <w:rFonts w:asciiTheme="majorHAnsi" w:hAnsiTheme="majorHAnsi" w:cstheme="majorHAnsi"/>
                <w:sz w:val="18"/>
                <w:szCs w:val="18"/>
              </w:rPr>
              <w:t>(2.4</w:t>
            </w:r>
            <w:r w:rsidR="00176980" w:rsidRPr="00BE1A3E">
              <w:rPr>
                <w:rFonts w:asciiTheme="majorHAnsi" w:hAnsiTheme="majorHAnsi" w:cstheme="majorHAnsi"/>
                <w:sz w:val="18"/>
                <w:szCs w:val="18"/>
              </w:rPr>
              <w:t xml:space="preserve">, </w:t>
            </w:r>
            <w:r w:rsidRPr="00BE1A3E">
              <w:rPr>
                <w:rFonts w:asciiTheme="majorHAnsi" w:hAnsiTheme="majorHAnsi" w:cstheme="majorHAnsi"/>
                <w:sz w:val="18"/>
                <w:szCs w:val="18"/>
              </w:rPr>
              <w:t>4.0)</w:t>
            </w:r>
          </w:p>
          <w:p w14:paraId="5597B7B7" w14:textId="58335DBA"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&gt;60y</w:t>
            </w:r>
            <w:r w:rsidR="00285D7E"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2.9% </w:t>
            </w:r>
            <w:r w:rsidRPr="00BE1A3E">
              <w:rPr>
                <w:rFonts w:asciiTheme="majorHAnsi" w:hAnsiTheme="majorHAnsi" w:cstheme="majorHAnsi"/>
                <w:sz w:val="18"/>
                <w:szCs w:val="18"/>
              </w:rPr>
              <w:t>(2.3</w:t>
            </w:r>
            <w:r w:rsidR="00176980" w:rsidRPr="00BE1A3E">
              <w:rPr>
                <w:rFonts w:asciiTheme="majorHAnsi" w:hAnsiTheme="majorHAnsi" w:cstheme="majorHAnsi"/>
                <w:sz w:val="18"/>
                <w:szCs w:val="18"/>
              </w:rPr>
              <w:t xml:space="preserve">, </w:t>
            </w:r>
            <w:r w:rsidRPr="00BE1A3E">
              <w:rPr>
                <w:rFonts w:asciiTheme="majorHAnsi" w:hAnsiTheme="majorHAnsi" w:cstheme="majorHAnsi"/>
                <w:sz w:val="18"/>
                <w:szCs w:val="18"/>
              </w:rPr>
              <w:t>3.5)</w:t>
            </w:r>
          </w:p>
        </w:tc>
        <w:tc>
          <w:tcPr>
            <w:tcW w:w="857" w:type="pct"/>
            <w:shd w:val="clear" w:color="auto" w:fill="auto"/>
          </w:tcPr>
          <w:p w14:paraId="386FC73D"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Estimated difference: </w:t>
            </w:r>
          </w:p>
          <w:p w14:paraId="333B4E3F" w14:textId="31B1BBC8"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 1.2% (0.46</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1.9)</w:t>
            </w:r>
          </w:p>
          <w:p w14:paraId="05358D9F" w14:textId="364B189A"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 0.12% (-3.4</w:t>
            </w:r>
            <w:r w:rsidR="00176980" w:rsidRPr="00BE1A3E">
              <w:rPr>
                <w:rFonts w:asciiTheme="majorHAnsi" w:hAnsiTheme="majorHAnsi" w:cstheme="majorHAnsi"/>
                <w:bCs/>
                <w:sz w:val="18"/>
                <w:szCs w:val="18"/>
              </w:rPr>
              <w:t xml:space="preserve">, </w:t>
            </w:r>
            <w:r w:rsidRPr="00BE1A3E">
              <w:rPr>
                <w:rFonts w:asciiTheme="majorHAnsi" w:hAnsiTheme="majorHAnsi" w:cstheme="majorHAnsi"/>
                <w:bCs/>
                <w:sz w:val="18"/>
                <w:szCs w:val="18"/>
              </w:rPr>
              <w:t>3.1)</w:t>
            </w:r>
          </w:p>
          <w:p w14:paraId="7286D238" w14:textId="496122AC" w:rsidR="002F3343" w:rsidRPr="00BE1A3E" w:rsidRDefault="002F3343" w:rsidP="00176980">
            <w:pPr>
              <w:autoSpaceDE w:val="0"/>
              <w:autoSpaceDN w:val="0"/>
              <w:adjustRightInd w:val="0"/>
              <w:spacing w:after="0" w:line="240" w:lineRule="auto"/>
              <w:rPr>
                <w:rFonts w:asciiTheme="majorHAnsi" w:hAnsiTheme="majorHAnsi" w:cstheme="majorHAnsi"/>
                <w:bCs/>
                <w:sz w:val="18"/>
                <w:szCs w:val="18"/>
              </w:rPr>
            </w:pPr>
            <w:r w:rsidRPr="00BE1A3E">
              <w:rPr>
                <w:rFonts w:asciiTheme="majorHAnsi" w:hAnsiTheme="majorHAnsi" w:cstheme="majorHAnsi"/>
                <w:bCs/>
                <w:sz w:val="18"/>
                <w:szCs w:val="18"/>
              </w:rPr>
              <w:t xml:space="preserve">Incident: </w:t>
            </w:r>
            <w:r w:rsidRPr="00BE1A3E">
              <w:rPr>
                <w:rFonts w:asciiTheme="majorHAnsi" w:hAnsiTheme="majorHAnsi" w:cstheme="majorHAnsi"/>
                <w:sz w:val="18"/>
                <w:szCs w:val="18"/>
              </w:rPr>
              <w:t>0.69% (–0.02</w:t>
            </w:r>
            <w:r w:rsidR="00176980" w:rsidRPr="00BE1A3E">
              <w:rPr>
                <w:rFonts w:asciiTheme="majorHAnsi" w:hAnsiTheme="majorHAnsi" w:cstheme="majorHAnsi"/>
                <w:sz w:val="18"/>
                <w:szCs w:val="18"/>
              </w:rPr>
              <w:t xml:space="preserve">, </w:t>
            </w:r>
            <w:r w:rsidRPr="00BE1A3E">
              <w:rPr>
                <w:rFonts w:asciiTheme="majorHAnsi" w:hAnsiTheme="majorHAnsi" w:cstheme="majorHAnsi"/>
                <w:sz w:val="18"/>
                <w:szCs w:val="18"/>
              </w:rPr>
              <w:t>1.4)</w:t>
            </w:r>
          </w:p>
          <w:p w14:paraId="393B96CB" w14:textId="6EE10A0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&lt;60y: </w:t>
            </w:r>
            <w:r w:rsidRPr="00BE1A3E">
              <w:rPr>
                <w:rFonts w:asciiTheme="majorHAnsi" w:hAnsiTheme="majorHAnsi" w:cstheme="majorHAnsi"/>
                <w:sz w:val="18"/>
                <w:szCs w:val="18"/>
              </w:rPr>
              <w:t>1.1% (–0.01</w:t>
            </w:r>
            <w:r w:rsidR="00176980" w:rsidRPr="00BE1A3E">
              <w:rPr>
                <w:rFonts w:asciiTheme="majorHAnsi" w:hAnsiTheme="majorHAnsi" w:cstheme="majorHAnsi"/>
                <w:sz w:val="18"/>
                <w:szCs w:val="18"/>
              </w:rPr>
              <w:t xml:space="preserve">, </w:t>
            </w:r>
            <w:r w:rsidRPr="00BE1A3E">
              <w:rPr>
                <w:rFonts w:asciiTheme="majorHAnsi" w:hAnsiTheme="majorHAnsi" w:cstheme="majorHAnsi"/>
                <w:sz w:val="18"/>
                <w:szCs w:val="18"/>
              </w:rPr>
              <w:t xml:space="preserve"> 2.1)</w:t>
            </w:r>
          </w:p>
          <w:p w14:paraId="3E14CBAE" w14:textId="0A06B2ED" w:rsidR="002F3343" w:rsidRPr="00BE1A3E" w:rsidRDefault="002F3343" w:rsidP="00176980">
            <w:pPr>
              <w:autoSpaceDE w:val="0"/>
              <w:autoSpaceDN w:val="0"/>
              <w:adjustRightInd w:val="0"/>
              <w:spacing w:after="0" w:line="240" w:lineRule="auto"/>
              <w:rPr>
                <w:rFonts w:asciiTheme="majorHAnsi" w:hAnsiTheme="majorHAnsi" w:cstheme="majorHAnsi"/>
                <w:bCs/>
                <w:sz w:val="18"/>
                <w:szCs w:val="18"/>
              </w:rPr>
            </w:pPr>
            <w:r w:rsidRPr="00BE1A3E">
              <w:rPr>
                <w:rFonts w:asciiTheme="majorHAnsi" w:hAnsiTheme="majorHAnsi" w:cstheme="majorHAnsi"/>
                <w:bCs/>
                <w:sz w:val="18"/>
                <w:szCs w:val="18"/>
              </w:rPr>
              <w:t xml:space="preserve">&gt;60y: </w:t>
            </w:r>
            <w:r w:rsidRPr="00BE1A3E">
              <w:rPr>
                <w:rFonts w:asciiTheme="majorHAnsi" w:hAnsiTheme="majorHAnsi" w:cstheme="majorHAnsi"/>
                <w:sz w:val="18"/>
                <w:szCs w:val="18"/>
              </w:rPr>
              <w:t>1.2% (0.18</w:t>
            </w:r>
            <w:r w:rsidR="00176980" w:rsidRPr="00BE1A3E">
              <w:rPr>
                <w:rFonts w:asciiTheme="majorHAnsi" w:hAnsiTheme="majorHAnsi" w:cstheme="majorHAnsi"/>
                <w:sz w:val="18"/>
                <w:szCs w:val="18"/>
              </w:rPr>
              <w:t xml:space="preserve">, </w:t>
            </w:r>
            <w:r w:rsidRPr="00BE1A3E">
              <w:rPr>
                <w:rFonts w:asciiTheme="majorHAnsi" w:hAnsiTheme="majorHAnsi" w:cstheme="majorHAnsi"/>
                <w:sz w:val="18"/>
                <w:szCs w:val="18"/>
              </w:rPr>
              <w:t>2.3)</w:t>
            </w:r>
          </w:p>
        </w:tc>
      </w:tr>
      <w:tr w:rsidR="002F3343" w:rsidRPr="00662649" w14:paraId="57741F5E" w14:textId="77777777" w:rsidTr="003C2C66">
        <w:trPr>
          <w:trHeight w:val="429"/>
          <w:tblHeader/>
        </w:trPr>
        <w:tc>
          <w:tcPr>
            <w:tcW w:w="475" w:type="pct"/>
            <w:shd w:val="clear" w:color="auto" w:fill="auto"/>
          </w:tcPr>
          <w:p w14:paraId="492687D7"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Caumo et al. (2018)</w:t>
            </w:r>
          </w:p>
          <w:p w14:paraId="6636136D"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Verona</w:t>
            </w:r>
          </w:p>
        </w:tc>
        <w:tc>
          <w:tcPr>
            <w:tcW w:w="1002" w:type="pct"/>
            <w:shd w:val="clear" w:color="auto" w:fill="auto"/>
          </w:tcPr>
          <w:p w14:paraId="43943203" w14:textId="05640E7F"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DBT+</w:t>
            </w:r>
            <w:r w:rsidR="00176980" w:rsidRPr="00BE1A3E">
              <w:rPr>
                <w:rFonts w:asciiTheme="majorHAnsi" w:hAnsiTheme="majorHAnsi" w:cstheme="majorHAnsi"/>
                <w:bCs/>
                <w:sz w:val="18"/>
                <w:szCs w:val="18"/>
              </w:rPr>
              <w:t>s2DM</w:t>
            </w:r>
            <w:r w:rsidRPr="00BE1A3E">
              <w:rPr>
                <w:rFonts w:asciiTheme="majorHAnsi" w:hAnsiTheme="majorHAnsi" w:cstheme="majorHAnsi"/>
                <w:bCs/>
                <w:sz w:val="18"/>
                <w:szCs w:val="18"/>
              </w:rPr>
              <w:t xml:space="preserve">: 16,666 participants in the Verona screening program </w:t>
            </w:r>
          </w:p>
          <w:p w14:paraId="274F68C5"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 historical cohort of 14,423 women previously screened in the Verona program</w:t>
            </w:r>
          </w:p>
        </w:tc>
        <w:tc>
          <w:tcPr>
            <w:tcW w:w="1056" w:type="pct"/>
            <w:shd w:val="clear" w:color="auto" w:fill="auto"/>
          </w:tcPr>
          <w:p w14:paraId="2C731294" w14:textId="0160F3CA"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Prospective single site pilot evaluation</w:t>
            </w:r>
            <w:r w:rsidR="00BE1A3E">
              <w:rPr>
                <w:rFonts w:asciiTheme="majorHAnsi" w:hAnsiTheme="majorHAnsi" w:cstheme="majorHAnsi"/>
                <w:bCs/>
                <w:sz w:val="18"/>
                <w:szCs w:val="18"/>
              </w:rPr>
              <w:t xml:space="preserve"> </w:t>
            </w:r>
            <w:r w:rsidRPr="00BE1A3E">
              <w:rPr>
                <w:rFonts w:asciiTheme="majorHAnsi" w:hAnsiTheme="majorHAnsi" w:cstheme="majorHAnsi"/>
                <w:bCs/>
                <w:sz w:val="18"/>
                <w:szCs w:val="18"/>
              </w:rPr>
              <w:t>imaged with Hologic systems. Double reading with consensus or arbitration</w:t>
            </w:r>
          </w:p>
        </w:tc>
        <w:tc>
          <w:tcPr>
            <w:tcW w:w="805" w:type="pct"/>
            <w:shd w:val="clear" w:color="auto" w:fill="auto"/>
          </w:tcPr>
          <w:p w14:paraId="559C7668"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 4.2%</w:t>
            </w:r>
          </w:p>
          <w:p w14:paraId="6E7747EC"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 6.4%</w:t>
            </w:r>
          </w:p>
          <w:p w14:paraId="710F2842"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Incident: 3.5%</w:t>
            </w:r>
          </w:p>
        </w:tc>
        <w:tc>
          <w:tcPr>
            <w:tcW w:w="805" w:type="pct"/>
            <w:shd w:val="clear" w:color="auto" w:fill="auto"/>
          </w:tcPr>
          <w:p w14:paraId="6D88722C"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 4.0%</w:t>
            </w:r>
          </w:p>
          <w:p w14:paraId="2690E81D"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 7.6%</w:t>
            </w:r>
          </w:p>
          <w:p w14:paraId="20256A31"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Incident: 3.7% </w:t>
            </w:r>
          </w:p>
        </w:tc>
        <w:tc>
          <w:tcPr>
            <w:tcW w:w="857" w:type="pct"/>
            <w:shd w:val="clear" w:color="auto" w:fill="auto"/>
          </w:tcPr>
          <w:p w14:paraId="5667A27B" w14:textId="2B80C013"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 xml:space="preserve">All: </w:t>
            </w:r>
            <w:r w:rsidRPr="00BE1A3E">
              <w:rPr>
                <w:rFonts w:asciiTheme="majorHAnsi" w:hAnsiTheme="majorHAnsi" w:cstheme="majorHAnsi"/>
                <w:bCs/>
                <w:i/>
                <w:iCs/>
                <w:sz w:val="18"/>
                <w:szCs w:val="18"/>
              </w:rPr>
              <w:t>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.34</w:t>
            </w:r>
          </w:p>
          <w:p w14:paraId="60D129DD" w14:textId="32635E6E"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 xml:space="preserve">Prevalent: </w:t>
            </w:r>
            <w:r w:rsidRPr="00BE1A3E">
              <w:rPr>
                <w:rFonts w:asciiTheme="majorHAnsi" w:hAnsiTheme="majorHAnsi" w:cstheme="majorHAnsi"/>
                <w:bCs/>
                <w:i/>
                <w:iCs/>
                <w:sz w:val="18"/>
                <w:szCs w:val="18"/>
              </w:rPr>
              <w:t>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.15</w:t>
            </w:r>
          </w:p>
          <w:p w14:paraId="533FF3AD" w14:textId="78E442A4"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Incident:</w:t>
            </w:r>
            <w:r w:rsidRPr="00BE1A3E">
              <w:rPr>
                <w:rFonts w:asciiTheme="majorHAnsi" w:hAnsiTheme="majorHAnsi" w:cstheme="majorHAnsi"/>
                <w:bCs/>
                <w:i/>
                <w:iCs/>
                <w:sz w:val="18"/>
                <w:szCs w:val="18"/>
              </w:rPr>
              <w:t xml:space="preserve"> 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.32</w:t>
            </w:r>
          </w:p>
        </w:tc>
      </w:tr>
      <w:tr w:rsidR="002F3343" w:rsidRPr="00662649" w14:paraId="00D4EAFE" w14:textId="77777777" w:rsidTr="003C2C66">
        <w:trPr>
          <w:trHeight w:val="429"/>
          <w:tblHeader/>
        </w:trPr>
        <w:tc>
          <w:tcPr>
            <w:tcW w:w="475" w:type="pct"/>
            <w:shd w:val="clear" w:color="auto" w:fill="auto"/>
          </w:tcPr>
          <w:p w14:paraId="1CE44C17" w14:textId="4F2D615E"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Hofvind et al</w:t>
            </w:r>
            <w:r w:rsidR="00176980"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 (2018)</w:t>
            </w:r>
          </w:p>
          <w:p w14:paraId="7D47DA41" w14:textId="0C8CDD05" w:rsidR="002F3343" w:rsidRPr="00BE1A3E" w:rsidRDefault="0096179A" w:rsidP="0017698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Norway BSP</w:t>
            </w:r>
          </w:p>
        </w:tc>
        <w:tc>
          <w:tcPr>
            <w:tcW w:w="1002" w:type="pct"/>
            <w:shd w:val="clear" w:color="auto" w:fill="auto"/>
          </w:tcPr>
          <w:p w14:paraId="488CEFE4" w14:textId="37F8FE35"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DBT+</w:t>
            </w:r>
            <w:r w:rsidR="00176980" w:rsidRPr="00BE1A3E">
              <w:rPr>
                <w:rFonts w:asciiTheme="majorHAnsi" w:hAnsiTheme="majorHAnsi" w:cstheme="majorHAnsi"/>
                <w:bCs/>
                <w:sz w:val="18"/>
                <w:szCs w:val="18"/>
              </w:rPr>
              <w:t>s2DM</w:t>
            </w:r>
            <w:r w:rsidRPr="00BE1A3E">
              <w:rPr>
                <w:rFonts w:asciiTheme="majorHAnsi" w:hAnsiTheme="majorHAnsi" w:cstheme="majorHAnsi"/>
                <w:bCs/>
                <w:sz w:val="18"/>
                <w:szCs w:val="18"/>
              </w:rPr>
              <w:t>: 37,185 attendees at an Oslo clinic for biennial (7250 had a prevalent screen), mean age=59.2y</w:t>
            </w:r>
          </w:p>
          <w:p w14:paraId="61DBD677"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 61,742 attendees at the Vestfold or Vestre Viken clinics (9517 had a prevalent screen), mean age=59.4y</w:t>
            </w:r>
          </w:p>
        </w:tc>
        <w:tc>
          <w:tcPr>
            <w:tcW w:w="1056" w:type="pct"/>
            <w:shd w:val="clear" w:color="auto" w:fill="auto"/>
          </w:tcPr>
          <w:p w14:paraId="49BF8EDD" w14:textId="5695072C" w:rsidR="002F3343" w:rsidRPr="00BE1A3E" w:rsidRDefault="002F3343" w:rsidP="00176980">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bCs/>
                <w:sz w:val="18"/>
                <w:szCs w:val="18"/>
              </w:rPr>
              <w:t>Prospective, multi</w:t>
            </w:r>
            <w:r w:rsidR="00285D7E" w:rsidRPr="00BE1A3E">
              <w:rPr>
                <w:rFonts w:asciiTheme="majorHAnsi" w:hAnsiTheme="majorHAnsi" w:cstheme="majorHAnsi"/>
                <w:bCs/>
                <w:sz w:val="18"/>
                <w:szCs w:val="18"/>
              </w:rPr>
              <w:t>-</w:t>
            </w:r>
            <w:r w:rsidRPr="00BE1A3E">
              <w:rPr>
                <w:rFonts w:asciiTheme="majorHAnsi" w:hAnsiTheme="majorHAnsi" w:cstheme="majorHAnsi"/>
                <w:bCs/>
                <w:sz w:val="18"/>
                <w:szCs w:val="18"/>
              </w:rPr>
              <w:t xml:space="preserve">site, population-based cohort study imaged on Hologic Dimensions, Siemens Mammomat Inspirations or GE SenoEssential units with double reading and consensus or arbitration. </w:t>
            </w:r>
          </w:p>
        </w:tc>
        <w:tc>
          <w:tcPr>
            <w:tcW w:w="805" w:type="pct"/>
            <w:shd w:val="clear" w:color="auto" w:fill="auto"/>
          </w:tcPr>
          <w:p w14:paraId="54D882E2"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 3.4%</w:t>
            </w:r>
          </w:p>
          <w:p w14:paraId="112206B3"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 7.4%</w:t>
            </w:r>
          </w:p>
          <w:p w14:paraId="6167B866"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Incident: 2.4%</w:t>
            </w:r>
          </w:p>
        </w:tc>
        <w:tc>
          <w:tcPr>
            <w:tcW w:w="805" w:type="pct"/>
            <w:shd w:val="clear" w:color="auto" w:fill="auto"/>
          </w:tcPr>
          <w:p w14:paraId="631A03CF"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 3.3%</w:t>
            </w:r>
          </w:p>
          <w:p w14:paraId="78110578"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Prevalent: 7.6%</w:t>
            </w:r>
          </w:p>
          <w:p w14:paraId="400BD4AA"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Incident: 2.6%</w:t>
            </w:r>
          </w:p>
        </w:tc>
        <w:tc>
          <w:tcPr>
            <w:tcW w:w="857" w:type="pct"/>
            <w:shd w:val="clear" w:color="auto" w:fill="auto"/>
          </w:tcPr>
          <w:p w14:paraId="20EA5234" w14:textId="792535DF"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w:t>
            </w:r>
            <w:r w:rsidRPr="00BE1A3E">
              <w:rPr>
                <w:rFonts w:asciiTheme="majorHAnsi" w:hAnsiTheme="majorHAnsi" w:cstheme="majorHAnsi"/>
                <w:bCs/>
                <w:i/>
                <w:iCs/>
                <w:sz w:val="18"/>
                <w:szCs w:val="18"/>
              </w:rPr>
              <w:t xml:space="preserve"> 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.562</w:t>
            </w:r>
          </w:p>
          <w:p w14:paraId="58606390" w14:textId="454DA55C"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Prevalent: </w:t>
            </w:r>
            <w:r w:rsidRPr="00BE1A3E">
              <w:rPr>
                <w:rFonts w:asciiTheme="majorHAnsi" w:hAnsiTheme="majorHAnsi" w:cstheme="majorHAnsi"/>
                <w:bCs/>
                <w:i/>
                <w:iCs/>
                <w:sz w:val="18"/>
                <w:szCs w:val="18"/>
              </w:rPr>
              <w:t>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.591</w:t>
            </w:r>
          </w:p>
          <w:p w14:paraId="04D880E1" w14:textId="1B98F36D"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Incident: </w:t>
            </w:r>
            <w:r w:rsidRPr="00BE1A3E">
              <w:rPr>
                <w:rFonts w:asciiTheme="majorHAnsi" w:hAnsiTheme="majorHAnsi" w:cstheme="majorHAnsi"/>
                <w:bCs/>
                <w:i/>
                <w:iCs/>
                <w:sz w:val="18"/>
                <w:szCs w:val="18"/>
              </w:rPr>
              <w:t>p</w:t>
            </w:r>
            <w:r w:rsidR="00176980" w:rsidRPr="00BE1A3E">
              <w:rPr>
                <w:rFonts w:asciiTheme="majorHAnsi" w:hAnsiTheme="majorHAnsi" w:cstheme="majorHAnsi"/>
                <w:bCs/>
                <w:i/>
                <w:iCs/>
                <w:sz w:val="18"/>
                <w:szCs w:val="18"/>
              </w:rPr>
              <w:t>=</w:t>
            </w:r>
            <w:r w:rsidRPr="00BE1A3E">
              <w:rPr>
                <w:rFonts w:asciiTheme="majorHAnsi" w:hAnsiTheme="majorHAnsi" w:cstheme="majorHAnsi"/>
                <w:bCs/>
                <w:sz w:val="18"/>
                <w:szCs w:val="18"/>
              </w:rPr>
              <w:t>.284</w:t>
            </w:r>
          </w:p>
        </w:tc>
      </w:tr>
      <w:tr w:rsidR="002F3343" w:rsidRPr="00E44152" w14:paraId="148E3861" w14:textId="77777777" w:rsidTr="003C2C66">
        <w:trPr>
          <w:trHeight w:val="429"/>
          <w:tblHeader/>
        </w:trPr>
        <w:tc>
          <w:tcPr>
            <w:tcW w:w="475" w:type="pct"/>
            <w:shd w:val="clear" w:color="auto" w:fill="auto"/>
          </w:tcPr>
          <w:p w14:paraId="0347CF0B"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Romero Martín et al. (2018) Cordoba</w:t>
            </w:r>
          </w:p>
        </w:tc>
        <w:tc>
          <w:tcPr>
            <w:tcW w:w="1002" w:type="pct"/>
            <w:shd w:val="clear" w:color="auto" w:fill="auto"/>
          </w:tcPr>
          <w:p w14:paraId="74DE9862" w14:textId="4E61276D"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16,067 women in the Cordoba biennial screening program (aged 57.59y) undergoing FFDM+DBT with </w:t>
            </w:r>
            <w:r w:rsidR="00176980" w:rsidRPr="00BE1A3E">
              <w:rPr>
                <w:rFonts w:asciiTheme="majorHAnsi" w:hAnsiTheme="majorHAnsi" w:cstheme="majorHAnsi"/>
                <w:bCs/>
                <w:sz w:val="18"/>
                <w:szCs w:val="18"/>
              </w:rPr>
              <w:t>s2DM</w:t>
            </w:r>
            <w:r w:rsidRPr="00BE1A3E">
              <w:rPr>
                <w:rFonts w:asciiTheme="majorHAnsi" w:hAnsiTheme="majorHAnsi" w:cstheme="majorHAnsi"/>
                <w:bCs/>
                <w:sz w:val="18"/>
                <w:szCs w:val="18"/>
              </w:rPr>
              <w:t xml:space="preserve"> images (3341 women attending for prevalent screening; 12727 for incident screening)</w:t>
            </w:r>
          </w:p>
        </w:tc>
        <w:tc>
          <w:tcPr>
            <w:tcW w:w="1056" w:type="pct"/>
            <w:shd w:val="clear" w:color="auto" w:fill="auto"/>
          </w:tcPr>
          <w:p w14:paraId="1A88E691"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Prospective single site transversal reading study, imaged on Hologic Dimensions unit. Double reading without consensus or arbitration. </w:t>
            </w:r>
          </w:p>
          <w:p w14:paraId="78498E10" w14:textId="7F752F25" w:rsidR="002F3343" w:rsidRPr="00BE1A3E" w:rsidRDefault="002F3343" w:rsidP="00176980">
            <w:pPr>
              <w:pStyle w:val="BodyText"/>
              <w:spacing w:before="0" w:after="0" w:line="240" w:lineRule="auto"/>
              <w:rPr>
                <w:rFonts w:asciiTheme="majorHAnsi" w:hAnsiTheme="majorHAnsi" w:cstheme="majorHAnsi"/>
                <w:bCs/>
                <w:sz w:val="18"/>
                <w:szCs w:val="18"/>
              </w:rPr>
            </w:pPr>
          </w:p>
        </w:tc>
        <w:tc>
          <w:tcPr>
            <w:tcW w:w="805" w:type="pct"/>
            <w:shd w:val="clear" w:color="auto" w:fill="auto"/>
          </w:tcPr>
          <w:p w14:paraId="38DBEE9A"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Third reading: 2.9%</w:t>
            </w:r>
          </w:p>
          <w:p w14:paraId="685D6E46"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p>
          <w:p w14:paraId="635C5595" w14:textId="77777777"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Fourth reading:2.8%*</w:t>
            </w:r>
          </w:p>
          <w:p w14:paraId="684C3362" w14:textId="5270A4EB" w:rsidR="002F3343" w:rsidRPr="00BE1A3E" w:rsidRDefault="002F3343" w:rsidP="0017698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(FFDM+DBT+</w:t>
            </w:r>
            <w:r w:rsidR="00176980" w:rsidRPr="00BE1A3E">
              <w:rPr>
                <w:rFonts w:asciiTheme="majorHAnsi" w:hAnsiTheme="majorHAnsi" w:cstheme="majorHAnsi"/>
                <w:bCs/>
                <w:sz w:val="18"/>
                <w:szCs w:val="18"/>
              </w:rPr>
              <w:t>s2DM</w:t>
            </w:r>
            <w:r w:rsidRPr="00BE1A3E">
              <w:rPr>
                <w:rFonts w:asciiTheme="majorHAnsi" w:hAnsiTheme="majorHAnsi" w:cstheme="majorHAnsi"/>
                <w:bCs/>
                <w:sz w:val="18"/>
                <w:szCs w:val="18"/>
              </w:rPr>
              <w:t>)</w:t>
            </w:r>
          </w:p>
          <w:p w14:paraId="4E5C12EA"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p>
          <w:p w14:paraId="3D4E6C75"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p>
        </w:tc>
        <w:tc>
          <w:tcPr>
            <w:tcW w:w="805" w:type="pct"/>
            <w:shd w:val="clear" w:color="auto" w:fill="auto"/>
          </w:tcPr>
          <w:p w14:paraId="04A388FE"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First reading= 3.5%</w:t>
            </w:r>
          </w:p>
          <w:p w14:paraId="10CB2C80"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p>
          <w:p w14:paraId="5D76F521" w14:textId="77777777" w:rsidR="002F3343" w:rsidRPr="00BE1A3E" w:rsidRDefault="002F3343" w:rsidP="0017698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Second reading = 3.1%</w:t>
            </w:r>
          </w:p>
        </w:tc>
        <w:tc>
          <w:tcPr>
            <w:tcW w:w="857" w:type="pct"/>
            <w:shd w:val="clear" w:color="auto" w:fill="auto"/>
          </w:tcPr>
          <w:p w14:paraId="37A6C988" w14:textId="144EE917" w:rsidR="002F3343" w:rsidRPr="00BE1A3E" w:rsidRDefault="00091BF0" w:rsidP="00091BF0">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NA</w:t>
            </w:r>
          </w:p>
        </w:tc>
      </w:tr>
      <w:tr w:rsidR="003C2C66" w:rsidRPr="00E44152" w14:paraId="126E07FE" w14:textId="77777777" w:rsidTr="003C2C66">
        <w:trPr>
          <w:trHeight w:val="191"/>
          <w:tblHeader/>
        </w:trPr>
        <w:tc>
          <w:tcPr>
            <w:tcW w:w="5000" w:type="pct"/>
            <w:gridSpan w:val="6"/>
            <w:shd w:val="clear" w:color="auto" w:fill="auto"/>
          </w:tcPr>
          <w:p w14:paraId="33139CAB" w14:textId="57B1F190" w:rsidR="003C2C66" w:rsidRPr="003C2C66" w:rsidRDefault="003C2C66" w:rsidP="00176980">
            <w:pPr>
              <w:pStyle w:val="BodyText"/>
              <w:spacing w:before="0" w:after="0" w:line="240" w:lineRule="auto"/>
              <w:jc w:val="left"/>
              <w:rPr>
                <w:rFonts w:asciiTheme="majorHAnsi" w:hAnsiTheme="majorHAnsi" w:cstheme="majorHAnsi"/>
                <w:b/>
                <w:sz w:val="18"/>
                <w:szCs w:val="18"/>
              </w:rPr>
            </w:pPr>
            <w:r w:rsidRPr="003C2C66">
              <w:rPr>
                <w:rFonts w:asciiTheme="majorHAnsi" w:hAnsiTheme="majorHAnsi" w:cstheme="majorHAnsi"/>
                <w:b/>
                <w:sz w:val="18"/>
                <w:szCs w:val="18"/>
              </w:rPr>
              <w:t>Retrospective analysis</w:t>
            </w:r>
          </w:p>
        </w:tc>
      </w:tr>
      <w:tr w:rsidR="00091BF0" w:rsidRPr="00E44152" w14:paraId="36A4FBF2" w14:textId="77777777" w:rsidTr="003C2C66">
        <w:trPr>
          <w:trHeight w:val="429"/>
          <w:tblHeader/>
        </w:trPr>
        <w:tc>
          <w:tcPr>
            <w:tcW w:w="475" w:type="pct"/>
            <w:shd w:val="clear" w:color="auto" w:fill="auto"/>
          </w:tcPr>
          <w:p w14:paraId="6AD60DCA"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r w:rsidRPr="00091BF0">
              <w:rPr>
                <w:rFonts w:asciiTheme="majorHAnsi" w:hAnsiTheme="majorHAnsi" w:cstheme="majorHAnsi"/>
                <w:bCs/>
                <w:sz w:val="18"/>
                <w:szCs w:val="18"/>
              </w:rPr>
              <w:t>Hovda et al. (2019)</w:t>
            </w:r>
          </w:p>
          <w:p w14:paraId="00224D6B" w14:textId="01DC0E92" w:rsidR="00091BF0" w:rsidRPr="00091BF0" w:rsidRDefault="00091BF0" w:rsidP="00091BF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Norway BSP</w:t>
            </w:r>
          </w:p>
        </w:tc>
        <w:tc>
          <w:tcPr>
            <w:tcW w:w="1002" w:type="pct"/>
            <w:shd w:val="clear" w:color="auto" w:fill="auto"/>
          </w:tcPr>
          <w:p w14:paraId="214471EE"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r w:rsidRPr="00091BF0">
              <w:rPr>
                <w:rFonts w:asciiTheme="majorHAnsi" w:hAnsiTheme="majorHAnsi" w:cstheme="majorHAnsi"/>
                <w:bCs/>
                <w:sz w:val="18"/>
                <w:szCs w:val="18"/>
              </w:rPr>
              <w:t>35,736 women with at least two consecutive screens in the BreastScreen Norway biennial screening program</w:t>
            </w:r>
          </w:p>
          <w:p w14:paraId="3F00A40A" w14:textId="722796BB" w:rsidR="00091BF0" w:rsidRPr="00091BF0" w:rsidRDefault="00091BF0" w:rsidP="00091BF0">
            <w:pPr>
              <w:pStyle w:val="BodyText"/>
              <w:spacing w:before="0" w:after="0" w:line="240" w:lineRule="auto"/>
              <w:jc w:val="left"/>
              <w:rPr>
                <w:rFonts w:asciiTheme="majorHAnsi" w:hAnsiTheme="majorHAnsi" w:cstheme="majorHAnsi"/>
                <w:bCs/>
                <w:sz w:val="18"/>
                <w:szCs w:val="18"/>
              </w:rPr>
            </w:pPr>
          </w:p>
        </w:tc>
        <w:tc>
          <w:tcPr>
            <w:tcW w:w="1056" w:type="pct"/>
            <w:shd w:val="clear" w:color="auto" w:fill="auto"/>
          </w:tcPr>
          <w:p w14:paraId="46C4AA59"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r w:rsidRPr="00091BF0">
              <w:rPr>
                <w:rFonts w:asciiTheme="majorHAnsi" w:hAnsiTheme="majorHAnsi" w:cstheme="majorHAnsi"/>
                <w:bCs/>
                <w:sz w:val="18"/>
                <w:szCs w:val="18"/>
              </w:rPr>
              <w:t>Retrospective paired analysis of data using Hologic Dimensions and GE Senographe systems.</w:t>
            </w:r>
          </w:p>
          <w:p w14:paraId="16A1E6E2" w14:textId="01C7EF7A" w:rsidR="00091BF0" w:rsidRPr="00091BF0" w:rsidRDefault="00091BF0" w:rsidP="00091BF0">
            <w:pPr>
              <w:pStyle w:val="BodyText"/>
              <w:spacing w:before="0" w:after="0" w:line="240" w:lineRule="auto"/>
              <w:jc w:val="left"/>
              <w:rPr>
                <w:rFonts w:asciiTheme="majorHAnsi" w:hAnsiTheme="majorHAnsi" w:cstheme="majorHAnsi"/>
                <w:bCs/>
                <w:sz w:val="18"/>
                <w:szCs w:val="18"/>
              </w:rPr>
            </w:pPr>
            <w:r w:rsidRPr="00091BF0">
              <w:rPr>
                <w:rFonts w:asciiTheme="majorHAnsi" w:hAnsiTheme="majorHAnsi" w:cstheme="majorHAnsi"/>
                <w:bCs/>
                <w:sz w:val="18"/>
                <w:szCs w:val="18"/>
              </w:rPr>
              <w:t xml:space="preserve">Double reading protocol with arbitration or consensus. </w:t>
            </w:r>
          </w:p>
        </w:tc>
        <w:tc>
          <w:tcPr>
            <w:tcW w:w="805" w:type="pct"/>
            <w:shd w:val="clear" w:color="auto" w:fill="auto"/>
          </w:tcPr>
          <w:p w14:paraId="6E3AD84F"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r w:rsidRPr="00091BF0">
              <w:rPr>
                <w:rFonts w:asciiTheme="majorHAnsi" w:hAnsiTheme="majorHAnsi" w:cstheme="majorHAnsi"/>
                <w:bCs/>
                <w:sz w:val="18"/>
                <w:szCs w:val="18"/>
              </w:rPr>
              <w:t>DBT after DBT = 1.9%</w:t>
            </w:r>
          </w:p>
          <w:p w14:paraId="6289495B"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r w:rsidRPr="00091BF0">
              <w:rPr>
                <w:rFonts w:asciiTheme="majorHAnsi" w:hAnsiTheme="majorHAnsi" w:cstheme="majorHAnsi"/>
                <w:bCs/>
                <w:sz w:val="18"/>
                <w:szCs w:val="18"/>
              </w:rPr>
              <w:t>DBT after FFDM= 2.7%</w:t>
            </w:r>
          </w:p>
          <w:p w14:paraId="47D0262A"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p>
          <w:p w14:paraId="1754E7A3"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p>
          <w:p w14:paraId="5C232665"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p>
        </w:tc>
        <w:tc>
          <w:tcPr>
            <w:tcW w:w="805" w:type="pct"/>
            <w:shd w:val="clear" w:color="auto" w:fill="auto"/>
          </w:tcPr>
          <w:p w14:paraId="2F470B8B"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r w:rsidRPr="00091BF0">
              <w:rPr>
                <w:rFonts w:asciiTheme="majorHAnsi" w:hAnsiTheme="majorHAnsi" w:cstheme="majorHAnsi"/>
                <w:bCs/>
                <w:sz w:val="18"/>
                <w:szCs w:val="18"/>
              </w:rPr>
              <w:t>FFDM after FFDM=3.6%</w:t>
            </w:r>
          </w:p>
          <w:p w14:paraId="5392973B" w14:textId="77777777" w:rsidR="00091BF0" w:rsidRPr="00091BF0" w:rsidRDefault="00091BF0" w:rsidP="00091BF0">
            <w:pPr>
              <w:pStyle w:val="BodyText"/>
              <w:spacing w:before="0" w:after="0" w:line="240" w:lineRule="auto"/>
              <w:jc w:val="left"/>
              <w:rPr>
                <w:rFonts w:asciiTheme="majorHAnsi" w:hAnsiTheme="majorHAnsi" w:cstheme="majorHAnsi"/>
                <w:bCs/>
                <w:sz w:val="14"/>
                <w:szCs w:val="14"/>
              </w:rPr>
            </w:pPr>
            <w:r w:rsidRPr="00091BF0">
              <w:rPr>
                <w:rFonts w:asciiTheme="majorHAnsi" w:hAnsiTheme="majorHAnsi" w:cstheme="majorHAnsi"/>
                <w:bCs/>
                <w:sz w:val="18"/>
                <w:szCs w:val="18"/>
              </w:rPr>
              <w:t>FFDM after DBT= 2.2%</w:t>
            </w:r>
          </w:p>
          <w:p w14:paraId="39C09411"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p>
          <w:p w14:paraId="4B84D6AB"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p>
        </w:tc>
        <w:tc>
          <w:tcPr>
            <w:tcW w:w="857" w:type="pct"/>
            <w:shd w:val="clear" w:color="auto" w:fill="auto"/>
          </w:tcPr>
          <w:p w14:paraId="2BFD1DA7"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r w:rsidRPr="00091BF0">
              <w:rPr>
                <w:rFonts w:asciiTheme="majorHAnsi" w:hAnsiTheme="majorHAnsi" w:cstheme="majorHAnsi"/>
                <w:bCs/>
                <w:sz w:val="18"/>
                <w:szCs w:val="18"/>
              </w:rPr>
              <w:t>FFDM after FFDM=3.6%</w:t>
            </w:r>
          </w:p>
          <w:p w14:paraId="28676277" w14:textId="77777777" w:rsidR="00091BF0" w:rsidRPr="00091BF0" w:rsidRDefault="00091BF0" w:rsidP="00091BF0">
            <w:pPr>
              <w:pStyle w:val="BodyText"/>
              <w:spacing w:before="0" w:after="0" w:line="240" w:lineRule="auto"/>
              <w:jc w:val="left"/>
              <w:rPr>
                <w:rFonts w:asciiTheme="majorHAnsi" w:hAnsiTheme="majorHAnsi" w:cstheme="majorHAnsi"/>
                <w:bCs/>
                <w:sz w:val="14"/>
                <w:szCs w:val="14"/>
              </w:rPr>
            </w:pPr>
            <w:r w:rsidRPr="00091BF0">
              <w:rPr>
                <w:rFonts w:asciiTheme="majorHAnsi" w:hAnsiTheme="majorHAnsi" w:cstheme="majorHAnsi"/>
                <w:bCs/>
                <w:sz w:val="18"/>
                <w:szCs w:val="18"/>
              </w:rPr>
              <w:t>FFDM after DBT= 2.2%</w:t>
            </w:r>
          </w:p>
          <w:p w14:paraId="21393E0F" w14:textId="77777777" w:rsidR="00091BF0" w:rsidRPr="00091BF0" w:rsidRDefault="00091BF0" w:rsidP="00091BF0">
            <w:pPr>
              <w:pStyle w:val="BodyText"/>
              <w:spacing w:before="0" w:after="0" w:line="240" w:lineRule="auto"/>
              <w:jc w:val="left"/>
              <w:rPr>
                <w:rFonts w:asciiTheme="majorHAnsi" w:hAnsiTheme="majorHAnsi" w:cstheme="majorHAnsi"/>
                <w:bCs/>
                <w:sz w:val="18"/>
                <w:szCs w:val="18"/>
              </w:rPr>
            </w:pPr>
          </w:p>
          <w:p w14:paraId="422C4021"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p>
        </w:tc>
      </w:tr>
    </w:tbl>
    <w:p w14:paraId="2F15B024" w14:textId="77777777" w:rsidR="002F3343" w:rsidRPr="000F446C" w:rsidRDefault="002F3343" w:rsidP="002F3343">
      <w:pPr>
        <w:pStyle w:val="Caption"/>
      </w:pPr>
      <w:r w:rsidRPr="00BE1A3E">
        <w:lastRenderedPageBreak/>
        <w:t xml:space="preserve">Table </w:t>
      </w:r>
      <w:r w:rsidR="00BE1A3E">
        <w:t>15b:</w:t>
      </w:r>
      <w:r w:rsidRPr="00BE1A3E">
        <w:t xml:space="preserve"> </w:t>
      </w:r>
      <w:r w:rsidR="00176980" w:rsidRPr="00BE1A3E">
        <w:t>FFDM+DBT</w:t>
      </w:r>
      <w:r w:rsidRPr="00BE1A3E">
        <w:t xml:space="preserve"> compared to FFDM alone: studies reporting on overall recall rate</w:t>
      </w:r>
    </w:p>
    <w:tbl>
      <w:tblPr>
        <w:tblpPr w:leftFromText="180" w:rightFromText="180" w:vertAnchor="text" w:horzAnchor="margin" w:tblpY="16"/>
        <w:tblW w:w="14029"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Layout w:type="fixed"/>
        <w:tblCellMar>
          <w:top w:w="57" w:type="dxa"/>
          <w:bottom w:w="57" w:type="dxa"/>
        </w:tblCellMar>
        <w:tblLook w:val="04A0" w:firstRow="1" w:lastRow="0" w:firstColumn="1" w:lastColumn="0" w:noHBand="0" w:noVBand="1"/>
        <w:tblDescription w:val="Table 15b shows FFDM+DBT compared to FFDM alone: studies reporting on overall recall rate&#10;For Randomized controlled trials a study by Pattacini et al. (2018) Reggio Emilia included a sample of women aged 45-74 years attending for incident screening (women aged 45 to 49 years screened annually; women aged &gt;50 screened biennially). Women with family history were excluded.&#10;FFDM had 9,783 women with a mean age of 56.3 years.&#10;FFDM+DBT had 9,777 women with a mean age of 56.2 years.&#10;The study type was baseline data from a prospective single site RCT using a test and treat methodology using GE Senographe Essential systems. Double reading with arbitration or consensus. &#10;FFDM+DBT Overall recall rate (95%CI; p-value) was 3.9%.&#10;FFDM alone Overall recall rate (95%CI; p-value) was 3.7%.&#10;Difference between Overall recall rate detection (95%CI) was NA.&#10;&#10;The prospective studies embedded in population-based screening programs included the following studies:&#10;A study by Skaane et al. (2019) OTS included a sample of 24,301 women (59.1 years ± 5.7) &#10;Arm A = FFDM&#10;Arm B = FFDM+CAD&#10;Arm C = FFDM+DBT&#10;Arm D = s2DM+DBT.&#10;The study type was prospective, single site, double-reading trial using Hologic Dimensions system, single compression per view. CAD system ImageChecker 9.3 (Hologic).&#10;FFDM+DBT Overall recall rate (95%CI; p-value) was DM + DBT (arms C + D). 3.4% (820/24 301).&#10;FFDM alone Overall recall rate (95%CI; p-value) was FFDM (arms A + B)&#10;2.6% (623/24 301).&#10;Difference between Overall recall rate detection (95%CI) was NA.&#10;&#10;A study by Skanne et al. (2019) OTS included a sample of 24,301 women aged presenting for screening in Oslo, Norway. Women aged 40 to 54 years were screened every 18 months and women aged 55 to 74 years biennially. &#10;The study type was prospective, single site fully paired, double-reading trial using Hologic Dimensions system (FFDM, DBT and s2DM images) and GE Senographe. Double reading strategy.&#10;FFDM+DBT Overall recall rate (95%CI; p-value) was 3.7% (820/24,301).&#10;FFDM alone Overall recall rate (95%CI; p-value) was 4.23% (2530/59,877).&#10;Difference between Overall recall rate detection (95%CI) was − 8.5 (− 11.3, − 5.7; p&lt;.001).&#10;&#10;Retrospective analysis included the following studies:&#10;A study by Bahl et al. (2019) included a sample of 35,665 women aged 65+ years and older. FFDM: 15,019 women with a mean of 72.7 years.&#10;DBT: 20,646 women with a mean of 72.1 years.&#10;The study type was retrospective analysis, single academic medical centre using Selenia Dimensions; Hologic.  Single reader protocol.&#10;FFDM+DBT Overall recall rate (95%CI; p-value) was AIR: 5.7% (5.4, 5.9).&#10;FFDM alone Overall recall rate (95%CI; p-value) was AIR: 5.8% (5.6, 6.1).&#10;Difference between Overall recall rate detection (95%CI) was p&lt;.001.&#10;"/>
      </w:tblPr>
      <w:tblGrid>
        <w:gridCol w:w="1404"/>
        <w:gridCol w:w="3218"/>
        <w:gridCol w:w="2963"/>
        <w:gridCol w:w="2191"/>
        <w:gridCol w:w="2268"/>
        <w:gridCol w:w="1985"/>
      </w:tblGrid>
      <w:tr w:rsidR="00BE1A3E" w:rsidRPr="00E44152" w14:paraId="1833FCAA" w14:textId="77777777" w:rsidTr="00BE1A3E">
        <w:trPr>
          <w:trHeight w:val="429"/>
          <w:tblHeader/>
        </w:trPr>
        <w:tc>
          <w:tcPr>
            <w:tcW w:w="1404" w:type="dxa"/>
            <w:shd w:val="clear" w:color="auto" w:fill="77B800" w:themeFill="background2"/>
          </w:tcPr>
          <w:p w14:paraId="43508A9A" w14:textId="77777777" w:rsidR="00BE1A3E" w:rsidRDefault="00BE1A3E" w:rsidP="00BE1A3E">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b/>
                <w:color w:val="FFFFFF" w:themeColor="background1"/>
                <w:sz w:val="18"/>
                <w:szCs w:val="18"/>
              </w:rPr>
              <w:t>Study</w:t>
            </w:r>
          </w:p>
          <w:p w14:paraId="03E210EA" w14:textId="77777777" w:rsidR="00BE1A3E" w:rsidRPr="00C22ADE" w:rsidRDefault="00BE1A3E" w:rsidP="00BE1A3E">
            <w:pPr>
              <w:jc w:val="center"/>
            </w:pPr>
          </w:p>
        </w:tc>
        <w:tc>
          <w:tcPr>
            <w:tcW w:w="3218" w:type="dxa"/>
            <w:shd w:val="clear" w:color="auto" w:fill="77B800" w:themeFill="background2"/>
          </w:tcPr>
          <w:p w14:paraId="12AF81C1" w14:textId="77777777" w:rsidR="00BE1A3E" w:rsidRPr="00C75EDC" w:rsidRDefault="00BE1A3E" w:rsidP="00BE1A3E">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Sample</w:t>
            </w:r>
          </w:p>
        </w:tc>
        <w:tc>
          <w:tcPr>
            <w:tcW w:w="2963" w:type="dxa"/>
            <w:shd w:val="clear" w:color="auto" w:fill="77B800" w:themeFill="background2"/>
          </w:tcPr>
          <w:p w14:paraId="72118B0C" w14:textId="77777777" w:rsidR="00BE1A3E" w:rsidRPr="00C75EDC" w:rsidRDefault="00BE1A3E" w:rsidP="00BE1A3E">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Study type</w:t>
            </w:r>
          </w:p>
        </w:tc>
        <w:tc>
          <w:tcPr>
            <w:tcW w:w="2191" w:type="dxa"/>
            <w:shd w:val="clear" w:color="auto" w:fill="77B800" w:themeFill="background2"/>
          </w:tcPr>
          <w:p w14:paraId="26104592" w14:textId="77777777" w:rsidR="00BE1A3E" w:rsidRPr="00E44152" w:rsidRDefault="00BE1A3E" w:rsidP="00BE1A3E">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FFDM+DBT</w:t>
            </w:r>
          </w:p>
          <w:p w14:paraId="5949AF67" w14:textId="77777777" w:rsidR="00BE1A3E" w:rsidRDefault="00BE1A3E" w:rsidP="00BE1A3E">
            <w:pPr>
              <w:pStyle w:val="BodyText"/>
              <w:spacing w:before="0" w:after="0" w:line="240" w:lineRule="auto"/>
              <w:jc w:val="center"/>
              <w:rPr>
                <w:rFonts w:asciiTheme="majorHAnsi" w:hAnsiTheme="majorHAnsi" w:cstheme="majorHAnsi"/>
                <w:color w:val="FFFFFF" w:themeColor="background1"/>
                <w:sz w:val="16"/>
                <w:szCs w:val="16"/>
              </w:rPr>
            </w:pPr>
            <w:r>
              <w:rPr>
                <w:rFonts w:asciiTheme="majorHAnsi" w:hAnsiTheme="majorHAnsi" w:cstheme="majorHAnsi"/>
                <w:color w:val="FFFFFF" w:themeColor="background1"/>
                <w:sz w:val="16"/>
                <w:szCs w:val="16"/>
              </w:rPr>
              <w:t>Overall recall rate</w:t>
            </w:r>
          </w:p>
          <w:p w14:paraId="7ADAF98D" w14:textId="77777777" w:rsidR="00BE1A3E" w:rsidRPr="00E44152" w:rsidRDefault="00BE1A3E" w:rsidP="00BE1A3E">
            <w:pPr>
              <w:pStyle w:val="BodyText"/>
              <w:spacing w:before="0" w:after="0" w:line="240" w:lineRule="auto"/>
              <w:jc w:val="center"/>
              <w:rPr>
                <w:rFonts w:asciiTheme="majorHAnsi" w:hAnsiTheme="majorHAnsi" w:cstheme="majorHAnsi"/>
                <w:color w:val="FFFFFF" w:themeColor="background1"/>
                <w:sz w:val="18"/>
                <w:szCs w:val="18"/>
              </w:rPr>
            </w:pPr>
            <w:r w:rsidRPr="00E44152">
              <w:rPr>
                <w:rFonts w:asciiTheme="majorHAnsi" w:hAnsiTheme="majorHAnsi" w:cstheme="majorHAnsi"/>
                <w:color w:val="FFFFFF" w:themeColor="background1"/>
                <w:sz w:val="16"/>
                <w:szCs w:val="16"/>
              </w:rPr>
              <w:t xml:space="preserve"> (95%CI; p-value)</w:t>
            </w:r>
          </w:p>
        </w:tc>
        <w:tc>
          <w:tcPr>
            <w:tcW w:w="2268" w:type="dxa"/>
            <w:shd w:val="clear" w:color="auto" w:fill="77B800" w:themeFill="background2"/>
          </w:tcPr>
          <w:p w14:paraId="3DA48F15" w14:textId="77777777" w:rsidR="00BE1A3E" w:rsidRPr="00E44152" w:rsidRDefault="00BE1A3E" w:rsidP="00BE1A3E">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6D11F204" w14:textId="77777777" w:rsidR="00BE1A3E" w:rsidRDefault="00BE1A3E" w:rsidP="00BE1A3E">
            <w:pPr>
              <w:pStyle w:val="BodyText"/>
              <w:spacing w:before="0" w:after="0" w:line="240" w:lineRule="auto"/>
              <w:jc w:val="center"/>
              <w:rPr>
                <w:rFonts w:asciiTheme="majorHAnsi" w:hAnsiTheme="majorHAnsi" w:cstheme="majorHAnsi"/>
                <w:color w:val="FFFFFF" w:themeColor="background1"/>
                <w:sz w:val="16"/>
                <w:szCs w:val="16"/>
              </w:rPr>
            </w:pPr>
            <w:r>
              <w:rPr>
                <w:rFonts w:asciiTheme="majorHAnsi" w:hAnsiTheme="majorHAnsi" w:cstheme="majorHAnsi"/>
                <w:color w:val="FFFFFF" w:themeColor="background1"/>
                <w:sz w:val="16"/>
                <w:szCs w:val="16"/>
              </w:rPr>
              <w:t xml:space="preserve">Overall recall rate </w:t>
            </w:r>
          </w:p>
          <w:p w14:paraId="647E780A" w14:textId="77777777" w:rsidR="00BE1A3E" w:rsidRPr="00E44152" w:rsidRDefault="00BE1A3E" w:rsidP="00BE1A3E">
            <w:pPr>
              <w:pStyle w:val="BodyText"/>
              <w:spacing w:before="0" w:after="0" w:line="240" w:lineRule="auto"/>
              <w:jc w:val="center"/>
              <w:rPr>
                <w:rFonts w:asciiTheme="majorHAnsi" w:hAnsiTheme="majorHAnsi" w:cstheme="majorHAnsi"/>
                <w:color w:val="FFFFFF" w:themeColor="background1"/>
                <w:sz w:val="18"/>
                <w:szCs w:val="18"/>
              </w:rPr>
            </w:pPr>
            <w:r w:rsidRPr="00E44152">
              <w:rPr>
                <w:rFonts w:asciiTheme="majorHAnsi" w:hAnsiTheme="majorHAnsi" w:cstheme="majorHAnsi"/>
                <w:color w:val="FFFFFF" w:themeColor="background1"/>
                <w:sz w:val="16"/>
                <w:szCs w:val="16"/>
              </w:rPr>
              <w:t xml:space="preserve"> (95%CI; p-value)</w:t>
            </w:r>
          </w:p>
        </w:tc>
        <w:tc>
          <w:tcPr>
            <w:tcW w:w="1985" w:type="dxa"/>
            <w:shd w:val="clear" w:color="auto" w:fill="77B800" w:themeFill="background2"/>
          </w:tcPr>
          <w:p w14:paraId="62D009BF" w14:textId="77777777" w:rsidR="00BE1A3E" w:rsidRDefault="00BE1A3E" w:rsidP="00BE1A3E">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 xml:space="preserve">Difference between </w:t>
            </w:r>
          </w:p>
          <w:p w14:paraId="6212D6BA" w14:textId="77777777" w:rsidR="00BE1A3E" w:rsidRDefault="00BE1A3E" w:rsidP="00BE1A3E">
            <w:pPr>
              <w:pStyle w:val="BodyText"/>
              <w:spacing w:before="0" w:after="0" w:line="240" w:lineRule="auto"/>
              <w:jc w:val="center"/>
              <w:rPr>
                <w:rFonts w:asciiTheme="majorHAnsi" w:hAnsiTheme="majorHAnsi" w:cstheme="majorHAnsi"/>
                <w:color w:val="FFFFFF" w:themeColor="background1"/>
                <w:sz w:val="16"/>
                <w:szCs w:val="16"/>
              </w:rPr>
            </w:pPr>
            <w:r>
              <w:rPr>
                <w:rFonts w:asciiTheme="majorHAnsi" w:hAnsiTheme="majorHAnsi" w:cstheme="majorHAnsi"/>
                <w:color w:val="FFFFFF" w:themeColor="background1"/>
                <w:sz w:val="16"/>
                <w:szCs w:val="16"/>
              </w:rPr>
              <w:t xml:space="preserve"> Overall recall rate </w:t>
            </w:r>
          </w:p>
          <w:p w14:paraId="07C47E75" w14:textId="77777777" w:rsidR="00BE1A3E" w:rsidRPr="00E44152" w:rsidRDefault="00BE1A3E" w:rsidP="00BE1A3E">
            <w:pPr>
              <w:pStyle w:val="BodyText"/>
              <w:spacing w:before="0" w:after="0" w:line="240" w:lineRule="auto"/>
              <w:jc w:val="center"/>
              <w:rPr>
                <w:rFonts w:asciiTheme="majorHAnsi" w:hAnsiTheme="majorHAnsi" w:cstheme="majorHAnsi"/>
                <w:color w:val="FFFFFF" w:themeColor="background1"/>
                <w:sz w:val="18"/>
                <w:szCs w:val="18"/>
              </w:rPr>
            </w:pPr>
            <w:r w:rsidRPr="00C00388">
              <w:rPr>
                <w:rFonts w:asciiTheme="majorHAnsi" w:hAnsiTheme="majorHAnsi" w:cstheme="majorHAnsi"/>
                <w:b/>
                <w:color w:val="FFFFFF" w:themeColor="background1"/>
                <w:sz w:val="18"/>
                <w:szCs w:val="18"/>
              </w:rPr>
              <w:t>detection</w:t>
            </w:r>
            <w:r w:rsidRPr="00E44152">
              <w:rPr>
                <w:rFonts w:asciiTheme="majorHAnsi" w:hAnsiTheme="majorHAnsi" w:cstheme="majorHAnsi"/>
                <w:color w:val="FFFFFF" w:themeColor="background1"/>
                <w:sz w:val="18"/>
                <w:szCs w:val="18"/>
              </w:rPr>
              <w:t xml:space="preserve"> (95%CI)</w:t>
            </w:r>
          </w:p>
        </w:tc>
      </w:tr>
      <w:tr w:rsidR="00BE1A3E" w:rsidRPr="00E44152" w14:paraId="07DE0BB7" w14:textId="77777777" w:rsidTr="00091BF0">
        <w:trPr>
          <w:trHeight w:val="286"/>
          <w:tblHeader/>
        </w:trPr>
        <w:tc>
          <w:tcPr>
            <w:tcW w:w="14029" w:type="dxa"/>
            <w:gridSpan w:val="6"/>
            <w:shd w:val="clear" w:color="auto" w:fill="FFFFFF" w:themeFill="background1"/>
          </w:tcPr>
          <w:p w14:paraId="1D70B50A" w14:textId="77777777" w:rsidR="00BE1A3E" w:rsidRPr="003B5684" w:rsidRDefault="00BE1A3E" w:rsidP="00BE1A3E">
            <w:pPr>
              <w:pStyle w:val="BodyText"/>
              <w:spacing w:before="0" w:after="0" w:line="240" w:lineRule="auto"/>
              <w:jc w:val="left"/>
              <w:rPr>
                <w:rFonts w:asciiTheme="majorHAnsi" w:hAnsiTheme="majorHAnsi" w:cstheme="majorHAnsi"/>
                <w:b/>
                <w:color w:val="FFFFFF" w:themeColor="background1"/>
                <w:sz w:val="18"/>
                <w:szCs w:val="18"/>
              </w:rPr>
            </w:pPr>
            <w:r w:rsidRPr="00091BF0">
              <w:rPr>
                <w:rFonts w:asciiTheme="majorHAnsi" w:hAnsiTheme="majorHAnsi" w:cstheme="majorHAnsi"/>
                <w:b/>
                <w:sz w:val="18"/>
                <w:szCs w:val="18"/>
              </w:rPr>
              <w:t>Randomized controlled trials</w:t>
            </w:r>
          </w:p>
        </w:tc>
      </w:tr>
      <w:tr w:rsidR="00BE1A3E" w:rsidRPr="00662649" w14:paraId="5AAEBEA5" w14:textId="77777777" w:rsidTr="00BE1A3E">
        <w:trPr>
          <w:trHeight w:val="429"/>
          <w:tblHeader/>
        </w:trPr>
        <w:tc>
          <w:tcPr>
            <w:tcW w:w="1404" w:type="dxa"/>
            <w:shd w:val="clear" w:color="auto" w:fill="auto"/>
          </w:tcPr>
          <w:p w14:paraId="6C741F1B"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Pattacini et al. (2018)</w:t>
            </w:r>
          </w:p>
          <w:p w14:paraId="3DDA2E6B"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Reggio Emilia </w:t>
            </w:r>
          </w:p>
        </w:tc>
        <w:tc>
          <w:tcPr>
            <w:tcW w:w="3218" w:type="dxa"/>
            <w:shd w:val="clear" w:color="auto" w:fill="auto"/>
          </w:tcPr>
          <w:p w14:paraId="76339004"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Women aged 45-74y years attending for incident screening (women aged 45-49y screened annually; women aged </w:t>
            </w:r>
            <w:r w:rsidRPr="00BE1A3E">
              <w:rPr>
                <w:rFonts w:asciiTheme="majorHAnsi" w:hAnsiTheme="majorHAnsi" w:cstheme="majorHAnsi"/>
                <w:bCs/>
                <w:sz w:val="18"/>
                <w:szCs w:val="18"/>
                <w:u w:val="single"/>
              </w:rPr>
              <w:t>&gt;</w:t>
            </w:r>
            <w:r w:rsidRPr="00BE1A3E">
              <w:rPr>
                <w:rFonts w:asciiTheme="majorHAnsi" w:hAnsiTheme="majorHAnsi" w:cstheme="majorHAnsi"/>
                <w:bCs/>
                <w:sz w:val="18"/>
                <w:szCs w:val="18"/>
              </w:rPr>
              <w:t>50 screened biennially). Women with family history were excluded.</w:t>
            </w:r>
          </w:p>
          <w:p w14:paraId="3328DECB"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 9783 women (mean age=56.3y)</w:t>
            </w:r>
          </w:p>
          <w:p w14:paraId="41F7D69B"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FFDM+DBT: 9777 women (mean age=56.2y)</w:t>
            </w:r>
          </w:p>
        </w:tc>
        <w:tc>
          <w:tcPr>
            <w:tcW w:w="2963" w:type="dxa"/>
            <w:shd w:val="clear" w:color="auto" w:fill="auto"/>
          </w:tcPr>
          <w:p w14:paraId="5BF0CF60" w14:textId="77777777" w:rsidR="00BE1A3E" w:rsidRPr="00BE1A3E" w:rsidRDefault="00BE1A3E" w:rsidP="00BE1A3E">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sz w:val="18"/>
                <w:szCs w:val="18"/>
              </w:rPr>
              <w:t xml:space="preserve">Baseline data from a prospective single site RCT using a test and treat methodology using GE Senographe Essential systems. Double reading with arbitration or consensus. </w:t>
            </w:r>
          </w:p>
          <w:p w14:paraId="40507243" w14:textId="77777777" w:rsidR="00BE1A3E" w:rsidRPr="00BE1A3E" w:rsidRDefault="00BE1A3E" w:rsidP="00BE1A3E">
            <w:pPr>
              <w:pStyle w:val="BodyText"/>
              <w:spacing w:before="0" w:after="0" w:line="240" w:lineRule="auto"/>
              <w:jc w:val="left"/>
              <w:rPr>
                <w:rFonts w:asciiTheme="majorHAnsi" w:hAnsiTheme="majorHAnsi" w:cstheme="majorHAnsi"/>
                <w:sz w:val="18"/>
                <w:szCs w:val="18"/>
              </w:rPr>
            </w:pPr>
          </w:p>
        </w:tc>
        <w:tc>
          <w:tcPr>
            <w:tcW w:w="2191" w:type="dxa"/>
            <w:shd w:val="clear" w:color="auto" w:fill="auto"/>
          </w:tcPr>
          <w:p w14:paraId="693C4CC1" w14:textId="77777777" w:rsidR="00BE1A3E" w:rsidRPr="00BE1A3E" w:rsidRDefault="00BE1A3E" w:rsidP="00BE1A3E">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sz w:val="18"/>
                <w:szCs w:val="18"/>
              </w:rPr>
              <w:t>3.9%</w:t>
            </w:r>
          </w:p>
        </w:tc>
        <w:tc>
          <w:tcPr>
            <w:tcW w:w="2268" w:type="dxa"/>
            <w:shd w:val="clear" w:color="auto" w:fill="auto"/>
          </w:tcPr>
          <w:p w14:paraId="49596ED7"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3.7%</w:t>
            </w:r>
          </w:p>
        </w:tc>
        <w:tc>
          <w:tcPr>
            <w:tcW w:w="1985" w:type="dxa"/>
            <w:shd w:val="clear" w:color="auto" w:fill="auto"/>
          </w:tcPr>
          <w:p w14:paraId="06FE0912" w14:textId="65B952E3" w:rsidR="00BE1A3E" w:rsidRPr="00BE1A3E" w:rsidRDefault="00091BF0" w:rsidP="00091BF0">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NA</w:t>
            </w:r>
          </w:p>
        </w:tc>
      </w:tr>
      <w:tr w:rsidR="00BE1A3E" w:rsidRPr="00662649" w14:paraId="0547265F" w14:textId="77777777" w:rsidTr="00091BF0">
        <w:trPr>
          <w:trHeight w:val="263"/>
          <w:tblHeader/>
        </w:trPr>
        <w:tc>
          <w:tcPr>
            <w:tcW w:w="14029" w:type="dxa"/>
            <w:gridSpan w:val="6"/>
            <w:shd w:val="clear" w:color="auto" w:fill="FFFFFF" w:themeFill="background1"/>
          </w:tcPr>
          <w:p w14:paraId="7CD4A83D" w14:textId="77777777" w:rsidR="00BE1A3E" w:rsidRPr="00BE1A3E" w:rsidRDefault="00BE1A3E" w:rsidP="00BE1A3E">
            <w:pPr>
              <w:pStyle w:val="BodyText"/>
              <w:spacing w:before="0" w:after="0" w:line="240" w:lineRule="auto"/>
              <w:jc w:val="left"/>
              <w:rPr>
                <w:rFonts w:asciiTheme="majorHAnsi" w:hAnsiTheme="majorHAnsi" w:cstheme="majorHAnsi"/>
                <w:b/>
                <w:sz w:val="18"/>
                <w:szCs w:val="18"/>
              </w:rPr>
            </w:pPr>
            <w:r w:rsidRPr="00BE1A3E">
              <w:rPr>
                <w:rFonts w:asciiTheme="majorHAnsi" w:hAnsiTheme="majorHAnsi" w:cstheme="majorHAnsi"/>
                <w:b/>
                <w:sz w:val="18"/>
                <w:szCs w:val="18"/>
              </w:rPr>
              <w:t>Prospective studies embedded in population-based screening programs</w:t>
            </w:r>
          </w:p>
        </w:tc>
      </w:tr>
      <w:tr w:rsidR="0076796D" w:rsidRPr="00662649" w14:paraId="65D5392C" w14:textId="77777777" w:rsidTr="00833B78">
        <w:trPr>
          <w:trHeight w:val="429"/>
          <w:tblHeader/>
        </w:trPr>
        <w:tc>
          <w:tcPr>
            <w:tcW w:w="1404" w:type="dxa"/>
            <w:shd w:val="clear" w:color="auto" w:fill="auto"/>
          </w:tcPr>
          <w:p w14:paraId="68C32D20" w14:textId="77777777" w:rsidR="0076796D" w:rsidRPr="00BE1A3E" w:rsidRDefault="0076796D" w:rsidP="0076796D">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sz w:val="18"/>
                <w:szCs w:val="18"/>
              </w:rPr>
              <w:t>Skaane et al. (2019)</w:t>
            </w:r>
          </w:p>
          <w:p w14:paraId="22A71A6A" w14:textId="77777777" w:rsidR="0076796D" w:rsidRPr="00BE1A3E" w:rsidRDefault="0076796D" w:rsidP="0076796D">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OTS</w:t>
            </w:r>
          </w:p>
        </w:tc>
        <w:tc>
          <w:tcPr>
            <w:tcW w:w="3218" w:type="dxa"/>
            <w:shd w:val="clear" w:color="auto" w:fill="auto"/>
          </w:tcPr>
          <w:p w14:paraId="7FAD1CA9" w14:textId="77777777" w:rsidR="0076796D" w:rsidRPr="00BE1A3E" w:rsidRDefault="0076796D" w:rsidP="0076796D">
            <w:pPr>
              <w:spacing w:after="0"/>
              <w:rPr>
                <w:rFonts w:asciiTheme="majorHAnsi" w:hAnsiTheme="majorHAnsi" w:cstheme="majorHAnsi"/>
                <w:bCs/>
                <w:sz w:val="18"/>
                <w:szCs w:val="18"/>
              </w:rPr>
            </w:pPr>
            <w:r w:rsidRPr="00BE1A3E">
              <w:rPr>
                <w:rFonts w:asciiTheme="majorHAnsi" w:hAnsiTheme="majorHAnsi" w:cstheme="majorHAnsi"/>
                <w:bCs/>
                <w:sz w:val="18"/>
                <w:szCs w:val="18"/>
              </w:rPr>
              <w:t>24</w:t>
            </w:r>
            <w:r>
              <w:rPr>
                <w:rFonts w:asciiTheme="majorHAnsi" w:hAnsiTheme="majorHAnsi" w:cstheme="majorHAnsi"/>
                <w:bCs/>
                <w:sz w:val="18"/>
                <w:szCs w:val="18"/>
              </w:rPr>
              <w:t>,</w:t>
            </w:r>
            <w:r w:rsidRPr="00BE1A3E">
              <w:rPr>
                <w:rFonts w:asciiTheme="majorHAnsi" w:hAnsiTheme="majorHAnsi" w:cstheme="majorHAnsi"/>
                <w:bCs/>
                <w:sz w:val="18"/>
                <w:szCs w:val="18"/>
              </w:rPr>
              <w:t xml:space="preserve">301 women (59.1 years ± 5.7) </w:t>
            </w:r>
          </w:p>
          <w:p w14:paraId="2F317C87" w14:textId="7FF1ADD0" w:rsidR="0076796D" w:rsidRPr="00BE1A3E" w:rsidRDefault="0096179A" w:rsidP="0076796D">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 xml:space="preserve">Arm </w:t>
            </w:r>
            <w:r w:rsidR="0076796D" w:rsidRPr="00BE1A3E">
              <w:rPr>
                <w:rFonts w:asciiTheme="majorHAnsi" w:hAnsiTheme="majorHAnsi" w:cstheme="majorHAnsi"/>
                <w:sz w:val="18"/>
                <w:szCs w:val="18"/>
              </w:rPr>
              <w:t>A</w:t>
            </w:r>
            <w:r>
              <w:rPr>
                <w:rFonts w:asciiTheme="majorHAnsi" w:hAnsiTheme="majorHAnsi" w:cstheme="majorHAnsi"/>
                <w:sz w:val="18"/>
                <w:szCs w:val="18"/>
              </w:rPr>
              <w:t xml:space="preserve"> </w:t>
            </w:r>
            <w:r w:rsidR="0076796D" w:rsidRPr="00BE1A3E">
              <w:rPr>
                <w:rFonts w:asciiTheme="majorHAnsi" w:hAnsiTheme="majorHAnsi" w:cstheme="majorHAnsi"/>
                <w:sz w:val="18"/>
                <w:szCs w:val="18"/>
              </w:rPr>
              <w:t>= FFDM</w:t>
            </w:r>
          </w:p>
          <w:p w14:paraId="188307B5" w14:textId="5091AEF4" w:rsidR="0076796D" w:rsidRPr="00BE1A3E" w:rsidRDefault="0096179A" w:rsidP="0076796D">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 xml:space="preserve">Arm </w:t>
            </w:r>
            <w:r w:rsidR="0076796D" w:rsidRPr="00BE1A3E">
              <w:rPr>
                <w:rFonts w:asciiTheme="majorHAnsi" w:hAnsiTheme="majorHAnsi" w:cstheme="majorHAnsi"/>
                <w:sz w:val="18"/>
                <w:szCs w:val="18"/>
              </w:rPr>
              <w:t>B</w:t>
            </w:r>
            <w:r>
              <w:rPr>
                <w:rFonts w:asciiTheme="majorHAnsi" w:hAnsiTheme="majorHAnsi" w:cstheme="majorHAnsi"/>
                <w:sz w:val="18"/>
                <w:szCs w:val="18"/>
              </w:rPr>
              <w:t xml:space="preserve"> </w:t>
            </w:r>
            <w:r w:rsidR="0076796D" w:rsidRPr="00BE1A3E">
              <w:rPr>
                <w:rFonts w:asciiTheme="majorHAnsi" w:hAnsiTheme="majorHAnsi" w:cstheme="majorHAnsi"/>
                <w:sz w:val="18"/>
                <w:szCs w:val="18"/>
              </w:rPr>
              <w:t>= FFDM+CAD</w:t>
            </w:r>
          </w:p>
          <w:p w14:paraId="75CB7B39" w14:textId="059C19AD" w:rsidR="0076796D" w:rsidRPr="00BE1A3E" w:rsidRDefault="0096179A" w:rsidP="0076796D">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 xml:space="preserve">Arm </w:t>
            </w:r>
            <w:r w:rsidR="0076796D" w:rsidRPr="00BE1A3E">
              <w:rPr>
                <w:rFonts w:asciiTheme="majorHAnsi" w:hAnsiTheme="majorHAnsi" w:cstheme="majorHAnsi"/>
                <w:sz w:val="18"/>
                <w:szCs w:val="18"/>
              </w:rPr>
              <w:t>C</w:t>
            </w:r>
            <w:r>
              <w:rPr>
                <w:rFonts w:asciiTheme="majorHAnsi" w:hAnsiTheme="majorHAnsi" w:cstheme="majorHAnsi"/>
                <w:sz w:val="18"/>
                <w:szCs w:val="18"/>
              </w:rPr>
              <w:t xml:space="preserve"> </w:t>
            </w:r>
            <w:r w:rsidR="0076796D" w:rsidRPr="00BE1A3E">
              <w:rPr>
                <w:rFonts w:asciiTheme="majorHAnsi" w:hAnsiTheme="majorHAnsi" w:cstheme="majorHAnsi"/>
                <w:sz w:val="18"/>
                <w:szCs w:val="18"/>
              </w:rPr>
              <w:t>= FFDM+DBT</w:t>
            </w:r>
          </w:p>
          <w:p w14:paraId="208A2BF6" w14:textId="1A568E41" w:rsidR="0076796D" w:rsidRPr="00BE1A3E" w:rsidRDefault="0096179A" w:rsidP="0096179A">
            <w:pPr>
              <w:spacing w:after="0"/>
              <w:rPr>
                <w:rFonts w:asciiTheme="majorHAnsi" w:hAnsiTheme="majorHAnsi" w:cstheme="majorHAnsi"/>
                <w:bCs/>
                <w:sz w:val="18"/>
                <w:szCs w:val="18"/>
              </w:rPr>
            </w:pPr>
            <w:r>
              <w:rPr>
                <w:rFonts w:asciiTheme="majorHAnsi" w:hAnsiTheme="majorHAnsi" w:cstheme="majorHAnsi"/>
                <w:sz w:val="18"/>
                <w:szCs w:val="18"/>
              </w:rPr>
              <w:t xml:space="preserve">Arm </w:t>
            </w:r>
            <w:r w:rsidR="0076796D" w:rsidRPr="00BE1A3E">
              <w:rPr>
                <w:rFonts w:asciiTheme="majorHAnsi" w:hAnsiTheme="majorHAnsi" w:cstheme="majorHAnsi"/>
                <w:sz w:val="18"/>
                <w:szCs w:val="18"/>
              </w:rPr>
              <w:t>D</w:t>
            </w:r>
            <w:r>
              <w:rPr>
                <w:rFonts w:asciiTheme="majorHAnsi" w:hAnsiTheme="majorHAnsi" w:cstheme="majorHAnsi"/>
                <w:sz w:val="18"/>
                <w:szCs w:val="18"/>
              </w:rPr>
              <w:t xml:space="preserve"> </w:t>
            </w:r>
            <w:r w:rsidR="0076796D" w:rsidRPr="00BE1A3E">
              <w:rPr>
                <w:rFonts w:asciiTheme="majorHAnsi" w:hAnsiTheme="majorHAnsi" w:cstheme="majorHAnsi"/>
                <w:sz w:val="18"/>
                <w:szCs w:val="18"/>
              </w:rPr>
              <w:t>= s2DM+DBT</w:t>
            </w:r>
          </w:p>
        </w:tc>
        <w:tc>
          <w:tcPr>
            <w:tcW w:w="2963" w:type="dxa"/>
            <w:shd w:val="clear" w:color="auto" w:fill="auto"/>
          </w:tcPr>
          <w:p w14:paraId="7E91F78E" w14:textId="534EA33C" w:rsidR="0076796D" w:rsidRPr="00BE1A3E" w:rsidRDefault="0076796D" w:rsidP="0096179A">
            <w:pPr>
              <w:autoSpaceDE w:val="0"/>
              <w:autoSpaceDN w:val="0"/>
              <w:adjustRightInd w:val="0"/>
              <w:spacing w:after="0"/>
              <w:rPr>
                <w:rFonts w:asciiTheme="majorHAnsi" w:hAnsiTheme="majorHAnsi" w:cstheme="majorHAnsi"/>
                <w:sz w:val="18"/>
                <w:szCs w:val="18"/>
              </w:rPr>
            </w:pPr>
            <w:r w:rsidRPr="00BE1A3E">
              <w:rPr>
                <w:rFonts w:asciiTheme="majorHAnsi" w:hAnsiTheme="majorHAnsi" w:cstheme="majorHAnsi"/>
                <w:sz w:val="18"/>
                <w:szCs w:val="18"/>
              </w:rPr>
              <w:t>Prospective, single site, double-reading trial using Hologic Dimensions system, single compression per view. CAD system ImageChecker 9.3 (Hologic)</w:t>
            </w:r>
          </w:p>
        </w:tc>
        <w:tc>
          <w:tcPr>
            <w:tcW w:w="2191" w:type="dxa"/>
            <w:shd w:val="clear" w:color="auto" w:fill="auto"/>
          </w:tcPr>
          <w:p w14:paraId="40D2FAB2" w14:textId="77777777" w:rsidR="0076796D" w:rsidRPr="00BE1A3E" w:rsidRDefault="0076796D" w:rsidP="0076796D">
            <w:pPr>
              <w:autoSpaceDE w:val="0"/>
              <w:autoSpaceDN w:val="0"/>
              <w:adjustRightInd w:val="0"/>
              <w:spacing w:after="0" w:line="240" w:lineRule="auto"/>
              <w:rPr>
                <w:rFonts w:asciiTheme="majorHAnsi" w:hAnsiTheme="majorHAnsi" w:cstheme="majorHAnsi"/>
                <w:sz w:val="18"/>
                <w:szCs w:val="18"/>
              </w:rPr>
            </w:pPr>
            <w:r w:rsidRPr="00BE1A3E">
              <w:rPr>
                <w:rFonts w:asciiTheme="majorHAnsi" w:hAnsiTheme="majorHAnsi" w:cstheme="majorHAnsi"/>
                <w:sz w:val="18"/>
                <w:szCs w:val="18"/>
              </w:rPr>
              <w:t>DM + DBT (arms C + D).</w:t>
            </w:r>
          </w:p>
          <w:p w14:paraId="78E85F18" w14:textId="77777777" w:rsidR="0076796D" w:rsidRPr="00BE1A3E" w:rsidRDefault="0076796D" w:rsidP="0076796D">
            <w:pPr>
              <w:autoSpaceDE w:val="0"/>
              <w:autoSpaceDN w:val="0"/>
              <w:adjustRightInd w:val="0"/>
              <w:spacing w:after="0" w:line="240" w:lineRule="auto"/>
              <w:rPr>
                <w:rFonts w:asciiTheme="majorHAnsi" w:hAnsiTheme="majorHAnsi" w:cstheme="majorHAnsi"/>
                <w:sz w:val="18"/>
                <w:szCs w:val="18"/>
              </w:rPr>
            </w:pPr>
            <w:r w:rsidRPr="00BE1A3E">
              <w:rPr>
                <w:rFonts w:asciiTheme="majorHAnsi" w:hAnsiTheme="majorHAnsi" w:cstheme="majorHAnsi"/>
                <w:sz w:val="18"/>
                <w:szCs w:val="18"/>
              </w:rPr>
              <w:t xml:space="preserve">3.4% (820/24 301) </w:t>
            </w:r>
          </w:p>
          <w:p w14:paraId="05951329" w14:textId="77777777" w:rsidR="0076796D" w:rsidRPr="00BE1A3E" w:rsidRDefault="0076796D" w:rsidP="0076796D">
            <w:pPr>
              <w:autoSpaceDE w:val="0"/>
              <w:autoSpaceDN w:val="0"/>
              <w:adjustRightInd w:val="0"/>
              <w:spacing w:after="0" w:line="240" w:lineRule="auto"/>
              <w:rPr>
                <w:rFonts w:asciiTheme="majorHAnsi" w:hAnsiTheme="majorHAnsi" w:cstheme="majorHAnsi"/>
                <w:sz w:val="18"/>
                <w:szCs w:val="18"/>
              </w:rPr>
            </w:pPr>
          </w:p>
        </w:tc>
        <w:tc>
          <w:tcPr>
            <w:tcW w:w="2268" w:type="dxa"/>
            <w:shd w:val="clear" w:color="auto" w:fill="auto"/>
          </w:tcPr>
          <w:p w14:paraId="430CADB0" w14:textId="77777777" w:rsidR="0076796D" w:rsidRPr="00BE1A3E" w:rsidRDefault="0076796D" w:rsidP="0076796D">
            <w:pPr>
              <w:autoSpaceDE w:val="0"/>
              <w:autoSpaceDN w:val="0"/>
              <w:adjustRightInd w:val="0"/>
              <w:spacing w:after="0" w:line="240" w:lineRule="auto"/>
              <w:rPr>
                <w:rFonts w:asciiTheme="majorHAnsi" w:hAnsiTheme="majorHAnsi" w:cstheme="majorHAnsi"/>
                <w:sz w:val="18"/>
                <w:szCs w:val="18"/>
              </w:rPr>
            </w:pPr>
            <w:r w:rsidRPr="00BE1A3E">
              <w:rPr>
                <w:rFonts w:asciiTheme="majorHAnsi" w:hAnsiTheme="majorHAnsi" w:cstheme="majorHAnsi"/>
                <w:sz w:val="18"/>
                <w:szCs w:val="18"/>
              </w:rPr>
              <w:t>FFDM (arms A + B)</w:t>
            </w:r>
          </w:p>
          <w:p w14:paraId="58700FB4" w14:textId="77777777" w:rsidR="0076796D" w:rsidRPr="00BE1A3E" w:rsidRDefault="0076796D" w:rsidP="0076796D">
            <w:pPr>
              <w:autoSpaceDE w:val="0"/>
              <w:autoSpaceDN w:val="0"/>
              <w:adjustRightInd w:val="0"/>
              <w:spacing w:after="0" w:line="240" w:lineRule="auto"/>
              <w:rPr>
                <w:rFonts w:asciiTheme="majorHAnsi" w:hAnsiTheme="majorHAnsi" w:cstheme="majorHAnsi"/>
                <w:sz w:val="18"/>
                <w:szCs w:val="18"/>
              </w:rPr>
            </w:pPr>
            <w:r w:rsidRPr="00BE1A3E">
              <w:rPr>
                <w:rFonts w:asciiTheme="majorHAnsi" w:hAnsiTheme="majorHAnsi" w:cstheme="majorHAnsi"/>
                <w:sz w:val="18"/>
                <w:szCs w:val="18"/>
              </w:rPr>
              <w:t xml:space="preserve">2.6% (623/24 301) </w:t>
            </w:r>
          </w:p>
          <w:p w14:paraId="5E175344" w14:textId="77777777" w:rsidR="0076796D" w:rsidRPr="00BE1A3E" w:rsidRDefault="0076796D" w:rsidP="0076796D">
            <w:pPr>
              <w:pStyle w:val="BodyText"/>
              <w:spacing w:before="0" w:after="0" w:line="240" w:lineRule="auto"/>
              <w:jc w:val="left"/>
              <w:rPr>
                <w:rFonts w:asciiTheme="majorHAnsi" w:hAnsiTheme="majorHAnsi" w:cstheme="majorHAnsi"/>
                <w:sz w:val="18"/>
                <w:szCs w:val="18"/>
              </w:rPr>
            </w:pPr>
          </w:p>
        </w:tc>
        <w:tc>
          <w:tcPr>
            <w:tcW w:w="1985" w:type="dxa"/>
            <w:shd w:val="clear" w:color="auto" w:fill="auto"/>
          </w:tcPr>
          <w:p w14:paraId="3FE2409A" w14:textId="53A7AA40" w:rsidR="0076796D" w:rsidRPr="00BE1A3E" w:rsidRDefault="00091BF0" w:rsidP="00091BF0">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NA</w:t>
            </w:r>
          </w:p>
        </w:tc>
      </w:tr>
      <w:tr w:rsidR="00BE1A3E" w:rsidRPr="00662649" w14:paraId="130E3880" w14:textId="77777777" w:rsidTr="00BE1A3E">
        <w:trPr>
          <w:trHeight w:val="429"/>
          <w:tblHeader/>
        </w:trPr>
        <w:tc>
          <w:tcPr>
            <w:tcW w:w="1404" w:type="dxa"/>
            <w:shd w:val="clear" w:color="auto" w:fill="auto"/>
          </w:tcPr>
          <w:p w14:paraId="1597C7E2"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Skaane et al. (2018)</w:t>
            </w:r>
          </w:p>
          <w:p w14:paraId="7ADBD382"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OTS</w:t>
            </w:r>
          </w:p>
        </w:tc>
        <w:tc>
          <w:tcPr>
            <w:tcW w:w="3218" w:type="dxa"/>
            <w:shd w:val="clear" w:color="auto" w:fill="auto"/>
          </w:tcPr>
          <w:p w14:paraId="5E4E1B16" w14:textId="77777777" w:rsidR="00BE1A3E" w:rsidRPr="00BE1A3E" w:rsidRDefault="00BE1A3E" w:rsidP="00BE1A3E">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 xml:space="preserve">24,301 women aged presenting for screening in Oslo, Norway. Women aged 40-54y were screened every 18 months and women aged 55-74y biennially. </w:t>
            </w:r>
          </w:p>
        </w:tc>
        <w:tc>
          <w:tcPr>
            <w:tcW w:w="2963" w:type="dxa"/>
            <w:shd w:val="clear" w:color="auto" w:fill="auto"/>
          </w:tcPr>
          <w:p w14:paraId="7571F461" w14:textId="77777777" w:rsidR="00BE1A3E" w:rsidRPr="00BE1A3E" w:rsidRDefault="00BE1A3E" w:rsidP="00BE1A3E">
            <w:pPr>
              <w:pStyle w:val="BodyText"/>
              <w:spacing w:before="0" w:after="0" w:line="240" w:lineRule="auto"/>
              <w:jc w:val="left"/>
              <w:rPr>
                <w:rFonts w:asciiTheme="majorHAnsi" w:hAnsiTheme="majorHAnsi" w:cstheme="majorHAnsi"/>
                <w:sz w:val="20"/>
                <w:szCs w:val="20"/>
              </w:rPr>
            </w:pPr>
            <w:r w:rsidRPr="00BE1A3E">
              <w:rPr>
                <w:rFonts w:asciiTheme="majorHAnsi" w:hAnsiTheme="majorHAnsi" w:cstheme="majorHAnsi"/>
                <w:sz w:val="18"/>
                <w:szCs w:val="18"/>
              </w:rPr>
              <w:t>Prospective, single site fully paired, double-reading trial using Hologic Dimensions system (FFDM, DBT and s2DM images) and GE Senographe. Double reading strategy.</w:t>
            </w:r>
          </w:p>
        </w:tc>
        <w:tc>
          <w:tcPr>
            <w:tcW w:w="2191" w:type="dxa"/>
            <w:shd w:val="clear" w:color="auto" w:fill="auto"/>
          </w:tcPr>
          <w:p w14:paraId="2FB921D4" w14:textId="77777777" w:rsidR="00BE1A3E" w:rsidRPr="00BE1A3E" w:rsidRDefault="00BE1A3E" w:rsidP="00BE1A3E">
            <w:pPr>
              <w:autoSpaceDE w:val="0"/>
              <w:autoSpaceDN w:val="0"/>
              <w:adjustRightInd w:val="0"/>
              <w:spacing w:after="0" w:line="240" w:lineRule="auto"/>
              <w:rPr>
                <w:rFonts w:asciiTheme="majorHAnsi" w:hAnsiTheme="majorHAnsi" w:cstheme="majorHAnsi"/>
                <w:sz w:val="17"/>
                <w:szCs w:val="17"/>
              </w:rPr>
            </w:pPr>
            <w:r w:rsidRPr="00BE1A3E">
              <w:rPr>
                <w:rFonts w:asciiTheme="majorHAnsi" w:hAnsiTheme="majorHAnsi" w:cstheme="majorHAnsi"/>
                <w:sz w:val="17"/>
                <w:szCs w:val="17"/>
              </w:rPr>
              <w:t>3.7% (820/24,301)</w:t>
            </w:r>
          </w:p>
          <w:p w14:paraId="6C538DC4"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p>
        </w:tc>
        <w:tc>
          <w:tcPr>
            <w:tcW w:w="2268" w:type="dxa"/>
            <w:shd w:val="clear" w:color="auto" w:fill="auto"/>
          </w:tcPr>
          <w:p w14:paraId="5C728A8B" w14:textId="77777777"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sz w:val="17"/>
                <w:szCs w:val="17"/>
              </w:rPr>
              <w:t>4.23% (2530/59,877)</w:t>
            </w:r>
          </w:p>
        </w:tc>
        <w:tc>
          <w:tcPr>
            <w:tcW w:w="1985" w:type="dxa"/>
            <w:shd w:val="clear" w:color="auto" w:fill="auto"/>
          </w:tcPr>
          <w:p w14:paraId="3139D788" w14:textId="2A05AF8A" w:rsidR="00BE1A3E" w:rsidRPr="00BE1A3E" w:rsidRDefault="00BE1A3E" w:rsidP="00BE1A3E">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− 8.5 (− 11.3, − 5.7</w:t>
            </w:r>
            <w:r w:rsidR="00091BF0">
              <w:rPr>
                <w:rFonts w:asciiTheme="majorHAnsi" w:hAnsiTheme="majorHAnsi" w:cstheme="majorHAnsi"/>
                <w:bCs/>
                <w:sz w:val="18"/>
                <w:szCs w:val="18"/>
              </w:rPr>
              <w:t xml:space="preserve">; </w:t>
            </w:r>
            <w:r w:rsidRPr="00BE1A3E">
              <w:rPr>
                <w:rFonts w:asciiTheme="majorHAnsi" w:hAnsiTheme="majorHAnsi" w:cstheme="majorHAnsi"/>
                <w:bCs/>
                <w:i/>
                <w:iCs/>
                <w:sz w:val="18"/>
                <w:szCs w:val="18"/>
              </w:rPr>
              <w:t>p</w:t>
            </w:r>
            <w:r w:rsidRPr="00BE1A3E">
              <w:rPr>
                <w:rFonts w:asciiTheme="majorHAnsi" w:hAnsiTheme="majorHAnsi" w:cstheme="majorHAnsi"/>
                <w:bCs/>
                <w:sz w:val="18"/>
                <w:szCs w:val="18"/>
              </w:rPr>
              <w:t>&lt;.001</w:t>
            </w:r>
            <w:r w:rsidR="00091BF0">
              <w:rPr>
                <w:rFonts w:asciiTheme="majorHAnsi" w:hAnsiTheme="majorHAnsi" w:cstheme="majorHAnsi"/>
                <w:bCs/>
                <w:sz w:val="18"/>
                <w:szCs w:val="18"/>
              </w:rPr>
              <w:t>)</w:t>
            </w:r>
          </w:p>
        </w:tc>
      </w:tr>
      <w:tr w:rsidR="00091BF0" w:rsidRPr="00662649" w14:paraId="28328A03" w14:textId="77777777" w:rsidTr="00091BF0">
        <w:trPr>
          <w:trHeight w:val="243"/>
          <w:tblHeader/>
        </w:trPr>
        <w:tc>
          <w:tcPr>
            <w:tcW w:w="14029" w:type="dxa"/>
            <w:gridSpan w:val="6"/>
            <w:shd w:val="clear" w:color="auto" w:fill="auto"/>
          </w:tcPr>
          <w:p w14:paraId="7CE64002" w14:textId="5AD5081A" w:rsidR="00091BF0" w:rsidRPr="00091BF0" w:rsidRDefault="00091BF0" w:rsidP="00BE1A3E">
            <w:pPr>
              <w:pStyle w:val="BodyText"/>
              <w:spacing w:before="0" w:after="0" w:line="240" w:lineRule="auto"/>
              <w:jc w:val="left"/>
              <w:rPr>
                <w:rFonts w:asciiTheme="majorHAnsi" w:hAnsiTheme="majorHAnsi" w:cstheme="majorHAnsi"/>
                <w:b/>
                <w:sz w:val="18"/>
                <w:szCs w:val="18"/>
              </w:rPr>
            </w:pPr>
            <w:r>
              <w:rPr>
                <w:rFonts w:asciiTheme="majorHAnsi" w:hAnsiTheme="majorHAnsi" w:cstheme="majorHAnsi"/>
                <w:b/>
                <w:sz w:val="18"/>
                <w:szCs w:val="18"/>
              </w:rPr>
              <w:t>Retrospective analysis</w:t>
            </w:r>
          </w:p>
        </w:tc>
      </w:tr>
      <w:tr w:rsidR="00091BF0" w:rsidRPr="00662649" w14:paraId="337B9F6F" w14:textId="77777777" w:rsidTr="00BE1A3E">
        <w:trPr>
          <w:trHeight w:val="429"/>
          <w:tblHeader/>
        </w:trPr>
        <w:tc>
          <w:tcPr>
            <w:tcW w:w="1404" w:type="dxa"/>
            <w:shd w:val="clear" w:color="auto" w:fill="auto"/>
          </w:tcPr>
          <w:p w14:paraId="2F672E3C" w14:textId="77777777" w:rsidR="00091BF0" w:rsidRPr="00BE1A3E" w:rsidRDefault="00091BF0" w:rsidP="00091BF0">
            <w:pPr>
              <w:pStyle w:val="BodyText"/>
              <w:spacing w:before="0" w:after="0" w:line="240" w:lineRule="auto"/>
              <w:jc w:val="left"/>
            </w:pPr>
            <w:r w:rsidRPr="00BE1A3E">
              <w:rPr>
                <w:rFonts w:asciiTheme="majorHAnsi" w:hAnsiTheme="majorHAnsi" w:cstheme="majorHAnsi"/>
                <w:bCs/>
                <w:sz w:val="18"/>
                <w:szCs w:val="18"/>
              </w:rPr>
              <w:t xml:space="preserve">Bahl et al (2019) </w:t>
            </w:r>
          </w:p>
          <w:p w14:paraId="595AB540" w14:textId="369C26CC" w:rsidR="00091BF0" w:rsidRPr="00BE1A3E" w:rsidRDefault="00091BF0" w:rsidP="00091BF0">
            <w:pPr>
              <w:pStyle w:val="BodyText"/>
              <w:spacing w:before="0" w:after="0" w:line="240" w:lineRule="auto"/>
              <w:jc w:val="left"/>
              <w:rPr>
                <w:rFonts w:asciiTheme="majorHAnsi" w:hAnsiTheme="majorHAnsi" w:cstheme="majorHAnsi"/>
                <w:bCs/>
                <w:sz w:val="18"/>
                <w:szCs w:val="18"/>
              </w:rPr>
            </w:pPr>
          </w:p>
        </w:tc>
        <w:tc>
          <w:tcPr>
            <w:tcW w:w="3218" w:type="dxa"/>
            <w:shd w:val="clear" w:color="auto" w:fill="auto"/>
          </w:tcPr>
          <w:p w14:paraId="62CA27FE" w14:textId="77777777" w:rsidR="00091BF0" w:rsidRPr="00BE1A3E" w:rsidRDefault="00091BF0" w:rsidP="00091BF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35,665 women aged 65+ years and older. FFDM: 15,019 women (mean 72.7 years)</w:t>
            </w:r>
          </w:p>
          <w:p w14:paraId="07E84EA4" w14:textId="006D3988" w:rsidR="00091BF0" w:rsidRPr="00BE1A3E" w:rsidRDefault="00091BF0" w:rsidP="00091BF0">
            <w:pPr>
              <w:pStyle w:val="BodyText"/>
              <w:spacing w:before="0" w:after="0" w:line="240" w:lineRule="auto"/>
              <w:rPr>
                <w:rFonts w:asciiTheme="majorHAnsi" w:hAnsiTheme="majorHAnsi" w:cstheme="majorHAnsi"/>
                <w:bCs/>
                <w:sz w:val="18"/>
                <w:szCs w:val="18"/>
              </w:rPr>
            </w:pPr>
            <w:r w:rsidRPr="00BE1A3E">
              <w:rPr>
                <w:rFonts w:asciiTheme="majorHAnsi" w:hAnsiTheme="majorHAnsi" w:cstheme="majorHAnsi"/>
                <w:bCs/>
                <w:sz w:val="18"/>
                <w:szCs w:val="18"/>
              </w:rPr>
              <w:t>DBT: 20,646 women (mean 72.1 years)</w:t>
            </w:r>
          </w:p>
        </w:tc>
        <w:tc>
          <w:tcPr>
            <w:tcW w:w="2963" w:type="dxa"/>
            <w:shd w:val="clear" w:color="auto" w:fill="auto"/>
          </w:tcPr>
          <w:p w14:paraId="7944CC5A" w14:textId="77777777" w:rsidR="00091BF0" w:rsidRPr="00BE1A3E" w:rsidRDefault="00091BF0" w:rsidP="00091BF0">
            <w:pPr>
              <w:autoSpaceDE w:val="0"/>
              <w:autoSpaceDN w:val="0"/>
              <w:adjustRightInd w:val="0"/>
              <w:spacing w:after="0" w:line="240" w:lineRule="auto"/>
              <w:rPr>
                <w:rFonts w:asciiTheme="majorHAnsi" w:hAnsiTheme="majorHAnsi" w:cstheme="majorHAnsi"/>
                <w:sz w:val="18"/>
                <w:szCs w:val="18"/>
              </w:rPr>
            </w:pPr>
            <w:r w:rsidRPr="00BE1A3E">
              <w:rPr>
                <w:rFonts w:asciiTheme="majorHAnsi" w:hAnsiTheme="majorHAnsi" w:cstheme="majorHAnsi"/>
                <w:sz w:val="18"/>
                <w:szCs w:val="18"/>
              </w:rPr>
              <w:t>Retrospective analysis, single</w:t>
            </w:r>
          </w:p>
          <w:p w14:paraId="5F609081" w14:textId="77777777" w:rsidR="00091BF0" w:rsidRPr="00BE1A3E" w:rsidRDefault="00091BF0" w:rsidP="00091BF0">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sz w:val="18"/>
                <w:szCs w:val="18"/>
              </w:rPr>
              <w:t>academic medical centre using</w:t>
            </w:r>
          </w:p>
          <w:p w14:paraId="16949B54" w14:textId="77777777" w:rsidR="00091BF0" w:rsidRPr="00BE1A3E" w:rsidRDefault="00091BF0" w:rsidP="00091BF0">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sz w:val="18"/>
                <w:szCs w:val="18"/>
              </w:rPr>
              <w:t xml:space="preserve">Selenia Dimensions; Hologic. </w:t>
            </w:r>
          </w:p>
          <w:p w14:paraId="761D9CC0" w14:textId="463D7CCF" w:rsidR="00091BF0" w:rsidRPr="00BE1A3E" w:rsidRDefault="00091BF0" w:rsidP="00091BF0">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sz w:val="18"/>
                <w:szCs w:val="18"/>
              </w:rPr>
              <w:t>Single reader protocol.</w:t>
            </w:r>
          </w:p>
        </w:tc>
        <w:tc>
          <w:tcPr>
            <w:tcW w:w="2191" w:type="dxa"/>
            <w:shd w:val="clear" w:color="auto" w:fill="auto"/>
          </w:tcPr>
          <w:p w14:paraId="69137446" w14:textId="430B8A9C" w:rsidR="00091BF0" w:rsidRPr="00BE1A3E" w:rsidRDefault="00091BF0" w:rsidP="00091BF0">
            <w:pPr>
              <w:autoSpaceDE w:val="0"/>
              <w:autoSpaceDN w:val="0"/>
              <w:adjustRightInd w:val="0"/>
              <w:spacing w:after="0" w:line="240" w:lineRule="auto"/>
              <w:rPr>
                <w:rFonts w:asciiTheme="majorHAnsi" w:hAnsiTheme="majorHAnsi" w:cstheme="majorHAnsi"/>
                <w:sz w:val="17"/>
                <w:szCs w:val="17"/>
              </w:rPr>
            </w:pPr>
            <w:r w:rsidRPr="00BE1A3E">
              <w:rPr>
                <w:rFonts w:asciiTheme="majorHAnsi" w:hAnsiTheme="majorHAnsi" w:cstheme="majorHAnsi"/>
                <w:bCs/>
                <w:sz w:val="18"/>
                <w:szCs w:val="18"/>
              </w:rPr>
              <w:t xml:space="preserve">AIR: </w:t>
            </w:r>
            <w:r w:rsidRPr="00BE1A3E">
              <w:rPr>
                <w:rFonts w:ascii="AGaramondPro-Regular" w:hAnsi="AGaramondPro-Regular" w:cs="AGaramondPro-Regular"/>
                <w:sz w:val="18"/>
                <w:szCs w:val="18"/>
              </w:rPr>
              <w:t>5.7% (5.4, 5.9)</w:t>
            </w:r>
          </w:p>
        </w:tc>
        <w:tc>
          <w:tcPr>
            <w:tcW w:w="2268" w:type="dxa"/>
            <w:shd w:val="clear" w:color="auto" w:fill="auto"/>
          </w:tcPr>
          <w:p w14:paraId="2A608B74" w14:textId="2CD147E8" w:rsidR="00091BF0" w:rsidRPr="00BE1A3E" w:rsidRDefault="00091BF0" w:rsidP="00091BF0">
            <w:pPr>
              <w:pStyle w:val="BodyText"/>
              <w:spacing w:before="0" w:after="0" w:line="240" w:lineRule="auto"/>
              <w:jc w:val="left"/>
              <w:rPr>
                <w:rFonts w:asciiTheme="majorHAnsi" w:hAnsiTheme="majorHAnsi" w:cstheme="majorHAnsi"/>
                <w:sz w:val="17"/>
                <w:szCs w:val="17"/>
              </w:rPr>
            </w:pPr>
            <w:r w:rsidRPr="00BE1A3E">
              <w:rPr>
                <w:rFonts w:asciiTheme="majorHAnsi" w:hAnsiTheme="majorHAnsi" w:cstheme="majorHAnsi"/>
                <w:bCs/>
                <w:sz w:val="18"/>
                <w:szCs w:val="18"/>
              </w:rPr>
              <w:t xml:space="preserve">AIR: </w:t>
            </w:r>
            <w:r w:rsidRPr="00BE1A3E">
              <w:rPr>
                <w:rFonts w:ascii="AGaramondPro-Regular" w:hAnsi="AGaramondPro-Regular" w:cs="AGaramondPro-Regular"/>
                <w:sz w:val="18"/>
                <w:szCs w:val="18"/>
              </w:rPr>
              <w:t>5.8% (5.6, 6.1)</w:t>
            </w:r>
          </w:p>
        </w:tc>
        <w:tc>
          <w:tcPr>
            <w:tcW w:w="1985" w:type="dxa"/>
            <w:shd w:val="clear" w:color="auto" w:fill="auto"/>
          </w:tcPr>
          <w:p w14:paraId="54D2BBCE" w14:textId="6E97EFE9" w:rsidR="00091BF0" w:rsidRPr="00BE1A3E" w:rsidRDefault="00091BF0" w:rsidP="00091BF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i/>
                <w:iCs/>
                <w:sz w:val="18"/>
                <w:szCs w:val="18"/>
              </w:rPr>
              <w:t>p</w:t>
            </w:r>
            <w:r w:rsidRPr="00BE1A3E">
              <w:rPr>
                <w:rFonts w:asciiTheme="majorHAnsi" w:hAnsiTheme="majorHAnsi" w:cstheme="majorHAnsi"/>
                <w:bCs/>
                <w:sz w:val="18"/>
                <w:szCs w:val="18"/>
              </w:rPr>
              <w:t>&lt;.001</w:t>
            </w:r>
          </w:p>
        </w:tc>
      </w:tr>
    </w:tbl>
    <w:p w14:paraId="7C544236" w14:textId="77777777" w:rsidR="00CF2E1C" w:rsidRPr="005866B2" w:rsidRDefault="00CF2E1C" w:rsidP="00CF2E1C">
      <w:pPr>
        <w:rPr>
          <w:highlight w:val="yellow"/>
        </w:rPr>
      </w:pPr>
    </w:p>
    <w:tbl>
      <w:tblPr>
        <w:tblpPr w:leftFromText="180" w:rightFromText="180" w:vertAnchor="text" w:horzAnchor="page" w:tblpX="917" w:tblpY="-127"/>
        <w:tblW w:w="1388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Layout w:type="fixed"/>
        <w:tblCellMar>
          <w:top w:w="57" w:type="dxa"/>
          <w:bottom w:w="57" w:type="dxa"/>
        </w:tblCellMar>
        <w:tblLook w:val="04A0" w:firstRow="1" w:lastRow="0" w:firstColumn="1" w:lastColumn="0" w:noHBand="0" w:noVBand="1"/>
      </w:tblPr>
      <w:tblGrid>
        <w:gridCol w:w="1404"/>
        <w:gridCol w:w="3218"/>
        <w:gridCol w:w="2963"/>
        <w:gridCol w:w="774"/>
        <w:gridCol w:w="708"/>
        <w:gridCol w:w="851"/>
        <w:gridCol w:w="762"/>
        <w:gridCol w:w="797"/>
        <w:gridCol w:w="709"/>
        <w:gridCol w:w="850"/>
        <w:gridCol w:w="851"/>
      </w:tblGrid>
      <w:tr w:rsidR="00091BF0" w:rsidRPr="00662649" w14:paraId="7907B66C" w14:textId="77777777" w:rsidTr="00091BF0">
        <w:trPr>
          <w:trHeight w:val="926"/>
          <w:tblHeader/>
        </w:trPr>
        <w:tc>
          <w:tcPr>
            <w:tcW w:w="1404" w:type="dxa"/>
            <w:vMerge w:val="restart"/>
            <w:shd w:val="clear" w:color="auto" w:fill="auto"/>
          </w:tcPr>
          <w:p w14:paraId="7525A45A"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lastRenderedPageBreak/>
              <w:t>Conant et al. (2019)</w:t>
            </w:r>
          </w:p>
          <w:p w14:paraId="401F0EBA"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PROSPR consortium</w:t>
            </w:r>
          </w:p>
        </w:tc>
        <w:tc>
          <w:tcPr>
            <w:tcW w:w="3218" w:type="dxa"/>
            <w:vMerge w:val="restart"/>
            <w:shd w:val="clear" w:color="auto" w:fill="auto"/>
          </w:tcPr>
          <w:p w14:paraId="0284BD22"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96,269 women aged 40-74y participating in annual screening through the PROSPR consortium, mean age=55.7y</w:t>
            </w:r>
          </w:p>
          <w:p w14:paraId="3958605F"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 129,369 screening examinations (mean age 56.4y)</w:t>
            </w:r>
          </w:p>
          <w:p w14:paraId="0E75FE00"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FFDM+DBT: 50,971 screening examinations (mean age 54.6y)</w:t>
            </w:r>
          </w:p>
        </w:tc>
        <w:tc>
          <w:tcPr>
            <w:tcW w:w="2963" w:type="dxa"/>
            <w:vMerge w:val="restart"/>
            <w:shd w:val="clear" w:color="auto" w:fill="auto"/>
          </w:tcPr>
          <w:p w14:paraId="5F9DF62D" w14:textId="77777777" w:rsidR="00091BF0" w:rsidRPr="00BE1A3E" w:rsidRDefault="00091BF0" w:rsidP="00091BF0">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sz w:val="18"/>
                <w:szCs w:val="18"/>
              </w:rPr>
              <w:t>Retrospective, three site analysis with DBT images collected on Hologic Selenia Dimensions unit, varying DM units (not recorded) with single reading (n=2 radiologists)</w:t>
            </w:r>
          </w:p>
        </w:tc>
        <w:tc>
          <w:tcPr>
            <w:tcW w:w="774" w:type="dxa"/>
            <w:shd w:val="clear" w:color="auto" w:fill="auto"/>
          </w:tcPr>
          <w:p w14:paraId="49FA14AF"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First</w:t>
            </w:r>
          </w:p>
          <w:p w14:paraId="19F84C7A"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40-49 y</w:t>
            </w:r>
          </w:p>
          <w:p w14:paraId="659AA20F"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50-64 y</w:t>
            </w:r>
          </w:p>
          <w:p w14:paraId="78480D0F"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65-74 y</w:t>
            </w:r>
          </w:p>
        </w:tc>
        <w:tc>
          <w:tcPr>
            <w:tcW w:w="708" w:type="dxa"/>
            <w:shd w:val="clear" w:color="auto" w:fill="auto"/>
          </w:tcPr>
          <w:p w14:paraId="7F2A0310"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w:t>
            </w:r>
          </w:p>
          <w:p w14:paraId="09C47E84"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28.5%</w:t>
            </w:r>
          </w:p>
          <w:p w14:paraId="5236519D"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20.1%</w:t>
            </w:r>
          </w:p>
          <w:p w14:paraId="08E5CEB4"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16.3%</w:t>
            </w:r>
          </w:p>
        </w:tc>
        <w:tc>
          <w:tcPr>
            <w:tcW w:w="851" w:type="dxa"/>
            <w:shd w:val="clear" w:color="auto" w:fill="auto"/>
          </w:tcPr>
          <w:p w14:paraId="73377A9F"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N/dense</w:t>
            </w:r>
          </w:p>
          <w:p w14:paraId="32681E8C"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28.8%</w:t>
            </w:r>
          </w:p>
          <w:p w14:paraId="5F68B334"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17.8%</w:t>
            </w:r>
          </w:p>
          <w:p w14:paraId="4EAFC3A2"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16.5%</w:t>
            </w:r>
          </w:p>
        </w:tc>
        <w:tc>
          <w:tcPr>
            <w:tcW w:w="762" w:type="dxa"/>
            <w:shd w:val="clear" w:color="auto" w:fill="auto"/>
          </w:tcPr>
          <w:p w14:paraId="47F0ED5A"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Dense</w:t>
            </w:r>
          </w:p>
          <w:p w14:paraId="00CE64D3"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28.6%</w:t>
            </w:r>
          </w:p>
          <w:p w14:paraId="08FE9EF0"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24.7%</w:t>
            </w:r>
          </w:p>
          <w:p w14:paraId="2B241E14"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16.0%</w:t>
            </w:r>
          </w:p>
        </w:tc>
        <w:tc>
          <w:tcPr>
            <w:tcW w:w="797" w:type="dxa"/>
            <w:shd w:val="clear" w:color="auto" w:fill="auto"/>
          </w:tcPr>
          <w:p w14:paraId="23A2AFC9"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First</w:t>
            </w:r>
          </w:p>
          <w:p w14:paraId="333E6AEE"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40-49 y</w:t>
            </w:r>
          </w:p>
          <w:p w14:paraId="7C98F16E"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50-64 y</w:t>
            </w:r>
          </w:p>
          <w:p w14:paraId="1272FDAA"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GuardianAgateSans1GR-Regular" w:hAnsi="GuardianAgateSans1GR-Regular" w:cs="GuardianAgateSans1GR-Regular"/>
                <w:sz w:val="18"/>
                <w:szCs w:val="18"/>
              </w:rPr>
              <w:t>65-74 y</w:t>
            </w:r>
          </w:p>
        </w:tc>
        <w:tc>
          <w:tcPr>
            <w:tcW w:w="709" w:type="dxa"/>
            <w:shd w:val="clear" w:color="auto" w:fill="auto"/>
          </w:tcPr>
          <w:p w14:paraId="607A25D1"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All</w:t>
            </w:r>
          </w:p>
          <w:p w14:paraId="4909B292"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17.1%</w:t>
            </w:r>
          </w:p>
          <w:p w14:paraId="1414573F"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14.8%</w:t>
            </w:r>
          </w:p>
          <w:p w14:paraId="6B63B4F2"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13.9%</w:t>
            </w:r>
          </w:p>
        </w:tc>
        <w:tc>
          <w:tcPr>
            <w:tcW w:w="850" w:type="dxa"/>
            <w:shd w:val="clear" w:color="auto" w:fill="auto"/>
          </w:tcPr>
          <w:p w14:paraId="6B21966E"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N/dense</w:t>
            </w:r>
          </w:p>
          <w:p w14:paraId="0294F72C"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15.9%</w:t>
            </w:r>
          </w:p>
          <w:p w14:paraId="27DAF42E"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15.8%</w:t>
            </w:r>
          </w:p>
          <w:p w14:paraId="15D64E1A"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12.4%</w:t>
            </w:r>
          </w:p>
        </w:tc>
        <w:tc>
          <w:tcPr>
            <w:tcW w:w="851" w:type="dxa"/>
            <w:shd w:val="clear" w:color="auto" w:fill="auto"/>
          </w:tcPr>
          <w:p w14:paraId="597EE734"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Dense</w:t>
            </w:r>
          </w:p>
          <w:p w14:paraId="747892B9"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18.5%</w:t>
            </w:r>
          </w:p>
          <w:p w14:paraId="50A1C56F"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13.1%</w:t>
            </w:r>
          </w:p>
          <w:p w14:paraId="69200179"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17.5%</w:t>
            </w:r>
          </w:p>
        </w:tc>
      </w:tr>
      <w:tr w:rsidR="00091BF0" w:rsidRPr="00662649" w14:paraId="4ADF4939" w14:textId="77777777" w:rsidTr="00091BF0">
        <w:trPr>
          <w:trHeight w:val="217"/>
          <w:tblHeader/>
        </w:trPr>
        <w:tc>
          <w:tcPr>
            <w:tcW w:w="1404" w:type="dxa"/>
            <w:vMerge/>
            <w:shd w:val="clear" w:color="auto" w:fill="auto"/>
          </w:tcPr>
          <w:p w14:paraId="37EE377C"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p>
        </w:tc>
        <w:tc>
          <w:tcPr>
            <w:tcW w:w="3218" w:type="dxa"/>
            <w:vMerge/>
            <w:shd w:val="clear" w:color="auto" w:fill="auto"/>
          </w:tcPr>
          <w:p w14:paraId="48D35967"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p>
        </w:tc>
        <w:tc>
          <w:tcPr>
            <w:tcW w:w="2963" w:type="dxa"/>
            <w:vMerge/>
            <w:shd w:val="clear" w:color="auto" w:fill="auto"/>
          </w:tcPr>
          <w:p w14:paraId="6F199796" w14:textId="77777777" w:rsidR="00091BF0" w:rsidRPr="00BE1A3E" w:rsidRDefault="00091BF0" w:rsidP="00091BF0">
            <w:pPr>
              <w:pStyle w:val="BodyText"/>
              <w:spacing w:before="0" w:after="0" w:line="240" w:lineRule="auto"/>
              <w:jc w:val="left"/>
              <w:rPr>
                <w:rFonts w:asciiTheme="majorHAnsi" w:hAnsiTheme="majorHAnsi" w:cstheme="majorHAnsi"/>
                <w:sz w:val="18"/>
                <w:szCs w:val="18"/>
              </w:rPr>
            </w:pPr>
          </w:p>
        </w:tc>
        <w:tc>
          <w:tcPr>
            <w:tcW w:w="774" w:type="dxa"/>
            <w:shd w:val="clear" w:color="auto" w:fill="auto"/>
          </w:tcPr>
          <w:p w14:paraId="43D94729"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Subs-</w:t>
            </w:r>
          </w:p>
          <w:p w14:paraId="018BB881"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40-49 y</w:t>
            </w:r>
          </w:p>
          <w:p w14:paraId="6831E0B6"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50-64 y</w:t>
            </w:r>
          </w:p>
          <w:p w14:paraId="5C869AA1"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65-74 y</w:t>
            </w:r>
          </w:p>
        </w:tc>
        <w:tc>
          <w:tcPr>
            <w:tcW w:w="708" w:type="dxa"/>
            <w:shd w:val="clear" w:color="auto" w:fill="auto"/>
          </w:tcPr>
          <w:p w14:paraId="32E7091A"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p>
          <w:p w14:paraId="6454F286"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14.4%</w:t>
            </w:r>
          </w:p>
          <w:p w14:paraId="29E8F4D8"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9.3%</w:t>
            </w:r>
          </w:p>
          <w:p w14:paraId="6905C71A"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8.1%</w:t>
            </w:r>
          </w:p>
        </w:tc>
        <w:tc>
          <w:tcPr>
            <w:tcW w:w="851" w:type="dxa"/>
            <w:shd w:val="clear" w:color="auto" w:fill="auto"/>
          </w:tcPr>
          <w:p w14:paraId="1DB418F9"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p>
          <w:p w14:paraId="212ECAD9"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12.8%</w:t>
            </w:r>
          </w:p>
          <w:p w14:paraId="1B2897C3"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8.8%</w:t>
            </w:r>
          </w:p>
          <w:p w14:paraId="7F52DEC4"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7.8%</w:t>
            </w:r>
          </w:p>
        </w:tc>
        <w:tc>
          <w:tcPr>
            <w:tcW w:w="762" w:type="dxa"/>
            <w:shd w:val="clear" w:color="auto" w:fill="auto"/>
          </w:tcPr>
          <w:p w14:paraId="2938F79F"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p>
          <w:p w14:paraId="09805054"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15.9%</w:t>
            </w:r>
          </w:p>
          <w:p w14:paraId="1A965785"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10.6%</w:t>
            </w:r>
          </w:p>
          <w:p w14:paraId="14A85B37"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9.2%</w:t>
            </w:r>
          </w:p>
        </w:tc>
        <w:tc>
          <w:tcPr>
            <w:tcW w:w="797" w:type="dxa"/>
            <w:shd w:val="clear" w:color="auto" w:fill="auto"/>
          </w:tcPr>
          <w:p w14:paraId="19C014EA"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Subs</w:t>
            </w:r>
          </w:p>
          <w:p w14:paraId="78EF16DE"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40-49 y</w:t>
            </w:r>
          </w:p>
          <w:p w14:paraId="074D35E4"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50-64 y</w:t>
            </w:r>
          </w:p>
          <w:p w14:paraId="38192D64" w14:textId="77777777" w:rsidR="00091BF0" w:rsidRPr="00BE1A3E" w:rsidRDefault="00091BF0" w:rsidP="00091BF0">
            <w:pPr>
              <w:pStyle w:val="BodyText"/>
              <w:spacing w:before="0" w:after="0" w:line="240" w:lineRule="auto"/>
              <w:jc w:val="left"/>
              <w:rPr>
                <w:rFonts w:ascii="GuardianAgateSans1GR-Regular" w:hAnsi="GuardianAgateSans1GR-Regular" w:cs="GuardianAgateSans1GR-Regular"/>
                <w:sz w:val="18"/>
                <w:szCs w:val="18"/>
              </w:rPr>
            </w:pPr>
            <w:r w:rsidRPr="00BE1A3E">
              <w:rPr>
                <w:rFonts w:ascii="GuardianAgateSans1GR-Regular" w:hAnsi="GuardianAgateSans1GR-Regular" w:cs="GuardianAgateSans1GR-Regular"/>
                <w:sz w:val="18"/>
                <w:szCs w:val="18"/>
              </w:rPr>
              <w:t>65-74 y</w:t>
            </w:r>
          </w:p>
        </w:tc>
        <w:tc>
          <w:tcPr>
            <w:tcW w:w="709" w:type="dxa"/>
            <w:shd w:val="clear" w:color="auto" w:fill="auto"/>
          </w:tcPr>
          <w:p w14:paraId="38EF2CB2"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p>
          <w:p w14:paraId="4A927A8F"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14.4%</w:t>
            </w:r>
          </w:p>
          <w:p w14:paraId="7074AE3E"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7.1%</w:t>
            </w:r>
          </w:p>
          <w:p w14:paraId="474D68C0"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5.8%</w:t>
            </w:r>
          </w:p>
        </w:tc>
        <w:tc>
          <w:tcPr>
            <w:tcW w:w="850" w:type="dxa"/>
            <w:shd w:val="clear" w:color="auto" w:fill="auto"/>
          </w:tcPr>
          <w:p w14:paraId="7FB85AB3"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p>
          <w:p w14:paraId="5E7C73C5"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9.0%</w:t>
            </w:r>
          </w:p>
          <w:p w14:paraId="67723863"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6.3%</w:t>
            </w:r>
          </w:p>
          <w:p w14:paraId="23EA166B"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5.5%</w:t>
            </w:r>
          </w:p>
        </w:tc>
        <w:tc>
          <w:tcPr>
            <w:tcW w:w="851" w:type="dxa"/>
            <w:shd w:val="clear" w:color="auto" w:fill="auto"/>
          </w:tcPr>
          <w:p w14:paraId="666AC24A"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p>
          <w:p w14:paraId="28AC6C4C"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11.7%</w:t>
            </w:r>
          </w:p>
          <w:p w14:paraId="79C36A29"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8.6%</w:t>
            </w:r>
          </w:p>
          <w:p w14:paraId="58CC9CD5" w14:textId="77777777" w:rsidR="00091BF0" w:rsidRPr="00BE1A3E" w:rsidRDefault="00091BF0" w:rsidP="00091BF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6.8%</w:t>
            </w:r>
          </w:p>
        </w:tc>
      </w:tr>
      <w:tr w:rsidR="004F5E50" w:rsidRPr="00BE1A3E" w14:paraId="6C362B24" w14:textId="77777777" w:rsidTr="004F5E50">
        <w:trPr>
          <w:trHeight w:val="716"/>
          <w:tblHeader/>
        </w:trPr>
        <w:tc>
          <w:tcPr>
            <w:tcW w:w="1404" w:type="dxa"/>
            <w:shd w:val="clear" w:color="auto" w:fill="auto"/>
          </w:tcPr>
          <w:p w14:paraId="41A1FCAF" w14:textId="77777777"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4F5E50">
              <w:rPr>
                <w:rFonts w:asciiTheme="majorHAnsi" w:hAnsiTheme="majorHAnsi" w:cstheme="majorHAnsi"/>
                <w:bCs/>
                <w:sz w:val="18"/>
                <w:szCs w:val="18"/>
              </w:rPr>
              <w:t>Honig et al</w:t>
            </w:r>
            <w:r>
              <w:rPr>
                <w:rFonts w:asciiTheme="majorHAnsi" w:hAnsiTheme="majorHAnsi" w:cstheme="majorHAnsi"/>
                <w:bCs/>
                <w:sz w:val="18"/>
                <w:szCs w:val="18"/>
              </w:rPr>
              <w:t>.</w:t>
            </w:r>
            <w:r w:rsidRPr="004F5E50">
              <w:rPr>
                <w:rFonts w:asciiTheme="majorHAnsi" w:hAnsiTheme="majorHAnsi" w:cstheme="majorHAnsi"/>
                <w:bCs/>
                <w:sz w:val="18"/>
                <w:szCs w:val="18"/>
              </w:rPr>
              <w:t xml:space="preserve"> (2019) </w:t>
            </w:r>
          </w:p>
          <w:p w14:paraId="346F0198" w14:textId="77777777" w:rsidR="004F5E50" w:rsidRPr="004F5E50" w:rsidRDefault="004F5E50" w:rsidP="004F5E50">
            <w:pPr>
              <w:pStyle w:val="BodyText"/>
              <w:spacing w:before="0" w:after="0" w:line="240" w:lineRule="auto"/>
              <w:jc w:val="left"/>
              <w:rPr>
                <w:rFonts w:asciiTheme="majorHAnsi" w:hAnsiTheme="majorHAnsi" w:cstheme="majorHAnsi"/>
                <w:bCs/>
                <w:sz w:val="18"/>
                <w:szCs w:val="18"/>
              </w:rPr>
            </w:pPr>
          </w:p>
        </w:tc>
        <w:tc>
          <w:tcPr>
            <w:tcW w:w="3218" w:type="dxa"/>
            <w:shd w:val="clear" w:color="auto" w:fill="auto"/>
          </w:tcPr>
          <w:p w14:paraId="7E6793A5" w14:textId="77777777"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4F5E50">
              <w:rPr>
                <w:rFonts w:asciiTheme="majorHAnsi" w:hAnsiTheme="majorHAnsi" w:cstheme="majorHAnsi"/>
                <w:bCs/>
                <w:sz w:val="18"/>
                <w:szCs w:val="18"/>
              </w:rPr>
              <w:t>1887 women (22,055 screening mammograms) FFDM Vs DBT.</w:t>
            </w:r>
          </w:p>
          <w:p w14:paraId="66982B7B" w14:textId="77777777"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4F5E50">
              <w:rPr>
                <w:rFonts w:asciiTheme="majorHAnsi" w:hAnsiTheme="majorHAnsi" w:cstheme="majorHAnsi"/>
                <w:bCs/>
                <w:sz w:val="18"/>
                <w:szCs w:val="18"/>
              </w:rPr>
              <w:t>FFDM:</w:t>
            </w:r>
            <w:r w:rsidRPr="004F5E50">
              <w:t xml:space="preserve"> </w:t>
            </w:r>
            <w:r w:rsidRPr="004F5E50">
              <w:rPr>
                <w:rFonts w:asciiTheme="majorHAnsi" w:hAnsiTheme="majorHAnsi" w:cstheme="majorHAnsi"/>
                <w:bCs/>
                <w:sz w:val="18"/>
                <w:szCs w:val="18"/>
              </w:rPr>
              <w:t>5029</w:t>
            </w:r>
          </w:p>
          <w:p w14:paraId="219CF55E" w14:textId="76C90857" w:rsidR="004F5E50" w:rsidRPr="004F5E50" w:rsidRDefault="004F5E50" w:rsidP="004F5E50">
            <w:pPr>
              <w:pStyle w:val="BodyText"/>
              <w:spacing w:before="0" w:after="0" w:line="240" w:lineRule="auto"/>
              <w:rPr>
                <w:rFonts w:asciiTheme="majorHAnsi" w:hAnsiTheme="majorHAnsi" w:cstheme="majorHAnsi"/>
                <w:bCs/>
                <w:sz w:val="18"/>
                <w:szCs w:val="18"/>
              </w:rPr>
            </w:pPr>
            <w:r w:rsidRPr="004F5E50">
              <w:rPr>
                <w:rFonts w:asciiTheme="majorHAnsi" w:hAnsiTheme="majorHAnsi" w:cstheme="majorHAnsi"/>
                <w:bCs/>
                <w:sz w:val="18"/>
                <w:szCs w:val="18"/>
              </w:rPr>
              <w:t xml:space="preserve">DBT: </w:t>
            </w:r>
            <w:r w:rsidRPr="004F5E50">
              <w:t xml:space="preserve"> </w:t>
            </w:r>
            <w:r w:rsidRPr="004F5E50">
              <w:rPr>
                <w:rFonts w:asciiTheme="majorHAnsi" w:hAnsiTheme="majorHAnsi" w:cstheme="majorHAnsi"/>
                <w:bCs/>
                <w:sz w:val="18"/>
                <w:szCs w:val="18"/>
              </w:rPr>
              <w:t>17,026</w:t>
            </w:r>
          </w:p>
        </w:tc>
        <w:tc>
          <w:tcPr>
            <w:tcW w:w="2963" w:type="dxa"/>
            <w:shd w:val="clear" w:color="auto" w:fill="auto"/>
          </w:tcPr>
          <w:p w14:paraId="1D7DE620" w14:textId="4CFDDE62"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Retrospective analysis. Three outpatient sites of one academic institution. Reader protocol not stated.</w:t>
            </w:r>
          </w:p>
        </w:tc>
        <w:tc>
          <w:tcPr>
            <w:tcW w:w="3095" w:type="dxa"/>
            <w:gridSpan w:val="4"/>
            <w:shd w:val="clear" w:color="auto" w:fill="auto"/>
          </w:tcPr>
          <w:p w14:paraId="01F21E57" w14:textId="73F36F31"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bCs/>
                <w:sz w:val="18"/>
                <w:szCs w:val="18"/>
              </w:rPr>
              <w:t>8%</w:t>
            </w:r>
          </w:p>
        </w:tc>
        <w:tc>
          <w:tcPr>
            <w:tcW w:w="3207" w:type="dxa"/>
            <w:gridSpan w:val="4"/>
            <w:shd w:val="clear" w:color="auto" w:fill="auto"/>
          </w:tcPr>
          <w:p w14:paraId="4082925F" w14:textId="4472309E"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bCs/>
                <w:sz w:val="18"/>
                <w:szCs w:val="18"/>
              </w:rPr>
              <w:t>10.6% (</w:t>
            </w:r>
            <w:r w:rsidRPr="004F5E50">
              <w:rPr>
                <w:rFonts w:asciiTheme="majorHAnsi" w:hAnsiTheme="majorHAnsi" w:cstheme="majorHAnsi"/>
                <w:bCs/>
                <w:i/>
                <w:iCs/>
                <w:sz w:val="18"/>
                <w:szCs w:val="18"/>
              </w:rPr>
              <w:t>p=</w:t>
            </w:r>
            <w:r w:rsidRPr="004F5E50">
              <w:rPr>
                <w:rFonts w:asciiTheme="majorHAnsi" w:hAnsiTheme="majorHAnsi" w:cstheme="majorHAnsi"/>
                <w:bCs/>
                <w:sz w:val="18"/>
                <w:szCs w:val="18"/>
              </w:rPr>
              <w:t>.001)</w:t>
            </w:r>
          </w:p>
        </w:tc>
      </w:tr>
      <w:tr w:rsidR="004F5E50" w:rsidRPr="00BE1A3E" w14:paraId="67B36395" w14:textId="77777777" w:rsidTr="004F5E50">
        <w:trPr>
          <w:trHeight w:val="1567"/>
          <w:tblHeader/>
        </w:trPr>
        <w:tc>
          <w:tcPr>
            <w:tcW w:w="1404" w:type="dxa"/>
            <w:shd w:val="clear" w:color="auto" w:fill="auto"/>
          </w:tcPr>
          <w:p w14:paraId="3D666C77" w14:textId="77777777"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4F5E50">
              <w:rPr>
                <w:rFonts w:asciiTheme="majorHAnsi" w:hAnsiTheme="majorHAnsi" w:cstheme="majorHAnsi"/>
                <w:bCs/>
                <w:sz w:val="18"/>
                <w:szCs w:val="18"/>
              </w:rPr>
              <w:t xml:space="preserve">Miglioretti et al (2019) </w:t>
            </w:r>
          </w:p>
          <w:p w14:paraId="3EB5A0FF" w14:textId="2D941455" w:rsidR="004F5E50" w:rsidRPr="004F5E50" w:rsidRDefault="004F5E50" w:rsidP="004F5E50">
            <w:pPr>
              <w:pStyle w:val="BodyText"/>
              <w:spacing w:before="0" w:after="0" w:line="240" w:lineRule="auto"/>
              <w:jc w:val="left"/>
              <w:rPr>
                <w:rFonts w:asciiTheme="majorHAnsi" w:hAnsiTheme="majorHAnsi" w:cstheme="majorHAnsi"/>
                <w:bCs/>
                <w:sz w:val="18"/>
                <w:szCs w:val="18"/>
              </w:rPr>
            </w:pPr>
          </w:p>
          <w:p w14:paraId="33E19251" w14:textId="77777777" w:rsidR="004F5E50" w:rsidRPr="004F5E50" w:rsidRDefault="004F5E50" w:rsidP="004F5E50">
            <w:pPr>
              <w:pStyle w:val="BodyText"/>
              <w:spacing w:before="0" w:after="0" w:line="240" w:lineRule="auto"/>
              <w:jc w:val="left"/>
              <w:rPr>
                <w:rFonts w:asciiTheme="majorHAnsi" w:hAnsiTheme="majorHAnsi" w:cstheme="majorHAnsi"/>
                <w:bCs/>
                <w:sz w:val="18"/>
                <w:szCs w:val="18"/>
              </w:rPr>
            </w:pPr>
          </w:p>
        </w:tc>
        <w:tc>
          <w:tcPr>
            <w:tcW w:w="3218" w:type="dxa"/>
            <w:shd w:val="clear" w:color="auto" w:fill="auto"/>
          </w:tcPr>
          <w:p w14:paraId="58EE2B14" w14:textId="74E52DE6" w:rsidR="004F5E50" w:rsidRPr="004F5E50" w:rsidRDefault="004F5E50" w:rsidP="004F5E50">
            <w:pPr>
              <w:pStyle w:val="BodyText"/>
              <w:spacing w:before="0" w:after="0" w:line="240" w:lineRule="auto"/>
              <w:rPr>
                <w:rFonts w:asciiTheme="majorHAnsi" w:hAnsiTheme="majorHAnsi" w:cstheme="majorHAnsi"/>
                <w:bCs/>
                <w:sz w:val="18"/>
                <w:szCs w:val="18"/>
              </w:rPr>
            </w:pPr>
            <w:r w:rsidRPr="004F5E50">
              <w:rPr>
                <w:rFonts w:asciiTheme="majorHAnsi" w:hAnsiTheme="majorHAnsi" w:cstheme="majorHAnsi"/>
                <w:bCs/>
                <w:sz w:val="18"/>
                <w:szCs w:val="18"/>
              </w:rPr>
              <w:t>271</w:t>
            </w:r>
            <w:r w:rsidR="00833B78">
              <w:rPr>
                <w:rFonts w:asciiTheme="majorHAnsi" w:hAnsiTheme="majorHAnsi" w:cstheme="majorHAnsi"/>
                <w:bCs/>
                <w:sz w:val="18"/>
                <w:szCs w:val="18"/>
              </w:rPr>
              <w:t>,</w:t>
            </w:r>
            <w:r w:rsidRPr="004F5E50">
              <w:rPr>
                <w:rFonts w:asciiTheme="majorHAnsi" w:hAnsiTheme="majorHAnsi" w:cstheme="majorHAnsi"/>
                <w:bCs/>
                <w:sz w:val="18"/>
                <w:szCs w:val="18"/>
              </w:rPr>
              <w:t xml:space="preserve">362 women (mean age=57.5y), from 2010 to 2017, interpreted by 104 radiologists from 53 facilities in the Breast Cancer Surveillance </w:t>
            </w:r>
          </w:p>
          <w:p w14:paraId="43F7934E" w14:textId="77777777"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4F5E50">
              <w:rPr>
                <w:rFonts w:asciiTheme="majorHAnsi" w:hAnsiTheme="majorHAnsi" w:cstheme="majorHAnsi"/>
                <w:bCs/>
                <w:sz w:val="18"/>
                <w:szCs w:val="18"/>
              </w:rPr>
              <w:t>Consortium.</w:t>
            </w:r>
          </w:p>
          <w:p w14:paraId="0BDAE68A" w14:textId="77777777"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DBT: 106 126 DBT examinations</w:t>
            </w:r>
          </w:p>
          <w:p w14:paraId="6FB6F342" w14:textId="67CAEF62"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4F5E50">
              <w:rPr>
                <w:rFonts w:asciiTheme="majorHAnsi" w:hAnsiTheme="majorHAnsi" w:cstheme="majorHAnsi"/>
                <w:sz w:val="18"/>
                <w:szCs w:val="18"/>
              </w:rPr>
              <w:t>FFDM: 221 248 examinations</w:t>
            </w:r>
          </w:p>
        </w:tc>
        <w:tc>
          <w:tcPr>
            <w:tcW w:w="2963" w:type="dxa"/>
            <w:shd w:val="clear" w:color="auto" w:fill="auto"/>
          </w:tcPr>
          <w:p w14:paraId="589F0FE7" w14:textId="02239292"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 xml:space="preserve">Multi-site prospective study. Reader protocol and units not stated. </w:t>
            </w:r>
          </w:p>
        </w:tc>
        <w:tc>
          <w:tcPr>
            <w:tcW w:w="3095" w:type="dxa"/>
            <w:gridSpan w:val="4"/>
            <w:shd w:val="clear" w:color="auto" w:fill="auto"/>
          </w:tcPr>
          <w:p w14:paraId="231D6EC3" w14:textId="29795E60"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DBT alone:</w:t>
            </w:r>
          </w:p>
          <w:p w14:paraId="3B2EE982" w14:textId="77777777"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All radiologists = 9.4% (8.2, 10.6)</w:t>
            </w:r>
          </w:p>
          <w:p w14:paraId="11C102AF" w14:textId="77777777"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Sub-specialist</w:t>
            </w:r>
          </w:p>
          <w:p w14:paraId="3490C0FA" w14:textId="77777777"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yes = 9.7% (8.5, 11.1)</w:t>
            </w:r>
          </w:p>
          <w:p w14:paraId="304802A6" w14:textId="77777777" w:rsidR="004F5E50" w:rsidRPr="004F5E50" w:rsidRDefault="004F5E50" w:rsidP="004F5E50">
            <w:pPr>
              <w:autoSpaceDE w:val="0"/>
              <w:autoSpaceDN w:val="0"/>
              <w:adjustRightInd w:val="0"/>
              <w:spacing w:after="0" w:line="240" w:lineRule="auto"/>
              <w:rPr>
                <w:rFonts w:asciiTheme="majorHAnsi" w:hAnsiTheme="majorHAnsi" w:cstheme="majorHAnsi"/>
                <w:sz w:val="18"/>
                <w:szCs w:val="18"/>
              </w:rPr>
            </w:pPr>
            <w:r w:rsidRPr="004F5E50">
              <w:rPr>
                <w:rFonts w:asciiTheme="majorHAnsi" w:hAnsiTheme="majorHAnsi" w:cstheme="majorHAnsi"/>
                <w:sz w:val="18"/>
                <w:szCs w:val="18"/>
              </w:rPr>
              <w:t>no = 9.6% (8.1, 11.4)</w:t>
            </w:r>
          </w:p>
          <w:p w14:paraId="69320488" w14:textId="77777777" w:rsidR="004F5E50" w:rsidRPr="004F5E50" w:rsidRDefault="004F5E50" w:rsidP="004F5E50">
            <w:pPr>
              <w:pStyle w:val="BodyText"/>
              <w:spacing w:before="0" w:after="0" w:line="240" w:lineRule="auto"/>
              <w:jc w:val="left"/>
              <w:rPr>
                <w:rFonts w:asciiTheme="majorHAnsi" w:hAnsiTheme="majorHAnsi" w:cstheme="majorHAnsi"/>
                <w:bCs/>
                <w:sz w:val="18"/>
                <w:szCs w:val="18"/>
              </w:rPr>
            </w:pPr>
          </w:p>
        </w:tc>
        <w:tc>
          <w:tcPr>
            <w:tcW w:w="3207" w:type="dxa"/>
            <w:gridSpan w:val="4"/>
            <w:shd w:val="clear" w:color="auto" w:fill="auto"/>
          </w:tcPr>
          <w:p w14:paraId="740095AA" w14:textId="6CF61074"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FFDM alone:</w:t>
            </w:r>
          </w:p>
          <w:p w14:paraId="557A9DF5" w14:textId="77777777"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 xml:space="preserve">1 year prior to DBT adoption </w:t>
            </w:r>
          </w:p>
          <w:p w14:paraId="5C0A9BF1" w14:textId="77777777"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All radiologists = 10.4 (9.5, 11.4)</w:t>
            </w:r>
          </w:p>
          <w:p w14:paraId="1E0D4186" w14:textId="77777777"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Sub-specialist</w:t>
            </w:r>
          </w:p>
          <w:p w14:paraId="7D976467" w14:textId="77777777" w:rsidR="004F5E50" w:rsidRPr="004F5E50" w:rsidRDefault="004F5E50" w:rsidP="004F5E50">
            <w:pPr>
              <w:pStyle w:val="BodyText"/>
              <w:spacing w:before="0" w:after="0" w:line="240" w:lineRule="auto"/>
              <w:jc w:val="left"/>
              <w:rPr>
                <w:rFonts w:asciiTheme="majorHAnsi" w:hAnsiTheme="majorHAnsi" w:cstheme="majorHAnsi"/>
                <w:sz w:val="18"/>
                <w:szCs w:val="18"/>
              </w:rPr>
            </w:pPr>
            <w:r w:rsidRPr="004F5E50">
              <w:rPr>
                <w:rFonts w:asciiTheme="majorHAnsi" w:hAnsiTheme="majorHAnsi" w:cstheme="majorHAnsi"/>
                <w:sz w:val="18"/>
                <w:szCs w:val="18"/>
              </w:rPr>
              <w:t>yes = 10.0% (9.0, 11.1)</w:t>
            </w:r>
          </w:p>
          <w:p w14:paraId="3EE4B9A9" w14:textId="33F3C27F"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4F5E50">
              <w:rPr>
                <w:rFonts w:asciiTheme="majorHAnsi" w:hAnsiTheme="majorHAnsi" w:cstheme="majorHAnsi"/>
                <w:sz w:val="18"/>
                <w:szCs w:val="18"/>
              </w:rPr>
              <w:t>no = 11.0% (9.8, 12.4)</w:t>
            </w:r>
          </w:p>
        </w:tc>
      </w:tr>
      <w:tr w:rsidR="004F5E50" w:rsidRPr="00BE1A3E" w14:paraId="05CF1C05" w14:textId="77777777" w:rsidTr="00091BF0">
        <w:trPr>
          <w:trHeight w:val="429"/>
          <w:tblHeader/>
        </w:trPr>
        <w:tc>
          <w:tcPr>
            <w:tcW w:w="1404" w:type="dxa"/>
            <w:shd w:val="clear" w:color="auto" w:fill="auto"/>
          </w:tcPr>
          <w:p w14:paraId="6E458633" w14:textId="77777777"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Rose &amp; Shisler (2018)</w:t>
            </w:r>
          </w:p>
        </w:tc>
        <w:tc>
          <w:tcPr>
            <w:tcW w:w="3218" w:type="dxa"/>
            <w:shd w:val="clear" w:color="auto" w:fill="auto"/>
          </w:tcPr>
          <w:p w14:paraId="7C3A3282" w14:textId="328AAADE"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59,921 screening examinations of women aged under 50y (no lower age range provided, no stratification), estimate of 10 percent attending for prevalent screening examination:</w:t>
            </w:r>
          </w:p>
          <w:p w14:paraId="5FB0994A" w14:textId="77777777"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 41,542 examinations</w:t>
            </w:r>
          </w:p>
          <w:p w14:paraId="14F593A9" w14:textId="77777777"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FFDM+DBT: 18,379 examinations</w:t>
            </w:r>
          </w:p>
        </w:tc>
        <w:tc>
          <w:tcPr>
            <w:tcW w:w="2963" w:type="dxa"/>
            <w:shd w:val="clear" w:color="auto" w:fill="auto"/>
          </w:tcPr>
          <w:p w14:paraId="2C2E83D3" w14:textId="77777777" w:rsidR="004F5E50" w:rsidRPr="00BE1A3E" w:rsidRDefault="004F5E50" w:rsidP="004F5E50">
            <w:pPr>
              <w:autoSpaceDE w:val="0"/>
              <w:autoSpaceDN w:val="0"/>
              <w:adjustRightInd w:val="0"/>
              <w:spacing w:after="0" w:line="240" w:lineRule="auto"/>
              <w:rPr>
                <w:rFonts w:asciiTheme="majorHAnsi" w:hAnsiTheme="majorHAnsi" w:cstheme="majorHAnsi"/>
                <w:sz w:val="18"/>
                <w:szCs w:val="18"/>
              </w:rPr>
            </w:pPr>
            <w:r w:rsidRPr="00BE1A3E">
              <w:rPr>
                <w:rFonts w:asciiTheme="majorHAnsi" w:hAnsiTheme="majorHAnsi" w:cstheme="majorHAnsi"/>
                <w:sz w:val="18"/>
                <w:szCs w:val="18"/>
              </w:rPr>
              <w:t>Multi-site (N=31) retrospective study set in community mammography practices imaged on Hologic Selenia Dimensions units.</w:t>
            </w:r>
          </w:p>
          <w:p w14:paraId="0F840FCB" w14:textId="77777777" w:rsidR="004F5E50" w:rsidRPr="00BE1A3E" w:rsidRDefault="004F5E50" w:rsidP="004F5E50">
            <w:pPr>
              <w:pStyle w:val="BodyText"/>
              <w:spacing w:before="0" w:after="0" w:line="240" w:lineRule="auto"/>
              <w:jc w:val="left"/>
              <w:rPr>
                <w:rFonts w:asciiTheme="majorHAnsi" w:hAnsiTheme="majorHAnsi" w:cstheme="majorHAnsi"/>
                <w:sz w:val="18"/>
                <w:szCs w:val="18"/>
              </w:rPr>
            </w:pPr>
            <w:r w:rsidRPr="00BE1A3E">
              <w:rPr>
                <w:rFonts w:asciiTheme="majorHAnsi" w:hAnsiTheme="majorHAnsi" w:cstheme="majorHAnsi"/>
                <w:sz w:val="18"/>
                <w:szCs w:val="18"/>
              </w:rPr>
              <w:t>Reader protocol not stated.</w:t>
            </w:r>
          </w:p>
          <w:p w14:paraId="585EA5ED" w14:textId="77777777" w:rsidR="004F5E50" w:rsidRPr="00BE1A3E" w:rsidRDefault="004F5E50" w:rsidP="004F5E50">
            <w:pPr>
              <w:pStyle w:val="BodyText"/>
              <w:spacing w:before="0" w:after="0" w:line="240" w:lineRule="auto"/>
              <w:jc w:val="left"/>
              <w:rPr>
                <w:rFonts w:asciiTheme="majorHAnsi" w:hAnsiTheme="majorHAnsi" w:cstheme="majorHAnsi"/>
                <w:sz w:val="18"/>
                <w:szCs w:val="18"/>
              </w:rPr>
            </w:pPr>
          </w:p>
        </w:tc>
        <w:tc>
          <w:tcPr>
            <w:tcW w:w="3095" w:type="dxa"/>
            <w:gridSpan w:val="4"/>
            <w:shd w:val="clear" w:color="auto" w:fill="auto"/>
          </w:tcPr>
          <w:p w14:paraId="4210645E" w14:textId="77777777"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Women &lt;50</w:t>
            </w:r>
            <w:r>
              <w:rPr>
                <w:rFonts w:asciiTheme="majorHAnsi" w:hAnsiTheme="majorHAnsi" w:cstheme="majorHAnsi"/>
                <w:bCs/>
                <w:sz w:val="18"/>
                <w:szCs w:val="18"/>
              </w:rPr>
              <w:t>y</w:t>
            </w:r>
          </w:p>
          <w:p w14:paraId="09E739E0" w14:textId="77777777"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All: 10.9% </w:t>
            </w:r>
          </w:p>
          <w:p w14:paraId="06A4040B" w14:textId="77777777"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Non</w:t>
            </w:r>
            <w:r>
              <w:rPr>
                <w:rFonts w:asciiTheme="majorHAnsi" w:hAnsiTheme="majorHAnsi" w:cstheme="majorHAnsi"/>
                <w:bCs/>
                <w:sz w:val="18"/>
                <w:szCs w:val="18"/>
              </w:rPr>
              <w:t>-</w:t>
            </w:r>
            <w:r w:rsidRPr="00BE1A3E">
              <w:rPr>
                <w:rFonts w:asciiTheme="majorHAnsi" w:hAnsiTheme="majorHAnsi" w:cstheme="majorHAnsi"/>
                <w:bCs/>
                <w:sz w:val="18"/>
                <w:szCs w:val="18"/>
              </w:rPr>
              <w:t xml:space="preserve">dense: 8.0% </w:t>
            </w:r>
          </w:p>
          <w:p w14:paraId="5D3BE047" w14:textId="77777777"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Dense: 13.2% </w:t>
            </w:r>
          </w:p>
        </w:tc>
        <w:tc>
          <w:tcPr>
            <w:tcW w:w="3207" w:type="dxa"/>
            <w:gridSpan w:val="4"/>
            <w:shd w:val="clear" w:color="auto" w:fill="auto"/>
          </w:tcPr>
          <w:p w14:paraId="5D17EC2B" w14:textId="77777777" w:rsidR="004F5E50" w:rsidRPr="00BE1A3E"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Women &lt;50</w:t>
            </w:r>
            <w:r>
              <w:rPr>
                <w:rFonts w:asciiTheme="majorHAnsi" w:hAnsiTheme="majorHAnsi" w:cstheme="majorHAnsi"/>
                <w:bCs/>
                <w:sz w:val="18"/>
                <w:szCs w:val="18"/>
              </w:rPr>
              <w:t>y</w:t>
            </w:r>
          </w:p>
          <w:p w14:paraId="79CC086E" w14:textId="3E423081"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All: 11.7% </w:t>
            </w:r>
            <w:r>
              <w:rPr>
                <w:rFonts w:asciiTheme="majorHAnsi" w:hAnsiTheme="majorHAnsi" w:cstheme="majorHAnsi"/>
                <w:bCs/>
                <w:sz w:val="18"/>
                <w:szCs w:val="18"/>
              </w:rPr>
              <w:t>(</w:t>
            </w:r>
            <w:r>
              <w:rPr>
                <w:rFonts w:asciiTheme="majorHAnsi" w:hAnsiTheme="majorHAnsi" w:cstheme="majorHAnsi"/>
                <w:bCs/>
                <w:i/>
                <w:iCs/>
                <w:sz w:val="18"/>
                <w:szCs w:val="18"/>
              </w:rPr>
              <w:t>p</w:t>
            </w:r>
            <w:r>
              <w:rPr>
                <w:rFonts w:asciiTheme="majorHAnsi" w:hAnsiTheme="majorHAnsi" w:cstheme="majorHAnsi"/>
                <w:bCs/>
                <w:sz w:val="18"/>
                <w:szCs w:val="18"/>
              </w:rPr>
              <w:t>=.017)</w:t>
            </w:r>
          </w:p>
          <w:p w14:paraId="236C69DC" w14:textId="09FFDB11"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Non</w:t>
            </w:r>
            <w:r>
              <w:rPr>
                <w:rFonts w:asciiTheme="majorHAnsi" w:hAnsiTheme="majorHAnsi" w:cstheme="majorHAnsi"/>
                <w:bCs/>
                <w:sz w:val="18"/>
                <w:szCs w:val="18"/>
              </w:rPr>
              <w:t>-</w:t>
            </w:r>
            <w:r w:rsidRPr="00BE1A3E">
              <w:rPr>
                <w:rFonts w:asciiTheme="majorHAnsi" w:hAnsiTheme="majorHAnsi" w:cstheme="majorHAnsi"/>
                <w:bCs/>
                <w:sz w:val="18"/>
                <w:szCs w:val="18"/>
              </w:rPr>
              <w:t xml:space="preserve">dense: 9.5% </w:t>
            </w:r>
            <w:r>
              <w:rPr>
                <w:rFonts w:asciiTheme="majorHAnsi" w:hAnsiTheme="majorHAnsi" w:cstheme="majorHAnsi"/>
                <w:bCs/>
                <w:sz w:val="18"/>
                <w:szCs w:val="18"/>
              </w:rPr>
              <w:t>(</w:t>
            </w:r>
            <w:r>
              <w:rPr>
                <w:rFonts w:asciiTheme="majorHAnsi" w:hAnsiTheme="majorHAnsi" w:cstheme="majorHAnsi"/>
                <w:bCs/>
                <w:i/>
                <w:iCs/>
                <w:sz w:val="18"/>
                <w:szCs w:val="18"/>
              </w:rPr>
              <w:t>p=.</w:t>
            </w:r>
            <w:r>
              <w:rPr>
                <w:rFonts w:asciiTheme="majorHAnsi" w:hAnsiTheme="majorHAnsi" w:cstheme="majorHAnsi"/>
                <w:bCs/>
                <w:sz w:val="18"/>
                <w:szCs w:val="18"/>
              </w:rPr>
              <w:t>6)</w:t>
            </w:r>
          </w:p>
          <w:p w14:paraId="1125E72E" w14:textId="1FCCA5CE" w:rsidR="004F5E50" w:rsidRPr="004F5E50" w:rsidRDefault="004F5E50" w:rsidP="004F5E50">
            <w:pPr>
              <w:pStyle w:val="BodyText"/>
              <w:spacing w:before="0" w:after="0" w:line="240" w:lineRule="auto"/>
              <w:jc w:val="left"/>
              <w:rPr>
                <w:rFonts w:asciiTheme="majorHAnsi" w:hAnsiTheme="majorHAnsi" w:cstheme="majorHAnsi"/>
                <w:bCs/>
                <w:sz w:val="18"/>
                <w:szCs w:val="18"/>
              </w:rPr>
            </w:pPr>
            <w:r w:rsidRPr="00BE1A3E">
              <w:rPr>
                <w:rFonts w:asciiTheme="majorHAnsi" w:hAnsiTheme="majorHAnsi" w:cstheme="majorHAnsi"/>
                <w:bCs/>
                <w:sz w:val="18"/>
                <w:szCs w:val="18"/>
              </w:rPr>
              <w:t xml:space="preserve">Dense: 13.6% </w:t>
            </w:r>
            <w:r>
              <w:rPr>
                <w:rFonts w:asciiTheme="majorHAnsi" w:hAnsiTheme="majorHAnsi" w:cstheme="majorHAnsi"/>
                <w:bCs/>
                <w:sz w:val="18"/>
                <w:szCs w:val="18"/>
              </w:rPr>
              <w:t>(</w:t>
            </w:r>
            <w:r>
              <w:rPr>
                <w:rFonts w:asciiTheme="majorHAnsi" w:hAnsiTheme="majorHAnsi" w:cstheme="majorHAnsi"/>
                <w:bCs/>
                <w:i/>
                <w:iCs/>
                <w:sz w:val="18"/>
                <w:szCs w:val="18"/>
              </w:rPr>
              <w:t>p=</w:t>
            </w:r>
            <w:r>
              <w:rPr>
                <w:rFonts w:asciiTheme="majorHAnsi" w:hAnsiTheme="majorHAnsi" w:cstheme="majorHAnsi"/>
                <w:bCs/>
                <w:sz w:val="18"/>
                <w:szCs w:val="18"/>
              </w:rPr>
              <w:t>.027)</w:t>
            </w:r>
          </w:p>
        </w:tc>
      </w:tr>
    </w:tbl>
    <w:p w14:paraId="7BDC2878" w14:textId="564E3E29" w:rsidR="00CF2E1C" w:rsidRPr="005866B2" w:rsidRDefault="00CF2E1C" w:rsidP="00CF2E1C">
      <w:pPr>
        <w:rPr>
          <w:highlight w:val="yellow"/>
        </w:rPr>
      </w:pPr>
    </w:p>
    <w:p w14:paraId="630A4914" w14:textId="77777777" w:rsidR="00CF2E1C" w:rsidRPr="004F5E50" w:rsidRDefault="00CF2E1C" w:rsidP="00CF2E1C">
      <w:pPr>
        <w:rPr>
          <w:rFonts w:asciiTheme="majorHAnsi" w:hAnsiTheme="majorHAnsi" w:cstheme="majorHAnsi"/>
          <w:highlight w:val="yellow"/>
        </w:rPr>
      </w:pPr>
    </w:p>
    <w:p w14:paraId="48097FF9" w14:textId="4F2895DE" w:rsidR="00091BF0" w:rsidRPr="004F5E50" w:rsidRDefault="00091BF0" w:rsidP="00CF2E1C">
      <w:pPr>
        <w:rPr>
          <w:rFonts w:asciiTheme="majorHAnsi" w:hAnsiTheme="majorHAnsi" w:cstheme="majorHAnsi"/>
          <w:highlight w:val="yellow"/>
        </w:rPr>
        <w:sectPr w:rsidR="00091BF0" w:rsidRPr="004F5E50" w:rsidSect="00091BF0">
          <w:footerReference w:type="even" r:id="rId22"/>
          <w:footerReference w:type="default" r:id="rId23"/>
          <w:pgSz w:w="16839" w:h="11907" w:orient="landscape" w:code="9"/>
          <w:pgMar w:top="1418" w:right="1418" w:bottom="1418" w:left="1418" w:header="964" w:footer="964" w:gutter="0"/>
          <w:cols w:space="708"/>
          <w:docGrid w:linePitch="360"/>
        </w:sectPr>
      </w:pPr>
    </w:p>
    <w:p w14:paraId="14922C5B" w14:textId="77777777" w:rsidR="002F3343" w:rsidRPr="00870ABB" w:rsidRDefault="002F3343" w:rsidP="002F3343">
      <w:pPr>
        <w:pStyle w:val="BodyText"/>
        <w:rPr>
          <w:b/>
          <w:bCs/>
        </w:rPr>
      </w:pPr>
      <w:r w:rsidRPr="00870ABB">
        <w:rPr>
          <w:b/>
          <w:bCs/>
        </w:rPr>
        <w:lastRenderedPageBreak/>
        <w:t>GRADE assessment: overall recall rate: FFDM+DBT compared to FFDM alone</w:t>
      </w:r>
    </w:p>
    <w:tbl>
      <w:tblPr>
        <w:tblStyle w:val="ACGreen-BasicTable"/>
        <w:tblW w:w="9209" w:type="dxa"/>
        <w:tblLook w:val="04A0" w:firstRow="1" w:lastRow="0" w:firstColumn="1" w:lastColumn="0" w:noHBand="0" w:noVBand="1"/>
        <w:tblDescription w:val="GRADE assessment: overall recall rate: FFDM+DBT compared to FFDM alone.&#10;The participants studies included 217,565 participants and 6 studies.&#10;The quality of evidence was low.&#10;The overall results were pooled analysis and data from prospective fully paired trials and retrospective analysis shows inconsistent results."/>
      </w:tblPr>
      <w:tblGrid>
        <w:gridCol w:w="1701"/>
        <w:gridCol w:w="1134"/>
        <w:gridCol w:w="6374"/>
      </w:tblGrid>
      <w:tr w:rsidR="002F3343" w:rsidRPr="00870ABB" w14:paraId="0842B2E8" w14:textId="77777777" w:rsidTr="00176980">
        <w:trPr>
          <w:cnfStyle w:val="100000000000" w:firstRow="1" w:lastRow="0" w:firstColumn="0" w:lastColumn="0" w:oddVBand="0" w:evenVBand="0" w:oddHBand="0" w:evenHBand="0" w:firstRowFirstColumn="0" w:firstRowLastColumn="0" w:lastRowFirstColumn="0" w:lastRowLastColumn="0"/>
        </w:trPr>
        <w:tc>
          <w:tcPr>
            <w:tcW w:w="1701" w:type="dxa"/>
          </w:tcPr>
          <w:p w14:paraId="46BC6A83" w14:textId="77777777" w:rsidR="002F3343" w:rsidRPr="00870ABB" w:rsidRDefault="002F3343" w:rsidP="00285D7E">
            <w:pPr>
              <w:rPr>
                <w:rFonts w:cstheme="majorHAnsi"/>
                <w:b w:val="0"/>
                <w:sz w:val="18"/>
                <w:szCs w:val="18"/>
              </w:rPr>
            </w:pPr>
            <w:r w:rsidRPr="00870ABB">
              <w:rPr>
                <w:rFonts w:cstheme="majorHAnsi"/>
                <w:sz w:val="18"/>
                <w:szCs w:val="18"/>
              </w:rPr>
              <w:t xml:space="preserve">Participants </w:t>
            </w:r>
          </w:p>
          <w:p w14:paraId="01DBDC75" w14:textId="7A5CF2E9" w:rsidR="002F3343" w:rsidRPr="00285D7E" w:rsidRDefault="002F3343" w:rsidP="00285D7E">
            <w:pPr>
              <w:rPr>
                <w:rFonts w:cstheme="majorHAnsi"/>
                <w:b w:val="0"/>
                <w:sz w:val="18"/>
                <w:szCs w:val="18"/>
              </w:rPr>
            </w:pPr>
            <w:r w:rsidRPr="00870ABB">
              <w:rPr>
                <w:rFonts w:cstheme="majorHAnsi"/>
                <w:sz w:val="18"/>
                <w:szCs w:val="18"/>
              </w:rPr>
              <w:t>Studies</w:t>
            </w:r>
          </w:p>
        </w:tc>
        <w:tc>
          <w:tcPr>
            <w:tcW w:w="1134" w:type="dxa"/>
          </w:tcPr>
          <w:p w14:paraId="6AA52129" w14:textId="77777777" w:rsidR="002F3343" w:rsidRPr="00870ABB" w:rsidRDefault="002F3343" w:rsidP="00285D7E">
            <w:pPr>
              <w:pStyle w:val="BodyText"/>
              <w:spacing w:before="0" w:after="0"/>
              <w:jc w:val="left"/>
            </w:pPr>
            <w:r w:rsidRPr="00870ABB">
              <w:rPr>
                <w:rFonts w:cstheme="majorHAnsi"/>
                <w:sz w:val="18"/>
                <w:szCs w:val="18"/>
              </w:rPr>
              <w:t xml:space="preserve">Quality of evidence </w:t>
            </w:r>
          </w:p>
        </w:tc>
        <w:tc>
          <w:tcPr>
            <w:tcW w:w="6374" w:type="dxa"/>
          </w:tcPr>
          <w:p w14:paraId="5BF605A0" w14:textId="77777777" w:rsidR="002F3343" w:rsidRPr="00870ABB" w:rsidRDefault="002F3343" w:rsidP="00285D7E">
            <w:pPr>
              <w:pStyle w:val="BodyText"/>
              <w:spacing w:before="0" w:after="0"/>
            </w:pPr>
            <w:r w:rsidRPr="00870ABB">
              <w:rPr>
                <w:rFonts w:cstheme="majorHAnsi"/>
                <w:sz w:val="18"/>
                <w:szCs w:val="18"/>
              </w:rPr>
              <w:t xml:space="preserve">Overall results </w:t>
            </w:r>
          </w:p>
        </w:tc>
      </w:tr>
      <w:tr w:rsidR="002F3343" w:rsidRPr="00870ABB" w14:paraId="466CABC4" w14:textId="77777777" w:rsidTr="00176980">
        <w:tc>
          <w:tcPr>
            <w:tcW w:w="1701" w:type="dxa"/>
          </w:tcPr>
          <w:p w14:paraId="01D6115A" w14:textId="77777777" w:rsidR="002F3343" w:rsidRPr="00870ABB" w:rsidRDefault="002F3343" w:rsidP="00176980">
            <w:pPr>
              <w:rPr>
                <w:rFonts w:cstheme="majorHAnsi"/>
                <w:sz w:val="18"/>
                <w:szCs w:val="18"/>
              </w:rPr>
            </w:pPr>
            <w:r w:rsidRPr="00870ABB">
              <w:rPr>
                <w:rFonts w:cstheme="majorHAnsi"/>
                <w:sz w:val="18"/>
                <w:szCs w:val="18"/>
              </w:rPr>
              <w:t>217,565 participants</w:t>
            </w:r>
          </w:p>
          <w:p w14:paraId="0C645D79" w14:textId="77777777" w:rsidR="002F3343" w:rsidRPr="00870ABB" w:rsidRDefault="002F3343" w:rsidP="00176980">
            <w:pPr>
              <w:rPr>
                <w:rFonts w:cstheme="majorHAnsi"/>
                <w:sz w:val="18"/>
                <w:szCs w:val="18"/>
              </w:rPr>
            </w:pPr>
            <w:r w:rsidRPr="00870ABB">
              <w:rPr>
                <w:rFonts w:cstheme="majorHAnsi"/>
                <w:sz w:val="18"/>
                <w:szCs w:val="18"/>
              </w:rPr>
              <w:t>6 studies</w:t>
            </w:r>
          </w:p>
        </w:tc>
        <w:tc>
          <w:tcPr>
            <w:tcW w:w="1134" w:type="dxa"/>
          </w:tcPr>
          <w:p w14:paraId="0162B225" w14:textId="77777777" w:rsidR="002F3343" w:rsidRPr="00870ABB" w:rsidRDefault="002F3343" w:rsidP="00176980">
            <w:pPr>
              <w:rPr>
                <w:rFonts w:cstheme="majorHAnsi"/>
                <w:sz w:val="18"/>
                <w:szCs w:val="18"/>
              </w:rPr>
            </w:pPr>
            <w:r w:rsidRPr="00870ABB">
              <w:rPr>
                <w:rFonts w:ascii="Cambria Math" w:hAnsi="Cambria Math" w:cs="Cambria Math"/>
                <w:sz w:val="18"/>
                <w:szCs w:val="18"/>
              </w:rPr>
              <w:t>⊕⊕</w:t>
            </w:r>
            <w:r w:rsidRPr="00870ABB">
              <w:rPr>
                <w:rFonts w:cstheme="majorHAnsi"/>
                <w:sz w:val="18"/>
                <w:szCs w:val="18"/>
              </w:rPr>
              <w:t xml:space="preserve"> </w:t>
            </w:r>
          </w:p>
          <w:p w14:paraId="4258EEFA" w14:textId="77777777" w:rsidR="002F3343" w:rsidRPr="00870ABB" w:rsidRDefault="002F3343" w:rsidP="00176980">
            <w:pPr>
              <w:rPr>
                <w:rFonts w:cstheme="majorHAnsi"/>
                <w:sz w:val="18"/>
                <w:szCs w:val="18"/>
              </w:rPr>
            </w:pPr>
            <w:r w:rsidRPr="00870ABB">
              <w:rPr>
                <w:rFonts w:cstheme="majorHAnsi"/>
                <w:sz w:val="18"/>
                <w:szCs w:val="18"/>
              </w:rPr>
              <w:t>Low</w:t>
            </w:r>
          </w:p>
        </w:tc>
        <w:tc>
          <w:tcPr>
            <w:tcW w:w="6374" w:type="dxa"/>
          </w:tcPr>
          <w:p w14:paraId="68D4CA95" w14:textId="77777777" w:rsidR="002F3343" w:rsidRPr="00870ABB" w:rsidRDefault="002F3343" w:rsidP="00176980">
            <w:pPr>
              <w:jc w:val="both"/>
              <w:rPr>
                <w:rFonts w:cstheme="majorHAnsi"/>
                <w:sz w:val="18"/>
                <w:szCs w:val="18"/>
              </w:rPr>
            </w:pPr>
            <w:r w:rsidRPr="00870ABB">
              <w:rPr>
                <w:rFonts w:cstheme="majorHAnsi"/>
                <w:sz w:val="18"/>
                <w:szCs w:val="18"/>
              </w:rPr>
              <w:t>Pooled analysis and data from prospective fully paired trials and retrospective analysis shows inconsistent results.</w:t>
            </w:r>
          </w:p>
        </w:tc>
      </w:tr>
    </w:tbl>
    <w:p w14:paraId="52065EC9" w14:textId="7F98AA0D" w:rsidR="002F3343" w:rsidRPr="00870ABB" w:rsidRDefault="002F3343" w:rsidP="002F3343">
      <w:pPr>
        <w:pStyle w:val="BodyText"/>
        <w:rPr>
          <w:b/>
          <w:bCs/>
        </w:rPr>
      </w:pPr>
      <w:r w:rsidRPr="00870ABB">
        <w:rPr>
          <w:b/>
          <w:bCs/>
        </w:rPr>
        <w:t>GRADE assessment: overall recall rate: DBT+</w:t>
      </w:r>
      <w:r w:rsidR="00176980">
        <w:rPr>
          <w:b/>
          <w:bCs/>
        </w:rPr>
        <w:t>s2DM</w:t>
      </w:r>
      <w:r w:rsidRPr="00870ABB">
        <w:rPr>
          <w:b/>
          <w:bCs/>
        </w:rPr>
        <w:t xml:space="preserve"> compared to FFDM+DBT or FFDM alone</w:t>
      </w:r>
    </w:p>
    <w:tbl>
      <w:tblPr>
        <w:tblStyle w:val="ACGreen-BasicTable"/>
        <w:tblW w:w="9209" w:type="dxa"/>
        <w:tblLook w:val="04A0" w:firstRow="1" w:lastRow="0" w:firstColumn="1" w:lastColumn="0" w:noHBand="0" w:noVBand="1"/>
        <w:tblDescription w:val="GRADE assessment: overall recall rate: DBT+s2DM compared to FFDM+DBT or FFDM alone.&#10;The participants studies included 100,752 participants and 3 studies.&#10;The quality of evidence was low.&#10;The overall results were pooled analysis and data from prospective fully paired trials and retrospective analysis shows inconsistent results.&#10;"/>
      </w:tblPr>
      <w:tblGrid>
        <w:gridCol w:w="1701"/>
        <w:gridCol w:w="1134"/>
        <w:gridCol w:w="6374"/>
      </w:tblGrid>
      <w:tr w:rsidR="002F3343" w:rsidRPr="00870ABB" w14:paraId="1CFD1F39" w14:textId="77777777" w:rsidTr="00176980">
        <w:trPr>
          <w:cnfStyle w:val="100000000000" w:firstRow="1" w:lastRow="0" w:firstColumn="0" w:lastColumn="0" w:oddVBand="0" w:evenVBand="0" w:oddHBand="0" w:evenHBand="0" w:firstRowFirstColumn="0" w:firstRowLastColumn="0" w:lastRowFirstColumn="0" w:lastRowLastColumn="0"/>
        </w:trPr>
        <w:tc>
          <w:tcPr>
            <w:tcW w:w="1701" w:type="dxa"/>
          </w:tcPr>
          <w:p w14:paraId="596F2407" w14:textId="77777777" w:rsidR="002F3343" w:rsidRPr="00870ABB" w:rsidRDefault="002F3343" w:rsidP="00176980">
            <w:pPr>
              <w:rPr>
                <w:rFonts w:cstheme="majorHAnsi"/>
                <w:b w:val="0"/>
                <w:sz w:val="18"/>
                <w:szCs w:val="18"/>
              </w:rPr>
            </w:pPr>
            <w:r w:rsidRPr="00870ABB">
              <w:rPr>
                <w:rFonts w:cstheme="majorHAnsi"/>
                <w:sz w:val="18"/>
                <w:szCs w:val="18"/>
              </w:rPr>
              <w:t xml:space="preserve">Participants </w:t>
            </w:r>
          </w:p>
          <w:p w14:paraId="22FABE11" w14:textId="117CE9E3" w:rsidR="002F3343" w:rsidRPr="00285D7E" w:rsidRDefault="002F3343" w:rsidP="00176980">
            <w:pPr>
              <w:rPr>
                <w:rFonts w:cstheme="majorHAnsi"/>
                <w:b w:val="0"/>
                <w:sz w:val="18"/>
                <w:szCs w:val="18"/>
              </w:rPr>
            </w:pPr>
            <w:r w:rsidRPr="00870ABB">
              <w:rPr>
                <w:rFonts w:cstheme="majorHAnsi"/>
                <w:sz w:val="18"/>
                <w:szCs w:val="18"/>
              </w:rPr>
              <w:t>Studies</w:t>
            </w:r>
          </w:p>
        </w:tc>
        <w:tc>
          <w:tcPr>
            <w:tcW w:w="1134" w:type="dxa"/>
          </w:tcPr>
          <w:p w14:paraId="085A53E4" w14:textId="77777777" w:rsidR="002F3343" w:rsidRPr="00870ABB" w:rsidRDefault="002F3343" w:rsidP="00176980">
            <w:pPr>
              <w:rPr>
                <w:rFonts w:ascii="Cambria Math" w:hAnsi="Cambria Math" w:cs="Cambria Math"/>
                <w:sz w:val="18"/>
                <w:szCs w:val="18"/>
              </w:rPr>
            </w:pPr>
            <w:r w:rsidRPr="00870ABB">
              <w:rPr>
                <w:rFonts w:cstheme="majorHAnsi"/>
                <w:sz w:val="18"/>
                <w:szCs w:val="18"/>
              </w:rPr>
              <w:t xml:space="preserve">Quality of evidence </w:t>
            </w:r>
          </w:p>
        </w:tc>
        <w:tc>
          <w:tcPr>
            <w:tcW w:w="6374" w:type="dxa"/>
          </w:tcPr>
          <w:p w14:paraId="0C5110C5" w14:textId="77777777" w:rsidR="002F3343" w:rsidRPr="00870ABB" w:rsidRDefault="002F3343" w:rsidP="00176980">
            <w:pPr>
              <w:pStyle w:val="BodyText"/>
              <w:rPr>
                <w:rFonts w:cstheme="majorHAnsi"/>
                <w:sz w:val="18"/>
                <w:szCs w:val="18"/>
              </w:rPr>
            </w:pPr>
            <w:r w:rsidRPr="00870ABB">
              <w:rPr>
                <w:rFonts w:cstheme="majorHAnsi"/>
                <w:sz w:val="18"/>
                <w:szCs w:val="18"/>
              </w:rPr>
              <w:t xml:space="preserve">Overall results </w:t>
            </w:r>
          </w:p>
        </w:tc>
      </w:tr>
      <w:tr w:rsidR="002F3343" w:rsidRPr="00870ABB" w14:paraId="5E970830" w14:textId="77777777" w:rsidTr="00176980">
        <w:tc>
          <w:tcPr>
            <w:tcW w:w="1701" w:type="dxa"/>
          </w:tcPr>
          <w:p w14:paraId="35A39663" w14:textId="77777777" w:rsidR="002F3343" w:rsidRPr="00870ABB" w:rsidRDefault="002F3343" w:rsidP="00176980">
            <w:pPr>
              <w:rPr>
                <w:rFonts w:cstheme="majorHAnsi"/>
                <w:sz w:val="18"/>
                <w:szCs w:val="18"/>
              </w:rPr>
            </w:pPr>
            <w:r w:rsidRPr="00870ABB">
              <w:rPr>
                <w:rFonts w:cstheme="majorHAnsi"/>
                <w:sz w:val="18"/>
                <w:szCs w:val="18"/>
              </w:rPr>
              <w:t>100,752 participants</w:t>
            </w:r>
          </w:p>
          <w:p w14:paraId="5FCD3525" w14:textId="77777777" w:rsidR="002F3343" w:rsidRPr="00870ABB" w:rsidRDefault="002F3343" w:rsidP="00176980">
            <w:pPr>
              <w:rPr>
                <w:rFonts w:cstheme="majorHAnsi"/>
                <w:sz w:val="18"/>
                <w:szCs w:val="18"/>
              </w:rPr>
            </w:pPr>
            <w:r w:rsidRPr="00870ABB">
              <w:rPr>
                <w:rFonts w:cstheme="majorHAnsi"/>
                <w:sz w:val="18"/>
                <w:szCs w:val="18"/>
              </w:rPr>
              <w:t>3 studies</w:t>
            </w:r>
          </w:p>
        </w:tc>
        <w:tc>
          <w:tcPr>
            <w:tcW w:w="1134" w:type="dxa"/>
          </w:tcPr>
          <w:p w14:paraId="5E7CBCD5" w14:textId="77777777" w:rsidR="002F3343" w:rsidRPr="00870ABB" w:rsidRDefault="002F3343" w:rsidP="00176980">
            <w:pPr>
              <w:rPr>
                <w:rFonts w:cstheme="majorHAnsi"/>
                <w:sz w:val="18"/>
                <w:szCs w:val="18"/>
              </w:rPr>
            </w:pPr>
            <w:r w:rsidRPr="00870ABB">
              <w:rPr>
                <w:rFonts w:ascii="Cambria Math" w:hAnsi="Cambria Math" w:cs="Cambria Math"/>
                <w:sz w:val="18"/>
                <w:szCs w:val="18"/>
              </w:rPr>
              <w:t>⊕⊕</w:t>
            </w:r>
            <w:r w:rsidRPr="00870ABB">
              <w:rPr>
                <w:rFonts w:cstheme="majorHAnsi"/>
                <w:sz w:val="18"/>
                <w:szCs w:val="18"/>
              </w:rPr>
              <w:t xml:space="preserve"> </w:t>
            </w:r>
          </w:p>
          <w:p w14:paraId="726522E6" w14:textId="77777777" w:rsidR="002F3343" w:rsidRPr="00870ABB" w:rsidRDefault="002F3343" w:rsidP="00176980">
            <w:pPr>
              <w:rPr>
                <w:rFonts w:cstheme="majorHAnsi"/>
                <w:sz w:val="18"/>
                <w:szCs w:val="18"/>
              </w:rPr>
            </w:pPr>
            <w:r w:rsidRPr="00870ABB">
              <w:rPr>
                <w:rFonts w:cstheme="majorHAnsi"/>
                <w:sz w:val="18"/>
                <w:szCs w:val="18"/>
              </w:rPr>
              <w:t>Low</w:t>
            </w:r>
          </w:p>
        </w:tc>
        <w:tc>
          <w:tcPr>
            <w:tcW w:w="6374" w:type="dxa"/>
          </w:tcPr>
          <w:p w14:paraId="2CF8C47F" w14:textId="77777777" w:rsidR="002F3343" w:rsidRPr="00870ABB" w:rsidRDefault="002F3343" w:rsidP="00176980">
            <w:pPr>
              <w:jc w:val="both"/>
              <w:rPr>
                <w:rFonts w:cstheme="majorHAnsi"/>
                <w:sz w:val="18"/>
                <w:szCs w:val="18"/>
              </w:rPr>
            </w:pPr>
            <w:r w:rsidRPr="00870ABB">
              <w:rPr>
                <w:rFonts w:cstheme="majorHAnsi"/>
                <w:sz w:val="18"/>
                <w:szCs w:val="18"/>
              </w:rPr>
              <w:t>Pooled analysis and data from prospective fully paired trials and retrospective analysis shows inconsistent results.</w:t>
            </w:r>
          </w:p>
        </w:tc>
      </w:tr>
    </w:tbl>
    <w:p w14:paraId="63220149" w14:textId="77777777" w:rsidR="002F3343" w:rsidRPr="00870ABB" w:rsidRDefault="002F3343" w:rsidP="002F3343">
      <w:pPr>
        <w:pStyle w:val="BodyText"/>
      </w:pPr>
      <w:r w:rsidRPr="00870ABB">
        <w:rPr>
          <w:b/>
          <w:bCs/>
        </w:rPr>
        <w:t>GRADE assessment: overall recall rate: DBT</w:t>
      </w:r>
      <w:r w:rsidRPr="00870ABB">
        <w:rPr>
          <w:b/>
          <w:bCs/>
          <w:vertAlign w:val="subscript"/>
        </w:rPr>
        <w:t>MLO</w:t>
      </w:r>
      <w:r w:rsidRPr="00870ABB">
        <w:rPr>
          <w:b/>
          <w:bCs/>
        </w:rPr>
        <w:t xml:space="preserve"> compared to other imaging</w:t>
      </w:r>
    </w:p>
    <w:tbl>
      <w:tblPr>
        <w:tblStyle w:val="ACGreen-BasicTable"/>
        <w:tblW w:w="9209" w:type="dxa"/>
        <w:tblLook w:val="04A0" w:firstRow="1" w:lastRow="0" w:firstColumn="1" w:lastColumn="0" w:noHBand="0" w:noVBand="1"/>
        <w:tblDescription w:val="GRADE assessment: overall recall rate: DBTMLO compared to other imaging.&#10;The participants Studies included 7,681 participants and 2 studies.&#10;The quality of evidence was very low.&#10;The overall results were no systematic review or pooled analysis was available.&#10;"/>
      </w:tblPr>
      <w:tblGrid>
        <w:gridCol w:w="1701"/>
        <w:gridCol w:w="1134"/>
        <w:gridCol w:w="6374"/>
      </w:tblGrid>
      <w:tr w:rsidR="002F3343" w:rsidRPr="00870ABB" w14:paraId="4FD8D710" w14:textId="77777777" w:rsidTr="00176980">
        <w:trPr>
          <w:cnfStyle w:val="100000000000" w:firstRow="1" w:lastRow="0" w:firstColumn="0" w:lastColumn="0" w:oddVBand="0" w:evenVBand="0" w:oddHBand="0" w:evenHBand="0" w:firstRowFirstColumn="0" w:firstRowLastColumn="0" w:lastRowFirstColumn="0" w:lastRowLastColumn="0"/>
        </w:trPr>
        <w:tc>
          <w:tcPr>
            <w:tcW w:w="1701" w:type="dxa"/>
          </w:tcPr>
          <w:p w14:paraId="2A984448" w14:textId="77777777" w:rsidR="002F3343" w:rsidRPr="00870ABB" w:rsidRDefault="002F3343" w:rsidP="00176980">
            <w:pPr>
              <w:rPr>
                <w:rFonts w:cstheme="majorHAnsi"/>
                <w:b w:val="0"/>
                <w:sz w:val="18"/>
                <w:szCs w:val="18"/>
              </w:rPr>
            </w:pPr>
            <w:r w:rsidRPr="00870ABB">
              <w:rPr>
                <w:rFonts w:cstheme="majorHAnsi"/>
                <w:sz w:val="18"/>
                <w:szCs w:val="18"/>
              </w:rPr>
              <w:t xml:space="preserve">Participants </w:t>
            </w:r>
          </w:p>
          <w:p w14:paraId="0C2A09E8" w14:textId="3656E51C" w:rsidR="002F3343" w:rsidRPr="00285D7E" w:rsidRDefault="002F3343" w:rsidP="00176980">
            <w:pPr>
              <w:rPr>
                <w:rFonts w:cstheme="majorHAnsi"/>
                <w:b w:val="0"/>
                <w:sz w:val="18"/>
                <w:szCs w:val="18"/>
              </w:rPr>
            </w:pPr>
            <w:r w:rsidRPr="00870ABB">
              <w:rPr>
                <w:rFonts w:cstheme="majorHAnsi"/>
                <w:sz w:val="18"/>
                <w:szCs w:val="18"/>
              </w:rPr>
              <w:t>Studies</w:t>
            </w:r>
          </w:p>
        </w:tc>
        <w:tc>
          <w:tcPr>
            <w:tcW w:w="1134" w:type="dxa"/>
          </w:tcPr>
          <w:p w14:paraId="43CACEAA" w14:textId="77777777" w:rsidR="002F3343" w:rsidRPr="00870ABB" w:rsidRDefault="002F3343" w:rsidP="00176980">
            <w:pPr>
              <w:rPr>
                <w:rFonts w:ascii="Cambria Math" w:hAnsi="Cambria Math" w:cs="Cambria Math"/>
                <w:sz w:val="18"/>
                <w:szCs w:val="18"/>
              </w:rPr>
            </w:pPr>
            <w:r w:rsidRPr="00870ABB">
              <w:rPr>
                <w:rFonts w:cstheme="majorHAnsi"/>
                <w:sz w:val="18"/>
                <w:szCs w:val="18"/>
              </w:rPr>
              <w:t xml:space="preserve">Quality of evidence </w:t>
            </w:r>
          </w:p>
        </w:tc>
        <w:tc>
          <w:tcPr>
            <w:tcW w:w="6374" w:type="dxa"/>
          </w:tcPr>
          <w:p w14:paraId="5667313D" w14:textId="77777777" w:rsidR="002F3343" w:rsidRPr="00870ABB" w:rsidRDefault="002F3343" w:rsidP="00176980">
            <w:pPr>
              <w:pStyle w:val="BodyText"/>
              <w:rPr>
                <w:rFonts w:cstheme="majorHAnsi"/>
                <w:sz w:val="18"/>
                <w:szCs w:val="18"/>
              </w:rPr>
            </w:pPr>
            <w:r w:rsidRPr="00870ABB">
              <w:rPr>
                <w:rFonts w:cstheme="majorHAnsi"/>
                <w:sz w:val="18"/>
                <w:szCs w:val="18"/>
              </w:rPr>
              <w:t xml:space="preserve">Overall results </w:t>
            </w:r>
          </w:p>
        </w:tc>
      </w:tr>
      <w:tr w:rsidR="002F3343" w:rsidRPr="00890A7C" w14:paraId="7BFBB41C" w14:textId="77777777" w:rsidTr="00176980">
        <w:tc>
          <w:tcPr>
            <w:tcW w:w="1701" w:type="dxa"/>
          </w:tcPr>
          <w:p w14:paraId="4CBF5BDA" w14:textId="77777777" w:rsidR="002F3343" w:rsidRPr="00870ABB" w:rsidRDefault="002F3343" w:rsidP="00176980">
            <w:pPr>
              <w:rPr>
                <w:rFonts w:cstheme="majorHAnsi"/>
                <w:sz w:val="18"/>
                <w:szCs w:val="18"/>
              </w:rPr>
            </w:pPr>
            <w:r w:rsidRPr="00870ABB">
              <w:rPr>
                <w:rFonts w:cstheme="majorHAnsi"/>
                <w:sz w:val="18"/>
                <w:szCs w:val="18"/>
              </w:rPr>
              <w:t>7,681</w:t>
            </w:r>
          </w:p>
          <w:p w14:paraId="64338845" w14:textId="77777777" w:rsidR="002F3343" w:rsidRPr="00870ABB" w:rsidRDefault="002F3343" w:rsidP="00176980">
            <w:pPr>
              <w:tabs>
                <w:tab w:val="center" w:pos="822"/>
              </w:tabs>
              <w:rPr>
                <w:rFonts w:cstheme="majorHAnsi"/>
                <w:sz w:val="18"/>
                <w:szCs w:val="18"/>
              </w:rPr>
            </w:pPr>
            <w:r w:rsidRPr="00870ABB">
              <w:rPr>
                <w:rFonts w:cstheme="majorHAnsi"/>
                <w:sz w:val="18"/>
                <w:szCs w:val="18"/>
              </w:rPr>
              <w:t>2</w:t>
            </w:r>
            <w:r>
              <w:rPr>
                <w:rFonts w:cstheme="majorHAnsi"/>
                <w:sz w:val="18"/>
                <w:szCs w:val="18"/>
              </w:rPr>
              <w:t xml:space="preserve"> studies</w:t>
            </w:r>
            <w:r>
              <w:rPr>
                <w:rFonts w:cstheme="majorHAnsi"/>
                <w:sz w:val="18"/>
                <w:szCs w:val="18"/>
              </w:rPr>
              <w:tab/>
            </w:r>
          </w:p>
        </w:tc>
        <w:tc>
          <w:tcPr>
            <w:tcW w:w="1134" w:type="dxa"/>
          </w:tcPr>
          <w:p w14:paraId="27FFA33F" w14:textId="77777777" w:rsidR="002F3343" w:rsidRPr="00870ABB" w:rsidRDefault="002F3343" w:rsidP="00176980">
            <w:pPr>
              <w:rPr>
                <w:rFonts w:cstheme="majorHAnsi"/>
                <w:sz w:val="18"/>
                <w:szCs w:val="18"/>
              </w:rPr>
            </w:pPr>
            <w:r w:rsidRPr="00870ABB">
              <w:rPr>
                <w:rFonts w:ascii="Cambria Math" w:hAnsi="Cambria Math" w:cs="Cambria Math"/>
                <w:sz w:val="18"/>
                <w:szCs w:val="18"/>
              </w:rPr>
              <w:t>⊕</w:t>
            </w:r>
            <w:r w:rsidRPr="00870ABB">
              <w:rPr>
                <w:rFonts w:cstheme="majorHAnsi"/>
                <w:sz w:val="18"/>
                <w:szCs w:val="18"/>
              </w:rPr>
              <w:t xml:space="preserve"> </w:t>
            </w:r>
          </w:p>
          <w:p w14:paraId="15267C1C" w14:textId="77777777" w:rsidR="002F3343" w:rsidRPr="00870ABB" w:rsidRDefault="002F3343" w:rsidP="00176980">
            <w:pPr>
              <w:rPr>
                <w:rFonts w:cstheme="majorHAnsi"/>
                <w:sz w:val="18"/>
                <w:szCs w:val="18"/>
              </w:rPr>
            </w:pPr>
            <w:r w:rsidRPr="00870ABB">
              <w:rPr>
                <w:rFonts w:cstheme="majorHAnsi"/>
                <w:sz w:val="18"/>
                <w:szCs w:val="18"/>
              </w:rPr>
              <w:t>Very low</w:t>
            </w:r>
          </w:p>
        </w:tc>
        <w:tc>
          <w:tcPr>
            <w:tcW w:w="6374" w:type="dxa"/>
          </w:tcPr>
          <w:p w14:paraId="0073F7F2" w14:textId="77777777" w:rsidR="002F3343" w:rsidRPr="00870ABB" w:rsidRDefault="002F3343" w:rsidP="00176980">
            <w:pPr>
              <w:rPr>
                <w:rFonts w:cstheme="majorHAnsi"/>
                <w:sz w:val="18"/>
                <w:szCs w:val="18"/>
              </w:rPr>
            </w:pPr>
            <w:r w:rsidRPr="00870ABB">
              <w:rPr>
                <w:rFonts w:cstheme="majorHAnsi"/>
                <w:sz w:val="18"/>
                <w:szCs w:val="18"/>
              </w:rPr>
              <w:t xml:space="preserve">No systematic review or pooled analysis was available. </w:t>
            </w:r>
          </w:p>
        </w:tc>
      </w:tr>
    </w:tbl>
    <w:p w14:paraId="02399508" w14:textId="77777777" w:rsidR="002F3343" w:rsidRPr="00870ABB" w:rsidRDefault="002F3343" w:rsidP="002F3343">
      <w:pPr>
        <w:pStyle w:val="CV-Heading"/>
      </w:pPr>
      <w:r w:rsidRPr="00870ABB">
        <w:t>Updated findings</w:t>
      </w:r>
    </w:p>
    <w:p w14:paraId="6AA892F6" w14:textId="48F9D18E" w:rsidR="0096179A" w:rsidRPr="0096179A" w:rsidRDefault="0096179A" w:rsidP="0096179A">
      <w:pPr>
        <w:pStyle w:val="BodyText"/>
      </w:pPr>
      <w:r w:rsidRPr="0096179A">
        <w:t>Literature published since 31 December 2017 relating to false positive recalls and DBT reported results for the Reggio Emilia RCT, STORM-2, OTS and Malmö trials along with three retrospective analyses. No systematic reviews of studies published since December 2017 considered false positive recall rate. The small number of studies reporting false positive results provided a wide cross-section of screening  protocols including FFDM+DBT, DBT+s2DM and DBT</w:t>
      </w:r>
      <w:r w:rsidRPr="0096179A">
        <w:rPr>
          <w:vertAlign w:val="subscript"/>
        </w:rPr>
        <w:t>MLO</w:t>
      </w:r>
      <w:r w:rsidRPr="0096179A">
        <w:t xml:space="preserve">. Different reading and consensus/arbitration protocols were reported, which might influence results quite considerably and one European study (perhaps surprisingly) did not use consensus or arbitration for discordant reader results. The methods sections of some studies lacked relevant detail including in a number of cases a definition of false positive recalls. Whether false positive recall rates for DBT are associated with learning curves, availability of prior screens or other methodological factors it is currently difficult to determine. Studies in progress may provide greater clarity on this important area in the future. </w:t>
      </w:r>
      <w:r w:rsidRPr="0096179A">
        <w:rPr>
          <w:i/>
          <w:iCs/>
        </w:rPr>
        <w:t xml:space="preserve">Table </w:t>
      </w:r>
      <w:r w:rsidR="00411CFB">
        <w:rPr>
          <w:i/>
          <w:iCs/>
        </w:rPr>
        <w:t>17</w:t>
      </w:r>
      <w:r w:rsidRPr="0096179A">
        <w:t xml:space="preserve"> includes a summary of all</w:t>
      </w:r>
      <w:r w:rsidRPr="0096179A">
        <w:rPr>
          <w:i/>
          <w:iCs/>
        </w:rPr>
        <w:t xml:space="preserve"> </w:t>
      </w:r>
      <w:r w:rsidRPr="0096179A">
        <w:t xml:space="preserve">study results. Detailed methodologies for each of these studies is provided in </w:t>
      </w:r>
      <w:r w:rsidRPr="0096179A">
        <w:rPr>
          <w:i/>
          <w:iCs/>
        </w:rPr>
        <w:t>section 3.1.1</w:t>
      </w:r>
      <w:r w:rsidRPr="0096179A">
        <w:t>)</w:t>
      </w:r>
      <w:r w:rsidRPr="0096179A">
        <w:rPr>
          <w:i/>
          <w:iCs/>
        </w:rPr>
        <w:t xml:space="preserve">. </w:t>
      </w:r>
      <w:r w:rsidRPr="0096179A">
        <w:t>Included studies are listed below.</w:t>
      </w:r>
    </w:p>
    <w:p w14:paraId="601AEA57" w14:textId="77777777" w:rsidR="0096179A" w:rsidRPr="0096179A" w:rsidRDefault="0096179A" w:rsidP="0096179A">
      <w:pPr>
        <w:pStyle w:val="Heading3"/>
      </w:pPr>
      <w:r w:rsidRPr="0096179A">
        <w:tab/>
      </w:r>
      <w:bookmarkStart w:id="380" w:name="_Toc27904785"/>
      <w:bookmarkStart w:id="381" w:name="_Toc43376336"/>
      <w:r w:rsidRPr="0096179A">
        <w:t>Randomized controlled trial</w:t>
      </w:r>
      <w:bookmarkEnd w:id="380"/>
      <w:bookmarkEnd w:id="381"/>
    </w:p>
    <w:p w14:paraId="039CF8EE" w14:textId="63FCBF21" w:rsidR="0096179A" w:rsidRPr="0096179A" w:rsidRDefault="0096179A" w:rsidP="0096179A">
      <w:pPr>
        <w:pStyle w:val="BodyText"/>
        <w:ind w:firstLine="720"/>
      </w:pPr>
      <w:r w:rsidRPr="0096179A">
        <w:t>One randomi</w:t>
      </w:r>
      <w:r w:rsidR="006500B4">
        <w:t>z</w:t>
      </w:r>
      <w:r w:rsidRPr="0096179A">
        <w:t>ed study embedded in population-based screening: Pattacini et al., 2018</w:t>
      </w:r>
    </w:p>
    <w:p w14:paraId="38067676" w14:textId="77777777" w:rsidR="0096179A" w:rsidRPr="0096179A" w:rsidRDefault="0096179A" w:rsidP="0096179A">
      <w:pPr>
        <w:pStyle w:val="Heading3"/>
      </w:pPr>
      <w:r w:rsidRPr="0096179A">
        <w:tab/>
      </w:r>
      <w:bookmarkStart w:id="382" w:name="_Toc27904786"/>
      <w:bookmarkStart w:id="383" w:name="_Toc43376337"/>
      <w:r w:rsidRPr="0096179A">
        <w:t>Prospective trials embedded in population screening programs</w:t>
      </w:r>
      <w:bookmarkEnd w:id="382"/>
      <w:bookmarkEnd w:id="383"/>
    </w:p>
    <w:p w14:paraId="6AFB68F4" w14:textId="76FFF1D1" w:rsidR="0096179A" w:rsidRPr="0096179A" w:rsidRDefault="0096179A" w:rsidP="0096179A">
      <w:pPr>
        <w:pStyle w:val="BodyText"/>
        <w:ind w:left="720"/>
      </w:pPr>
      <w:r w:rsidRPr="0096179A">
        <w:t>Three studies: Ska</w:t>
      </w:r>
      <w:r>
        <w:t>a</w:t>
      </w:r>
      <w:r w:rsidRPr="0096179A">
        <w:t xml:space="preserve">ne et al., 2019; </w:t>
      </w:r>
      <w:r w:rsidR="00411CFB" w:rsidRPr="0096179A">
        <w:t>Bernardi et al., 201</w:t>
      </w:r>
      <w:r w:rsidR="00411CFB">
        <w:t>8</w:t>
      </w:r>
      <w:r w:rsidR="00411CFB" w:rsidRPr="0096179A">
        <w:t xml:space="preserve">; </w:t>
      </w:r>
      <w:r w:rsidRPr="0096179A">
        <w:t xml:space="preserve">Zackrisson et al., 2018, </w:t>
      </w:r>
    </w:p>
    <w:p w14:paraId="49F63B8C" w14:textId="77777777" w:rsidR="0096179A" w:rsidRPr="0096179A" w:rsidRDefault="0096179A" w:rsidP="0096179A">
      <w:pPr>
        <w:pStyle w:val="Heading3"/>
        <w:ind w:firstLine="720"/>
      </w:pPr>
      <w:bookmarkStart w:id="384" w:name="_Toc27904787"/>
      <w:bookmarkStart w:id="385" w:name="_Toc43376338"/>
      <w:r w:rsidRPr="0096179A">
        <w:lastRenderedPageBreak/>
        <w:t>Observational studies</w:t>
      </w:r>
      <w:bookmarkEnd w:id="384"/>
      <w:bookmarkEnd w:id="385"/>
    </w:p>
    <w:p w14:paraId="06573AB6" w14:textId="77777777" w:rsidR="0096179A" w:rsidRPr="0096179A" w:rsidRDefault="0096179A" w:rsidP="0096179A">
      <w:pPr>
        <w:pStyle w:val="BodyText"/>
        <w:ind w:left="720"/>
      </w:pPr>
      <w:r w:rsidRPr="0096179A">
        <w:t>Three studies with a retrospective design: Bahl et al., 2019; Honig et al., 2019; Hovda et al., 2019</w:t>
      </w:r>
    </w:p>
    <w:p w14:paraId="7E2D7910" w14:textId="77777777" w:rsidR="000942E7" w:rsidRPr="0096179A" w:rsidRDefault="000942E7"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96179A">
        <w:rPr>
          <w:b/>
          <w:bCs/>
        </w:rPr>
        <w:t>Summary of key findings published between 1 January 2018 and 31 December 2019</w:t>
      </w:r>
    </w:p>
    <w:p w14:paraId="61F65925" w14:textId="318A4D9B" w:rsidR="000942E7" w:rsidRPr="00EC6F2F" w:rsidRDefault="000942E7" w:rsidP="00EC6F2F">
      <w:pPr>
        <w:pStyle w:val="BodyText-GREEN"/>
        <w:pBdr>
          <w:top w:val="single" w:sz="4" w:space="1" w:color="auto"/>
          <w:left w:val="single" w:sz="4" w:space="4" w:color="auto"/>
          <w:bottom w:val="single" w:sz="4" w:space="1" w:color="auto"/>
          <w:right w:val="single" w:sz="4" w:space="4" w:color="auto"/>
        </w:pBdr>
        <w:shd w:val="clear" w:color="auto" w:fill="E7FFBD" w:themeFill="background2" w:themeFillTint="33"/>
        <w:rPr>
          <w:color w:val="auto"/>
        </w:rPr>
      </w:pPr>
      <w:r w:rsidRPr="00EC6F2F">
        <w:rPr>
          <w:color w:val="auto"/>
        </w:rPr>
        <w:t>Inconsistent results regarding the influence of DBT on false positive recall rates were reported. Of the six studies that reported results, two prospective studies reported higher false positive recall rates for DBT+s2DM compared to FFDM and four studies reported lower rates of false positive recall. Studies that recorded increases in false positive recall rates for DBT were the STORM-2 trial and Malmö trial. The STORM-2 trial did not employ a means of arbitration for discordant screen readings which may have influenced the result (i.e., a lower false positive recall rate could have been achieved if third party consensus was used). Additionally, other factors that could have impacted higher false positive recall rates in this study suggested by the authors were learning effect in relation to adjusting to new imaging protocols that produce radically different images and the process of sequential screen-reading at the DBT phase which allowed within participant comparison. Other studies also noted a learning effect in relation to reader lack of familiarity with DBT</w:t>
      </w:r>
      <w:r w:rsidRPr="00EC6F2F">
        <w:rPr>
          <w:color w:val="auto"/>
          <w:vertAlign w:val="subscript"/>
        </w:rPr>
        <w:t>MLO.</w:t>
      </w:r>
      <w:r w:rsidRPr="00EC6F2F">
        <w:rPr>
          <w:color w:val="auto"/>
        </w:rPr>
        <w:t xml:space="preserve"> Another factors to consider is the lack of availability of prior DBT screens that could be compared unlike FFDM.  The inclusion of DBT or DBT+2SDM in population breast screening poses a difficult question in relation to the potential trade-off between increasing CDR but also increasing false positives.</w:t>
      </w:r>
    </w:p>
    <w:p w14:paraId="664AA48E" w14:textId="705AAEF1" w:rsidR="0096179A" w:rsidRPr="00411CFB" w:rsidRDefault="0096179A" w:rsidP="0096179A">
      <w:pPr>
        <w:pStyle w:val="Heading3-NOTinTOC"/>
      </w:pPr>
      <w:r w:rsidRPr="00411CFB">
        <w:t>DBT+s2DM compared to FFDM+DBT and FFDM alone</w:t>
      </w:r>
    </w:p>
    <w:p w14:paraId="5897B8F2" w14:textId="77777777" w:rsidR="0096179A" w:rsidRPr="00411CFB" w:rsidRDefault="0096179A" w:rsidP="0096179A">
      <w:pPr>
        <w:pStyle w:val="BodyText"/>
      </w:pPr>
      <w:r w:rsidRPr="00411CFB">
        <w:t>Mixed results are presented on the impact that DBT+s2DM has on false positive recall rate.</w:t>
      </w:r>
    </w:p>
    <w:p w14:paraId="4F9F0231" w14:textId="77777777" w:rsidR="0096179A" w:rsidRPr="00411CFB" w:rsidRDefault="0096179A" w:rsidP="0096179A">
      <w:pPr>
        <w:pStyle w:val="BodyText-GREEN"/>
        <w:rPr>
          <w:b/>
          <w:bCs/>
        </w:rPr>
      </w:pPr>
      <w:r w:rsidRPr="00411CFB">
        <w:rPr>
          <w:b/>
          <w:bCs/>
        </w:rPr>
        <w:t>Prospective trials embedded in population screening programs</w:t>
      </w:r>
    </w:p>
    <w:p w14:paraId="2223E952" w14:textId="77777777" w:rsidR="0096179A" w:rsidRPr="00411CFB" w:rsidRDefault="0096179A" w:rsidP="0096179A">
      <w:pPr>
        <w:pStyle w:val="BodyText"/>
      </w:pPr>
      <w:r w:rsidRPr="00411CFB">
        <w:t>In a secondary analysis from the STORM-2</w:t>
      </w:r>
      <w:r w:rsidRPr="00411CFB">
        <w:rPr>
          <w:b/>
          <w:bCs/>
        </w:rPr>
        <w:t xml:space="preserve"> </w:t>
      </w:r>
      <w:r w:rsidRPr="00411CFB">
        <w:t>paired prospective trial, Bernardi et al. (2018) compared double reading for four reading strategy in two arms. Arm 1 involved sequential reading of FFDM alone then FFDM+DBT; Arm 2 involved independent sequential reading of the same screening examinations using s2DM alone then DBT+s2DM by two different radiologists. Given that four radiologists read each set of images, consensus or arbitration was not used. If one or both readers in a pair noted a positive screen, the woman was recalled for further investigation. This study determined a false positive rate for several modalities. A definition of false positive was not provided. Use of DBT resulted in an increase in the false positive recall rate:</w:t>
      </w:r>
    </w:p>
    <w:p w14:paraId="56BAA842" w14:textId="77777777" w:rsidR="0096179A" w:rsidRPr="00411CFB" w:rsidRDefault="0096179A" w:rsidP="0096179A">
      <w:pPr>
        <w:pStyle w:val="List-BulletLvl1"/>
        <w:numPr>
          <w:ilvl w:val="0"/>
          <w:numId w:val="6"/>
        </w:numPr>
      </w:pPr>
      <w:r w:rsidRPr="00411CFB">
        <w:t xml:space="preserve">FFDM: range was 1.2 percent and 2.7 percent (median 2.25 percent) </w:t>
      </w:r>
    </w:p>
    <w:p w14:paraId="51D5D207" w14:textId="77777777" w:rsidR="0096179A" w:rsidRPr="00411CFB" w:rsidRDefault="0096179A" w:rsidP="0096179A">
      <w:pPr>
        <w:pStyle w:val="List-BulletLvl1"/>
        <w:numPr>
          <w:ilvl w:val="0"/>
          <w:numId w:val="6"/>
        </w:numPr>
      </w:pPr>
      <w:r w:rsidRPr="00411CFB">
        <w:t xml:space="preserve">FFDM+DBT: range was 1.5 percent and 3.4 percent (median 2.75 percent), and </w:t>
      </w:r>
    </w:p>
    <w:p w14:paraId="12E73F85" w14:textId="77777777" w:rsidR="0096179A" w:rsidRPr="00411CFB" w:rsidRDefault="0096179A" w:rsidP="0096179A">
      <w:pPr>
        <w:pStyle w:val="List-BulletLvl1"/>
        <w:numPr>
          <w:ilvl w:val="0"/>
          <w:numId w:val="6"/>
        </w:numPr>
      </w:pPr>
      <w:r w:rsidRPr="00411CFB">
        <w:t>s2DM: range was 1.6 percent and 4.6 percent (median 2.4 percent)</w:t>
      </w:r>
    </w:p>
    <w:p w14:paraId="4C7C9726" w14:textId="77777777" w:rsidR="0096179A" w:rsidRPr="00411CFB" w:rsidRDefault="0096179A" w:rsidP="0096179A">
      <w:pPr>
        <w:pStyle w:val="List-BulletLvl1"/>
        <w:numPr>
          <w:ilvl w:val="0"/>
          <w:numId w:val="6"/>
        </w:numPr>
      </w:pPr>
      <w:r w:rsidRPr="00411CFB">
        <w:t xml:space="preserve">DBT+s2DM: range was 1.8 percent and 6.7 percent (median 3.0 percent). </w:t>
      </w:r>
    </w:p>
    <w:p w14:paraId="62BF71BB" w14:textId="3C9DF1CF" w:rsidR="0096179A" w:rsidRPr="00411CFB" w:rsidRDefault="0096179A" w:rsidP="0096179A">
      <w:pPr>
        <w:pStyle w:val="BodyText"/>
      </w:pPr>
      <w:r w:rsidRPr="00411CFB">
        <w:t>The study found that the integration of DBT in screen-reading increased the number and rate of false positive recall rate for most radiologists involved compared to FFDM or s2DM</w:t>
      </w:r>
      <w:r w:rsidR="00411CFB">
        <w:t xml:space="preserve"> (see </w:t>
      </w:r>
      <w:r w:rsidR="00411CFB">
        <w:rPr>
          <w:i/>
          <w:iCs/>
        </w:rPr>
        <w:t xml:space="preserve">Tables 16a </w:t>
      </w:r>
      <w:r w:rsidR="00411CFB" w:rsidRPr="00411CFB">
        <w:t>and</w:t>
      </w:r>
      <w:r w:rsidR="00411CFB">
        <w:rPr>
          <w:i/>
          <w:iCs/>
        </w:rPr>
        <w:t xml:space="preserve"> </w:t>
      </w:r>
      <w:r w:rsidR="00411CFB" w:rsidRPr="00411CFB">
        <w:rPr>
          <w:i/>
          <w:iCs/>
        </w:rPr>
        <w:t>16b</w:t>
      </w:r>
      <w:r w:rsidR="00411CFB">
        <w:t>)</w:t>
      </w:r>
      <w:r w:rsidRPr="00411CFB">
        <w:t>. Bernardi et al. suggested that the sequential screen-reading used in the trial to enable within-participant comparisons may have contributed to the higher false positive recall. Bernardi et al also highlighted that STORM represented the radiologists’ first screening experience using s2DM images</w:t>
      </w:r>
      <w:r w:rsidR="00411CFB">
        <w:t>. T</w:t>
      </w:r>
      <w:r w:rsidRPr="00411CFB">
        <w:t>hey expect</w:t>
      </w:r>
      <w:r w:rsidR="00411CFB">
        <w:t>ed</w:t>
      </w:r>
      <w:r w:rsidRPr="00411CFB">
        <w:t xml:space="preserve"> that increasing experience with </w:t>
      </w:r>
      <w:r w:rsidR="00317E26">
        <w:t xml:space="preserve">s2DM </w:t>
      </w:r>
      <w:r w:rsidRPr="00411CFB">
        <w:t xml:space="preserve">will reduce </w:t>
      </w:r>
      <w:r w:rsidR="00411CFB">
        <w:t xml:space="preserve">false positive </w:t>
      </w:r>
      <w:r w:rsidRPr="00411CFB">
        <w:t xml:space="preserve">recall in future screening rounds; however, no further evidence on false positive </w:t>
      </w:r>
      <w:r w:rsidRPr="00411CFB">
        <w:lastRenderedPageBreak/>
        <w:t xml:space="preserve">recall within pilot evaluations at STORM-2 sites was reported by either Bernardi et al. (2019) or Caumo et al. (2018) (i.e., at the Trento or Verona pilot sites). </w:t>
      </w:r>
    </w:p>
    <w:p w14:paraId="3F2F3740" w14:textId="2806A6B7" w:rsidR="0096179A" w:rsidRPr="007E3481" w:rsidRDefault="0096179A" w:rsidP="0096179A">
      <w:pPr>
        <w:pStyle w:val="Caption"/>
        <w:keepNext/>
      </w:pPr>
      <w:r w:rsidRPr="007E3481">
        <w:t xml:space="preserve">Table </w:t>
      </w:r>
      <w:r w:rsidR="00411CFB">
        <w:t>16a</w:t>
      </w:r>
      <w:r w:rsidRPr="007E3481">
        <w:t>: STORM-2 radiologist-specific false positive recall using FFDM and DBT</w:t>
      </w:r>
    </w:p>
    <w:tbl>
      <w:tblPr>
        <w:tblStyle w:val="ACGreen-BasicTable"/>
        <w:tblW w:w="5000" w:type="pct"/>
        <w:tblLook w:val="04A0" w:firstRow="1" w:lastRow="0" w:firstColumn="1" w:lastColumn="0" w:noHBand="0" w:noVBand="1"/>
        <w:tblDescription w:val="Table 16a shows STORM-2 radiologist-specific false positive recall using FFDM and DBT&#10;FFDM alone Readers &#10;1= 13 (2.2%, 1.2, 3.8)&#10;2= 83 (2.7%, 2.1, 3.3)&#10;3= 102 (2.6%, 2.2, 3.2)&#10;4= 52 (1.2%, 0.9, 1.5)&#10;5= 106 (2.0%, 1.6, 2.4)&#10;6= 40 (2.3%, 1.6, 3.1)&#10;FFDM+DBT Reader &#10;1= 20 (3.4%, 2.1, 5.3)&#10;2= 86 (2.8%, 2.2, 3.4)&#10;3= 118 (3.1%, 2.5, 3.6)&#10;4= 67 (1.5%, 1.2, 1.9)&#10;5= 145 (2.7%, 2.3, 3.2)&#10;6= 39 (2.2%, 1.6, 3.0)&#10;FP:TP  detection attributed to integrating 3D mammography in&#10;Screening&#10;1= ↑7 : 0&#10;2= ↑3 : ↑5&#10;3= ↑16 : ↑8&#10;4= ↑15 : ↑6&#10;5= ↑39 : ↑19&#10;6= ↓1 : ↑2&#10;&#10;"/>
      </w:tblPr>
      <w:tblGrid>
        <w:gridCol w:w="3020"/>
        <w:gridCol w:w="3020"/>
        <w:gridCol w:w="3021"/>
      </w:tblGrid>
      <w:tr w:rsidR="0096179A" w:rsidRPr="007E3481" w14:paraId="759EA9C2" w14:textId="77777777" w:rsidTr="00833B78">
        <w:trPr>
          <w:cnfStyle w:val="100000000000" w:firstRow="1" w:lastRow="0" w:firstColumn="0" w:lastColumn="0" w:oddVBand="0" w:evenVBand="0" w:oddHBand="0" w:evenHBand="0" w:firstRowFirstColumn="0" w:firstRowLastColumn="0" w:lastRowFirstColumn="0" w:lastRowLastColumn="0"/>
          <w:trHeight w:val="86"/>
        </w:trPr>
        <w:tc>
          <w:tcPr>
            <w:tcW w:w="1666" w:type="pct"/>
          </w:tcPr>
          <w:p w14:paraId="11675E28"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FFDM alone</w:t>
            </w:r>
          </w:p>
          <w:p w14:paraId="4593D815"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Readers</w:t>
            </w:r>
          </w:p>
        </w:tc>
        <w:tc>
          <w:tcPr>
            <w:tcW w:w="1666" w:type="pct"/>
          </w:tcPr>
          <w:p w14:paraId="53D57645"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FFDM+DBT</w:t>
            </w:r>
          </w:p>
          <w:p w14:paraId="3F270A56"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Readers</w:t>
            </w:r>
          </w:p>
        </w:tc>
        <w:tc>
          <w:tcPr>
            <w:tcW w:w="1667" w:type="pct"/>
          </w:tcPr>
          <w:p w14:paraId="57C453D7" w14:textId="77777777" w:rsidR="0096179A" w:rsidRPr="007E3481" w:rsidRDefault="0096179A" w:rsidP="00833B78">
            <w:pPr>
              <w:pStyle w:val="BodyText"/>
              <w:spacing w:after="0" w:line="240" w:lineRule="auto"/>
              <w:jc w:val="center"/>
              <w:rPr>
                <w:rFonts w:cstheme="majorHAnsi"/>
                <w:bCs/>
                <w:sz w:val="18"/>
                <w:szCs w:val="18"/>
              </w:rPr>
            </w:pPr>
            <w:r w:rsidRPr="007E3481">
              <w:rPr>
                <w:rFonts w:cstheme="majorHAnsi"/>
                <w:bCs/>
                <w:sz w:val="18"/>
                <w:szCs w:val="18"/>
              </w:rPr>
              <w:t xml:space="preserve">FP:TP </w:t>
            </w:r>
            <w:r w:rsidRPr="007E3481">
              <w:rPr>
                <w:rStyle w:val="FootnoteReference"/>
                <w:rFonts w:cstheme="majorHAnsi"/>
                <w:bCs/>
                <w:sz w:val="18"/>
                <w:szCs w:val="18"/>
              </w:rPr>
              <w:footnoteReference w:id="19"/>
            </w:r>
            <w:r w:rsidRPr="007E3481">
              <w:rPr>
                <w:rFonts w:cstheme="majorHAnsi"/>
                <w:bCs/>
                <w:sz w:val="18"/>
                <w:szCs w:val="18"/>
              </w:rPr>
              <w:t>detection attributed to integrating 3D mammography in</w:t>
            </w:r>
          </w:p>
          <w:p w14:paraId="21D14DB4"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Screening</w:t>
            </w:r>
          </w:p>
        </w:tc>
      </w:tr>
      <w:tr w:rsidR="0096179A" w:rsidRPr="007E3481" w14:paraId="5D1C2265" w14:textId="77777777" w:rsidTr="00833B78">
        <w:trPr>
          <w:trHeight w:val="1211"/>
        </w:trPr>
        <w:tc>
          <w:tcPr>
            <w:tcW w:w="1666" w:type="pct"/>
          </w:tcPr>
          <w:p w14:paraId="62E38098"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1= 13 (2.2%, 1.2</w:t>
            </w:r>
            <w:r>
              <w:rPr>
                <w:rFonts w:cstheme="majorHAnsi"/>
                <w:bCs/>
                <w:sz w:val="18"/>
                <w:szCs w:val="18"/>
              </w:rPr>
              <w:t xml:space="preserve">, </w:t>
            </w:r>
            <w:r w:rsidRPr="007E3481">
              <w:rPr>
                <w:rFonts w:cstheme="majorHAnsi"/>
                <w:bCs/>
                <w:sz w:val="18"/>
                <w:szCs w:val="18"/>
              </w:rPr>
              <w:t>3.8)</w:t>
            </w:r>
          </w:p>
          <w:p w14:paraId="4CC930A4"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2= 83 (2.7%, 2.1</w:t>
            </w:r>
            <w:r>
              <w:rPr>
                <w:rFonts w:cstheme="majorHAnsi"/>
                <w:bCs/>
                <w:sz w:val="18"/>
                <w:szCs w:val="18"/>
              </w:rPr>
              <w:t xml:space="preserve">, </w:t>
            </w:r>
            <w:r w:rsidRPr="007E3481">
              <w:rPr>
                <w:rFonts w:cstheme="majorHAnsi"/>
                <w:bCs/>
                <w:sz w:val="18"/>
                <w:szCs w:val="18"/>
              </w:rPr>
              <w:t>3.3)</w:t>
            </w:r>
          </w:p>
          <w:p w14:paraId="5D5BF338"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3= 102 (2.6%, 2.2</w:t>
            </w:r>
            <w:r>
              <w:rPr>
                <w:rFonts w:cstheme="majorHAnsi"/>
                <w:bCs/>
                <w:sz w:val="18"/>
                <w:szCs w:val="18"/>
              </w:rPr>
              <w:t xml:space="preserve">, </w:t>
            </w:r>
            <w:r w:rsidRPr="007E3481">
              <w:rPr>
                <w:rFonts w:cstheme="majorHAnsi"/>
                <w:bCs/>
                <w:sz w:val="18"/>
                <w:szCs w:val="18"/>
              </w:rPr>
              <w:t>3.2)</w:t>
            </w:r>
          </w:p>
          <w:p w14:paraId="2B8E9DE9"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4= 52 (1.2%, 0.9</w:t>
            </w:r>
            <w:r>
              <w:rPr>
                <w:rFonts w:cstheme="majorHAnsi"/>
                <w:bCs/>
                <w:sz w:val="18"/>
                <w:szCs w:val="18"/>
              </w:rPr>
              <w:t xml:space="preserve">, </w:t>
            </w:r>
            <w:r w:rsidRPr="007E3481">
              <w:rPr>
                <w:rFonts w:cstheme="majorHAnsi"/>
                <w:bCs/>
                <w:sz w:val="18"/>
                <w:szCs w:val="18"/>
              </w:rPr>
              <w:t>1.5)</w:t>
            </w:r>
          </w:p>
          <w:p w14:paraId="194CC312"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5= 106 (2.0%, 1.6</w:t>
            </w:r>
            <w:r>
              <w:rPr>
                <w:rFonts w:cstheme="majorHAnsi"/>
                <w:bCs/>
                <w:sz w:val="18"/>
                <w:szCs w:val="18"/>
              </w:rPr>
              <w:t xml:space="preserve">, </w:t>
            </w:r>
            <w:r w:rsidRPr="007E3481">
              <w:rPr>
                <w:rFonts w:cstheme="majorHAnsi"/>
                <w:bCs/>
                <w:sz w:val="18"/>
                <w:szCs w:val="18"/>
              </w:rPr>
              <w:t>2.4)</w:t>
            </w:r>
          </w:p>
          <w:p w14:paraId="30E451B2"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6= 40 (2.3%, 1.6</w:t>
            </w:r>
            <w:r>
              <w:rPr>
                <w:rFonts w:cstheme="majorHAnsi"/>
                <w:bCs/>
                <w:sz w:val="18"/>
                <w:szCs w:val="18"/>
              </w:rPr>
              <w:t xml:space="preserve">, </w:t>
            </w:r>
            <w:r w:rsidRPr="007E3481">
              <w:rPr>
                <w:rFonts w:cstheme="majorHAnsi"/>
                <w:bCs/>
                <w:sz w:val="18"/>
                <w:szCs w:val="18"/>
              </w:rPr>
              <w:t>3.1)</w:t>
            </w:r>
          </w:p>
        </w:tc>
        <w:tc>
          <w:tcPr>
            <w:tcW w:w="1666" w:type="pct"/>
          </w:tcPr>
          <w:p w14:paraId="421EF06E"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1= 20 (3.4%, 2.1</w:t>
            </w:r>
            <w:r>
              <w:rPr>
                <w:rFonts w:cstheme="majorHAnsi"/>
                <w:bCs/>
                <w:sz w:val="18"/>
                <w:szCs w:val="18"/>
              </w:rPr>
              <w:t xml:space="preserve">, </w:t>
            </w:r>
            <w:r w:rsidRPr="007E3481">
              <w:rPr>
                <w:rFonts w:cstheme="majorHAnsi"/>
                <w:bCs/>
                <w:sz w:val="18"/>
                <w:szCs w:val="18"/>
              </w:rPr>
              <w:t>5.3)</w:t>
            </w:r>
          </w:p>
          <w:p w14:paraId="37FA92D7"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2= 86 (2.8%, 2.2</w:t>
            </w:r>
            <w:r>
              <w:rPr>
                <w:rFonts w:cstheme="majorHAnsi"/>
                <w:bCs/>
                <w:sz w:val="18"/>
                <w:szCs w:val="18"/>
              </w:rPr>
              <w:t xml:space="preserve">, </w:t>
            </w:r>
            <w:r w:rsidRPr="007E3481">
              <w:rPr>
                <w:rFonts w:cstheme="majorHAnsi"/>
                <w:bCs/>
                <w:sz w:val="18"/>
                <w:szCs w:val="18"/>
              </w:rPr>
              <w:t>3.4)</w:t>
            </w:r>
          </w:p>
          <w:p w14:paraId="22E004A5"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3= 118 (3.1%, 2.5</w:t>
            </w:r>
            <w:r>
              <w:rPr>
                <w:rFonts w:cstheme="majorHAnsi"/>
                <w:bCs/>
                <w:sz w:val="18"/>
                <w:szCs w:val="18"/>
              </w:rPr>
              <w:t xml:space="preserve">, </w:t>
            </w:r>
            <w:r w:rsidRPr="007E3481">
              <w:rPr>
                <w:rFonts w:cstheme="majorHAnsi"/>
                <w:bCs/>
                <w:sz w:val="18"/>
                <w:szCs w:val="18"/>
              </w:rPr>
              <w:t>3.6)</w:t>
            </w:r>
          </w:p>
          <w:p w14:paraId="071EECCF"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4= 67 (1.5%, 1.2</w:t>
            </w:r>
            <w:r>
              <w:rPr>
                <w:rFonts w:cstheme="majorHAnsi"/>
                <w:bCs/>
                <w:sz w:val="18"/>
                <w:szCs w:val="18"/>
              </w:rPr>
              <w:t xml:space="preserve">, </w:t>
            </w:r>
            <w:r w:rsidRPr="007E3481">
              <w:rPr>
                <w:rFonts w:cstheme="majorHAnsi"/>
                <w:bCs/>
                <w:sz w:val="18"/>
                <w:szCs w:val="18"/>
              </w:rPr>
              <w:t>1.9)</w:t>
            </w:r>
          </w:p>
          <w:p w14:paraId="486F83E3"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5= 145 (2.7%, 2.3</w:t>
            </w:r>
            <w:r>
              <w:rPr>
                <w:rFonts w:cstheme="majorHAnsi"/>
                <w:bCs/>
                <w:sz w:val="18"/>
                <w:szCs w:val="18"/>
              </w:rPr>
              <w:t xml:space="preserve">, </w:t>
            </w:r>
            <w:r w:rsidRPr="007E3481">
              <w:rPr>
                <w:rFonts w:cstheme="majorHAnsi"/>
                <w:bCs/>
                <w:sz w:val="18"/>
                <w:szCs w:val="18"/>
              </w:rPr>
              <w:t>3.2)</w:t>
            </w:r>
          </w:p>
          <w:p w14:paraId="79236843"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6= 39 (2.2%, 1.6</w:t>
            </w:r>
            <w:r>
              <w:rPr>
                <w:rFonts w:cstheme="majorHAnsi"/>
                <w:bCs/>
                <w:sz w:val="18"/>
                <w:szCs w:val="18"/>
              </w:rPr>
              <w:t xml:space="preserve">, </w:t>
            </w:r>
            <w:r w:rsidRPr="007E3481">
              <w:rPr>
                <w:rFonts w:cstheme="majorHAnsi"/>
                <w:bCs/>
                <w:sz w:val="18"/>
                <w:szCs w:val="18"/>
              </w:rPr>
              <w:t>3.0)</w:t>
            </w:r>
          </w:p>
        </w:tc>
        <w:tc>
          <w:tcPr>
            <w:tcW w:w="1667" w:type="pct"/>
          </w:tcPr>
          <w:p w14:paraId="5E63D982"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1= ↑7 : 0</w:t>
            </w:r>
          </w:p>
          <w:p w14:paraId="379C4424"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2= ↑3 : ↑5</w:t>
            </w:r>
          </w:p>
          <w:p w14:paraId="00EEF2D9"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3= ↑16 : ↑8</w:t>
            </w:r>
          </w:p>
          <w:p w14:paraId="69E7132C"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4= ↑15 : ↑6</w:t>
            </w:r>
          </w:p>
          <w:p w14:paraId="60D75C7F"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5= ↑39 : ↑19</w:t>
            </w:r>
          </w:p>
          <w:p w14:paraId="41044D74"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6= ↓1 : ↑2</w:t>
            </w:r>
          </w:p>
        </w:tc>
      </w:tr>
    </w:tbl>
    <w:p w14:paraId="1B6072EE" w14:textId="77777777" w:rsidR="0096179A" w:rsidRPr="007E3481" w:rsidRDefault="0096179A" w:rsidP="0096179A">
      <w:pPr>
        <w:pStyle w:val="Caption"/>
        <w:keepNext/>
      </w:pPr>
    </w:p>
    <w:p w14:paraId="5E25E010" w14:textId="3E3136F7" w:rsidR="0096179A" w:rsidRPr="007E3481" w:rsidRDefault="0096179A" w:rsidP="0096179A">
      <w:pPr>
        <w:pStyle w:val="Caption"/>
        <w:keepNext/>
      </w:pPr>
      <w:r w:rsidRPr="007E3481">
        <w:t xml:space="preserve">Table </w:t>
      </w:r>
      <w:r w:rsidR="00411CFB">
        <w:t>16b</w:t>
      </w:r>
      <w:r w:rsidRPr="007E3481">
        <w:t xml:space="preserve">: STORM-2 radiologist-specific cancer detection measures at screen-reading using </w:t>
      </w:r>
      <w:r>
        <w:t>s2DM</w:t>
      </w:r>
      <w:r w:rsidRPr="007E3481">
        <w:t xml:space="preserve"> and DBT</w:t>
      </w:r>
    </w:p>
    <w:tbl>
      <w:tblPr>
        <w:tblStyle w:val="ACGreen-BasicTable"/>
        <w:tblW w:w="5000" w:type="pct"/>
        <w:tblLook w:val="04A0" w:firstRow="1" w:lastRow="0" w:firstColumn="1" w:lastColumn="0" w:noHBand="0" w:noVBand="1"/>
        <w:tblDescription w:val="Table 16b: shows STORM-2 radiologist-specific cancer detection measures at screen-reading using s2DM and DBT&#10;s2DM Readers&#10;1= 29 (4.6%, 3.1, 6.6)&#10;2= 66 (1.6%, 1.2, 2.0)&#10;3= 81 (2.6%, 2.0, 3.2)&#10;4= 50 (1.6%, 1.2, 2.2)&#10;5= 78 (2.4%, 1.9, 3.0)&#10;6= 67 (3.9%, 3.0, 4.9)&#10;7= 63 (1.9%, 1.5, 2.5)&#10;&#10;DBT+s2DM Readers&#10;1= 42 (6.7%, 4.9, 9.0)&#10;2= 76 (1.8%, 1.5, 2.3)&#10;3= 105 (3.3%, 2.7, 4.0)&#10;4= 58 (1.9%, 1.5, 2.5)&#10;5= 97 (3.0%, 2.5, 3.7)&#10;6= 69 (4.0%, 3.1, 5.0)&#10;7= 71 (2.2%, 1.7, 2.8)&#10;&#10;s2DM+DBT FP:TP  detection attributed to integrated 3D mammography&#10;1= ↑13 : ↑2&#10;2= ↑10 : ↑7&#10;3= ↑24 : ↑8&#10;4= ↑8 : ↑6&#10;5= ↑19 : ↑4&#10;6= ↑2 : ↑1&#10;7= ↑8 : ↑1&#10;&#10;"/>
      </w:tblPr>
      <w:tblGrid>
        <w:gridCol w:w="2553"/>
        <w:gridCol w:w="3255"/>
        <w:gridCol w:w="3253"/>
      </w:tblGrid>
      <w:tr w:rsidR="0096179A" w:rsidRPr="007E3481" w14:paraId="1417DC93" w14:textId="77777777" w:rsidTr="00833B78">
        <w:trPr>
          <w:cnfStyle w:val="100000000000" w:firstRow="1" w:lastRow="0" w:firstColumn="0" w:lastColumn="0" w:oddVBand="0" w:evenVBand="0" w:oddHBand="0" w:evenHBand="0" w:firstRowFirstColumn="0" w:firstRowLastColumn="0" w:lastRowFirstColumn="0" w:lastRowLastColumn="0"/>
          <w:trHeight w:val="86"/>
        </w:trPr>
        <w:tc>
          <w:tcPr>
            <w:tcW w:w="1409" w:type="pct"/>
          </w:tcPr>
          <w:p w14:paraId="6E11AA37" w14:textId="77777777" w:rsidR="0096179A" w:rsidRPr="007E3481" w:rsidRDefault="0096179A" w:rsidP="00833B78">
            <w:pPr>
              <w:pStyle w:val="BodyText"/>
              <w:spacing w:before="0" w:after="0" w:line="240" w:lineRule="auto"/>
              <w:jc w:val="center"/>
              <w:rPr>
                <w:rFonts w:cstheme="majorHAnsi"/>
                <w:bCs/>
                <w:sz w:val="18"/>
                <w:szCs w:val="18"/>
              </w:rPr>
            </w:pPr>
            <w:r>
              <w:rPr>
                <w:rFonts w:cstheme="majorHAnsi"/>
                <w:bCs/>
                <w:sz w:val="18"/>
                <w:szCs w:val="18"/>
              </w:rPr>
              <w:t>S2DM</w:t>
            </w:r>
          </w:p>
          <w:p w14:paraId="36BBE91B"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Readers</w:t>
            </w:r>
          </w:p>
        </w:tc>
        <w:tc>
          <w:tcPr>
            <w:tcW w:w="1796" w:type="pct"/>
          </w:tcPr>
          <w:p w14:paraId="61EA84A7"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DBT+</w:t>
            </w:r>
            <w:r>
              <w:rPr>
                <w:rFonts w:cstheme="majorHAnsi"/>
                <w:bCs/>
                <w:sz w:val="18"/>
                <w:szCs w:val="18"/>
              </w:rPr>
              <w:t>s2DM</w:t>
            </w:r>
          </w:p>
          <w:p w14:paraId="7CEFDE52"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Readers</w:t>
            </w:r>
          </w:p>
        </w:tc>
        <w:tc>
          <w:tcPr>
            <w:tcW w:w="1795" w:type="pct"/>
          </w:tcPr>
          <w:p w14:paraId="1930DFF6" w14:textId="77777777" w:rsidR="0096179A" w:rsidRPr="007E3481" w:rsidRDefault="0096179A" w:rsidP="00833B78">
            <w:pPr>
              <w:pStyle w:val="BodyText"/>
              <w:spacing w:before="0" w:after="0" w:line="240" w:lineRule="auto"/>
              <w:jc w:val="center"/>
              <w:rPr>
                <w:rFonts w:cstheme="majorHAnsi"/>
                <w:b w:val="0"/>
                <w:bCs/>
                <w:sz w:val="18"/>
                <w:szCs w:val="18"/>
              </w:rPr>
            </w:pPr>
            <w:r>
              <w:rPr>
                <w:rFonts w:cstheme="majorHAnsi"/>
                <w:bCs/>
                <w:sz w:val="18"/>
                <w:szCs w:val="18"/>
              </w:rPr>
              <w:t>S2DM</w:t>
            </w:r>
            <w:r w:rsidRPr="007E3481">
              <w:rPr>
                <w:rFonts w:cstheme="majorHAnsi"/>
                <w:bCs/>
                <w:sz w:val="18"/>
                <w:szCs w:val="18"/>
              </w:rPr>
              <w:t>+DBT</w:t>
            </w:r>
          </w:p>
          <w:p w14:paraId="030C90B3"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 xml:space="preserve">FP:TP </w:t>
            </w:r>
            <w:r w:rsidRPr="007E3481">
              <w:rPr>
                <w:rStyle w:val="FootnoteReference"/>
                <w:rFonts w:cstheme="majorHAnsi"/>
                <w:bCs/>
                <w:sz w:val="18"/>
                <w:szCs w:val="18"/>
              </w:rPr>
              <w:footnoteReference w:id="20"/>
            </w:r>
            <w:r w:rsidRPr="007E3481">
              <w:rPr>
                <w:rFonts w:cstheme="majorHAnsi"/>
                <w:bCs/>
                <w:sz w:val="18"/>
                <w:szCs w:val="18"/>
              </w:rPr>
              <w:t>detection attributed to integrated 3D mammography</w:t>
            </w:r>
          </w:p>
        </w:tc>
      </w:tr>
      <w:tr w:rsidR="0096179A" w:rsidRPr="007E3481" w14:paraId="79513A2E" w14:textId="77777777" w:rsidTr="00833B78">
        <w:trPr>
          <w:trHeight w:val="1538"/>
        </w:trPr>
        <w:tc>
          <w:tcPr>
            <w:tcW w:w="1409" w:type="pct"/>
          </w:tcPr>
          <w:p w14:paraId="7275BA0F"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1= 29 (4.6%, 3.1</w:t>
            </w:r>
            <w:r>
              <w:rPr>
                <w:rFonts w:cstheme="majorHAnsi"/>
                <w:bCs/>
                <w:sz w:val="18"/>
                <w:szCs w:val="18"/>
              </w:rPr>
              <w:t xml:space="preserve">, </w:t>
            </w:r>
            <w:r w:rsidRPr="007E3481">
              <w:rPr>
                <w:rFonts w:cstheme="majorHAnsi"/>
                <w:bCs/>
                <w:sz w:val="18"/>
                <w:szCs w:val="18"/>
              </w:rPr>
              <w:t>6.6)</w:t>
            </w:r>
          </w:p>
          <w:p w14:paraId="296FCD4F"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2= 66 (1.6%, 1.2</w:t>
            </w:r>
            <w:r>
              <w:rPr>
                <w:rFonts w:cstheme="majorHAnsi"/>
                <w:bCs/>
                <w:sz w:val="18"/>
                <w:szCs w:val="18"/>
              </w:rPr>
              <w:t xml:space="preserve">, </w:t>
            </w:r>
            <w:r w:rsidRPr="007E3481">
              <w:rPr>
                <w:rFonts w:cstheme="majorHAnsi"/>
                <w:bCs/>
                <w:sz w:val="18"/>
                <w:szCs w:val="18"/>
              </w:rPr>
              <w:t>2.0</w:t>
            </w:r>
            <w:r>
              <w:rPr>
                <w:rFonts w:cstheme="majorHAnsi"/>
                <w:bCs/>
                <w:sz w:val="18"/>
                <w:szCs w:val="18"/>
              </w:rPr>
              <w:t>)</w:t>
            </w:r>
          </w:p>
          <w:p w14:paraId="41240CEA"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3= 81 (2.6%, 2.0</w:t>
            </w:r>
            <w:r>
              <w:rPr>
                <w:rFonts w:cstheme="majorHAnsi"/>
                <w:bCs/>
                <w:sz w:val="18"/>
                <w:szCs w:val="18"/>
              </w:rPr>
              <w:t xml:space="preserve">, </w:t>
            </w:r>
            <w:r w:rsidRPr="007E3481">
              <w:rPr>
                <w:rFonts w:cstheme="majorHAnsi"/>
                <w:bCs/>
                <w:sz w:val="18"/>
                <w:szCs w:val="18"/>
              </w:rPr>
              <w:t>3.2)</w:t>
            </w:r>
          </w:p>
          <w:p w14:paraId="1F105636"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4= 50 (1.6%, 1.2</w:t>
            </w:r>
            <w:r>
              <w:rPr>
                <w:rFonts w:cstheme="majorHAnsi"/>
                <w:bCs/>
                <w:sz w:val="18"/>
                <w:szCs w:val="18"/>
              </w:rPr>
              <w:t xml:space="preserve">, </w:t>
            </w:r>
            <w:r w:rsidRPr="007E3481">
              <w:rPr>
                <w:rFonts w:cstheme="majorHAnsi"/>
                <w:bCs/>
                <w:sz w:val="18"/>
                <w:szCs w:val="18"/>
              </w:rPr>
              <w:t>2.2)</w:t>
            </w:r>
          </w:p>
          <w:p w14:paraId="50C809FE"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5= 78 (2.4%, 1.9</w:t>
            </w:r>
            <w:r>
              <w:rPr>
                <w:rFonts w:cstheme="majorHAnsi"/>
                <w:bCs/>
                <w:sz w:val="18"/>
                <w:szCs w:val="18"/>
              </w:rPr>
              <w:t xml:space="preserve">, </w:t>
            </w:r>
            <w:r w:rsidRPr="007E3481">
              <w:rPr>
                <w:rFonts w:cstheme="majorHAnsi"/>
                <w:bCs/>
                <w:sz w:val="18"/>
                <w:szCs w:val="18"/>
              </w:rPr>
              <w:t>3.0)</w:t>
            </w:r>
          </w:p>
          <w:p w14:paraId="25342DD7"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6= 67 (3.9%, 3.0</w:t>
            </w:r>
            <w:r>
              <w:rPr>
                <w:rFonts w:cstheme="majorHAnsi"/>
                <w:bCs/>
                <w:sz w:val="18"/>
                <w:szCs w:val="18"/>
              </w:rPr>
              <w:t xml:space="preserve">, </w:t>
            </w:r>
            <w:r w:rsidRPr="007E3481">
              <w:rPr>
                <w:rFonts w:cstheme="majorHAnsi"/>
                <w:bCs/>
                <w:sz w:val="18"/>
                <w:szCs w:val="18"/>
              </w:rPr>
              <w:t>4.9)</w:t>
            </w:r>
          </w:p>
          <w:p w14:paraId="5DCF5F67"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7= 63 (1.9%, 1.5</w:t>
            </w:r>
            <w:r>
              <w:rPr>
                <w:rFonts w:cstheme="majorHAnsi"/>
                <w:bCs/>
                <w:sz w:val="18"/>
                <w:szCs w:val="18"/>
              </w:rPr>
              <w:t xml:space="preserve">, </w:t>
            </w:r>
            <w:r w:rsidRPr="007E3481">
              <w:rPr>
                <w:rFonts w:cstheme="majorHAnsi"/>
                <w:bCs/>
                <w:sz w:val="18"/>
                <w:szCs w:val="18"/>
              </w:rPr>
              <w:t>2.5)</w:t>
            </w:r>
          </w:p>
        </w:tc>
        <w:tc>
          <w:tcPr>
            <w:tcW w:w="1796" w:type="pct"/>
          </w:tcPr>
          <w:p w14:paraId="778BEB80"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1= 42 (6.7%, 4.9</w:t>
            </w:r>
            <w:r>
              <w:rPr>
                <w:rFonts w:cstheme="majorHAnsi"/>
                <w:bCs/>
                <w:sz w:val="18"/>
                <w:szCs w:val="18"/>
              </w:rPr>
              <w:t xml:space="preserve">, </w:t>
            </w:r>
            <w:r w:rsidRPr="007E3481">
              <w:rPr>
                <w:rFonts w:cstheme="majorHAnsi"/>
                <w:bCs/>
                <w:sz w:val="18"/>
                <w:szCs w:val="18"/>
              </w:rPr>
              <w:t>9.0)</w:t>
            </w:r>
          </w:p>
          <w:p w14:paraId="4DD67BB8"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2= 76 (1.8%, 1.5</w:t>
            </w:r>
            <w:r>
              <w:rPr>
                <w:rFonts w:cstheme="majorHAnsi"/>
                <w:bCs/>
                <w:sz w:val="18"/>
                <w:szCs w:val="18"/>
              </w:rPr>
              <w:t xml:space="preserve">, </w:t>
            </w:r>
            <w:r w:rsidRPr="007E3481">
              <w:rPr>
                <w:rFonts w:cstheme="majorHAnsi"/>
                <w:bCs/>
                <w:sz w:val="18"/>
                <w:szCs w:val="18"/>
              </w:rPr>
              <w:t>2.3)</w:t>
            </w:r>
          </w:p>
          <w:p w14:paraId="3855232D"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3= 105 (3.3%, 2.7</w:t>
            </w:r>
            <w:r>
              <w:rPr>
                <w:rFonts w:cstheme="majorHAnsi"/>
                <w:bCs/>
                <w:sz w:val="18"/>
                <w:szCs w:val="18"/>
              </w:rPr>
              <w:t xml:space="preserve">, </w:t>
            </w:r>
            <w:r w:rsidRPr="007E3481">
              <w:rPr>
                <w:rFonts w:cstheme="majorHAnsi"/>
                <w:bCs/>
                <w:sz w:val="18"/>
                <w:szCs w:val="18"/>
              </w:rPr>
              <w:t>4.0)</w:t>
            </w:r>
          </w:p>
          <w:p w14:paraId="35334D51"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4= 58 (1.9%, 1.5</w:t>
            </w:r>
            <w:r>
              <w:rPr>
                <w:rFonts w:cstheme="majorHAnsi"/>
                <w:bCs/>
                <w:sz w:val="18"/>
                <w:szCs w:val="18"/>
              </w:rPr>
              <w:t xml:space="preserve">, </w:t>
            </w:r>
            <w:r w:rsidRPr="007E3481">
              <w:rPr>
                <w:rFonts w:cstheme="majorHAnsi"/>
                <w:bCs/>
                <w:sz w:val="18"/>
                <w:szCs w:val="18"/>
              </w:rPr>
              <w:t>2.5)</w:t>
            </w:r>
          </w:p>
          <w:p w14:paraId="0C29D959"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5= 97 (3.0%, 2.5</w:t>
            </w:r>
            <w:r>
              <w:rPr>
                <w:rFonts w:cstheme="majorHAnsi"/>
                <w:bCs/>
                <w:sz w:val="18"/>
                <w:szCs w:val="18"/>
              </w:rPr>
              <w:t xml:space="preserve">, </w:t>
            </w:r>
            <w:r w:rsidRPr="007E3481">
              <w:rPr>
                <w:rFonts w:cstheme="majorHAnsi"/>
                <w:bCs/>
                <w:sz w:val="18"/>
                <w:szCs w:val="18"/>
              </w:rPr>
              <w:t>3.7)</w:t>
            </w:r>
          </w:p>
          <w:p w14:paraId="3C83D24C"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6= 69 (4.0%, 3.1</w:t>
            </w:r>
            <w:r>
              <w:rPr>
                <w:rFonts w:cstheme="majorHAnsi"/>
                <w:bCs/>
                <w:sz w:val="18"/>
                <w:szCs w:val="18"/>
              </w:rPr>
              <w:t xml:space="preserve">, </w:t>
            </w:r>
            <w:r w:rsidRPr="007E3481">
              <w:rPr>
                <w:rFonts w:cstheme="majorHAnsi"/>
                <w:bCs/>
                <w:sz w:val="18"/>
                <w:szCs w:val="18"/>
              </w:rPr>
              <w:t>5.0)</w:t>
            </w:r>
          </w:p>
          <w:p w14:paraId="28277278"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7= 71 (2.2%, 1.7</w:t>
            </w:r>
            <w:r>
              <w:rPr>
                <w:rFonts w:cstheme="majorHAnsi"/>
                <w:bCs/>
                <w:sz w:val="18"/>
                <w:szCs w:val="18"/>
              </w:rPr>
              <w:t xml:space="preserve">, </w:t>
            </w:r>
            <w:r w:rsidRPr="007E3481">
              <w:rPr>
                <w:rFonts w:cstheme="majorHAnsi"/>
                <w:bCs/>
                <w:sz w:val="18"/>
                <w:szCs w:val="18"/>
              </w:rPr>
              <w:t>2.8)</w:t>
            </w:r>
          </w:p>
        </w:tc>
        <w:tc>
          <w:tcPr>
            <w:tcW w:w="1795" w:type="pct"/>
          </w:tcPr>
          <w:p w14:paraId="0C5F3CAA" w14:textId="77777777" w:rsidR="0096179A" w:rsidRPr="007E3481" w:rsidRDefault="0096179A" w:rsidP="00833B78">
            <w:pPr>
              <w:pStyle w:val="BodyText"/>
              <w:spacing w:before="0" w:after="0" w:line="240" w:lineRule="auto"/>
              <w:jc w:val="center"/>
              <w:rPr>
                <w:rFonts w:cstheme="majorHAnsi"/>
                <w:bCs/>
                <w:sz w:val="18"/>
                <w:szCs w:val="18"/>
              </w:rPr>
            </w:pPr>
            <w:r>
              <w:rPr>
                <w:rFonts w:cstheme="majorHAnsi"/>
                <w:bCs/>
                <w:sz w:val="18"/>
                <w:szCs w:val="18"/>
              </w:rPr>
              <w:t>S2DM</w:t>
            </w:r>
            <w:r w:rsidRPr="007E3481">
              <w:rPr>
                <w:rFonts w:cstheme="majorHAnsi"/>
                <w:bCs/>
                <w:sz w:val="18"/>
                <w:szCs w:val="18"/>
              </w:rPr>
              <w:t>+DBT</w:t>
            </w:r>
          </w:p>
          <w:p w14:paraId="3CA6FBC8"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1= ↑13 : ↑2</w:t>
            </w:r>
          </w:p>
          <w:p w14:paraId="6D160012"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2= ↑10 : ↑7</w:t>
            </w:r>
          </w:p>
          <w:p w14:paraId="000D9945"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3= ↑24 : ↑8</w:t>
            </w:r>
          </w:p>
          <w:p w14:paraId="24BDA0BE"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4= ↑8 : ↑6</w:t>
            </w:r>
          </w:p>
          <w:p w14:paraId="19CC671A"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5= ↑19 : ↑4</w:t>
            </w:r>
          </w:p>
          <w:p w14:paraId="519C1BE6"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6= ↑2 : ↑1</w:t>
            </w:r>
          </w:p>
          <w:p w14:paraId="6CE71D05" w14:textId="77777777" w:rsidR="0096179A" w:rsidRPr="007E3481" w:rsidRDefault="0096179A" w:rsidP="00833B78">
            <w:pPr>
              <w:pStyle w:val="BodyText"/>
              <w:spacing w:before="0" w:after="0" w:line="240" w:lineRule="auto"/>
              <w:jc w:val="center"/>
              <w:rPr>
                <w:rFonts w:cstheme="majorHAnsi"/>
                <w:bCs/>
                <w:sz w:val="18"/>
                <w:szCs w:val="18"/>
              </w:rPr>
            </w:pPr>
            <w:r w:rsidRPr="007E3481">
              <w:rPr>
                <w:rFonts w:cstheme="majorHAnsi"/>
                <w:bCs/>
                <w:sz w:val="18"/>
                <w:szCs w:val="18"/>
              </w:rPr>
              <w:t>7= ↑8 : ↑1</w:t>
            </w:r>
          </w:p>
        </w:tc>
      </w:tr>
    </w:tbl>
    <w:p w14:paraId="657B0679" w14:textId="77777777" w:rsidR="0096179A" w:rsidRPr="00411CFB" w:rsidRDefault="0096179A" w:rsidP="0096179A">
      <w:pPr>
        <w:pStyle w:val="BodyText-GREEN"/>
        <w:rPr>
          <w:b/>
          <w:bCs/>
        </w:rPr>
      </w:pPr>
      <w:r w:rsidRPr="00411CFB">
        <w:rPr>
          <w:b/>
          <w:bCs/>
        </w:rPr>
        <w:t>Retrospective analysis</w:t>
      </w:r>
    </w:p>
    <w:p w14:paraId="3BB42D3E" w14:textId="12525557" w:rsidR="0096179A" w:rsidRDefault="00411CFB" w:rsidP="0096179A">
      <w:pPr>
        <w:pStyle w:val="BodyText"/>
      </w:pPr>
      <w:r>
        <w:t>In</w:t>
      </w:r>
      <w:r w:rsidR="0096179A" w:rsidRPr="00411CFB">
        <w:t xml:space="preserve"> a retrospective analysis of a BreastScreen Norway study, Hovda et al. (2019) did not specifically report on false positive recall rates or provide a full definition of  false positive (‘women screened and recalled, but not diagnosed with breast cancer’). They noted in their analysis that as the ‘PPV</w:t>
      </w:r>
      <w:r w:rsidR="0096179A" w:rsidRPr="00411CFB">
        <w:rPr>
          <w:vertAlign w:val="subscript"/>
        </w:rPr>
        <w:t>1</w:t>
      </w:r>
      <w:r w:rsidR="0096179A" w:rsidRPr="00411CFB">
        <w:t xml:space="preserve"> was significantly higher among those screened with DBT; thus, the rate of false positives was lower’. This study had a complex reading protocol, and it is not clear whether their reference to DBT in this instance related to DBT+FFDM or DBT+s2DM. They did however utilise an independent double screening with consensus as part of their reader protocol which may have been relevant to their findings. </w:t>
      </w:r>
    </w:p>
    <w:p w14:paraId="0A3882D6" w14:textId="77777777" w:rsidR="0096179A" w:rsidRPr="00411CFB" w:rsidRDefault="0096179A" w:rsidP="0096179A">
      <w:pPr>
        <w:pStyle w:val="Heading3-NOTinTOC"/>
      </w:pPr>
      <w:r w:rsidRPr="00411CFB">
        <w:t>FFDM + DBT compared to FFDM alone</w:t>
      </w:r>
    </w:p>
    <w:p w14:paraId="35000104" w14:textId="77777777" w:rsidR="0096179A" w:rsidRPr="00411CFB" w:rsidRDefault="0096179A" w:rsidP="0096179A">
      <w:pPr>
        <w:pStyle w:val="BodyText-GREEN"/>
      </w:pPr>
      <w:r w:rsidRPr="00411CFB">
        <w:rPr>
          <w:b/>
          <w:bCs/>
        </w:rPr>
        <w:t>RCT</w:t>
      </w:r>
    </w:p>
    <w:p w14:paraId="5C33D5E9" w14:textId="5FB4D373" w:rsidR="0096179A" w:rsidRPr="00411CFB" w:rsidRDefault="0096179A" w:rsidP="0096179A">
      <w:pPr>
        <w:pStyle w:val="BodyText"/>
      </w:pPr>
      <w:r w:rsidRPr="00411CFB">
        <w:t>Baseline data from the Reggio Emilia</w:t>
      </w:r>
      <w:r w:rsidRPr="00411CFB">
        <w:rPr>
          <w:b/>
          <w:bCs/>
        </w:rPr>
        <w:t xml:space="preserve"> </w:t>
      </w:r>
      <w:r w:rsidRPr="00411CFB">
        <w:t>RCT compared FFDM+DBT with FFDM</w:t>
      </w:r>
      <w:r w:rsidR="00411CFB">
        <w:t xml:space="preserve"> (</w:t>
      </w:r>
      <w:r w:rsidRPr="00411CFB">
        <w:t>independent double reading with consensus</w:t>
      </w:r>
      <w:r w:rsidR="00411CFB">
        <w:t>)</w:t>
      </w:r>
      <w:r w:rsidRPr="00411CFB">
        <w:t>. No definition of false positive was provided in their study write</w:t>
      </w:r>
      <w:r w:rsidR="00411CFB">
        <w:t>-</w:t>
      </w:r>
      <w:r w:rsidRPr="00411CFB">
        <w:t>up. This study reported a decrease in false positive recall rates from 3.0 percent with FFDM</w:t>
      </w:r>
      <w:r w:rsidR="006C6BD3">
        <w:t xml:space="preserve"> </w:t>
      </w:r>
      <w:r w:rsidRPr="00411CFB">
        <w:t xml:space="preserve">to 2.7 percent </w:t>
      </w:r>
      <w:r w:rsidRPr="00411CFB">
        <w:lastRenderedPageBreak/>
        <w:t xml:space="preserve">with FFDM+DBT (27 per 1000). No further analysis for false positive was completed; however, we note that the false positive recall rates between the two arms are very similar and also reflect the overall similarity between the two arms for recall rate (see </w:t>
      </w:r>
      <w:r w:rsidRPr="00411CFB">
        <w:rPr>
          <w:i/>
          <w:iCs/>
        </w:rPr>
        <w:t xml:space="preserve">section </w:t>
      </w:r>
      <w:r w:rsidR="00411CFB">
        <w:rPr>
          <w:i/>
          <w:iCs/>
        </w:rPr>
        <w:t>3.4.1</w:t>
      </w:r>
      <w:r w:rsidRPr="00411CFB">
        <w:t>).</w:t>
      </w:r>
    </w:p>
    <w:p w14:paraId="4BA23538" w14:textId="77777777" w:rsidR="0096179A" w:rsidRPr="00411CFB" w:rsidRDefault="0096179A" w:rsidP="0096179A">
      <w:pPr>
        <w:pStyle w:val="BodyText-GREEN"/>
        <w:rPr>
          <w:b/>
          <w:bCs/>
        </w:rPr>
      </w:pPr>
      <w:r w:rsidRPr="00411CFB">
        <w:rPr>
          <w:b/>
          <w:bCs/>
        </w:rPr>
        <w:t>Prospective trials embedded in population screening programs</w:t>
      </w:r>
    </w:p>
    <w:p w14:paraId="28E07C90" w14:textId="3720C502" w:rsidR="0096179A" w:rsidRPr="00411CFB" w:rsidRDefault="0096179A" w:rsidP="0096179A">
      <w:pPr>
        <w:pStyle w:val="BodyText"/>
      </w:pPr>
      <w:r w:rsidRPr="00411CFB">
        <w:t>Ska</w:t>
      </w:r>
      <w:r w:rsidR="00411CFB">
        <w:t>a</w:t>
      </w:r>
      <w:r w:rsidRPr="00411CFB">
        <w:t xml:space="preserve">ne et al. (2019) reported false positive recall findings from the final data of the OTS trial. The study design reported on each screening examination as independently interpreted with the study’s four reading modes: (A) FFDM, (B) FFDM + computer-aided detection (CAD), (C) FFDM+DBT, and (D) DBT+s2DM. For each reading mode, two false positive estimates were developed: pooled estimates based on all observations and reader-adjusted estimates (the average of radiologist-specific estimates). Statistical analysis was based on pre-arbitration reader-adjusted estimates (given the variance in the number of cases read by individual radiologists, which ranged from 564 cases to 5318 cases).  Significantly lower false positives were found for FFDM+DBT compared to FFDM alone (p&lt;.001). </w:t>
      </w:r>
    </w:p>
    <w:p w14:paraId="0D8F11CB" w14:textId="77777777" w:rsidR="0096179A" w:rsidRPr="00FA7913" w:rsidRDefault="0096179A" w:rsidP="0096179A">
      <w:pPr>
        <w:pStyle w:val="List-BulletLvl1"/>
        <w:numPr>
          <w:ilvl w:val="0"/>
          <w:numId w:val="6"/>
        </w:numPr>
      </w:pPr>
      <w:r w:rsidRPr="00FA7913">
        <w:t>FFDM compared to FFDM+DBT: 5.8 (6.6) percent compared to 5.0 (5.4) percent</w:t>
      </w:r>
      <w:r w:rsidRPr="00FA7913">
        <w:rPr>
          <w:rStyle w:val="FootnoteReference"/>
        </w:rPr>
        <w:footnoteReference w:id="21"/>
      </w:r>
      <w:r w:rsidRPr="00FA7913">
        <w:t xml:space="preserve"> </w:t>
      </w:r>
    </w:p>
    <w:p w14:paraId="44AA5E6E" w14:textId="0DF04E93" w:rsidR="0096179A" w:rsidRPr="00FA7913" w:rsidRDefault="0096179A" w:rsidP="0096179A">
      <w:pPr>
        <w:pStyle w:val="List-BulletLvl1"/>
        <w:numPr>
          <w:ilvl w:val="0"/>
          <w:numId w:val="6"/>
        </w:numPr>
      </w:pPr>
      <w:r w:rsidRPr="00FA7913">
        <w:t>FFDM compared to FFDM+CAD: 5.8 (6.6) percent compared to 5.8 (6.8) percent</w:t>
      </w:r>
      <w:r w:rsidRPr="00FA7913">
        <w:rPr>
          <w:rStyle w:val="FootnoteReference"/>
        </w:rPr>
        <w:footnoteReference w:id="22"/>
      </w:r>
    </w:p>
    <w:p w14:paraId="56F578F4" w14:textId="77777777" w:rsidR="0096179A" w:rsidRPr="00FA7913" w:rsidRDefault="0096179A" w:rsidP="0096179A">
      <w:pPr>
        <w:pStyle w:val="List-BulletLvl1"/>
        <w:numPr>
          <w:ilvl w:val="0"/>
          <w:numId w:val="6"/>
        </w:numPr>
      </w:pPr>
      <w:r w:rsidRPr="00FA7913">
        <w:t>FFDM+DBT compared to DBT+s2DM: 5.0 (5.4) percent compared to 4.6 (5.1) percent</w:t>
      </w:r>
      <w:r w:rsidRPr="00FA7913">
        <w:rPr>
          <w:rStyle w:val="FootnoteReference"/>
        </w:rPr>
        <w:footnoteReference w:id="23"/>
      </w:r>
      <w:r w:rsidRPr="00FA7913">
        <w:t xml:space="preserve"> </w:t>
      </w:r>
    </w:p>
    <w:p w14:paraId="222DFE10" w14:textId="77777777" w:rsidR="0096179A" w:rsidRPr="00FA7913" w:rsidRDefault="0096179A" w:rsidP="0096179A">
      <w:pPr>
        <w:pStyle w:val="List-BulletLvl1"/>
        <w:numPr>
          <w:ilvl w:val="0"/>
          <w:numId w:val="6"/>
        </w:numPr>
        <w:rPr>
          <w:rFonts w:ascii="AGaramondPro-Regular" w:hAnsi="AGaramondPro-Regular" w:cs="AGaramondPro-Regular"/>
        </w:rPr>
      </w:pPr>
      <w:r w:rsidRPr="00FA7913">
        <w:t xml:space="preserve">Simulated double reading of FFDM compared to FFDM+DBT: </w:t>
      </w:r>
      <w:r w:rsidRPr="00FA7913">
        <w:rPr>
          <w:rFonts w:ascii="AGaramondPro-Regular" w:hAnsi="AGaramondPro-Regular" w:cs="AGaramondPro-Regular"/>
        </w:rPr>
        <w:t xml:space="preserve">9.7 (10.4) percent compared to 8.1 (8.4) </w:t>
      </w:r>
      <w:r w:rsidRPr="00FA7913">
        <w:t>percent</w:t>
      </w:r>
      <w:r w:rsidRPr="00FA7913">
        <w:rPr>
          <w:rStyle w:val="FootnoteReference"/>
          <w:rFonts w:ascii="AGaramondPro-Regular" w:hAnsi="AGaramondPro-Regular" w:cs="AGaramondPro-Regular"/>
        </w:rPr>
        <w:footnoteReference w:id="24"/>
      </w:r>
      <w:r w:rsidRPr="00FA7913">
        <w:rPr>
          <w:rFonts w:ascii="AGaramondPro-Regular" w:hAnsi="AGaramondPro-Regular" w:cs="AGaramondPro-Regular"/>
        </w:rPr>
        <w:t>.</w:t>
      </w:r>
    </w:p>
    <w:p w14:paraId="597861FC" w14:textId="77777777" w:rsidR="0096179A" w:rsidRPr="00FA7913" w:rsidRDefault="0096179A" w:rsidP="0096179A">
      <w:pPr>
        <w:pStyle w:val="BodyText-GREEN"/>
        <w:rPr>
          <w:b/>
          <w:bCs/>
        </w:rPr>
      </w:pPr>
      <w:r w:rsidRPr="00FA7913">
        <w:rPr>
          <w:b/>
          <w:bCs/>
        </w:rPr>
        <w:t>Retrospective analysis</w:t>
      </w:r>
    </w:p>
    <w:p w14:paraId="7A53E6E5" w14:textId="6F678887" w:rsidR="0096179A" w:rsidRPr="00FA7913" w:rsidRDefault="0096179A" w:rsidP="0096179A">
      <w:pPr>
        <w:pStyle w:val="BodyText"/>
      </w:pPr>
      <w:r w:rsidRPr="00FA7913">
        <w:t>Bahl et al. (2019) reported on a single site retrospective study conducted in the United States which used single reading of  consecutive screening mammograms in older women (65 years and older) comparing FFDM with FFDM+DBT across a range of performance measures. The FFDM screens were captured 2008 - 2011 (prior to integration of DBT) for 15 019 women (mean age of 72.7 years). The FFDM+DBT screens were captured from 2013 - 2015 (after complete DBT integration), for 20</w:t>
      </w:r>
      <w:r w:rsidR="00935D4C">
        <w:t>,</w:t>
      </w:r>
      <w:r w:rsidRPr="00FA7913">
        <w:t>646 women (mean age 72.1 years). The screens were interpreted by 29 breast imaging radiologists. Mammograms were considered false positive if there was no known tissue diagnosis of cancer within one year of a positive screening result (i.e., BIRADS reporting category 0, 3, 4, or 5). Reader protocol was not reported in this study (i.e. independent double or single). In relation to false positive recall rate, Bahl et al. reported that FFDM+DBT produced a lower false positive rate compared to FFDM (4.8 percent compared to 5.1 percent; AOR, 0.85;</w:t>
      </w:r>
      <w:r w:rsidRPr="00FA7913">
        <w:rPr>
          <w:i/>
          <w:iCs/>
        </w:rPr>
        <w:t xml:space="preserve"> p=</w:t>
      </w:r>
      <w:r w:rsidRPr="00FA7913">
        <w:t xml:space="preserve">.001). They also found that the potential risks of false positive examinations </w:t>
      </w:r>
      <w:r w:rsidR="00580D93">
        <w:t>were</w:t>
      </w:r>
      <w:r w:rsidRPr="00FA7913">
        <w:t xml:space="preserve"> lower with increasing age (AOR 70-74 yrs.; 0.94, 75-79 yrs.; 0.92, 80-84 yrs.;0.83, and 85 and over; 0.76, trending </w:t>
      </w:r>
      <w:r w:rsidRPr="00FA7913">
        <w:rPr>
          <w:i/>
          <w:iCs/>
        </w:rPr>
        <w:t>p</w:t>
      </w:r>
      <w:r w:rsidRPr="00FA7913">
        <w:t xml:space="preserve">&lt;.01). </w:t>
      </w:r>
    </w:p>
    <w:p w14:paraId="7FCDE409" w14:textId="0BABCEE0" w:rsidR="0096179A" w:rsidRPr="00FA7913" w:rsidRDefault="0096179A" w:rsidP="0096179A">
      <w:pPr>
        <w:pStyle w:val="BodyText"/>
      </w:pPr>
      <w:r w:rsidRPr="00FA7913">
        <w:t xml:space="preserve">Honig et al. (2019) conducted a retrospective study reporting on 22,055 screening mammograms (1278 mammograms where the woman was recalled),  to better understand some of the factors that influence recall rate with DBT and FFDM (including false positive recalls) (methodology described in </w:t>
      </w:r>
      <w:r w:rsidRPr="00FA7913">
        <w:rPr>
          <w:i/>
          <w:iCs/>
        </w:rPr>
        <w:t>section 3.4.1</w:t>
      </w:r>
      <w:r w:rsidRPr="00FA7913">
        <w:t xml:space="preserve">). Honig et al. defined false positive as BIRADS reporting category 1 or 2 at diagnostic imaging with one-year cancer-free follow-up. Details of the reader protocol were not provided. The study did not compare FFDM to DBT directly, but we have included this study here </w:t>
      </w:r>
      <w:r w:rsidRPr="00FA7913">
        <w:lastRenderedPageBreak/>
        <w:t>because it provide</w:t>
      </w:r>
      <w:r w:rsidR="00580D93">
        <w:t>s</w:t>
      </w:r>
      <w:r w:rsidRPr="00FA7913">
        <w:t xml:space="preserve"> some useful insights into factors that might influence the false positive recall rate. Information about mammography (rather than other clinical factors) reported by Honig et al. included that false positive results were significantly lower if prior mammograms were available (90.8 percent compared to 95.8 percent; </w:t>
      </w:r>
      <w:r w:rsidRPr="00FA7913">
        <w:rPr>
          <w:i/>
          <w:iCs/>
        </w:rPr>
        <w:t>p</w:t>
      </w:r>
      <w:r w:rsidRPr="00FA7913">
        <w:t xml:space="preserve">=.02) but it did not matter whether this mammogram was FFDM or DBT. The study also found that there </w:t>
      </w:r>
      <w:r w:rsidR="00BB7BBA" w:rsidRPr="00FA7913">
        <w:t>were</w:t>
      </w:r>
      <w:r w:rsidRPr="00FA7913">
        <w:t xml:space="preserve"> no significant differences in false positive recall rates based on history of high-risk lesions, family history of breast or ovarian cancer, hormone use, breast density, race, or body mass index. Age however was an indicator for difference in that false positive recall rates were highest among women aged 40-49 years with rates decreasing with increasing age. Honig et al. proposed that these findings are relevant to practice in that they may influence decision for consideration of double reading (when it is not standard procedure) for women aged 40-49 years, who have less radiological images to compare against. This is of limited relevance to the BSA program however as all images are double read (and there was no strong evidence that a </w:t>
      </w:r>
      <w:r w:rsidR="00BB7BBA" w:rsidRPr="00FA7913">
        <w:t>single reading</w:t>
      </w:r>
      <w:r w:rsidRPr="00FA7913">
        <w:t xml:space="preserve"> of a DBT image is a clinically appropriate approach at this time). </w:t>
      </w:r>
    </w:p>
    <w:p w14:paraId="18B22F6C" w14:textId="77777777" w:rsidR="0096179A" w:rsidRPr="00FA7913" w:rsidRDefault="0096179A" w:rsidP="0096179A">
      <w:pPr>
        <w:pStyle w:val="Heading3-NOTinTOC"/>
      </w:pPr>
      <w:r w:rsidRPr="00FA7913">
        <w:t>DBT</w:t>
      </w:r>
      <w:r w:rsidRPr="00FA7913">
        <w:rPr>
          <w:vertAlign w:val="subscript"/>
        </w:rPr>
        <w:t>MLO</w:t>
      </w:r>
      <w:r w:rsidRPr="00FA7913">
        <w:t xml:space="preserve"> compared to FFDM</w:t>
      </w:r>
    </w:p>
    <w:p w14:paraId="06D20958" w14:textId="77777777" w:rsidR="0096179A" w:rsidRPr="00FA7913" w:rsidRDefault="0096179A" w:rsidP="0096179A">
      <w:pPr>
        <w:pStyle w:val="BodyText-GREEN"/>
        <w:rPr>
          <w:b/>
          <w:bCs/>
        </w:rPr>
      </w:pPr>
      <w:r w:rsidRPr="00FA7913">
        <w:rPr>
          <w:b/>
          <w:bCs/>
        </w:rPr>
        <w:t>Prospective trials embedded in population screening programs</w:t>
      </w:r>
    </w:p>
    <w:p w14:paraId="42BD36E8" w14:textId="70F889D2" w:rsidR="0096179A" w:rsidRPr="00870ABB" w:rsidRDefault="0096179A" w:rsidP="0096179A">
      <w:pPr>
        <w:pStyle w:val="BodyText"/>
      </w:pPr>
      <w:r w:rsidRPr="00FA7913">
        <w:t>In the Malmö trial, Zackrisson et al. (2018) the authors determined that the proportion of false positive results after the consensus meeting was higher with DBT</w:t>
      </w:r>
      <w:r w:rsidRPr="00FA7913">
        <w:rPr>
          <w:vertAlign w:val="subscript"/>
        </w:rPr>
        <w:t>MLO</w:t>
      </w:r>
      <w:r w:rsidRPr="00FA7913">
        <w:t xml:space="preserve"> screen-reading than with FFDM. No data was presented but a graphic indicated that, at Year One, false positive recall rate was approximately 2.5 per 100 women screened for DBT</w:t>
      </w:r>
      <w:r w:rsidRPr="00FA7913">
        <w:rPr>
          <w:vertAlign w:val="subscript"/>
        </w:rPr>
        <w:t xml:space="preserve">MLO </w:t>
      </w:r>
      <w:r w:rsidRPr="00FA7913">
        <w:t>compared to approximately 0.6 per 100 women screened with FFDM. Zackrisson et al. reported that the proportion of false positive results among recalled participants decreased in the DBT</w:t>
      </w:r>
      <w:r w:rsidRPr="00FA7913">
        <w:rPr>
          <w:vertAlign w:val="subscript"/>
        </w:rPr>
        <w:t>MLO</w:t>
      </w:r>
      <w:r w:rsidRPr="00FA7913">
        <w:rPr>
          <w:sz w:val="18"/>
          <w:szCs w:val="18"/>
        </w:rPr>
        <w:t xml:space="preserve"> </w:t>
      </w:r>
      <w:r w:rsidRPr="00FA7913">
        <w:t>group during the first year of the trial and then stabilised. By Year Five, false positive recall rates were lower for DBT</w:t>
      </w:r>
      <w:r w:rsidRPr="00FA7913">
        <w:rPr>
          <w:vertAlign w:val="subscript"/>
        </w:rPr>
        <w:t xml:space="preserve">MLO </w:t>
      </w:r>
      <w:r w:rsidRPr="00FA7913">
        <w:t xml:space="preserve">(approximately 1.5 per 100 women screened) but were still higher than FFDM alone (approximately 0.8 per 100 women). This may be as a result of learning effect when using </w:t>
      </w:r>
      <w:r w:rsidR="00BB7BBA" w:rsidRPr="00FA7913">
        <w:t>DBT</w:t>
      </w:r>
      <w:r w:rsidR="00BB7BBA" w:rsidRPr="00FA7913">
        <w:rPr>
          <w:vertAlign w:val="subscript"/>
        </w:rPr>
        <w:t>MLO,</w:t>
      </w:r>
      <w:r w:rsidRPr="00FA7913">
        <w:t xml:space="preserve"> but no further commentary is provided about the continuing higher false positive rate or its significance within this trial (beyond noting a potential prevalence effect with the increased sensitivity of DBT as an imaging modality). Zackrisson et al. reported that they are planning to conduct further analysis to better understand the false positive results reported in the final Malmö dataset.</w:t>
      </w:r>
      <w:r w:rsidRPr="00870ABB">
        <w:t xml:space="preserve"> </w:t>
      </w:r>
    </w:p>
    <w:p w14:paraId="7F72AAC0" w14:textId="77777777" w:rsidR="0096179A" w:rsidRDefault="0096179A" w:rsidP="0096179A">
      <w:pPr>
        <w:pStyle w:val="Caption"/>
      </w:pPr>
    </w:p>
    <w:p w14:paraId="394842DB" w14:textId="77777777" w:rsidR="00BC52D9" w:rsidRDefault="00BC52D9" w:rsidP="0096179A">
      <w:pPr>
        <w:pStyle w:val="Caption"/>
        <w:rPr>
          <w:highlight w:val="magenta"/>
        </w:rPr>
        <w:sectPr w:rsidR="00BC52D9" w:rsidSect="00BC52D9">
          <w:footerReference w:type="even" r:id="rId24"/>
          <w:footerReference w:type="default" r:id="rId25"/>
          <w:pgSz w:w="11907" w:h="16839" w:code="9"/>
          <w:pgMar w:top="1418" w:right="1418" w:bottom="1418" w:left="1418" w:header="964" w:footer="964" w:gutter="0"/>
          <w:cols w:space="708"/>
          <w:docGrid w:linePitch="360"/>
        </w:sectPr>
      </w:pPr>
    </w:p>
    <w:p w14:paraId="6D594D47" w14:textId="61F20FB5" w:rsidR="0096179A" w:rsidRPr="00BC52D9" w:rsidRDefault="0096179A" w:rsidP="0096179A">
      <w:pPr>
        <w:pStyle w:val="Caption"/>
      </w:pPr>
      <w:r w:rsidRPr="00BC52D9">
        <w:lastRenderedPageBreak/>
        <w:t xml:space="preserve">Table </w:t>
      </w:r>
      <w:r w:rsidR="00BC52D9">
        <w:t>17</w:t>
      </w:r>
      <w:r w:rsidRPr="00BC52D9">
        <w:t xml:space="preserve">: Studies reporting on false positive recall rate </w:t>
      </w:r>
    </w:p>
    <w:tbl>
      <w:tblPr>
        <w:tblW w:w="15452" w:type="dxa"/>
        <w:tblInd w:w="-856"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Description w:val="Table 17: shows studies reporting on false positive recall rate&#10;For RCT, a study by Pattacini et al. (2018) Reggio Emilia includes a sample of women aged 45 to 74 years attending for incident screening.&#10;The study type was Baseline data from a prospective single site RCT using a test and treat methodology using GE Senographe Essential systems.&#10;FFDM + DBT False positive recall rate (95%CI; p-value) was:&#10;All: 2.7% &#10;45 to 49 years: 3.4% &#10;50 to 59 years: 2.3% &#10;60 to 70 years: 2.6% &#10;DBT+s2DM False positive recall rate (95%CI; p-value) was NA.&#10;FFDM alone False positive recall rate (95%CI; p-value) was:&#10;All: 3.0% &#10;45 to 49 years: 3.4% &#10;50 to 59 years: 3.0% &#10;60 to 70 years: 2.7% &#10;Difference between false positive recall rates detection (95%CI) was NA.&#10;&#10;The prospective studies embedded in population-based screening programs included a study from Bernardi et al. (2018) STORM which included a sample of 9,672 asymptomatic Italian women aged 53 to 63 years with a median age of 58 years) who attended population-based screening.&#10;The study type was Prospective, fully paired trial using Selenia Dimensions system with C-view for FFDM + DBT with single reading.&#10;FFDM + DBT False positive recall rate (95%CI; p-value) was FFDM+ DBT: median 2.75% (1.5, 3.4).&#10;DBT+s2DM False positive recall rate (95%CI; p-value) was DBT+s2DM: median 3% (1.8, 6.7)&#10;s2DM alone: median 2.4% (1.6, 4.6).&#10;FFDM alone False positive recall rate (95%CI; p-value) was FFDM: median 2.25% (1.2, 2.7).&#10;Difference between false positive recall rates detection (95%CI) was NA.&#10;&#10;Retrospective analysis included the following studies:&#10;A study Bahl et al. (2019) included a sample of 35,665 women aged 65+ years. &#10;FFDM: 15,019 with a mean of 72.7 years.&#10;DBT: 20,646 with a mean of 72.1 years.&#10;The study type was Retrospective analysis, single academic medical centre using Selenia Dimensions; Hologic. &#10;29 breast imaging radiologists. &#10;&#10;FFDM + DBT False positive recall rate (95%CI; p-value) was 4.8% (4.6, 5.1).&#10;DBT + s2DM False positive recall rate (95%CI; p-value) was NA.&#10;FFDM alone False positive recall rate (95%CI; p-value) was 5.1% (4.9, 5.4).&#10;Difference between false positive recall rates detection (95%CI) was AOR= 0.85 (0.78, 0.92, p&lt;.001).&#10;&#10;A study by Honig et al. (2019) included a sample of 1,887 women (22,055 screening mammograms) FFDM Vs DBT.&#10;FFDM: 5,029&#10;DBT:  17,026&#10;The study type was single site retrospective analysis. False positive estimate. &#10;FFDM + DBT False positive recall rate (95%CI; p-value) was Estimate: 7.5%.&#10;DBT+s2DM False positive recall rate (95%CI; p-value) was Estimate:&quot; 10.0%&#10;"/>
      </w:tblPr>
      <w:tblGrid>
        <w:gridCol w:w="1277"/>
        <w:gridCol w:w="2693"/>
        <w:gridCol w:w="2835"/>
        <w:gridCol w:w="2161"/>
        <w:gridCol w:w="2162"/>
        <w:gridCol w:w="2162"/>
        <w:gridCol w:w="2162"/>
      </w:tblGrid>
      <w:tr w:rsidR="0096179A" w:rsidRPr="00BC52D9" w14:paraId="0FBC981F" w14:textId="77777777" w:rsidTr="00833B78">
        <w:trPr>
          <w:trHeight w:val="429"/>
          <w:tblHeader/>
        </w:trPr>
        <w:tc>
          <w:tcPr>
            <w:tcW w:w="1277" w:type="dxa"/>
            <w:shd w:val="clear" w:color="auto" w:fill="77B800" w:themeFill="background2"/>
          </w:tcPr>
          <w:p w14:paraId="15F68D1D" w14:textId="77777777" w:rsidR="0096179A" w:rsidRPr="00BC52D9" w:rsidRDefault="0096179A" w:rsidP="00833B78">
            <w:pPr>
              <w:pStyle w:val="BodyText"/>
              <w:spacing w:before="0" w:after="0" w:line="240" w:lineRule="auto"/>
              <w:jc w:val="center"/>
              <w:rPr>
                <w:rFonts w:asciiTheme="majorHAnsi" w:hAnsiTheme="majorHAnsi" w:cstheme="majorHAnsi"/>
                <w:color w:val="FFFFFF" w:themeColor="background1"/>
                <w:sz w:val="18"/>
                <w:szCs w:val="18"/>
              </w:rPr>
            </w:pPr>
            <w:r w:rsidRPr="00BC52D9">
              <w:rPr>
                <w:rFonts w:asciiTheme="majorHAnsi" w:hAnsiTheme="majorHAnsi" w:cstheme="majorHAnsi"/>
                <w:b/>
                <w:color w:val="FFFFFF" w:themeColor="background1"/>
                <w:sz w:val="18"/>
                <w:szCs w:val="18"/>
              </w:rPr>
              <w:t>Study</w:t>
            </w:r>
          </w:p>
          <w:p w14:paraId="2E904FCD" w14:textId="77777777" w:rsidR="0096179A" w:rsidRPr="00BC52D9" w:rsidRDefault="0096179A" w:rsidP="00833B78">
            <w:pPr>
              <w:jc w:val="center"/>
            </w:pPr>
          </w:p>
        </w:tc>
        <w:tc>
          <w:tcPr>
            <w:tcW w:w="2693" w:type="dxa"/>
            <w:shd w:val="clear" w:color="auto" w:fill="77B800" w:themeFill="background2"/>
          </w:tcPr>
          <w:p w14:paraId="71524323" w14:textId="77777777" w:rsidR="0096179A" w:rsidRPr="00BC52D9" w:rsidRDefault="0096179A" w:rsidP="00833B78">
            <w:pPr>
              <w:pStyle w:val="BodyText"/>
              <w:spacing w:before="0" w:after="0" w:line="240" w:lineRule="auto"/>
              <w:jc w:val="center"/>
              <w:rPr>
                <w:rFonts w:asciiTheme="majorHAnsi" w:hAnsiTheme="majorHAnsi" w:cstheme="majorHAnsi"/>
                <w:b/>
                <w:color w:val="FFFFFF" w:themeColor="background1"/>
                <w:sz w:val="18"/>
                <w:szCs w:val="18"/>
              </w:rPr>
            </w:pPr>
            <w:r w:rsidRPr="00BC52D9">
              <w:rPr>
                <w:rFonts w:asciiTheme="majorHAnsi" w:hAnsiTheme="majorHAnsi" w:cstheme="majorHAnsi"/>
                <w:b/>
                <w:color w:val="FFFFFF" w:themeColor="background1"/>
                <w:sz w:val="18"/>
                <w:szCs w:val="18"/>
              </w:rPr>
              <w:t>Sample</w:t>
            </w:r>
          </w:p>
        </w:tc>
        <w:tc>
          <w:tcPr>
            <w:tcW w:w="2835" w:type="dxa"/>
            <w:shd w:val="clear" w:color="auto" w:fill="77B800" w:themeFill="background2"/>
          </w:tcPr>
          <w:p w14:paraId="7BE6837B" w14:textId="77777777" w:rsidR="0096179A" w:rsidRPr="00BC52D9" w:rsidRDefault="0096179A" w:rsidP="00833B78">
            <w:pPr>
              <w:pStyle w:val="BodyText"/>
              <w:spacing w:before="0" w:after="0" w:line="240" w:lineRule="auto"/>
              <w:jc w:val="center"/>
              <w:rPr>
                <w:rFonts w:asciiTheme="majorHAnsi" w:hAnsiTheme="majorHAnsi" w:cstheme="majorHAnsi"/>
                <w:b/>
                <w:color w:val="FFFFFF" w:themeColor="background1"/>
                <w:sz w:val="18"/>
                <w:szCs w:val="18"/>
              </w:rPr>
            </w:pPr>
            <w:r w:rsidRPr="00BC52D9">
              <w:rPr>
                <w:rFonts w:asciiTheme="majorHAnsi" w:hAnsiTheme="majorHAnsi" w:cstheme="majorHAnsi"/>
                <w:b/>
                <w:color w:val="FFFFFF" w:themeColor="background1"/>
                <w:sz w:val="18"/>
                <w:szCs w:val="18"/>
              </w:rPr>
              <w:t>Study type</w:t>
            </w:r>
          </w:p>
        </w:tc>
        <w:tc>
          <w:tcPr>
            <w:tcW w:w="2161" w:type="dxa"/>
            <w:shd w:val="clear" w:color="auto" w:fill="77B800" w:themeFill="background2"/>
          </w:tcPr>
          <w:p w14:paraId="554F09EE" w14:textId="77777777" w:rsidR="0096179A" w:rsidRPr="00BC52D9" w:rsidRDefault="0096179A" w:rsidP="00833B78">
            <w:pPr>
              <w:pStyle w:val="BodyText"/>
              <w:spacing w:before="0" w:after="0" w:line="240" w:lineRule="auto"/>
              <w:jc w:val="center"/>
              <w:rPr>
                <w:rFonts w:asciiTheme="majorHAnsi" w:hAnsiTheme="majorHAnsi" w:cstheme="majorHAnsi"/>
                <w:b/>
                <w:color w:val="FFFFFF" w:themeColor="background1"/>
                <w:sz w:val="18"/>
                <w:szCs w:val="18"/>
              </w:rPr>
            </w:pPr>
            <w:r w:rsidRPr="00BC52D9">
              <w:rPr>
                <w:rFonts w:asciiTheme="majorHAnsi" w:hAnsiTheme="majorHAnsi" w:cstheme="majorHAnsi"/>
                <w:b/>
                <w:color w:val="FFFFFF" w:themeColor="background1"/>
                <w:sz w:val="18"/>
                <w:szCs w:val="18"/>
              </w:rPr>
              <w:t>FFDM + DBT</w:t>
            </w:r>
          </w:p>
          <w:p w14:paraId="543CE03A" w14:textId="77777777" w:rsidR="0096179A" w:rsidRPr="00BC52D9" w:rsidRDefault="0096179A" w:rsidP="00833B78">
            <w:pPr>
              <w:pStyle w:val="BodyText"/>
              <w:spacing w:before="0" w:after="0" w:line="240" w:lineRule="auto"/>
              <w:jc w:val="center"/>
              <w:rPr>
                <w:rFonts w:asciiTheme="majorHAnsi" w:hAnsiTheme="majorHAnsi" w:cstheme="majorHAnsi"/>
                <w:color w:val="FFFFFF" w:themeColor="background1"/>
                <w:sz w:val="16"/>
                <w:szCs w:val="16"/>
              </w:rPr>
            </w:pPr>
            <w:r w:rsidRPr="00BC52D9">
              <w:rPr>
                <w:rFonts w:asciiTheme="majorHAnsi" w:hAnsiTheme="majorHAnsi" w:cstheme="majorHAnsi"/>
                <w:color w:val="FFFFFF" w:themeColor="background1"/>
                <w:sz w:val="16"/>
                <w:szCs w:val="16"/>
              </w:rPr>
              <w:t xml:space="preserve">False positive recall rate </w:t>
            </w:r>
          </w:p>
          <w:p w14:paraId="3E72F912" w14:textId="77777777" w:rsidR="0096179A" w:rsidRPr="00BC52D9" w:rsidRDefault="0096179A" w:rsidP="00833B78">
            <w:pPr>
              <w:pStyle w:val="BodyText"/>
              <w:spacing w:before="0" w:after="0" w:line="240" w:lineRule="auto"/>
              <w:jc w:val="center"/>
              <w:rPr>
                <w:rFonts w:asciiTheme="majorHAnsi" w:hAnsiTheme="majorHAnsi" w:cstheme="majorHAnsi"/>
                <w:color w:val="FFFFFF" w:themeColor="background1"/>
                <w:sz w:val="18"/>
                <w:szCs w:val="18"/>
              </w:rPr>
            </w:pPr>
            <w:r w:rsidRPr="00BC52D9">
              <w:rPr>
                <w:rFonts w:asciiTheme="majorHAnsi" w:hAnsiTheme="majorHAnsi" w:cstheme="majorHAnsi"/>
                <w:color w:val="FFFFFF" w:themeColor="background1"/>
                <w:sz w:val="16"/>
                <w:szCs w:val="16"/>
              </w:rPr>
              <w:t xml:space="preserve"> (95%CI; p-value)</w:t>
            </w:r>
          </w:p>
        </w:tc>
        <w:tc>
          <w:tcPr>
            <w:tcW w:w="2162" w:type="dxa"/>
            <w:shd w:val="clear" w:color="auto" w:fill="77B800" w:themeFill="background2"/>
          </w:tcPr>
          <w:p w14:paraId="5BCA05DF" w14:textId="77777777" w:rsidR="0096179A" w:rsidRPr="00BC52D9" w:rsidRDefault="0096179A" w:rsidP="00833B78">
            <w:pPr>
              <w:pStyle w:val="BodyText"/>
              <w:spacing w:before="0" w:after="0" w:line="240" w:lineRule="auto"/>
              <w:jc w:val="center"/>
              <w:rPr>
                <w:rFonts w:asciiTheme="majorHAnsi" w:hAnsiTheme="majorHAnsi" w:cstheme="majorHAnsi"/>
                <w:b/>
                <w:color w:val="FFFFFF" w:themeColor="background1"/>
                <w:sz w:val="18"/>
                <w:szCs w:val="18"/>
              </w:rPr>
            </w:pPr>
            <w:r w:rsidRPr="00BC52D9">
              <w:rPr>
                <w:rFonts w:asciiTheme="majorHAnsi" w:hAnsiTheme="majorHAnsi" w:cstheme="majorHAnsi"/>
                <w:b/>
                <w:color w:val="FFFFFF" w:themeColor="background1"/>
                <w:sz w:val="18"/>
                <w:szCs w:val="18"/>
              </w:rPr>
              <w:t>DBT + s2DM</w:t>
            </w:r>
          </w:p>
          <w:p w14:paraId="70503026" w14:textId="77777777" w:rsidR="0096179A" w:rsidRPr="00BC52D9" w:rsidRDefault="0096179A" w:rsidP="00833B78">
            <w:pPr>
              <w:pStyle w:val="BodyText"/>
              <w:spacing w:before="0" w:after="0" w:line="240" w:lineRule="auto"/>
              <w:jc w:val="center"/>
              <w:rPr>
                <w:rFonts w:asciiTheme="majorHAnsi" w:hAnsiTheme="majorHAnsi" w:cstheme="majorHAnsi"/>
                <w:color w:val="FFFFFF" w:themeColor="background1"/>
                <w:sz w:val="16"/>
                <w:szCs w:val="16"/>
              </w:rPr>
            </w:pPr>
            <w:r w:rsidRPr="00BC52D9">
              <w:rPr>
                <w:rFonts w:asciiTheme="majorHAnsi" w:hAnsiTheme="majorHAnsi" w:cstheme="majorHAnsi"/>
                <w:color w:val="FFFFFF" w:themeColor="background1"/>
                <w:sz w:val="16"/>
                <w:szCs w:val="16"/>
              </w:rPr>
              <w:t xml:space="preserve">False positive recall rate </w:t>
            </w:r>
          </w:p>
          <w:p w14:paraId="4F541079" w14:textId="77777777" w:rsidR="0096179A" w:rsidRPr="00BC52D9" w:rsidRDefault="0096179A" w:rsidP="00833B78">
            <w:pPr>
              <w:pStyle w:val="BodyText"/>
              <w:spacing w:before="0" w:after="0" w:line="240" w:lineRule="auto"/>
              <w:jc w:val="center"/>
              <w:rPr>
                <w:rFonts w:asciiTheme="majorHAnsi" w:hAnsiTheme="majorHAnsi" w:cstheme="majorHAnsi"/>
                <w:color w:val="FFFFFF" w:themeColor="background1"/>
                <w:sz w:val="18"/>
                <w:szCs w:val="18"/>
              </w:rPr>
            </w:pPr>
            <w:r w:rsidRPr="00BC52D9">
              <w:rPr>
                <w:rFonts w:asciiTheme="majorHAnsi" w:hAnsiTheme="majorHAnsi" w:cstheme="majorHAnsi"/>
                <w:color w:val="FFFFFF" w:themeColor="background1"/>
                <w:sz w:val="16"/>
                <w:szCs w:val="16"/>
              </w:rPr>
              <w:t xml:space="preserve"> (95%CI; p-value)</w:t>
            </w:r>
          </w:p>
        </w:tc>
        <w:tc>
          <w:tcPr>
            <w:tcW w:w="2162" w:type="dxa"/>
            <w:shd w:val="clear" w:color="auto" w:fill="77B800" w:themeFill="background2"/>
          </w:tcPr>
          <w:p w14:paraId="6708D6BC" w14:textId="77777777" w:rsidR="0096179A" w:rsidRPr="00BC52D9" w:rsidRDefault="0096179A" w:rsidP="00833B78">
            <w:pPr>
              <w:pStyle w:val="BodyText"/>
              <w:spacing w:before="0" w:after="0" w:line="240" w:lineRule="auto"/>
              <w:jc w:val="center"/>
              <w:rPr>
                <w:rFonts w:asciiTheme="majorHAnsi" w:hAnsiTheme="majorHAnsi" w:cstheme="majorHAnsi"/>
                <w:b/>
                <w:color w:val="FFFFFF" w:themeColor="background1"/>
                <w:sz w:val="18"/>
                <w:szCs w:val="18"/>
              </w:rPr>
            </w:pPr>
            <w:r w:rsidRPr="00BC52D9">
              <w:rPr>
                <w:rFonts w:asciiTheme="majorHAnsi" w:hAnsiTheme="majorHAnsi" w:cstheme="majorHAnsi"/>
                <w:b/>
                <w:color w:val="FFFFFF" w:themeColor="background1"/>
                <w:sz w:val="18"/>
                <w:szCs w:val="18"/>
              </w:rPr>
              <w:t>FFDM alone</w:t>
            </w:r>
          </w:p>
          <w:p w14:paraId="5922CFE6" w14:textId="77777777" w:rsidR="0096179A" w:rsidRPr="00BC52D9" w:rsidRDefault="0096179A" w:rsidP="00833B78">
            <w:pPr>
              <w:pStyle w:val="BodyText"/>
              <w:spacing w:before="0" w:after="0" w:line="240" w:lineRule="auto"/>
              <w:jc w:val="center"/>
              <w:rPr>
                <w:rFonts w:asciiTheme="majorHAnsi" w:hAnsiTheme="majorHAnsi" w:cstheme="majorHAnsi"/>
                <w:color w:val="FFFFFF" w:themeColor="background1"/>
                <w:sz w:val="16"/>
                <w:szCs w:val="16"/>
              </w:rPr>
            </w:pPr>
            <w:r w:rsidRPr="00BC52D9">
              <w:rPr>
                <w:rFonts w:asciiTheme="majorHAnsi" w:hAnsiTheme="majorHAnsi" w:cstheme="majorHAnsi"/>
                <w:color w:val="FFFFFF" w:themeColor="background1"/>
                <w:sz w:val="16"/>
                <w:szCs w:val="16"/>
              </w:rPr>
              <w:t xml:space="preserve">False positive recall rate </w:t>
            </w:r>
          </w:p>
          <w:p w14:paraId="278E9016" w14:textId="77777777" w:rsidR="0096179A" w:rsidRPr="00BC52D9" w:rsidRDefault="0096179A" w:rsidP="00833B78">
            <w:pPr>
              <w:pStyle w:val="BodyText"/>
              <w:spacing w:before="0" w:after="0" w:line="240" w:lineRule="auto"/>
              <w:jc w:val="center"/>
              <w:rPr>
                <w:rFonts w:asciiTheme="majorHAnsi" w:hAnsiTheme="majorHAnsi" w:cstheme="majorHAnsi"/>
                <w:b/>
                <w:color w:val="FFFFFF" w:themeColor="background1"/>
                <w:sz w:val="18"/>
                <w:szCs w:val="18"/>
              </w:rPr>
            </w:pPr>
            <w:r w:rsidRPr="00BC52D9">
              <w:rPr>
                <w:rFonts w:asciiTheme="majorHAnsi" w:hAnsiTheme="majorHAnsi" w:cstheme="majorHAnsi"/>
                <w:color w:val="FFFFFF" w:themeColor="background1"/>
                <w:sz w:val="16"/>
                <w:szCs w:val="16"/>
              </w:rPr>
              <w:t xml:space="preserve"> (95%CI; p-value)</w:t>
            </w:r>
          </w:p>
        </w:tc>
        <w:tc>
          <w:tcPr>
            <w:tcW w:w="2162" w:type="dxa"/>
            <w:shd w:val="clear" w:color="auto" w:fill="77B800" w:themeFill="background2"/>
          </w:tcPr>
          <w:p w14:paraId="233A5431" w14:textId="77777777" w:rsidR="0096179A" w:rsidRPr="00BC52D9" w:rsidRDefault="0096179A" w:rsidP="00833B78">
            <w:pPr>
              <w:pStyle w:val="BodyText"/>
              <w:spacing w:before="0" w:after="0" w:line="240" w:lineRule="auto"/>
              <w:jc w:val="center"/>
              <w:rPr>
                <w:rFonts w:asciiTheme="majorHAnsi" w:hAnsiTheme="majorHAnsi" w:cstheme="majorHAnsi"/>
                <w:color w:val="FFFFFF" w:themeColor="background1"/>
                <w:sz w:val="18"/>
                <w:szCs w:val="18"/>
              </w:rPr>
            </w:pPr>
            <w:r w:rsidRPr="00BC52D9">
              <w:rPr>
                <w:rFonts w:asciiTheme="majorHAnsi" w:hAnsiTheme="majorHAnsi" w:cstheme="majorHAnsi"/>
                <w:b/>
                <w:color w:val="FFFFFF" w:themeColor="background1"/>
                <w:sz w:val="18"/>
                <w:szCs w:val="18"/>
              </w:rPr>
              <w:t>Difference between false positive recall rates detection</w:t>
            </w:r>
            <w:r w:rsidRPr="00BC52D9">
              <w:rPr>
                <w:rFonts w:asciiTheme="majorHAnsi" w:hAnsiTheme="majorHAnsi" w:cstheme="majorHAnsi"/>
                <w:color w:val="FFFFFF" w:themeColor="background1"/>
                <w:sz w:val="18"/>
                <w:szCs w:val="18"/>
              </w:rPr>
              <w:t xml:space="preserve"> </w:t>
            </w:r>
            <w:r w:rsidRPr="00BC52D9">
              <w:rPr>
                <w:rFonts w:asciiTheme="majorHAnsi" w:hAnsiTheme="majorHAnsi" w:cstheme="majorHAnsi"/>
                <w:color w:val="FFFFFF" w:themeColor="background1"/>
                <w:sz w:val="16"/>
                <w:szCs w:val="16"/>
              </w:rPr>
              <w:t>(95%CI)</w:t>
            </w:r>
          </w:p>
        </w:tc>
      </w:tr>
      <w:tr w:rsidR="0096179A" w:rsidRPr="00BC52D9" w14:paraId="041645B9" w14:textId="77777777" w:rsidTr="00833B78">
        <w:trPr>
          <w:trHeight w:val="213"/>
          <w:tblHeader/>
        </w:trPr>
        <w:tc>
          <w:tcPr>
            <w:tcW w:w="15452" w:type="dxa"/>
            <w:gridSpan w:val="7"/>
            <w:shd w:val="clear" w:color="auto" w:fill="auto"/>
          </w:tcPr>
          <w:p w14:paraId="51249934" w14:textId="77777777" w:rsidR="0096179A" w:rsidRPr="00BC52D9" w:rsidRDefault="0096179A" w:rsidP="00833B78">
            <w:pPr>
              <w:pStyle w:val="BodyText"/>
              <w:spacing w:before="0" w:after="0" w:line="240" w:lineRule="auto"/>
              <w:jc w:val="left"/>
              <w:rPr>
                <w:rFonts w:asciiTheme="majorHAnsi" w:hAnsiTheme="majorHAnsi" w:cstheme="majorHAnsi"/>
                <w:b/>
                <w:color w:val="FFFFFF" w:themeColor="background1"/>
                <w:sz w:val="18"/>
                <w:szCs w:val="18"/>
              </w:rPr>
            </w:pPr>
            <w:r w:rsidRPr="00BC52D9">
              <w:rPr>
                <w:rFonts w:asciiTheme="majorHAnsi" w:hAnsiTheme="majorHAnsi" w:cstheme="majorHAnsi"/>
                <w:b/>
                <w:sz w:val="18"/>
                <w:szCs w:val="18"/>
              </w:rPr>
              <w:t>RCT</w:t>
            </w:r>
          </w:p>
        </w:tc>
      </w:tr>
      <w:tr w:rsidR="0096179A" w:rsidRPr="00BC52D9" w14:paraId="12F13875" w14:textId="77777777" w:rsidTr="00833B78">
        <w:trPr>
          <w:trHeight w:val="429"/>
          <w:tblHeader/>
        </w:trPr>
        <w:tc>
          <w:tcPr>
            <w:tcW w:w="1277" w:type="dxa"/>
            <w:shd w:val="clear" w:color="auto" w:fill="auto"/>
          </w:tcPr>
          <w:p w14:paraId="657D77E9"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Pattacini et al. (2018)</w:t>
            </w:r>
          </w:p>
          <w:p w14:paraId="196E1E35" w14:textId="77777777" w:rsidR="0096179A" w:rsidRPr="00BC52D9" w:rsidRDefault="0096179A" w:rsidP="00833B78">
            <w:pPr>
              <w:pStyle w:val="BodyText-GREEN"/>
              <w:spacing w:before="0" w:after="0" w:line="240" w:lineRule="auto"/>
              <w:rPr>
                <w:rFonts w:asciiTheme="majorHAnsi" w:hAnsiTheme="majorHAnsi" w:cstheme="majorHAnsi"/>
                <w:b/>
                <w:color w:val="auto"/>
                <w:sz w:val="18"/>
                <w:szCs w:val="18"/>
              </w:rPr>
            </w:pPr>
            <w:r w:rsidRPr="00BC52D9">
              <w:rPr>
                <w:rFonts w:asciiTheme="majorHAnsi" w:hAnsiTheme="majorHAnsi" w:cstheme="majorHAnsi"/>
                <w:bCs/>
                <w:color w:val="auto"/>
                <w:sz w:val="18"/>
                <w:szCs w:val="18"/>
              </w:rPr>
              <w:t xml:space="preserve">Reggio Emilia </w:t>
            </w:r>
          </w:p>
        </w:tc>
        <w:tc>
          <w:tcPr>
            <w:tcW w:w="2693" w:type="dxa"/>
            <w:shd w:val="clear" w:color="auto" w:fill="auto"/>
          </w:tcPr>
          <w:p w14:paraId="308994B2" w14:textId="52CDB86B"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Women aged 45</w:t>
            </w:r>
            <w:r w:rsidR="00BC52D9">
              <w:rPr>
                <w:rFonts w:asciiTheme="majorHAnsi" w:hAnsiTheme="majorHAnsi" w:cstheme="majorHAnsi"/>
                <w:bCs/>
                <w:sz w:val="18"/>
                <w:szCs w:val="18"/>
              </w:rPr>
              <w:t>-</w:t>
            </w:r>
            <w:r w:rsidRPr="00BC52D9">
              <w:rPr>
                <w:rFonts w:asciiTheme="majorHAnsi" w:hAnsiTheme="majorHAnsi" w:cstheme="majorHAnsi"/>
                <w:bCs/>
                <w:sz w:val="18"/>
                <w:szCs w:val="18"/>
              </w:rPr>
              <w:t>74</w:t>
            </w:r>
            <w:r w:rsidR="00BC52D9">
              <w:rPr>
                <w:rFonts w:asciiTheme="majorHAnsi" w:hAnsiTheme="majorHAnsi" w:cstheme="majorHAnsi"/>
                <w:bCs/>
                <w:sz w:val="18"/>
                <w:szCs w:val="18"/>
              </w:rPr>
              <w:t>y</w:t>
            </w:r>
            <w:r w:rsidRPr="00BC52D9">
              <w:rPr>
                <w:rFonts w:asciiTheme="majorHAnsi" w:hAnsiTheme="majorHAnsi" w:cstheme="majorHAnsi"/>
                <w:bCs/>
                <w:sz w:val="18"/>
                <w:szCs w:val="18"/>
              </w:rPr>
              <w:t xml:space="preserve"> attending for incident screening </w:t>
            </w:r>
          </w:p>
          <w:p w14:paraId="70588C27" w14:textId="1E089A55" w:rsidR="0096179A" w:rsidRPr="00BC52D9" w:rsidRDefault="0096179A" w:rsidP="00833B78">
            <w:pPr>
              <w:pStyle w:val="BodyText"/>
              <w:spacing w:before="0" w:after="0" w:line="240" w:lineRule="auto"/>
              <w:jc w:val="left"/>
              <w:rPr>
                <w:rFonts w:asciiTheme="majorHAnsi" w:hAnsiTheme="majorHAnsi" w:cstheme="majorHAnsi"/>
                <w:sz w:val="18"/>
                <w:szCs w:val="18"/>
              </w:rPr>
            </w:pPr>
          </w:p>
        </w:tc>
        <w:tc>
          <w:tcPr>
            <w:tcW w:w="2835" w:type="dxa"/>
            <w:shd w:val="clear" w:color="auto" w:fill="auto"/>
          </w:tcPr>
          <w:p w14:paraId="1005B439" w14:textId="77777777"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Baseline data from a prospective single site RCT using a test and treat methodology using GE Senographe Essential systems</w:t>
            </w:r>
          </w:p>
        </w:tc>
        <w:tc>
          <w:tcPr>
            <w:tcW w:w="2161" w:type="dxa"/>
            <w:shd w:val="clear" w:color="auto" w:fill="auto"/>
          </w:tcPr>
          <w:p w14:paraId="45DFB284" w14:textId="7A6CCCE2"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All</w:t>
            </w:r>
            <w:r w:rsidR="00BC52D9">
              <w:rPr>
                <w:rFonts w:asciiTheme="majorHAnsi" w:hAnsiTheme="majorHAnsi" w:cstheme="majorHAnsi"/>
                <w:sz w:val="18"/>
                <w:szCs w:val="18"/>
              </w:rPr>
              <w:t>:</w:t>
            </w:r>
            <w:r w:rsidRPr="00BC52D9">
              <w:rPr>
                <w:rFonts w:asciiTheme="majorHAnsi" w:hAnsiTheme="majorHAnsi" w:cstheme="majorHAnsi"/>
                <w:sz w:val="18"/>
                <w:szCs w:val="18"/>
              </w:rPr>
              <w:t xml:space="preserve"> 2.7% </w:t>
            </w:r>
          </w:p>
          <w:p w14:paraId="31D05A8E" w14:textId="027B7D48"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45-49</w:t>
            </w:r>
            <w:r w:rsidR="00BC52D9">
              <w:rPr>
                <w:rFonts w:asciiTheme="majorHAnsi" w:hAnsiTheme="majorHAnsi" w:cstheme="majorHAnsi"/>
                <w:sz w:val="18"/>
                <w:szCs w:val="18"/>
              </w:rPr>
              <w:t>y:</w:t>
            </w:r>
            <w:r w:rsidRPr="00BC52D9">
              <w:rPr>
                <w:rFonts w:asciiTheme="majorHAnsi" w:hAnsiTheme="majorHAnsi" w:cstheme="majorHAnsi"/>
                <w:sz w:val="18"/>
                <w:szCs w:val="18"/>
              </w:rPr>
              <w:t xml:space="preserve"> 3.4% </w:t>
            </w:r>
          </w:p>
          <w:p w14:paraId="212EC2F1" w14:textId="2B05397F"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50-59</w:t>
            </w:r>
            <w:r w:rsidR="00BC52D9">
              <w:rPr>
                <w:rFonts w:asciiTheme="majorHAnsi" w:hAnsiTheme="majorHAnsi" w:cstheme="majorHAnsi"/>
                <w:sz w:val="18"/>
                <w:szCs w:val="18"/>
              </w:rPr>
              <w:t xml:space="preserve">y: </w:t>
            </w:r>
            <w:r w:rsidRPr="00BC52D9">
              <w:rPr>
                <w:rFonts w:asciiTheme="majorHAnsi" w:hAnsiTheme="majorHAnsi" w:cstheme="majorHAnsi"/>
                <w:sz w:val="18"/>
                <w:szCs w:val="18"/>
              </w:rPr>
              <w:t xml:space="preserve">2.3% </w:t>
            </w:r>
          </w:p>
          <w:p w14:paraId="19F96AB9" w14:textId="08289FEF"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sz w:val="18"/>
                <w:szCs w:val="18"/>
              </w:rPr>
              <w:t>60-70</w:t>
            </w:r>
            <w:r w:rsidR="00BC52D9">
              <w:rPr>
                <w:rFonts w:asciiTheme="majorHAnsi" w:hAnsiTheme="majorHAnsi" w:cstheme="majorHAnsi"/>
                <w:sz w:val="18"/>
                <w:szCs w:val="18"/>
              </w:rPr>
              <w:t xml:space="preserve">y: </w:t>
            </w:r>
            <w:r w:rsidRPr="00BC52D9">
              <w:rPr>
                <w:rFonts w:asciiTheme="majorHAnsi" w:hAnsiTheme="majorHAnsi" w:cstheme="majorHAnsi"/>
                <w:sz w:val="18"/>
                <w:szCs w:val="18"/>
              </w:rPr>
              <w:t xml:space="preserve">2.6% </w:t>
            </w:r>
          </w:p>
        </w:tc>
        <w:tc>
          <w:tcPr>
            <w:tcW w:w="2162" w:type="dxa"/>
            <w:shd w:val="clear" w:color="auto" w:fill="auto"/>
          </w:tcPr>
          <w:p w14:paraId="10800683" w14:textId="77777777" w:rsidR="0096179A" w:rsidRPr="00BC52D9" w:rsidRDefault="0096179A" w:rsidP="00833B78">
            <w:pPr>
              <w:pStyle w:val="BodyText"/>
              <w:spacing w:before="0" w:after="0" w:line="240" w:lineRule="auto"/>
              <w:jc w:val="center"/>
              <w:rPr>
                <w:rFonts w:asciiTheme="majorHAnsi" w:hAnsiTheme="majorHAnsi" w:cstheme="majorHAnsi"/>
                <w:bCs/>
                <w:sz w:val="18"/>
                <w:szCs w:val="18"/>
              </w:rPr>
            </w:pPr>
            <w:r w:rsidRPr="00BC52D9">
              <w:rPr>
                <w:rFonts w:asciiTheme="majorHAnsi" w:hAnsiTheme="majorHAnsi" w:cstheme="majorHAnsi"/>
                <w:bCs/>
                <w:sz w:val="18"/>
                <w:szCs w:val="18"/>
              </w:rPr>
              <w:t>NA</w:t>
            </w:r>
          </w:p>
        </w:tc>
        <w:tc>
          <w:tcPr>
            <w:tcW w:w="2162" w:type="dxa"/>
            <w:shd w:val="clear" w:color="auto" w:fill="auto"/>
          </w:tcPr>
          <w:p w14:paraId="1A86981F" w14:textId="6E704A56"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All</w:t>
            </w:r>
            <w:r w:rsidR="00BC52D9">
              <w:rPr>
                <w:rFonts w:asciiTheme="majorHAnsi" w:hAnsiTheme="majorHAnsi" w:cstheme="majorHAnsi"/>
                <w:sz w:val="18"/>
                <w:szCs w:val="18"/>
              </w:rPr>
              <w:t>:</w:t>
            </w:r>
            <w:r w:rsidRPr="00BC52D9">
              <w:rPr>
                <w:rFonts w:asciiTheme="majorHAnsi" w:hAnsiTheme="majorHAnsi" w:cstheme="majorHAnsi"/>
                <w:sz w:val="18"/>
                <w:szCs w:val="18"/>
              </w:rPr>
              <w:t xml:space="preserve"> 3.0% </w:t>
            </w:r>
          </w:p>
          <w:p w14:paraId="3886B082" w14:textId="1CF54452"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45-49</w:t>
            </w:r>
            <w:r w:rsidR="00BC52D9">
              <w:rPr>
                <w:rFonts w:asciiTheme="majorHAnsi" w:hAnsiTheme="majorHAnsi" w:cstheme="majorHAnsi"/>
                <w:sz w:val="18"/>
                <w:szCs w:val="18"/>
              </w:rPr>
              <w:t xml:space="preserve">y: </w:t>
            </w:r>
            <w:r w:rsidRPr="00BC52D9">
              <w:rPr>
                <w:rFonts w:asciiTheme="majorHAnsi" w:hAnsiTheme="majorHAnsi" w:cstheme="majorHAnsi"/>
                <w:sz w:val="18"/>
                <w:szCs w:val="18"/>
              </w:rPr>
              <w:t xml:space="preserve">3.4% </w:t>
            </w:r>
          </w:p>
          <w:p w14:paraId="222E3D80" w14:textId="63A1CF23"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50-59</w:t>
            </w:r>
            <w:r w:rsidR="00BC52D9">
              <w:rPr>
                <w:rFonts w:asciiTheme="majorHAnsi" w:hAnsiTheme="majorHAnsi" w:cstheme="majorHAnsi"/>
                <w:sz w:val="18"/>
                <w:szCs w:val="18"/>
              </w:rPr>
              <w:t xml:space="preserve">y: </w:t>
            </w:r>
            <w:r w:rsidRPr="00BC52D9">
              <w:rPr>
                <w:rFonts w:asciiTheme="majorHAnsi" w:hAnsiTheme="majorHAnsi" w:cstheme="majorHAnsi"/>
                <w:sz w:val="18"/>
                <w:szCs w:val="18"/>
              </w:rPr>
              <w:t xml:space="preserve">3.0% </w:t>
            </w:r>
          </w:p>
          <w:p w14:paraId="62FA1BE8" w14:textId="1E3502CC"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sz w:val="18"/>
                <w:szCs w:val="18"/>
              </w:rPr>
              <w:t>60-70</w:t>
            </w:r>
            <w:r w:rsidR="00BC52D9">
              <w:rPr>
                <w:rFonts w:asciiTheme="majorHAnsi" w:hAnsiTheme="majorHAnsi" w:cstheme="majorHAnsi"/>
                <w:sz w:val="18"/>
                <w:szCs w:val="18"/>
              </w:rPr>
              <w:t xml:space="preserve">y: </w:t>
            </w:r>
            <w:r w:rsidRPr="00BC52D9">
              <w:rPr>
                <w:rFonts w:asciiTheme="majorHAnsi" w:hAnsiTheme="majorHAnsi" w:cstheme="majorHAnsi"/>
                <w:sz w:val="18"/>
                <w:szCs w:val="18"/>
              </w:rPr>
              <w:t xml:space="preserve">2.7% </w:t>
            </w:r>
          </w:p>
        </w:tc>
        <w:tc>
          <w:tcPr>
            <w:tcW w:w="2162" w:type="dxa"/>
            <w:shd w:val="clear" w:color="auto" w:fill="auto"/>
          </w:tcPr>
          <w:p w14:paraId="300D8D44" w14:textId="77777777" w:rsidR="0096179A" w:rsidRPr="00BC52D9" w:rsidRDefault="0096179A" w:rsidP="00833B78">
            <w:pPr>
              <w:pStyle w:val="BodyText"/>
              <w:spacing w:before="0" w:after="0" w:line="240" w:lineRule="auto"/>
              <w:jc w:val="center"/>
              <w:rPr>
                <w:rFonts w:asciiTheme="majorHAnsi" w:hAnsiTheme="majorHAnsi" w:cstheme="majorHAnsi"/>
                <w:bCs/>
                <w:sz w:val="18"/>
                <w:szCs w:val="18"/>
              </w:rPr>
            </w:pPr>
            <w:r w:rsidRPr="00BC52D9">
              <w:rPr>
                <w:rFonts w:asciiTheme="majorHAnsi" w:hAnsiTheme="majorHAnsi" w:cstheme="majorHAnsi"/>
                <w:bCs/>
                <w:sz w:val="18"/>
                <w:szCs w:val="18"/>
              </w:rPr>
              <w:t>NA</w:t>
            </w:r>
          </w:p>
        </w:tc>
      </w:tr>
      <w:tr w:rsidR="0096179A" w:rsidRPr="00BC52D9" w14:paraId="2F1FFC32" w14:textId="77777777" w:rsidTr="00833B78">
        <w:trPr>
          <w:trHeight w:val="213"/>
          <w:tblHeader/>
        </w:trPr>
        <w:tc>
          <w:tcPr>
            <w:tcW w:w="15452" w:type="dxa"/>
            <w:gridSpan w:val="7"/>
            <w:shd w:val="clear" w:color="auto" w:fill="auto"/>
          </w:tcPr>
          <w:p w14:paraId="4B0F904F" w14:textId="77777777" w:rsidR="0096179A" w:rsidRPr="00BC52D9" w:rsidRDefault="0096179A" w:rsidP="00833B78">
            <w:pPr>
              <w:pStyle w:val="BodyText"/>
              <w:spacing w:before="0" w:after="0" w:line="240" w:lineRule="auto"/>
              <w:jc w:val="left"/>
              <w:rPr>
                <w:rFonts w:asciiTheme="majorHAnsi" w:hAnsiTheme="majorHAnsi" w:cstheme="majorHAnsi"/>
                <w:b/>
                <w:color w:val="FFFFFF" w:themeColor="background1"/>
                <w:sz w:val="18"/>
                <w:szCs w:val="18"/>
              </w:rPr>
            </w:pPr>
            <w:r w:rsidRPr="00BC52D9">
              <w:rPr>
                <w:rFonts w:asciiTheme="majorHAnsi" w:hAnsiTheme="majorHAnsi" w:cstheme="majorHAnsi"/>
                <w:b/>
                <w:sz w:val="18"/>
                <w:szCs w:val="18"/>
              </w:rPr>
              <w:t>Prospective studies embedded in population-based screening programs</w:t>
            </w:r>
          </w:p>
        </w:tc>
      </w:tr>
      <w:tr w:rsidR="0096179A" w:rsidRPr="00BC52D9" w14:paraId="1CA5ADBE" w14:textId="77777777" w:rsidTr="00833B78">
        <w:trPr>
          <w:trHeight w:val="429"/>
          <w:tblHeader/>
        </w:trPr>
        <w:tc>
          <w:tcPr>
            <w:tcW w:w="1277" w:type="dxa"/>
            <w:shd w:val="clear" w:color="auto" w:fill="auto"/>
          </w:tcPr>
          <w:p w14:paraId="791AC74D" w14:textId="77777777" w:rsidR="0096179A" w:rsidRPr="00BC52D9" w:rsidRDefault="0096179A" w:rsidP="00833B78">
            <w:pPr>
              <w:pStyle w:val="BodyText-GREEN"/>
              <w:spacing w:before="0" w:after="0" w:line="240" w:lineRule="auto"/>
              <w:rPr>
                <w:rFonts w:asciiTheme="majorHAnsi" w:hAnsiTheme="majorHAnsi" w:cstheme="majorHAnsi"/>
                <w:bCs/>
                <w:color w:val="auto"/>
                <w:sz w:val="18"/>
                <w:szCs w:val="18"/>
              </w:rPr>
            </w:pPr>
            <w:r w:rsidRPr="00BC52D9">
              <w:rPr>
                <w:rFonts w:asciiTheme="majorHAnsi" w:hAnsiTheme="majorHAnsi" w:cstheme="majorHAnsi"/>
                <w:bCs/>
                <w:color w:val="auto"/>
                <w:sz w:val="18"/>
                <w:szCs w:val="18"/>
              </w:rPr>
              <w:t>Bernardi et al. (2018)</w:t>
            </w:r>
          </w:p>
          <w:p w14:paraId="135CDD92" w14:textId="37FE8F84"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STORM</w:t>
            </w:r>
          </w:p>
        </w:tc>
        <w:tc>
          <w:tcPr>
            <w:tcW w:w="2693" w:type="dxa"/>
            <w:shd w:val="clear" w:color="auto" w:fill="auto"/>
          </w:tcPr>
          <w:p w14:paraId="6CACE29C"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sz w:val="18"/>
                <w:szCs w:val="18"/>
              </w:rPr>
              <w:t>9672 asymptomatic Italian women aged 53-63y (median age 58y) who attended population-based screening</w:t>
            </w:r>
          </w:p>
        </w:tc>
        <w:tc>
          <w:tcPr>
            <w:tcW w:w="2835" w:type="dxa"/>
            <w:shd w:val="clear" w:color="auto" w:fill="auto"/>
          </w:tcPr>
          <w:p w14:paraId="3F7E59D5"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sz w:val="18"/>
                <w:szCs w:val="18"/>
              </w:rPr>
              <w:t xml:space="preserve">Prospective, fully paired trial using Selenia Dimensions system with C-view for FFDM + DBT with single reading </w:t>
            </w:r>
          </w:p>
        </w:tc>
        <w:tc>
          <w:tcPr>
            <w:tcW w:w="2161" w:type="dxa"/>
            <w:shd w:val="clear" w:color="auto" w:fill="auto"/>
          </w:tcPr>
          <w:p w14:paraId="6D490E3A" w14:textId="284D20AC"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FFDM+ DBT: median 2.75% (1.5</w:t>
            </w:r>
            <w:r w:rsidR="00BC52D9">
              <w:rPr>
                <w:rFonts w:asciiTheme="majorHAnsi" w:hAnsiTheme="majorHAnsi" w:cstheme="majorHAnsi"/>
                <w:bCs/>
                <w:sz w:val="18"/>
                <w:szCs w:val="18"/>
              </w:rPr>
              <w:t xml:space="preserve">, </w:t>
            </w:r>
            <w:r w:rsidRPr="00BC52D9">
              <w:rPr>
                <w:rFonts w:asciiTheme="majorHAnsi" w:hAnsiTheme="majorHAnsi" w:cstheme="majorHAnsi"/>
                <w:bCs/>
                <w:sz w:val="18"/>
                <w:szCs w:val="18"/>
              </w:rPr>
              <w:t xml:space="preserve">3.4) </w:t>
            </w:r>
          </w:p>
        </w:tc>
        <w:tc>
          <w:tcPr>
            <w:tcW w:w="2162" w:type="dxa"/>
            <w:shd w:val="clear" w:color="auto" w:fill="auto"/>
          </w:tcPr>
          <w:p w14:paraId="26B3BCB6" w14:textId="63A54724"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DBT+s2DM: median 3% (1.8</w:t>
            </w:r>
            <w:r w:rsidR="00BC52D9">
              <w:rPr>
                <w:rFonts w:asciiTheme="majorHAnsi" w:hAnsiTheme="majorHAnsi" w:cstheme="majorHAnsi"/>
                <w:bCs/>
                <w:sz w:val="18"/>
                <w:szCs w:val="18"/>
              </w:rPr>
              <w:t xml:space="preserve">, </w:t>
            </w:r>
            <w:r w:rsidRPr="00BC52D9">
              <w:rPr>
                <w:rFonts w:asciiTheme="majorHAnsi" w:hAnsiTheme="majorHAnsi" w:cstheme="majorHAnsi"/>
                <w:bCs/>
                <w:sz w:val="18"/>
                <w:szCs w:val="18"/>
              </w:rPr>
              <w:t>6.7)</w:t>
            </w:r>
          </w:p>
          <w:p w14:paraId="41921DFE" w14:textId="112DE037" w:rsidR="0096179A" w:rsidRPr="00BC52D9" w:rsidRDefault="0096179A" w:rsidP="00833B78">
            <w:pPr>
              <w:rPr>
                <w:rFonts w:asciiTheme="majorHAnsi" w:hAnsiTheme="majorHAnsi" w:cstheme="majorHAnsi"/>
                <w:bCs/>
                <w:sz w:val="18"/>
                <w:szCs w:val="18"/>
              </w:rPr>
            </w:pPr>
            <w:r w:rsidRPr="00BC52D9">
              <w:rPr>
                <w:rFonts w:asciiTheme="majorHAnsi" w:hAnsiTheme="majorHAnsi" w:cstheme="majorHAnsi"/>
                <w:bCs/>
                <w:sz w:val="18"/>
                <w:szCs w:val="18"/>
              </w:rPr>
              <w:t>s2DM alone: median 2.4% (1.6</w:t>
            </w:r>
            <w:r w:rsidR="00BC52D9">
              <w:rPr>
                <w:rFonts w:asciiTheme="majorHAnsi" w:hAnsiTheme="majorHAnsi" w:cstheme="majorHAnsi"/>
                <w:bCs/>
                <w:sz w:val="18"/>
                <w:szCs w:val="18"/>
              </w:rPr>
              <w:t xml:space="preserve">, </w:t>
            </w:r>
            <w:r w:rsidRPr="00BC52D9">
              <w:rPr>
                <w:rFonts w:asciiTheme="majorHAnsi" w:hAnsiTheme="majorHAnsi" w:cstheme="majorHAnsi"/>
                <w:bCs/>
                <w:sz w:val="18"/>
                <w:szCs w:val="18"/>
              </w:rPr>
              <w:t xml:space="preserve">4.6) </w:t>
            </w:r>
          </w:p>
        </w:tc>
        <w:tc>
          <w:tcPr>
            <w:tcW w:w="2162" w:type="dxa"/>
            <w:shd w:val="clear" w:color="auto" w:fill="auto"/>
          </w:tcPr>
          <w:p w14:paraId="1D957729" w14:textId="22E9F345"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FFDM: median 2.25% (1.2</w:t>
            </w:r>
            <w:r w:rsidR="00BC52D9">
              <w:rPr>
                <w:rFonts w:asciiTheme="majorHAnsi" w:hAnsiTheme="majorHAnsi" w:cstheme="majorHAnsi"/>
                <w:bCs/>
                <w:sz w:val="18"/>
                <w:szCs w:val="18"/>
              </w:rPr>
              <w:t xml:space="preserve">, </w:t>
            </w:r>
            <w:r w:rsidRPr="00BC52D9">
              <w:rPr>
                <w:rFonts w:asciiTheme="majorHAnsi" w:hAnsiTheme="majorHAnsi" w:cstheme="majorHAnsi"/>
                <w:bCs/>
                <w:sz w:val="18"/>
                <w:szCs w:val="18"/>
              </w:rPr>
              <w:t>2.7)</w:t>
            </w:r>
          </w:p>
        </w:tc>
        <w:tc>
          <w:tcPr>
            <w:tcW w:w="2162" w:type="dxa"/>
            <w:shd w:val="clear" w:color="auto" w:fill="auto"/>
          </w:tcPr>
          <w:p w14:paraId="0A092A3A" w14:textId="77777777" w:rsidR="0096179A" w:rsidRPr="00BC52D9" w:rsidRDefault="0096179A" w:rsidP="00833B78">
            <w:pPr>
              <w:pStyle w:val="BodyText"/>
              <w:spacing w:before="0" w:after="0" w:line="240" w:lineRule="auto"/>
              <w:jc w:val="center"/>
              <w:rPr>
                <w:rFonts w:asciiTheme="majorHAnsi" w:hAnsiTheme="majorHAnsi" w:cstheme="majorHAnsi"/>
                <w:bCs/>
                <w:sz w:val="18"/>
                <w:szCs w:val="18"/>
              </w:rPr>
            </w:pPr>
            <w:r w:rsidRPr="00BC52D9">
              <w:rPr>
                <w:rFonts w:asciiTheme="majorHAnsi" w:hAnsiTheme="majorHAnsi" w:cstheme="majorHAnsi"/>
                <w:bCs/>
                <w:sz w:val="18"/>
                <w:szCs w:val="18"/>
              </w:rPr>
              <w:t>NA</w:t>
            </w:r>
          </w:p>
        </w:tc>
      </w:tr>
      <w:tr w:rsidR="0096179A" w:rsidRPr="00BC52D9" w14:paraId="78B5624C" w14:textId="77777777" w:rsidTr="00833B78">
        <w:trPr>
          <w:trHeight w:val="213"/>
          <w:tblHeader/>
        </w:trPr>
        <w:tc>
          <w:tcPr>
            <w:tcW w:w="15452" w:type="dxa"/>
            <w:gridSpan w:val="7"/>
            <w:shd w:val="clear" w:color="auto" w:fill="auto"/>
          </w:tcPr>
          <w:p w14:paraId="1B070E1E" w14:textId="77777777" w:rsidR="0096179A" w:rsidRPr="00BC52D9" w:rsidRDefault="0096179A" w:rsidP="00833B78">
            <w:pPr>
              <w:pStyle w:val="BodyText"/>
              <w:spacing w:before="0" w:after="0" w:line="240" w:lineRule="auto"/>
              <w:jc w:val="left"/>
              <w:rPr>
                <w:rFonts w:asciiTheme="majorHAnsi" w:hAnsiTheme="majorHAnsi" w:cstheme="majorHAnsi"/>
                <w:b/>
                <w:color w:val="FFFFFF" w:themeColor="background1"/>
                <w:sz w:val="18"/>
                <w:szCs w:val="18"/>
              </w:rPr>
            </w:pPr>
            <w:r w:rsidRPr="00BC52D9">
              <w:rPr>
                <w:rFonts w:asciiTheme="majorHAnsi" w:hAnsiTheme="majorHAnsi" w:cstheme="majorHAnsi"/>
                <w:b/>
                <w:sz w:val="18"/>
                <w:szCs w:val="18"/>
              </w:rPr>
              <w:t>Retrospective analysis</w:t>
            </w:r>
          </w:p>
        </w:tc>
      </w:tr>
      <w:tr w:rsidR="0096179A" w:rsidRPr="00890A7C" w14:paraId="6A422781" w14:textId="77777777" w:rsidTr="00833B78">
        <w:trPr>
          <w:trHeight w:val="429"/>
          <w:tblHeader/>
        </w:trPr>
        <w:tc>
          <w:tcPr>
            <w:tcW w:w="1277" w:type="dxa"/>
            <w:shd w:val="clear" w:color="auto" w:fill="auto"/>
          </w:tcPr>
          <w:p w14:paraId="6188EFCC" w14:textId="77777777" w:rsidR="0096179A" w:rsidRPr="00BC52D9" w:rsidRDefault="0096179A" w:rsidP="00833B78">
            <w:pPr>
              <w:pStyle w:val="BodyText-GREEN"/>
              <w:spacing w:before="0" w:after="0" w:line="240" w:lineRule="auto"/>
              <w:jc w:val="left"/>
              <w:rPr>
                <w:rFonts w:asciiTheme="majorHAnsi" w:hAnsiTheme="majorHAnsi" w:cstheme="majorHAnsi"/>
                <w:bCs/>
                <w:color w:val="auto"/>
                <w:sz w:val="18"/>
                <w:szCs w:val="18"/>
              </w:rPr>
            </w:pPr>
            <w:r w:rsidRPr="00BC52D9">
              <w:rPr>
                <w:rFonts w:asciiTheme="majorHAnsi" w:hAnsiTheme="majorHAnsi" w:cstheme="majorHAnsi"/>
                <w:bCs/>
                <w:color w:val="auto"/>
                <w:sz w:val="18"/>
                <w:szCs w:val="18"/>
              </w:rPr>
              <w:t>Bahl et al. (2019)</w:t>
            </w:r>
            <w:r w:rsidRPr="00BC52D9">
              <w:rPr>
                <w:rFonts w:asciiTheme="majorHAnsi" w:hAnsiTheme="majorHAnsi" w:cstheme="majorHAnsi"/>
                <w:color w:val="auto"/>
              </w:rPr>
              <w:t xml:space="preserve"> </w:t>
            </w:r>
          </w:p>
        </w:tc>
        <w:tc>
          <w:tcPr>
            <w:tcW w:w="2693" w:type="dxa"/>
            <w:shd w:val="clear" w:color="auto" w:fill="auto"/>
          </w:tcPr>
          <w:p w14:paraId="5D645E6B" w14:textId="77777777" w:rsidR="0096179A" w:rsidRPr="00BC52D9" w:rsidRDefault="0096179A" w:rsidP="00833B78">
            <w:pPr>
              <w:pStyle w:val="BodyText"/>
              <w:spacing w:before="0" w:after="0" w:line="240" w:lineRule="auto"/>
              <w:rPr>
                <w:rFonts w:asciiTheme="majorHAnsi" w:hAnsiTheme="majorHAnsi" w:cstheme="majorHAnsi"/>
                <w:bCs/>
                <w:sz w:val="18"/>
                <w:szCs w:val="18"/>
              </w:rPr>
            </w:pPr>
            <w:r w:rsidRPr="00BC52D9">
              <w:rPr>
                <w:rFonts w:asciiTheme="majorHAnsi" w:hAnsiTheme="majorHAnsi" w:cstheme="majorHAnsi"/>
                <w:bCs/>
                <w:sz w:val="18"/>
                <w:szCs w:val="18"/>
              </w:rPr>
              <w:t xml:space="preserve">35,665 women aged 65+y. </w:t>
            </w:r>
          </w:p>
          <w:p w14:paraId="6E870BA1" w14:textId="77777777" w:rsidR="0096179A" w:rsidRPr="00BC52D9" w:rsidRDefault="0096179A" w:rsidP="00833B78">
            <w:pPr>
              <w:pStyle w:val="BodyText"/>
              <w:spacing w:before="0" w:after="0" w:line="240" w:lineRule="auto"/>
              <w:rPr>
                <w:rFonts w:asciiTheme="majorHAnsi" w:hAnsiTheme="majorHAnsi" w:cstheme="majorHAnsi"/>
                <w:bCs/>
                <w:sz w:val="18"/>
                <w:szCs w:val="18"/>
              </w:rPr>
            </w:pPr>
            <w:r w:rsidRPr="00BC52D9">
              <w:rPr>
                <w:rFonts w:asciiTheme="majorHAnsi" w:hAnsiTheme="majorHAnsi" w:cstheme="majorHAnsi"/>
                <w:bCs/>
                <w:sz w:val="18"/>
                <w:szCs w:val="18"/>
              </w:rPr>
              <w:t>FFDM: 15,019 (mean=72.7y)</w:t>
            </w:r>
          </w:p>
          <w:p w14:paraId="4DD61ABF" w14:textId="77777777"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bCs/>
                <w:sz w:val="18"/>
                <w:szCs w:val="18"/>
              </w:rPr>
              <w:t>DBT: 20,646 (mean=72.1y)</w:t>
            </w:r>
          </w:p>
        </w:tc>
        <w:tc>
          <w:tcPr>
            <w:tcW w:w="2835" w:type="dxa"/>
            <w:shd w:val="clear" w:color="auto" w:fill="auto"/>
          </w:tcPr>
          <w:p w14:paraId="29CCE396" w14:textId="77777777" w:rsidR="0096179A" w:rsidRPr="00BC52D9" w:rsidRDefault="0096179A" w:rsidP="00833B78">
            <w:pPr>
              <w:autoSpaceDE w:val="0"/>
              <w:autoSpaceDN w:val="0"/>
              <w:adjustRightInd w:val="0"/>
              <w:spacing w:after="0" w:line="240" w:lineRule="auto"/>
              <w:rPr>
                <w:rFonts w:asciiTheme="majorHAnsi" w:hAnsiTheme="majorHAnsi" w:cstheme="majorHAnsi"/>
                <w:sz w:val="18"/>
                <w:szCs w:val="18"/>
              </w:rPr>
            </w:pPr>
            <w:r w:rsidRPr="00BC52D9">
              <w:rPr>
                <w:rFonts w:asciiTheme="majorHAnsi" w:hAnsiTheme="majorHAnsi" w:cstheme="majorHAnsi"/>
                <w:sz w:val="18"/>
                <w:szCs w:val="18"/>
              </w:rPr>
              <w:t>Retrospective analysis, single</w:t>
            </w:r>
          </w:p>
          <w:p w14:paraId="3443AEEF" w14:textId="77777777"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academic medical centre using</w:t>
            </w:r>
          </w:p>
          <w:p w14:paraId="239ADE91" w14:textId="77777777"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 xml:space="preserve">Selenia Dimensions; Hologic. </w:t>
            </w:r>
          </w:p>
          <w:p w14:paraId="07592F0E" w14:textId="77777777" w:rsidR="0096179A" w:rsidRPr="00BC52D9" w:rsidRDefault="0096179A" w:rsidP="00833B78">
            <w:pPr>
              <w:autoSpaceDE w:val="0"/>
              <w:autoSpaceDN w:val="0"/>
              <w:adjustRightInd w:val="0"/>
              <w:spacing w:after="0" w:line="240" w:lineRule="auto"/>
              <w:rPr>
                <w:rFonts w:asciiTheme="majorHAnsi" w:hAnsiTheme="majorHAnsi" w:cstheme="majorHAnsi"/>
                <w:sz w:val="18"/>
                <w:szCs w:val="18"/>
              </w:rPr>
            </w:pPr>
            <w:r w:rsidRPr="00BC52D9">
              <w:rPr>
                <w:rFonts w:asciiTheme="majorHAnsi" w:hAnsiTheme="majorHAnsi" w:cstheme="majorHAnsi"/>
                <w:sz w:val="18"/>
                <w:szCs w:val="18"/>
              </w:rPr>
              <w:t xml:space="preserve">29 breast imaging radiologists </w:t>
            </w:r>
          </w:p>
        </w:tc>
        <w:tc>
          <w:tcPr>
            <w:tcW w:w="2161" w:type="dxa"/>
            <w:shd w:val="clear" w:color="auto" w:fill="auto"/>
          </w:tcPr>
          <w:p w14:paraId="036EDF6A"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sz w:val="18"/>
                <w:szCs w:val="18"/>
              </w:rPr>
              <w:t>4.8% (4.6, 5.1)</w:t>
            </w:r>
          </w:p>
        </w:tc>
        <w:tc>
          <w:tcPr>
            <w:tcW w:w="2162" w:type="dxa"/>
            <w:shd w:val="clear" w:color="auto" w:fill="auto"/>
          </w:tcPr>
          <w:p w14:paraId="4F7DA93E" w14:textId="77777777" w:rsidR="0096179A" w:rsidRPr="00BC52D9" w:rsidRDefault="0096179A" w:rsidP="00833B78">
            <w:pPr>
              <w:pStyle w:val="BodyText"/>
              <w:spacing w:before="0" w:after="0" w:line="240" w:lineRule="auto"/>
              <w:jc w:val="center"/>
              <w:rPr>
                <w:rFonts w:asciiTheme="majorHAnsi" w:hAnsiTheme="majorHAnsi" w:cstheme="majorHAnsi"/>
                <w:bCs/>
                <w:sz w:val="18"/>
                <w:szCs w:val="18"/>
              </w:rPr>
            </w:pPr>
            <w:r w:rsidRPr="00BC52D9">
              <w:rPr>
                <w:rFonts w:asciiTheme="majorHAnsi" w:hAnsiTheme="majorHAnsi" w:cstheme="majorHAnsi"/>
                <w:bCs/>
                <w:sz w:val="18"/>
                <w:szCs w:val="18"/>
              </w:rPr>
              <w:t>NA</w:t>
            </w:r>
          </w:p>
        </w:tc>
        <w:tc>
          <w:tcPr>
            <w:tcW w:w="2162" w:type="dxa"/>
            <w:shd w:val="clear" w:color="auto" w:fill="auto"/>
          </w:tcPr>
          <w:p w14:paraId="22D29128"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sz w:val="18"/>
                <w:szCs w:val="18"/>
              </w:rPr>
              <w:t>5.1% (4.9, 5.4)</w:t>
            </w:r>
          </w:p>
        </w:tc>
        <w:tc>
          <w:tcPr>
            <w:tcW w:w="2162" w:type="dxa"/>
            <w:shd w:val="clear" w:color="auto" w:fill="auto"/>
          </w:tcPr>
          <w:p w14:paraId="03177903" w14:textId="77777777"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sz w:val="18"/>
                <w:szCs w:val="18"/>
              </w:rPr>
              <w:t xml:space="preserve">AOR= 0.85 (0.78, 0.92, </w:t>
            </w:r>
            <w:r w:rsidRPr="00BC52D9">
              <w:rPr>
                <w:rFonts w:asciiTheme="majorHAnsi" w:hAnsiTheme="majorHAnsi" w:cstheme="majorHAnsi"/>
                <w:i/>
                <w:iCs/>
                <w:sz w:val="18"/>
                <w:szCs w:val="18"/>
              </w:rPr>
              <w:t>p&lt;</w:t>
            </w:r>
            <w:r w:rsidRPr="00BC52D9">
              <w:rPr>
                <w:rFonts w:asciiTheme="majorHAnsi" w:hAnsiTheme="majorHAnsi" w:cstheme="majorHAnsi"/>
                <w:sz w:val="18"/>
                <w:szCs w:val="18"/>
              </w:rPr>
              <w:t>.001)</w:t>
            </w:r>
          </w:p>
          <w:p w14:paraId="368A1486"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p>
        </w:tc>
      </w:tr>
      <w:tr w:rsidR="0096179A" w:rsidRPr="00890A7C" w14:paraId="6F6AD6B3" w14:textId="77777777" w:rsidTr="00833B78">
        <w:trPr>
          <w:trHeight w:val="429"/>
          <w:tblHeader/>
        </w:trPr>
        <w:tc>
          <w:tcPr>
            <w:tcW w:w="1277" w:type="dxa"/>
            <w:shd w:val="clear" w:color="auto" w:fill="auto"/>
          </w:tcPr>
          <w:p w14:paraId="06F27402"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 xml:space="preserve">Honig et al. (2019) </w:t>
            </w:r>
          </w:p>
          <w:p w14:paraId="1E5912AC" w14:textId="77777777" w:rsidR="0096179A" w:rsidRPr="00BC52D9" w:rsidRDefault="0096179A" w:rsidP="00833B78">
            <w:pPr>
              <w:pStyle w:val="BodyText-GREEN"/>
              <w:spacing w:before="0" w:after="0" w:line="240" w:lineRule="auto"/>
              <w:rPr>
                <w:rFonts w:asciiTheme="majorHAnsi" w:hAnsiTheme="majorHAnsi" w:cstheme="majorHAnsi"/>
                <w:bCs/>
                <w:color w:val="auto"/>
                <w:sz w:val="18"/>
                <w:szCs w:val="18"/>
              </w:rPr>
            </w:pPr>
          </w:p>
        </w:tc>
        <w:tc>
          <w:tcPr>
            <w:tcW w:w="2693" w:type="dxa"/>
            <w:shd w:val="clear" w:color="auto" w:fill="auto"/>
          </w:tcPr>
          <w:p w14:paraId="5A2E0ED3"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1887 women (22,055 screening mammograms) FFDM Vs DBT.</w:t>
            </w:r>
          </w:p>
          <w:p w14:paraId="33FB934A"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FFDM:</w:t>
            </w:r>
            <w:r w:rsidRPr="00BC52D9">
              <w:rPr>
                <w:rFonts w:asciiTheme="majorHAnsi" w:hAnsiTheme="majorHAnsi" w:cstheme="majorHAnsi"/>
              </w:rPr>
              <w:t xml:space="preserve"> </w:t>
            </w:r>
            <w:r w:rsidRPr="00BC52D9">
              <w:rPr>
                <w:rFonts w:asciiTheme="majorHAnsi" w:hAnsiTheme="majorHAnsi" w:cstheme="majorHAnsi"/>
                <w:bCs/>
                <w:sz w:val="18"/>
                <w:szCs w:val="18"/>
              </w:rPr>
              <w:t>5029</w:t>
            </w:r>
          </w:p>
          <w:p w14:paraId="554E412B" w14:textId="77777777" w:rsidR="0096179A" w:rsidRPr="00BC52D9" w:rsidRDefault="0096179A" w:rsidP="00833B78">
            <w:pPr>
              <w:pStyle w:val="BodyText"/>
              <w:spacing w:before="0" w:after="0" w:line="240" w:lineRule="auto"/>
              <w:rPr>
                <w:rFonts w:asciiTheme="majorHAnsi" w:hAnsiTheme="majorHAnsi" w:cstheme="majorHAnsi"/>
                <w:bCs/>
                <w:sz w:val="18"/>
                <w:szCs w:val="18"/>
              </w:rPr>
            </w:pPr>
            <w:r w:rsidRPr="00BC52D9">
              <w:rPr>
                <w:rFonts w:asciiTheme="majorHAnsi" w:hAnsiTheme="majorHAnsi" w:cstheme="majorHAnsi"/>
                <w:bCs/>
                <w:sz w:val="18"/>
                <w:szCs w:val="18"/>
              </w:rPr>
              <w:t xml:space="preserve">DBT: </w:t>
            </w:r>
            <w:r w:rsidRPr="00BC52D9">
              <w:rPr>
                <w:rFonts w:asciiTheme="majorHAnsi" w:hAnsiTheme="majorHAnsi" w:cstheme="majorHAnsi"/>
              </w:rPr>
              <w:t xml:space="preserve"> </w:t>
            </w:r>
            <w:r w:rsidRPr="00BC52D9">
              <w:rPr>
                <w:rFonts w:asciiTheme="majorHAnsi" w:hAnsiTheme="majorHAnsi" w:cstheme="majorHAnsi"/>
                <w:bCs/>
                <w:sz w:val="18"/>
                <w:szCs w:val="18"/>
              </w:rPr>
              <w:t>17,026</w:t>
            </w:r>
          </w:p>
        </w:tc>
        <w:tc>
          <w:tcPr>
            <w:tcW w:w="2835" w:type="dxa"/>
            <w:shd w:val="clear" w:color="auto" w:fill="auto"/>
          </w:tcPr>
          <w:p w14:paraId="0E57810B" w14:textId="042671ED" w:rsidR="0096179A" w:rsidRPr="00BC52D9" w:rsidRDefault="0096179A" w:rsidP="00BC52D9">
            <w:pPr>
              <w:pStyle w:val="BodyText"/>
              <w:spacing w:before="0" w:after="0" w:line="240" w:lineRule="auto"/>
              <w:rPr>
                <w:rFonts w:asciiTheme="majorHAnsi" w:hAnsiTheme="majorHAnsi" w:cstheme="majorHAnsi"/>
                <w:sz w:val="18"/>
                <w:szCs w:val="18"/>
              </w:rPr>
            </w:pPr>
            <w:r w:rsidRPr="00BC52D9">
              <w:rPr>
                <w:rFonts w:asciiTheme="majorHAnsi" w:hAnsiTheme="majorHAnsi" w:cstheme="majorHAnsi"/>
                <w:sz w:val="18"/>
                <w:szCs w:val="18"/>
              </w:rPr>
              <w:t>Single site retrospective analysis.  False positive estimate</w:t>
            </w:r>
          </w:p>
        </w:tc>
        <w:tc>
          <w:tcPr>
            <w:tcW w:w="2161" w:type="dxa"/>
            <w:shd w:val="clear" w:color="auto" w:fill="auto"/>
          </w:tcPr>
          <w:p w14:paraId="4DFE2D2E" w14:textId="51ED3746" w:rsidR="0096179A" w:rsidRPr="00BC52D9" w:rsidRDefault="0096179A" w:rsidP="00833B78">
            <w:pPr>
              <w:pStyle w:val="BodyText"/>
              <w:spacing w:before="0" w:after="0" w:line="240" w:lineRule="auto"/>
              <w:jc w:val="left"/>
              <w:rPr>
                <w:rFonts w:asciiTheme="majorHAnsi" w:hAnsiTheme="majorHAnsi" w:cstheme="majorHAnsi"/>
                <w:bCs/>
                <w:sz w:val="18"/>
                <w:szCs w:val="18"/>
              </w:rPr>
            </w:pPr>
            <w:r w:rsidRPr="00BC52D9">
              <w:rPr>
                <w:rFonts w:asciiTheme="majorHAnsi" w:hAnsiTheme="majorHAnsi" w:cstheme="majorHAnsi"/>
                <w:bCs/>
                <w:sz w:val="18"/>
                <w:szCs w:val="18"/>
              </w:rPr>
              <w:t>Estimate</w:t>
            </w:r>
            <w:r w:rsidR="00BC52D9">
              <w:rPr>
                <w:rFonts w:asciiTheme="majorHAnsi" w:hAnsiTheme="majorHAnsi" w:cstheme="majorHAnsi"/>
                <w:bCs/>
                <w:sz w:val="18"/>
                <w:szCs w:val="18"/>
              </w:rPr>
              <w:t>:</w:t>
            </w:r>
            <w:r w:rsidRPr="00BC52D9">
              <w:rPr>
                <w:rFonts w:asciiTheme="majorHAnsi" w:hAnsiTheme="majorHAnsi" w:cstheme="majorHAnsi"/>
                <w:bCs/>
                <w:sz w:val="18"/>
                <w:szCs w:val="18"/>
              </w:rPr>
              <w:t xml:space="preserve"> 7.5% </w:t>
            </w:r>
          </w:p>
          <w:p w14:paraId="2B1821AB" w14:textId="77777777" w:rsidR="0096179A" w:rsidRPr="00BC52D9" w:rsidRDefault="0096179A" w:rsidP="00833B78">
            <w:pPr>
              <w:pStyle w:val="BodyText"/>
              <w:spacing w:before="0" w:after="0" w:line="240" w:lineRule="auto"/>
              <w:jc w:val="left"/>
              <w:rPr>
                <w:rFonts w:asciiTheme="majorHAnsi" w:hAnsiTheme="majorHAnsi" w:cstheme="majorHAnsi"/>
                <w:sz w:val="18"/>
                <w:szCs w:val="18"/>
              </w:rPr>
            </w:pPr>
          </w:p>
        </w:tc>
        <w:tc>
          <w:tcPr>
            <w:tcW w:w="2162" w:type="dxa"/>
            <w:shd w:val="clear" w:color="auto" w:fill="auto"/>
          </w:tcPr>
          <w:p w14:paraId="57D05C6F" w14:textId="679A7FBC" w:rsidR="0096179A" w:rsidRPr="00BC52D9" w:rsidRDefault="0096179A" w:rsidP="00833B78">
            <w:pPr>
              <w:pStyle w:val="BodyText"/>
              <w:spacing w:before="0" w:after="0" w:line="240" w:lineRule="auto"/>
              <w:jc w:val="left"/>
              <w:rPr>
                <w:rFonts w:asciiTheme="majorHAnsi" w:hAnsiTheme="majorHAnsi" w:cstheme="majorHAnsi"/>
                <w:sz w:val="18"/>
                <w:szCs w:val="18"/>
              </w:rPr>
            </w:pPr>
            <w:r w:rsidRPr="00BC52D9">
              <w:rPr>
                <w:rFonts w:asciiTheme="majorHAnsi" w:hAnsiTheme="majorHAnsi" w:cstheme="majorHAnsi"/>
                <w:bCs/>
                <w:sz w:val="18"/>
                <w:szCs w:val="18"/>
              </w:rPr>
              <w:t>Estimate</w:t>
            </w:r>
            <w:r w:rsidR="00BC52D9">
              <w:rPr>
                <w:rFonts w:asciiTheme="majorHAnsi" w:hAnsiTheme="majorHAnsi" w:cstheme="majorHAnsi"/>
                <w:bCs/>
                <w:sz w:val="18"/>
                <w:szCs w:val="18"/>
              </w:rPr>
              <w:t>:</w:t>
            </w:r>
            <w:r w:rsidRPr="00BC52D9">
              <w:rPr>
                <w:rFonts w:asciiTheme="majorHAnsi" w:hAnsiTheme="majorHAnsi" w:cstheme="majorHAnsi"/>
                <w:bCs/>
                <w:sz w:val="18"/>
                <w:szCs w:val="18"/>
              </w:rPr>
              <w:t xml:space="preserve"> 10.0%</w:t>
            </w:r>
          </w:p>
        </w:tc>
        <w:tc>
          <w:tcPr>
            <w:tcW w:w="2162" w:type="dxa"/>
            <w:shd w:val="clear" w:color="auto" w:fill="auto"/>
          </w:tcPr>
          <w:p w14:paraId="6F76FAD1" w14:textId="77777777" w:rsidR="0096179A" w:rsidRPr="00BC52D9" w:rsidRDefault="0096179A" w:rsidP="00833B78">
            <w:pPr>
              <w:pStyle w:val="BodyText"/>
              <w:spacing w:before="0" w:after="0" w:line="240" w:lineRule="auto"/>
              <w:jc w:val="left"/>
              <w:rPr>
                <w:rFonts w:asciiTheme="majorHAnsi" w:hAnsiTheme="majorHAnsi" w:cstheme="majorHAnsi"/>
                <w:i/>
                <w:iCs/>
                <w:sz w:val="18"/>
                <w:szCs w:val="18"/>
              </w:rPr>
            </w:pPr>
          </w:p>
        </w:tc>
        <w:tc>
          <w:tcPr>
            <w:tcW w:w="2162" w:type="dxa"/>
            <w:shd w:val="clear" w:color="auto" w:fill="auto"/>
          </w:tcPr>
          <w:p w14:paraId="428124BA" w14:textId="77777777" w:rsidR="0096179A" w:rsidRPr="00BC52D9" w:rsidRDefault="0096179A" w:rsidP="00833B78">
            <w:pPr>
              <w:pStyle w:val="BodyText"/>
              <w:spacing w:before="0" w:after="0" w:line="240" w:lineRule="auto"/>
              <w:jc w:val="left"/>
              <w:rPr>
                <w:rFonts w:asciiTheme="majorHAnsi" w:hAnsiTheme="majorHAnsi" w:cstheme="majorHAnsi"/>
                <w:bCs/>
                <w:sz w:val="18"/>
                <w:szCs w:val="18"/>
              </w:rPr>
            </w:pPr>
          </w:p>
        </w:tc>
      </w:tr>
    </w:tbl>
    <w:p w14:paraId="41DEC360" w14:textId="77777777" w:rsidR="00BC52D9" w:rsidRDefault="00BC52D9" w:rsidP="005866B2">
      <w:pPr>
        <w:pStyle w:val="NumberedHeading3"/>
        <w:sectPr w:rsidR="00BC52D9" w:rsidSect="00BC52D9">
          <w:pgSz w:w="16839" w:h="11907" w:orient="landscape" w:code="9"/>
          <w:pgMar w:top="1418" w:right="1418" w:bottom="1418" w:left="1418" w:header="964" w:footer="964" w:gutter="0"/>
          <w:cols w:space="708"/>
          <w:docGrid w:linePitch="360"/>
        </w:sectPr>
      </w:pPr>
    </w:p>
    <w:p w14:paraId="6099AF3D" w14:textId="4900E1AF" w:rsidR="005866B2" w:rsidRPr="005866B2" w:rsidRDefault="005866B2" w:rsidP="005866B2">
      <w:pPr>
        <w:pStyle w:val="NumberedHeading3"/>
      </w:pPr>
      <w:bookmarkStart w:id="386" w:name="_Toc43376339"/>
      <w:r w:rsidRPr="005866B2">
        <w:lastRenderedPageBreak/>
        <w:t>Relative specificity</w:t>
      </w:r>
      <w:bookmarkEnd w:id="386"/>
    </w:p>
    <w:p w14:paraId="02E4A276" w14:textId="7D46C97C" w:rsidR="005866B2" w:rsidRPr="005866B2" w:rsidRDefault="005866B2" w:rsidP="005866B2">
      <w:pPr>
        <w:pStyle w:val="BodyText"/>
      </w:pPr>
      <w:r w:rsidRPr="005866B2">
        <w:t xml:space="preserve">The specificity of a screening test refers to the proportion of women without breast cancer correctly identified by a test or the true negative rate. Increased specificity with DBT (compared to FFDM) indicates that use of DBT correctly identifies women who do not have breast cancer. </w:t>
      </w:r>
    </w:p>
    <w:p w14:paraId="1839408B" w14:textId="77777777" w:rsidR="005866B2" w:rsidRPr="005866B2" w:rsidRDefault="005866B2" w:rsidP="005866B2">
      <w:pPr>
        <w:pStyle w:val="CV-Heading"/>
      </w:pPr>
      <w:r w:rsidRPr="005866B2">
        <w:t xml:space="preserve">Key findings from </w:t>
      </w:r>
      <w:r w:rsidRPr="005866B2">
        <w:rPr>
          <w:i/>
          <w:iCs/>
        </w:rPr>
        <w:t>Allen + Clarke</w:t>
      </w:r>
      <w:r w:rsidRPr="005866B2">
        <w:t>’s 2018 literature reviews on tomosynthesis in screening and the assessment of screen-detected abnormalities</w:t>
      </w:r>
    </w:p>
    <w:p w14:paraId="676DC666" w14:textId="3FA16720" w:rsidR="005866B2" w:rsidRPr="005866B2" w:rsidRDefault="005866B2" w:rsidP="005866B2">
      <w:pPr>
        <w:pStyle w:val="BodyText"/>
      </w:pPr>
      <w:r w:rsidRPr="005866B2">
        <w:t>Most study results demonstrated an improvement in specificity with the addition of DBT. Hodgson et al. (2016) reported an overall increase in specificity from the STORM trial for FFDM+DBT (96.49 percent specificity; 95%CI: 96.04</w:t>
      </w:r>
      <w:r w:rsidR="00176980">
        <w:t xml:space="preserve">, </w:t>
      </w:r>
      <w:r w:rsidRPr="005866B2">
        <w:t>96.90) compared with FFDM alone (95.55 percent specificity; 95%CI: 95.04</w:t>
      </w:r>
      <w:r w:rsidR="00176980">
        <w:t xml:space="preserve">, </w:t>
      </w:r>
      <w:r w:rsidRPr="005866B2">
        <w:t>96.01). Other reported results did not achieve statistical significance. It was noted that for the group of DBT experienced radiologists, no statistically significant difference in specificity was observed (</w:t>
      </w:r>
      <w:r w:rsidRPr="005866B2">
        <w:rPr>
          <w:i/>
        </w:rPr>
        <w:t>p=</w:t>
      </w:r>
      <w:r w:rsidRPr="005866B2">
        <w:t xml:space="preserve">.482). For the inexperienced group, specificity could be slightly higher for </w:t>
      </w:r>
      <w:r w:rsidR="00176980">
        <w:t>FFDM+DBT</w:t>
      </w:r>
      <w:r w:rsidRPr="005866B2">
        <w:t xml:space="preserve"> compared to FFDM, but again, the result was not significant (</w:t>
      </w:r>
      <w:r w:rsidRPr="005866B2">
        <w:rPr>
          <w:i/>
        </w:rPr>
        <w:t>p</w:t>
      </w:r>
      <w:r w:rsidRPr="005866B2">
        <w:t xml:space="preserve">=.777). </w:t>
      </w:r>
    </w:p>
    <w:p w14:paraId="796126D8" w14:textId="77777777" w:rsidR="005866B2" w:rsidRPr="005866B2" w:rsidRDefault="005866B2" w:rsidP="005866B2">
      <w:pPr>
        <w:pStyle w:val="CV-Heading"/>
      </w:pPr>
      <w:r w:rsidRPr="005866B2">
        <w:t>Updated findings</w:t>
      </w:r>
    </w:p>
    <w:p w14:paraId="1F1C2CF9" w14:textId="769659E8" w:rsidR="005866B2" w:rsidRPr="005866B2" w:rsidRDefault="005866B2" w:rsidP="005866B2">
      <w:pPr>
        <w:pStyle w:val="BodyText"/>
      </w:pPr>
      <w:r>
        <w:t>S</w:t>
      </w:r>
      <w:r w:rsidRPr="005866B2">
        <w:t xml:space="preserve">ix studies </w:t>
      </w:r>
      <w:r>
        <w:t xml:space="preserve">reported on </w:t>
      </w:r>
      <w:r w:rsidRPr="005866B2">
        <w:t>relative specificity rates</w:t>
      </w:r>
      <w:r>
        <w:t>, providing a little more information about DBT’s relative specificity compared to imaging with FFDM</w:t>
      </w:r>
      <w:r w:rsidRPr="005866B2">
        <w:t>. Included studies are listed below</w:t>
      </w:r>
      <w:r>
        <w:t>: most studies reported on specificity for FFDM compared to FFDM+DBT (which is different from the balance of imaging modalities reported on in other parts of this literature review)</w:t>
      </w:r>
      <w:r w:rsidRPr="005866B2">
        <w:t xml:space="preserve">. Detailed methodologies for each of these studies is provided in </w:t>
      </w:r>
      <w:r w:rsidRPr="005866B2">
        <w:rPr>
          <w:i/>
          <w:iCs/>
        </w:rPr>
        <w:t>section 3.1.1</w:t>
      </w:r>
      <w:r w:rsidRPr="005866B2">
        <w:t>)</w:t>
      </w:r>
      <w:r w:rsidRPr="005866B2">
        <w:rPr>
          <w:i/>
          <w:iCs/>
        </w:rPr>
        <w:t xml:space="preserve">. Table </w:t>
      </w:r>
      <w:r w:rsidR="00BC52D9">
        <w:rPr>
          <w:i/>
          <w:iCs/>
        </w:rPr>
        <w:t>18</w:t>
      </w:r>
      <w:r w:rsidRPr="005866B2">
        <w:t xml:space="preserve"> includes a summary of all</w:t>
      </w:r>
      <w:r w:rsidRPr="005866B2">
        <w:rPr>
          <w:i/>
          <w:iCs/>
        </w:rPr>
        <w:t xml:space="preserve"> </w:t>
      </w:r>
      <w:r w:rsidRPr="005866B2">
        <w:t>study results.</w:t>
      </w:r>
    </w:p>
    <w:p w14:paraId="16F613B7" w14:textId="77777777" w:rsidR="005866B2" w:rsidRPr="005866B2" w:rsidRDefault="005866B2" w:rsidP="005866B2">
      <w:pPr>
        <w:pStyle w:val="Heading3"/>
        <w:ind w:firstLine="720"/>
      </w:pPr>
      <w:bookmarkStart w:id="387" w:name="_Toc27844542"/>
      <w:bookmarkStart w:id="388" w:name="_Toc27859672"/>
      <w:bookmarkStart w:id="389" w:name="_Toc27904789"/>
      <w:bookmarkStart w:id="390" w:name="_Toc43376340"/>
      <w:r w:rsidRPr="005866B2">
        <w:t>Prospective trials embedded in population screening programs</w:t>
      </w:r>
      <w:bookmarkEnd w:id="387"/>
      <w:bookmarkEnd w:id="388"/>
      <w:bookmarkEnd w:id="389"/>
      <w:bookmarkEnd w:id="390"/>
    </w:p>
    <w:p w14:paraId="795F235A" w14:textId="42D78AAC" w:rsidR="005866B2" w:rsidRPr="005866B2" w:rsidRDefault="005866B2" w:rsidP="005866B2">
      <w:pPr>
        <w:pStyle w:val="BodyText"/>
        <w:ind w:firstLine="720"/>
      </w:pPr>
      <w:r>
        <w:t xml:space="preserve">Two </w:t>
      </w:r>
      <w:r w:rsidRPr="005866B2">
        <w:t>studies</w:t>
      </w:r>
      <w:r>
        <w:t xml:space="preserve"> (three papers)</w:t>
      </w:r>
      <w:r w:rsidRPr="005866B2">
        <w:t xml:space="preserve">: Skaane et al., 2019; Skaane et al., 2018; Zackrisson et al., 2018 </w:t>
      </w:r>
    </w:p>
    <w:p w14:paraId="51DC25A9" w14:textId="77777777" w:rsidR="005866B2" w:rsidRPr="005866B2" w:rsidRDefault="005866B2" w:rsidP="005866B2">
      <w:pPr>
        <w:pStyle w:val="Heading3"/>
        <w:ind w:firstLine="720"/>
      </w:pPr>
      <w:bookmarkStart w:id="391" w:name="_Toc27844543"/>
      <w:bookmarkStart w:id="392" w:name="_Toc27859673"/>
      <w:bookmarkStart w:id="393" w:name="_Toc27904790"/>
      <w:bookmarkStart w:id="394" w:name="_Toc43376341"/>
      <w:r w:rsidRPr="005866B2">
        <w:t>Observational studies</w:t>
      </w:r>
      <w:bookmarkEnd w:id="391"/>
      <w:bookmarkEnd w:id="392"/>
      <w:bookmarkEnd w:id="393"/>
      <w:bookmarkEnd w:id="394"/>
    </w:p>
    <w:p w14:paraId="059DA8E1" w14:textId="3ACF6E3F" w:rsidR="005866B2" w:rsidRDefault="005866B2" w:rsidP="005866B2">
      <w:pPr>
        <w:pStyle w:val="BodyText"/>
        <w:ind w:left="720"/>
      </w:pPr>
      <w:r w:rsidRPr="005866B2">
        <w:t>Three studies with a retrospective design: Bahl et al., 2019; Conant et al., 2019; Hovda et al., 2019</w:t>
      </w:r>
    </w:p>
    <w:p w14:paraId="2A99E00F" w14:textId="77777777" w:rsidR="00EC6F2F" w:rsidRPr="005866B2"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5866B2">
        <w:rPr>
          <w:b/>
          <w:bCs/>
        </w:rPr>
        <w:t>Summary of key findings published between 1 January 2018 and 31 December 2019</w:t>
      </w:r>
    </w:p>
    <w:p w14:paraId="42C53EED" w14:textId="6C355B8A" w:rsidR="00EC6F2F" w:rsidRPr="005866B2"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EC6F2F">
        <w:t>Studies reported an increase in relative specificity when DBT was used. Most studies reported relative specificity as greater than 91 percent for DBT imaging, and greater than 88 percent for FFDM imaging. Increases were generally very small, ranging from a 0.5 percent increase to 2.4 percent (which indicates FFDM’s good performance for this metric, as well as DBT’s superior performance). Only one of these studies (data from the OTS trial) was set in a screening program with similar parameters to the BSA program. The study which did not see improved specificity adopted DBTMLO and suggested that an improved specificity would likely be seen with the increase of a second DBT view.</w:t>
      </w:r>
    </w:p>
    <w:p w14:paraId="16E94A56" w14:textId="5D277DA7" w:rsidR="005866B2" w:rsidRPr="005866B2" w:rsidRDefault="005866B2" w:rsidP="005866B2">
      <w:pPr>
        <w:pStyle w:val="Heading3-NOTinTOC"/>
      </w:pPr>
      <w:r w:rsidRPr="005866B2">
        <w:lastRenderedPageBreak/>
        <w:t>DBT+</w:t>
      </w:r>
      <w:r w:rsidR="00176980">
        <w:t>s2DM</w:t>
      </w:r>
      <w:r w:rsidRPr="005866B2">
        <w:t xml:space="preserve"> compared to FFDM+DBT and/or FFDM alone</w:t>
      </w:r>
    </w:p>
    <w:p w14:paraId="0ED593D8" w14:textId="77777777" w:rsidR="005866B2" w:rsidRPr="005866B2" w:rsidRDefault="005866B2" w:rsidP="005866B2">
      <w:pPr>
        <w:pStyle w:val="BodyText-GREEN"/>
        <w:rPr>
          <w:b/>
          <w:bCs/>
        </w:rPr>
      </w:pPr>
      <w:r w:rsidRPr="005866B2">
        <w:rPr>
          <w:b/>
          <w:bCs/>
        </w:rPr>
        <w:t>Retrospective analysis</w:t>
      </w:r>
    </w:p>
    <w:p w14:paraId="0BF494B1" w14:textId="418E9CCF" w:rsidR="005866B2" w:rsidRDefault="005866B2" w:rsidP="005866B2">
      <w:pPr>
        <w:pStyle w:val="BodyText"/>
      </w:pPr>
      <w:r w:rsidRPr="005866B2">
        <w:t>Hovda et al.</w:t>
      </w:r>
      <w:r>
        <w:t xml:space="preserve"> (</w:t>
      </w:r>
      <w:r w:rsidRPr="005866B2">
        <w:t>2019</w:t>
      </w:r>
      <w:r>
        <w:t>) completed a</w:t>
      </w:r>
      <w:r w:rsidRPr="005866B2">
        <w:t xml:space="preserve"> retrospective study compar</w:t>
      </w:r>
      <w:r>
        <w:t>ing</w:t>
      </w:r>
      <w:r w:rsidRPr="005866B2">
        <w:t xml:space="preserve"> women who had two consecutive screens with FFDM to women whose first screen was FFDM and the subsequent screen was either FFDM+DBT or DBT+</w:t>
      </w:r>
      <w:r w:rsidR="00176980">
        <w:t>s2DM</w:t>
      </w:r>
      <w:r w:rsidRPr="005866B2">
        <w:t xml:space="preserve">. This study determined that specificity was very high with both imaging modalities but that </w:t>
      </w:r>
      <w:r>
        <w:t xml:space="preserve">the group of women screened with FFDM first followed by a subsequent </w:t>
      </w:r>
      <w:r w:rsidRPr="005866B2">
        <w:t>DBT</w:t>
      </w:r>
      <w:r>
        <w:t xml:space="preserve"> screening examination (either FFDM+DBT or DBT</w:t>
      </w:r>
      <w:r w:rsidRPr="005866B2">
        <w:t>+</w:t>
      </w:r>
      <w:r w:rsidR="00176980">
        <w:t>s2DM</w:t>
      </w:r>
      <w:r>
        <w:t>)</w:t>
      </w:r>
      <w:r w:rsidRPr="005866B2">
        <w:t xml:space="preserve"> was higher: </w:t>
      </w:r>
    </w:p>
    <w:p w14:paraId="4CC2A2A1" w14:textId="4A13801E" w:rsidR="005866B2" w:rsidRDefault="005866B2" w:rsidP="005866B2">
      <w:pPr>
        <w:pStyle w:val="List-BulletLvl1"/>
      </w:pPr>
      <w:r>
        <w:t>Group 1 (two FFDM screens): 96.9 percent, compare</w:t>
      </w:r>
      <w:r w:rsidR="008D69DE">
        <w:t>d</w:t>
      </w:r>
      <w:r>
        <w:t xml:space="preserve"> to</w:t>
      </w:r>
    </w:p>
    <w:p w14:paraId="7D499B49" w14:textId="2FB0AECA" w:rsidR="005866B2" w:rsidRDefault="005866B2" w:rsidP="005866B2">
      <w:pPr>
        <w:pStyle w:val="List-BulletLvl1"/>
      </w:pPr>
      <w:r>
        <w:t>Group 2 (FFDM then FFDM+DBT or DBT+</w:t>
      </w:r>
      <w:r w:rsidR="00176980">
        <w:t>s2DM</w:t>
      </w:r>
      <w:r>
        <w:t>): 98.0 percent.</w:t>
      </w:r>
    </w:p>
    <w:p w14:paraId="2E69E9C4" w14:textId="04B3CEF6" w:rsidR="005866B2" w:rsidRPr="008D69DE" w:rsidRDefault="00176980" w:rsidP="005866B2">
      <w:pPr>
        <w:pStyle w:val="Heading3-NOTinTOC"/>
      </w:pPr>
      <w:r>
        <w:t>FFDM+DBT</w:t>
      </w:r>
      <w:r w:rsidR="005866B2" w:rsidRPr="008D69DE">
        <w:t xml:space="preserve"> compared to FFDM alone</w:t>
      </w:r>
    </w:p>
    <w:p w14:paraId="3039C099" w14:textId="77777777" w:rsidR="005866B2" w:rsidRPr="008D69DE" w:rsidRDefault="005866B2" w:rsidP="005866B2">
      <w:pPr>
        <w:pStyle w:val="BodyText-GREEN"/>
        <w:rPr>
          <w:b/>
          <w:bCs/>
        </w:rPr>
      </w:pPr>
      <w:r w:rsidRPr="008D69DE">
        <w:rPr>
          <w:b/>
          <w:bCs/>
        </w:rPr>
        <w:t>Prospective trials embedded in population screening programs</w:t>
      </w:r>
    </w:p>
    <w:p w14:paraId="329E707F" w14:textId="224110E2" w:rsidR="005866B2" w:rsidRPr="008D69DE" w:rsidRDefault="005866B2" w:rsidP="005866B2">
      <w:pPr>
        <w:pStyle w:val="BodyText"/>
      </w:pPr>
      <w:r w:rsidRPr="008D69DE">
        <w:t xml:space="preserve">Two papers reported on program specificity in the OTS trial, a prospective study embedded in a population breast screening program. The first paper reported by Skaane et al. (2018) compared FFDM+DBT with the outcomes of two prior rounds of FFDM. Study findings indicated that specificity improved with the </w:t>
      </w:r>
      <w:r w:rsidR="008D69DE">
        <w:t xml:space="preserve">use </w:t>
      </w:r>
      <w:r w:rsidRPr="008D69DE">
        <w:t>of FFDM+DBT. The difference in specificity was a significant increase with FFDM+DBT reaching 97.5</w:t>
      </w:r>
      <w:r w:rsidR="008D69DE">
        <w:t xml:space="preserve"> percent </w:t>
      </w:r>
      <w:r w:rsidRPr="008D69DE">
        <w:t>specificity and FFDM alone reaching 96.4</w:t>
      </w:r>
      <w:r w:rsidR="008D69DE">
        <w:t xml:space="preserve"> percent</w:t>
      </w:r>
      <w:r w:rsidRPr="008D69DE">
        <w:t xml:space="preserve"> (</w:t>
      </w:r>
      <w:r w:rsidRPr="008D69DE">
        <w:rPr>
          <w:i/>
          <w:iCs/>
        </w:rPr>
        <w:t>p</w:t>
      </w:r>
      <w:r w:rsidRPr="008D69DE">
        <w:t xml:space="preserve">&lt;.001). </w:t>
      </w:r>
    </w:p>
    <w:p w14:paraId="034E737C" w14:textId="37E67BB7" w:rsidR="005866B2" w:rsidRPr="008D69DE" w:rsidRDefault="005866B2" w:rsidP="005866B2">
      <w:pPr>
        <w:pStyle w:val="BodyText"/>
      </w:pPr>
      <w:r w:rsidRPr="008D69DE">
        <w:t>In the second paper, final results of the OTS trial were reported by Skaane et al. (2019). This paper reported on each screening examination as independently interpreted with the study’s four reading modes: (A) FFDM, (B) FFDM + CAD, (C) FFDM+DBT, and (D) DBT+</w:t>
      </w:r>
      <w:r w:rsidR="00176980">
        <w:t>s2DM</w:t>
      </w:r>
      <w:r w:rsidRPr="008D69DE">
        <w:t xml:space="preserve">. For each reading mode, two specificity estimates were developed: pooled estimates based on all observations and reader-adjusted estimates (the average of radiologist-specific estimates). Statistical analysis was based on pre-arbitration reader-adjusted estimates (given the variance in the number of cases read by individual radiologists, which ranged from 564 cases to 5318 cases). Specificity was higher when DBT was used: </w:t>
      </w:r>
    </w:p>
    <w:p w14:paraId="73B10A20" w14:textId="77777777" w:rsidR="005866B2" w:rsidRPr="008D69DE" w:rsidRDefault="005866B2" w:rsidP="007E3481">
      <w:pPr>
        <w:pStyle w:val="List-BulletLvl1"/>
        <w:numPr>
          <w:ilvl w:val="0"/>
          <w:numId w:val="6"/>
        </w:numPr>
      </w:pPr>
      <w:r w:rsidRPr="008D69DE">
        <w:t>FFDM compared to FFDM+DBT: 94.2 percent compared to 95.0 percent</w:t>
      </w:r>
      <w:r w:rsidRPr="008D69DE">
        <w:rPr>
          <w:rStyle w:val="FootnoteReference"/>
        </w:rPr>
        <w:footnoteReference w:id="25"/>
      </w:r>
      <w:r w:rsidRPr="008D69DE">
        <w:t xml:space="preserve"> </w:t>
      </w:r>
    </w:p>
    <w:p w14:paraId="69DE62AA" w14:textId="3D66A99D" w:rsidR="005866B2" w:rsidRPr="008D69DE" w:rsidRDefault="005866B2" w:rsidP="007E3481">
      <w:pPr>
        <w:pStyle w:val="List-BulletLvl1"/>
        <w:numPr>
          <w:ilvl w:val="0"/>
          <w:numId w:val="6"/>
        </w:numPr>
      </w:pPr>
      <w:r w:rsidRPr="008D69DE">
        <w:t>FFDM compared to FFDM+CAD: 94.2 percent compared to 94.2 percent</w:t>
      </w:r>
      <w:r w:rsidRPr="008D69DE">
        <w:rPr>
          <w:rStyle w:val="FootnoteReference"/>
        </w:rPr>
        <w:footnoteReference w:id="26"/>
      </w:r>
    </w:p>
    <w:p w14:paraId="137BFA0A" w14:textId="2A86A4CB" w:rsidR="005866B2" w:rsidRPr="008D69DE" w:rsidRDefault="005866B2" w:rsidP="007E3481">
      <w:pPr>
        <w:pStyle w:val="List-BulletLvl1"/>
        <w:numPr>
          <w:ilvl w:val="0"/>
          <w:numId w:val="6"/>
        </w:numPr>
      </w:pPr>
      <w:r w:rsidRPr="008D69DE">
        <w:t>FFDM+DBT compared to DBT+</w:t>
      </w:r>
      <w:r w:rsidR="00176980">
        <w:t>s2DM</w:t>
      </w:r>
      <w:r w:rsidRPr="008D69DE">
        <w:t>: 95.0 percent compared to 95.4 percent</w:t>
      </w:r>
      <w:r w:rsidRPr="008D69DE">
        <w:rPr>
          <w:rStyle w:val="FootnoteReference"/>
        </w:rPr>
        <w:footnoteReference w:id="27"/>
      </w:r>
      <w:r w:rsidRPr="008D69DE">
        <w:t xml:space="preserve"> </w:t>
      </w:r>
    </w:p>
    <w:p w14:paraId="163402CA" w14:textId="77777777" w:rsidR="005866B2" w:rsidRPr="008D69DE" w:rsidRDefault="005866B2" w:rsidP="007E3481">
      <w:pPr>
        <w:pStyle w:val="List-BulletLvl1"/>
        <w:numPr>
          <w:ilvl w:val="0"/>
          <w:numId w:val="6"/>
        </w:numPr>
        <w:rPr>
          <w:rFonts w:ascii="AGaramondPro-Regular" w:hAnsi="AGaramondPro-Regular" w:cs="AGaramondPro-Regular"/>
        </w:rPr>
      </w:pPr>
      <w:r w:rsidRPr="008D69DE">
        <w:t xml:space="preserve">Simulated double reading of FFDM compared to FFDM+DBT: </w:t>
      </w:r>
      <w:r w:rsidRPr="008D69DE">
        <w:rPr>
          <w:rFonts w:ascii="AGaramondPro-Regular" w:hAnsi="AGaramondPro-Regular" w:cs="AGaramondPro-Regular"/>
        </w:rPr>
        <w:t xml:space="preserve">90.3percent compared to 91.9 </w:t>
      </w:r>
      <w:r w:rsidRPr="008D69DE">
        <w:t>percent</w:t>
      </w:r>
      <w:r w:rsidRPr="008D69DE">
        <w:rPr>
          <w:rStyle w:val="FootnoteReference"/>
          <w:rFonts w:ascii="AGaramondPro-Regular" w:hAnsi="AGaramondPro-Regular" w:cs="AGaramondPro-Regular"/>
        </w:rPr>
        <w:footnoteReference w:id="28"/>
      </w:r>
      <w:r w:rsidRPr="008D69DE">
        <w:rPr>
          <w:rFonts w:ascii="AGaramondPro-Regular" w:hAnsi="AGaramondPro-Regular" w:cs="AGaramondPro-Regular"/>
        </w:rPr>
        <w:t>.</w:t>
      </w:r>
    </w:p>
    <w:p w14:paraId="645BB8DA" w14:textId="48D80977" w:rsidR="005866B2" w:rsidRPr="008D69DE" w:rsidRDefault="005866B2" w:rsidP="005866B2">
      <w:pPr>
        <w:pStyle w:val="BodyText"/>
      </w:pPr>
      <w:r w:rsidRPr="008D69DE">
        <w:t>While the specificity rates for the OTS trial differ slightly between the two studies reported here, the result remains the same: significantly higher rates of specificity can be found for FFDM+DBT compared with FFDM alone, irrespective of double or single reading. The use of DBT+</w:t>
      </w:r>
      <w:r w:rsidR="00176980">
        <w:t>s2DM</w:t>
      </w:r>
      <w:r w:rsidRPr="008D69DE">
        <w:t xml:space="preserve"> showed no statistically significant differences in specificity compared with FFDM+DBT but the </w:t>
      </w:r>
      <w:r w:rsidRPr="008D69DE">
        <w:lastRenderedPageBreak/>
        <w:t>overall percentage was marginally higher than that reported for FFDM; however, the authors did not compare FFDM to DBT+</w:t>
      </w:r>
      <w:r w:rsidR="00176980">
        <w:t>s2DM</w:t>
      </w:r>
      <w:r w:rsidRPr="008D69DE">
        <w:t>.</w:t>
      </w:r>
    </w:p>
    <w:p w14:paraId="2DCF6940" w14:textId="77777777" w:rsidR="005866B2" w:rsidRPr="008D69DE" w:rsidRDefault="005866B2" w:rsidP="005866B2">
      <w:pPr>
        <w:pStyle w:val="BodyText-GREEN"/>
        <w:rPr>
          <w:b/>
          <w:bCs/>
        </w:rPr>
      </w:pPr>
      <w:r w:rsidRPr="008D69DE">
        <w:rPr>
          <w:b/>
          <w:bCs/>
        </w:rPr>
        <w:t>Retrospective analysis</w:t>
      </w:r>
    </w:p>
    <w:p w14:paraId="09057EDD" w14:textId="6852CD72" w:rsidR="005866B2" w:rsidRPr="008D69DE" w:rsidRDefault="005866B2" w:rsidP="005866B2">
      <w:pPr>
        <w:pStyle w:val="BodyText"/>
      </w:pPr>
      <w:r w:rsidRPr="008D69DE">
        <w:t>In an American observational study (Conant et al., 2019), the authors reported that screening examinations with DBT were associated with significantly higher specificity (OR</w:t>
      </w:r>
      <w:r w:rsidR="00285D7E">
        <w:t>=</w:t>
      </w:r>
      <w:r w:rsidRPr="008D69DE">
        <w:t>1.46; 95%CI: 1.30</w:t>
      </w:r>
      <w:r w:rsidR="00B81799">
        <w:t xml:space="preserve">, </w:t>
      </w:r>
      <w:r w:rsidRPr="008D69DE">
        <w:t xml:space="preserve">165; </w:t>
      </w:r>
      <w:r w:rsidRPr="008D69DE">
        <w:rPr>
          <w:i/>
          <w:iCs/>
        </w:rPr>
        <w:t>p</w:t>
      </w:r>
      <w:r w:rsidRPr="008D69DE">
        <w:t xml:space="preserve">&lt;.001) after adjustment for research centre, age group, and breast density. Use of DBT was also associated with significantly higher specificity in every age group and at each level of breast density (all </w:t>
      </w:r>
      <w:r w:rsidRPr="008D69DE">
        <w:rPr>
          <w:i/>
          <w:iCs/>
        </w:rPr>
        <w:t>p</w:t>
      </w:r>
      <w:r w:rsidRPr="008D69DE">
        <w:t>&lt;.001). A second retrospective study in the US conducted by Bahl et al. (2019) also saw improved specificity to a level of significance with FFDM+DBT compared to FFDM alone (95.8 percent compared to 95.1percent; AOR</w:t>
      </w:r>
      <w:r w:rsidR="00285D7E">
        <w:t>=</w:t>
      </w:r>
      <w:r w:rsidRPr="008D69DE">
        <w:t xml:space="preserve">1.23; </w:t>
      </w:r>
      <w:r w:rsidRPr="008D69DE">
        <w:rPr>
          <w:i/>
          <w:iCs/>
        </w:rPr>
        <w:t>p</w:t>
      </w:r>
      <w:r w:rsidRPr="008D69DE">
        <w:t xml:space="preserve">&lt;.001). </w:t>
      </w:r>
    </w:p>
    <w:p w14:paraId="32E0AA1F" w14:textId="77777777" w:rsidR="005866B2" w:rsidRPr="008D69DE" w:rsidRDefault="005866B2" w:rsidP="005866B2">
      <w:pPr>
        <w:pStyle w:val="Heading3-NOTinTOC"/>
      </w:pPr>
      <w:r w:rsidRPr="008D69DE">
        <w:t>DBT</w:t>
      </w:r>
      <w:r w:rsidRPr="008D69DE">
        <w:rPr>
          <w:vertAlign w:val="subscript"/>
        </w:rPr>
        <w:t>MLO</w:t>
      </w:r>
      <w:r w:rsidRPr="008D69DE">
        <w:t xml:space="preserve"> compared to FFDM</w:t>
      </w:r>
    </w:p>
    <w:p w14:paraId="6FEB25D3" w14:textId="77777777" w:rsidR="005866B2" w:rsidRPr="008D69DE" w:rsidRDefault="005866B2" w:rsidP="005866B2">
      <w:pPr>
        <w:pStyle w:val="BodyText-GREEN"/>
        <w:rPr>
          <w:b/>
          <w:bCs/>
        </w:rPr>
      </w:pPr>
      <w:r w:rsidRPr="008D69DE">
        <w:rPr>
          <w:b/>
          <w:bCs/>
        </w:rPr>
        <w:t>Prospective trials embedded in population screening programs</w:t>
      </w:r>
    </w:p>
    <w:p w14:paraId="2B170332" w14:textId="2024DE65" w:rsidR="005866B2" w:rsidRDefault="005866B2" w:rsidP="005866B2">
      <w:pPr>
        <w:pStyle w:val="BodyText"/>
      </w:pPr>
      <w:r w:rsidRPr="008D69DE">
        <w:t>The Malmö trial reported that when comparing DBT</w:t>
      </w:r>
      <w:r w:rsidRPr="008D69DE">
        <w:rPr>
          <w:vertAlign w:val="subscript"/>
        </w:rPr>
        <w:t>MLO</w:t>
      </w:r>
      <w:r w:rsidRPr="008D69DE">
        <w:rPr>
          <w:sz w:val="18"/>
          <w:szCs w:val="18"/>
        </w:rPr>
        <w:t xml:space="preserve"> </w:t>
      </w:r>
      <w:r w:rsidRPr="008D69DE">
        <w:t>with FFDM alone, DBT</w:t>
      </w:r>
      <w:r w:rsidRPr="008D69DE">
        <w:rPr>
          <w:vertAlign w:val="subscript"/>
        </w:rPr>
        <w:t>MLO</w:t>
      </w:r>
      <w:r w:rsidRPr="008D69DE">
        <w:t xml:space="preserve"> had lower specificity (97·2 percent</w:t>
      </w:r>
      <w:r w:rsidR="00176980">
        <w:t>; 95%CI:</w:t>
      </w:r>
      <w:r w:rsidRPr="008D69DE">
        <w:t xml:space="preserve"> 97·0</w:t>
      </w:r>
      <w:r w:rsidR="00176980">
        <w:t xml:space="preserve">, </w:t>
      </w:r>
      <w:r w:rsidRPr="008D69DE">
        <w:t>97·5</w:t>
      </w:r>
      <w:r w:rsidR="00176980">
        <w:t>)</w:t>
      </w:r>
      <w:r w:rsidRPr="008D69DE">
        <w:t xml:space="preserve"> compared with </w:t>
      </w:r>
      <w:r w:rsidR="00176980">
        <w:t>FFDM (</w:t>
      </w:r>
      <w:r w:rsidRPr="008D69DE">
        <w:t>98·1 percent</w:t>
      </w:r>
      <w:r w:rsidR="00176980">
        <w:t>; 95%CI:</w:t>
      </w:r>
      <w:r w:rsidRPr="008D69DE">
        <w:t xml:space="preserve"> 97·9</w:t>
      </w:r>
      <w:r w:rsidR="00176980">
        <w:t xml:space="preserve">, </w:t>
      </w:r>
      <w:r w:rsidRPr="008D69DE">
        <w:t>98·3) (Zackrisson et al., 2018). Zackrisson et al. proposed that the addition of a second DBT view would likely improve the specificity slightly.</w:t>
      </w:r>
      <w:r w:rsidRPr="00F540F3">
        <w:t xml:space="preserve"> </w:t>
      </w:r>
    </w:p>
    <w:p w14:paraId="4EC4615B" w14:textId="7DF0DF45" w:rsidR="008D69DE" w:rsidRDefault="008D69DE" w:rsidP="008D69DE">
      <w:pPr>
        <w:pStyle w:val="Caption"/>
      </w:pPr>
      <w:r>
        <w:t xml:space="preserve">Table </w:t>
      </w:r>
      <w:r w:rsidR="00BC52D9">
        <w:t>18</w:t>
      </w:r>
      <w:r>
        <w:t>: Relative specificity</w:t>
      </w:r>
    </w:p>
    <w:tbl>
      <w:tblPr>
        <w:tblStyle w:val="ACGreen-BasicTable"/>
        <w:tblW w:w="0" w:type="auto"/>
        <w:tblLook w:val="04A0" w:firstRow="1" w:lastRow="0" w:firstColumn="1" w:lastColumn="0" w:noHBand="0" w:noVBand="1"/>
        <w:tblDescription w:val="Table 18 shows relative specificity. &#10;Prospective studies embedded in population-based screening programs included the following studies:&#10;A study by Skaane et al. (2019) OTS included:&#10;DBT+s2DM (95%CI; p-value) was NA.&#10;FFDM+DBT (95%CI; p-value) was Single read: 95.0%, Double read: 91.9%.&#10;FFDM alone (95%CI; p-value) was Single read: 94.2%, Double read: 90.3%.&#10;DBTMLO (95%CI; p-value) was NA.&#10;&#10;A study by Skaane et al. (2018) OTS included DBT+s2DM (95%CI; p-value) was NA.&#10;FFDM+DBT (95%CI; p-value) was 97.5%.&#10;FFDM alone (95%CI; p-value) was 96.4 (DBT higher: 1.2% (0.91, 1.40; p&lt;.001).&#10;DBTMLO (95%CI; p-value) was NA.&#10;&#10;A study by Zackrisson et al. (2018) Malmö included:&#10;DBT+s2DM (95%CI; p-value) was NA.&#10;FFDM+DBT (95%CI; p-value) was NA.&#10;FFDM alone (95%CI; p-value) was 98·1% (97·9, 98·3).&#10;DBTMLO (95%CI; p-value) was 97·2% (97·0, 97·5).&#10;&#10;For retrospective analysis included the following studies:&#10;A study  by BAhl et al. (2019) included:&#10;DBT+s2DM (95%CI; p-value) was NA.&#10;FFDM+DBT (95%CI; p-value) was 95.1% (94.9, 95.3).&#10;FFDM alone (95%CI; p-value) was 94.8% (94.6, 95.1).&#10;DBTMLO (95%CI; p-value) was NA.&#10;A study by Conanat et al.  (2019) PROSPR included:&#10;DBT+s2DM (95%CI; p-value) was NA.&#10;FFDM+DBT (95%CI; p-value) was &#10;All: 91.3%&#10;40 to 49 years: non-dense 89.6%; dense 86.0%&#10;50 to 64 years: non-dense 93.2%; dense 94.4%&#10;65 to 74 years: non-dense 94.4%; dense 93.9%&#10;FFDM alone (95%CI; p-value) was &#10;All 88.9%&#10;40 to 49 years: non-dense 84.9%; dense 82.3%&#10;50 to 64 years: non-dense 91.1%; dense 89.1%&#10;65 to 74 years: non-dense 92.2%; dense 90.6%.&#10;DBTMLO (95%CI; p-value) was NA.&#10;&#10;A study by Hovda et al. (2019) BSP Norway included:&#10;DBT+s2DM (95%CI; p-value) and FFDM+DBT (95%CI; p-value) was &#10;Group 2 (FFDM then FFDM+DBT or DBT+s2DM): 98.0%.&#10;FFDM alone (95%CI; p-value) was 96.9%.&#10;DBTMLO (95%CI; p-value) was NA.&#10;&#10;"/>
      </w:tblPr>
      <w:tblGrid>
        <w:gridCol w:w="1812"/>
        <w:gridCol w:w="1812"/>
        <w:gridCol w:w="1812"/>
        <w:gridCol w:w="1812"/>
        <w:gridCol w:w="1813"/>
      </w:tblGrid>
      <w:tr w:rsidR="008D69DE" w:rsidRPr="00176980" w14:paraId="01801EB7" w14:textId="77777777" w:rsidTr="008D69DE">
        <w:trPr>
          <w:cnfStyle w:val="100000000000" w:firstRow="1" w:lastRow="0" w:firstColumn="0" w:lastColumn="0" w:oddVBand="0" w:evenVBand="0" w:oddHBand="0" w:evenHBand="0" w:firstRowFirstColumn="0" w:firstRowLastColumn="0" w:lastRowFirstColumn="0" w:lastRowLastColumn="0"/>
        </w:trPr>
        <w:tc>
          <w:tcPr>
            <w:tcW w:w="1812" w:type="dxa"/>
          </w:tcPr>
          <w:p w14:paraId="50FA9571" w14:textId="77777777" w:rsidR="008D69DE" w:rsidRPr="00176980" w:rsidRDefault="008D69DE" w:rsidP="008D69DE">
            <w:pPr>
              <w:pStyle w:val="BodyText"/>
              <w:spacing w:before="0" w:after="0" w:line="240" w:lineRule="auto"/>
              <w:jc w:val="center"/>
              <w:rPr>
                <w:rFonts w:cstheme="majorHAnsi"/>
                <w:bCs/>
                <w:sz w:val="18"/>
                <w:szCs w:val="18"/>
              </w:rPr>
            </w:pPr>
            <w:r w:rsidRPr="00176980">
              <w:rPr>
                <w:rFonts w:cstheme="majorHAnsi"/>
                <w:bCs/>
                <w:sz w:val="18"/>
                <w:szCs w:val="18"/>
              </w:rPr>
              <w:t>Study</w:t>
            </w:r>
          </w:p>
          <w:p w14:paraId="75DD982E" w14:textId="77777777" w:rsidR="008D69DE" w:rsidRPr="00176980" w:rsidRDefault="008D69DE" w:rsidP="008D69DE">
            <w:pPr>
              <w:jc w:val="center"/>
              <w:rPr>
                <w:rFonts w:cstheme="majorHAnsi"/>
                <w:bCs/>
                <w:sz w:val="18"/>
                <w:szCs w:val="18"/>
              </w:rPr>
            </w:pPr>
          </w:p>
        </w:tc>
        <w:tc>
          <w:tcPr>
            <w:tcW w:w="1812" w:type="dxa"/>
          </w:tcPr>
          <w:p w14:paraId="22AF120C" w14:textId="6AC3A496" w:rsidR="008D69DE" w:rsidRPr="00176980" w:rsidRDefault="008D69DE" w:rsidP="008D69DE">
            <w:pPr>
              <w:pStyle w:val="BodyText"/>
              <w:spacing w:before="0" w:after="0" w:line="240" w:lineRule="auto"/>
              <w:jc w:val="center"/>
              <w:rPr>
                <w:rFonts w:cstheme="majorHAnsi"/>
                <w:bCs/>
                <w:sz w:val="18"/>
                <w:szCs w:val="18"/>
              </w:rPr>
            </w:pPr>
            <w:r w:rsidRPr="00176980">
              <w:rPr>
                <w:rFonts w:cstheme="majorHAnsi"/>
                <w:bCs/>
                <w:sz w:val="18"/>
                <w:szCs w:val="18"/>
              </w:rPr>
              <w:t>DBT+</w:t>
            </w:r>
            <w:r w:rsidR="00176980">
              <w:rPr>
                <w:rFonts w:cstheme="majorHAnsi"/>
                <w:bCs/>
                <w:sz w:val="18"/>
                <w:szCs w:val="18"/>
              </w:rPr>
              <w:t>s2DM</w:t>
            </w:r>
          </w:p>
          <w:p w14:paraId="5124175E" w14:textId="62A306FC" w:rsidR="008D69DE" w:rsidRPr="00176980" w:rsidRDefault="008D69DE" w:rsidP="008D69DE">
            <w:pPr>
              <w:jc w:val="center"/>
              <w:rPr>
                <w:rFonts w:cstheme="majorHAnsi"/>
                <w:b w:val="0"/>
                <w:sz w:val="16"/>
                <w:szCs w:val="16"/>
              </w:rPr>
            </w:pPr>
            <w:r w:rsidRPr="00176980">
              <w:rPr>
                <w:rFonts w:cstheme="majorHAnsi"/>
                <w:b w:val="0"/>
                <w:sz w:val="16"/>
                <w:szCs w:val="16"/>
              </w:rPr>
              <w:t>(95%CI; p-value)</w:t>
            </w:r>
          </w:p>
        </w:tc>
        <w:tc>
          <w:tcPr>
            <w:tcW w:w="1812" w:type="dxa"/>
          </w:tcPr>
          <w:p w14:paraId="72B2E055" w14:textId="77777777" w:rsidR="008D69DE" w:rsidRPr="00176980" w:rsidRDefault="008D69DE" w:rsidP="008D69DE">
            <w:pPr>
              <w:jc w:val="center"/>
              <w:rPr>
                <w:rFonts w:cstheme="majorHAnsi"/>
                <w:b w:val="0"/>
                <w:bCs/>
                <w:sz w:val="18"/>
                <w:szCs w:val="18"/>
              </w:rPr>
            </w:pPr>
            <w:r w:rsidRPr="00176980">
              <w:rPr>
                <w:rFonts w:cstheme="majorHAnsi"/>
                <w:bCs/>
                <w:sz w:val="18"/>
                <w:szCs w:val="18"/>
              </w:rPr>
              <w:t>FFDM+DBT</w:t>
            </w:r>
          </w:p>
          <w:p w14:paraId="70A15852" w14:textId="0588BAB7" w:rsidR="008D69DE" w:rsidRPr="00176980" w:rsidRDefault="00176980" w:rsidP="008D69DE">
            <w:pPr>
              <w:jc w:val="center"/>
              <w:rPr>
                <w:rFonts w:cstheme="majorHAnsi"/>
                <w:bCs/>
                <w:sz w:val="18"/>
                <w:szCs w:val="18"/>
              </w:rPr>
            </w:pPr>
            <w:r w:rsidRPr="00176980">
              <w:rPr>
                <w:rFonts w:cstheme="majorHAnsi"/>
                <w:b w:val="0"/>
                <w:sz w:val="16"/>
                <w:szCs w:val="16"/>
              </w:rPr>
              <w:t>(95%CI; p-value)</w:t>
            </w:r>
          </w:p>
        </w:tc>
        <w:tc>
          <w:tcPr>
            <w:tcW w:w="1812" w:type="dxa"/>
          </w:tcPr>
          <w:p w14:paraId="7E2AFC86" w14:textId="77777777" w:rsidR="008D69DE" w:rsidRPr="00176980" w:rsidRDefault="008D69DE" w:rsidP="008D69DE">
            <w:pPr>
              <w:pStyle w:val="BodyText"/>
              <w:spacing w:before="0" w:after="0" w:line="240" w:lineRule="auto"/>
              <w:jc w:val="center"/>
              <w:rPr>
                <w:rFonts w:cstheme="majorHAnsi"/>
                <w:bCs/>
                <w:sz w:val="18"/>
                <w:szCs w:val="18"/>
              </w:rPr>
            </w:pPr>
            <w:r w:rsidRPr="00176980">
              <w:rPr>
                <w:rFonts w:cstheme="majorHAnsi"/>
                <w:bCs/>
                <w:sz w:val="18"/>
                <w:szCs w:val="18"/>
              </w:rPr>
              <w:t>FFDM alone</w:t>
            </w:r>
          </w:p>
          <w:p w14:paraId="78C6468F" w14:textId="7F553B4A" w:rsidR="008D69DE" w:rsidRPr="00176980" w:rsidRDefault="00176980" w:rsidP="008D69DE">
            <w:pPr>
              <w:jc w:val="center"/>
              <w:rPr>
                <w:rFonts w:cstheme="majorHAnsi"/>
                <w:bCs/>
                <w:sz w:val="18"/>
                <w:szCs w:val="18"/>
              </w:rPr>
            </w:pPr>
            <w:r w:rsidRPr="00176980">
              <w:rPr>
                <w:rFonts w:cstheme="majorHAnsi"/>
                <w:b w:val="0"/>
                <w:sz w:val="16"/>
                <w:szCs w:val="16"/>
              </w:rPr>
              <w:t>(95%CI; p-value)</w:t>
            </w:r>
          </w:p>
        </w:tc>
        <w:tc>
          <w:tcPr>
            <w:tcW w:w="1813" w:type="dxa"/>
          </w:tcPr>
          <w:p w14:paraId="2DDEFCCA" w14:textId="77777777" w:rsidR="008D69DE" w:rsidRPr="00176980" w:rsidRDefault="008D69DE" w:rsidP="008D69DE">
            <w:pPr>
              <w:jc w:val="center"/>
              <w:rPr>
                <w:rFonts w:cstheme="majorHAnsi"/>
                <w:b w:val="0"/>
                <w:bCs/>
                <w:sz w:val="18"/>
                <w:szCs w:val="18"/>
                <w:vertAlign w:val="subscript"/>
              </w:rPr>
            </w:pPr>
            <w:r w:rsidRPr="00176980">
              <w:rPr>
                <w:rFonts w:cstheme="majorHAnsi"/>
                <w:bCs/>
                <w:sz w:val="18"/>
                <w:szCs w:val="18"/>
              </w:rPr>
              <w:t>DBT</w:t>
            </w:r>
            <w:r w:rsidRPr="00176980">
              <w:rPr>
                <w:rFonts w:cstheme="majorHAnsi"/>
                <w:bCs/>
                <w:sz w:val="18"/>
                <w:szCs w:val="18"/>
                <w:vertAlign w:val="subscript"/>
              </w:rPr>
              <w:t>MLO</w:t>
            </w:r>
          </w:p>
          <w:p w14:paraId="698DD70E" w14:textId="722206D2" w:rsidR="008D69DE" w:rsidRPr="00176980" w:rsidRDefault="00176980" w:rsidP="008D69DE">
            <w:pPr>
              <w:jc w:val="center"/>
              <w:rPr>
                <w:rFonts w:cstheme="majorHAnsi"/>
                <w:bCs/>
                <w:sz w:val="18"/>
                <w:szCs w:val="18"/>
                <w:vertAlign w:val="subscript"/>
              </w:rPr>
            </w:pPr>
            <w:r w:rsidRPr="00176980">
              <w:rPr>
                <w:rFonts w:cstheme="majorHAnsi"/>
                <w:b w:val="0"/>
                <w:sz w:val="16"/>
                <w:szCs w:val="16"/>
              </w:rPr>
              <w:t>(95%CI; p-value)</w:t>
            </w:r>
          </w:p>
        </w:tc>
      </w:tr>
      <w:tr w:rsidR="00B81799" w:rsidRPr="00176980" w14:paraId="645A059E" w14:textId="77777777" w:rsidTr="00630B87">
        <w:tc>
          <w:tcPr>
            <w:tcW w:w="9061" w:type="dxa"/>
            <w:gridSpan w:val="5"/>
          </w:tcPr>
          <w:p w14:paraId="5DAD81D1" w14:textId="51B9DE07" w:rsidR="00B81799" w:rsidRPr="00176980" w:rsidRDefault="00B81799" w:rsidP="00630B87">
            <w:pPr>
              <w:rPr>
                <w:rFonts w:cstheme="majorHAnsi"/>
                <w:b/>
                <w:bCs/>
                <w:sz w:val="18"/>
                <w:szCs w:val="18"/>
              </w:rPr>
            </w:pPr>
            <w:r w:rsidRPr="00176980">
              <w:rPr>
                <w:rFonts w:cstheme="majorHAnsi"/>
                <w:b/>
                <w:sz w:val="18"/>
                <w:szCs w:val="18"/>
              </w:rPr>
              <w:t>Prospective studies embedded in population-based screening programs</w:t>
            </w:r>
          </w:p>
        </w:tc>
      </w:tr>
      <w:tr w:rsidR="00B81799" w:rsidRPr="00176980" w14:paraId="09EEF900" w14:textId="77777777" w:rsidTr="00630B87">
        <w:tc>
          <w:tcPr>
            <w:tcW w:w="1812" w:type="dxa"/>
          </w:tcPr>
          <w:p w14:paraId="4593CA26" w14:textId="77777777" w:rsidR="00B81799" w:rsidRPr="00176980" w:rsidRDefault="00B81799" w:rsidP="00630B87">
            <w:pPr>
              <w:rPr>
                <w:rFonts w:cstheme="majorHAnsi"/>
                <w:sz w:val="18"/>
                <w:szCs w:val="18"/>
              </w:rPr>
            </w:pPr>
            <w:r w:rsidRPr="00176980">
              <w:rPr>
                <w:rFonts w:cstheme="majorHAnsi"/>
                <w:sz w:val="18"/>
                <w:szCs w:val="18"/>
              </w:rPr>
              <w:t>Skaane et al. (2019)</w:t>
            </w:r>
          </w:p>
          <w:p w14:paraId="547711B7" w14:textId="4688A303" w:rsidR="00B81799" w:rsidRPr="00176980" w:rsidRDefault="00B81799" w:rsidP="00630B87">
            <w:pPr>
              <w:rPr>
                <w:rFonts w:cstheme="majorHAnsi"/>
                <w:sz w:val="18"/>
                <w:szCs w:val="18"/>
              </w:rPr>
            </w:pPr>
            <w:r w:rsidRPr="00176980">
              <w:rPr>
                <w:rFonts w:cstheme="majorHAnsi"/>
                <w:sz w:val="18"/>
                <w:szCs w:val="18"/>
              </w:rPr>
              <w:t>OTS</w:t>
            </w:r>
          </w:p>
        </w:tc>
        <w:tc>
          <w:tcPr>
            <w:tcW w:w="1812" w:type="dxa"/>
          </w:tcPr>
          <w:p w14:paraId="76EF7843" w14:textId="0AA65EBE" w:rsidR="00B81799" w:rsidRPr="00176980" w:rsidRDefault="00B81799" w:rsidP="00B81799">
            <w:pPr>
              <w:jc w:val="center"/>
              <w:rPr>
                <w:rFonts w:cstheme="majorHAnsi"/>
                <w:sz w:val="18"/>
                <w:szCs w:val="18"/>
              </w:rPr>
            </w:pPr>
            <w:r w:rsidRPr="00176980">
              <w:rPr>
                <w:rFonts w:cstheme="majorHAnsi"/>
                <w:sz w:val="18"/>
                <w:szCs w:val="18"/>
              </w:rPr>
              <w:t>NA</w:t>
            </w:r>
          </w:p>
        </w:tc>
        <w:tc>
          <w:tcPr>
            <w:tcW w:w="1812" w:type="dxa"/>
          </w:tcPr>
          <w:p w14:paraId="22C321C3" w14:textId="386A57DD" w:rsidR="00B81799" w:rsidRPr="00176980" w:rsidRDefault="00B81799" w:rsidP="00630B87">
            <w:pPr>
              <w:rPr>
                <w:rFonts w:cstheme="majorHAnsi"/>
                <w:sz w:val="18"/>
                <w:szCs w:val="18"/>
              </w:rPr>
            </w:pPr>
            <w:r w:rsidRPr="00176980">
              <w:rPr>
                <w:rFonts w:cstheme="majorHAnsi"/>
                <w:sz w:val="18"/>
                <w:szCs w:val="18"/>
              </w:rPr>
              <w:t>Single read: 95.0%</w:t>
            </w:r>
          </w:p>
          <w:p w14:paraId="5BE599ED" w14:textId="359E77EB" w:rsidR="00B81799" w:rsidRPr="00176980" w:rsidRDefault="00B81799" w:rsidP="00630B87">
            <w:pPr>
              <w:rPr>
                <w:rFonts w:cstheme="majorHAnsi"/>
                <w:sz w:val="18"/>
                <w:szCs w:val="18"/>
              </w:rPr>
            </w:pPr>
            <w:r w:rsidRPr="00176980">
              <w:rPr>
                <w:rFonts w:cstheme="majorHAnsi"/>
                <w:sz w:val="18"/>
                <w:szCs w:val="18"/>
              </w:rPr>
              <w:t>Double read: 91.9%</w:t>
            </w:r>
          </w:p>
        </w:tc>
        <w:tc>
          <w:tcPr>
            <w:tcW w:w="1812" w:type="dxa"/>
          </w:tcPr>
          <w:p w14:paraId="77111531" w14:textId="19770865" w:rsidR="00B81799" w:rsidRPr="00176980" w:rsidRDefault="00B81799" w:rsidP="00B81799">
            <w:pPr>
              <w:rPr>
                <w:rFonts w:cstheme="majorHAnsi"/>
                <w:sz w:val="18"/>
                <w:szCs w:val="18"/>
              </w:rPr>
            </w:pPr>
            <w:r w:rsidRPr="00176980">
              <w:rPr>
                <w:rFonts w:cstheme="majorHAnsi"/>
                <w:sz w:val="18"/>
                <w:szCs w:val="18"/>
              </w:rPr>
              <w:t>Single read: 94.2%</w:t>
            </w:r>
          </w:p>
          <w:p w14:paraId="124EEF0B" w14:textId="3CAA5371" w:rsidR="00B81799" w:rsidRPr="00176980" w:rsidRDefault="00B81799" w:rsidP="00B81799">
            <w:pPr>
              <w:rPr>
                <w:rFonts w:cstheme="majorHAnsi"/>
                <w:sz w:val="18"/>
                <w:szCs w:val="18"/>
              </w:rPr>
            </w:pPr>
            <w:r w:rsidRPr="00176980">
              <w:rPr>
                <w:rFonts w:cstheme="majorHAnsi"/>
                <w:sz w:val="18"/>
                <w:szCs w:val="18"/>
              </w:rPr>
              <w:t>Double read: 90.3%</w:t>
            </w:r>
          </w:p>
        </w:tc>
        <w:tc>
          <w:tcPr>
            <w:tcW w:w="1813" w:type="dxa"/>
          </w:tcPr>
          <w:p w14:paraId="79353995" w14:textId="2D23417A" w:rsidR="00B81799" w:rsidRPr="00176980" w:rsidRDefault="00B81799" w:rsidP="00B81799">
            <w:pPr>
              <w:jc w:val="center"/>
              <w:rPr>
                <w:rFonts w:cstheme="majorHAnsi"/>
                <w:sz w:val="18"/>
                <w:szCs w:val="18"/>
              </w:rPr>
            </w:pPr>
            <w:r w:rsidRPr="00176980">
              <w:rPr>
                <w:rFonts w:cstheme="majorHAnsi"/>
                <w:sz w:val="18"/>
                <w:szCs w:val="18"/>
              </w:rPr>
              <w:t>NA</w:t>
            </w:r>
          </w:p>
        </w:tc>
      </w:tr>
      <w:tr w:rsidR="00B81799" w:rsidRPr="00176980" w14:paraId="1430172B" w14:textId="77777777" w:rsidTr="00630B87">
        <w:tc>
          <w:tcPr>
            <w:tcW w:w="1812" w:type="dxa"/>
          </w:tcPr>
          <w:p w14:paraId="7C00699B" w14:textId="77777777" w:rsidR="00B81799" w:rsidRPr="00176980" w:rsidRDefault="00B81799" w:rsidP="00B81799">
            <w:pPr>
              <w:rPr>
                <w:rFonts w:cstheme="majorHAnsi"/>
                <w:sz w:val="18"/>
                <w:szCs w:val="18"/>
              </w:rPr>
            </w:pPr>
            <w:r w:rsidRPr="00176980">
              <w:rPr>
                <w:rFonts w:cstheme="majorHAnsi"/>
                <w:sz w:val="18"/>
                <w:szCs w:val="18"/>
              </w:rPr>
              <w:t>Skaane et al. (2018)</w:t>
            </w:r>
          </w:p>
          <w:p w14:paraId="677EFC6A" w14:textId="2B4F2E42" w:rsidR="00B81799" w:rsidRPr="00176980" w:rsidRDefault="00B81799" w:rsidP="00B81799">
            <w:pPr>
              <w:rPr>
                <w:rFonts w:cstheme="majorHAnsi"/>
                <w:sz w:val="18"/>
                <w:szCs w:val="18"/>
              </w:rPr>
            </w:pPr>
            <w:r w:rsidRPr="00176980">
              <w:rPr>
                <w:rFonts w:cstheme="majorHAnsi"/>
                <w:sz w:val="18"/>
                <w:szCs w:val="18"/>
              </w:rPr>
              <w:t>OTS</w:t>
            </w:r>
          </w:p>
        </w:tc>
        <w:tc>
          <w:tcPr>
            <w:tcW w:w="1812" w:type="dxa"/>
          </w:tcPr>
          <w:p w14:paraId="0DA65F0E" w14:textId="08407953" w:rsidR="00B81799" w:rsidRPr="00176980" w:rsidRDefault="00B81799" w:rsidP="00B81799">
            <w:pPr>
              <w:jc w:val="center"/>
              <w:rPr>
                <w:rFonts w:cstheme="majorHAnsi"/>
                <w:sz w:val="18"/>
                <w:szCs w:val="18"/>
              </w:rPr>
            </w:pPr>
            <w:r w:rsidRPr="00176980">
              <w:rPr>
                <w:rFonts w:cstheme="majorHAnsi"/>
                <w:sz w:val="18"/>
                <w:szCs w:val="18"/>
              </w:rPr>
              <w:t>NA</w:t>
            </w:r>
          </w:p>
        </w:tc>
        <w:tc>
          <w:tcPr>
            <w:tcW w:w="1812" w:type="dxa"/>
          </w:tcPr>
          <w:p w14:paraId="429948D1" w14:textId="0B3B5676" w:rsidR="00B81799" w:rsidRPr="00176980" w:rsidRDefault="00B81799" w:rsidP="00B81799">
            <w:pPr>
              <w:rPr>
                <w:rFonts w:cstheme="majorHAnsi"/>
                <w:sz w:val="18"/>
                <w:szCs w:val="18"/>
              </w:rPr>
            </w:pPr>
            <w:r w:rsidRPr="00176980">
              <w:rPr>
                <w:rFonts w:cstheme="majorHAnsi"/>
                <w:sz w:val="18"/>
                <w:szCs w:val="18"/>
              </w:rPr>
              <w:t>97.5</w:t>
            </w:r>
          </w:p>
        </w:tc>
        <w:tc>
          <w:tcPr>
            <w:tcW w:w="1812" w:type="dxa"/>
          </w:tcPr>
          <w:p w14:paraId="0D8B64A1" w14:textId="6CDE4FC5" w:rsidR="00B81799" w:rsidRPr="00176980" w:rsidRDefault="00B81799" w:rsidP="00B81799">
            <w:pPr>
              <w:rPr>
                <w:rFonts w:cstheme="majorHAnsi"/>
                <w:sz w:val="18"/>
                <w:szCs w:val="18"/>
              </w:rPr>
            </w:pPr>
            <w:r w:rsidRPr="00176980">
              <w:rPr>
                <w:rFonts w:cstheme="majorHAnsi"/>
                <w:sz w:val="18"/>
                <w:szCs w:val="18"/>
              </w:rPr>
              <w:t xml:space="preserve">96.4 (DBT higher: 1.2% (0.91, 1.40; </w:t>
            </w:r>
            <w:r w:rsidRPr="00176980">
              <w:rPr>
                <w:rFonts w:cstheme="majorHAnsi"/>
                <w:i/>
                <w:iCs/>
                <w:sz w:val="18"/>
                <w:szCs w:val="18"/>
              </w:rPr>
              <w:t>p</w:t>
            </w:r>
            <w:r w:rsidRPr="00176980">
              <w:rPr>
                <w:rFonts w:cstheme="majorHAnsi"/>
                <w:sz w:val="18"/>
                <w:szCs w:val="18"/>
              </w:rPr>
              <w:t>&lt;.001)</w:t>
            </w:r>
          </w:p>
        </w:tc>
        <w:tc>
          <w:tcPr>
            <w:tcW w:w="1813" w:type="dxa"/>
          </w:tcPr>
          <w:p w14:paraId="37A01AC7" w14:textId="0A24A1E3" w:rsidR="00B81799" w:rsidRPr="00176980" w:rsidRDefault="00B81799" w:rsidP="00B81799">
            <w:pPr>
              <w:jc w:val="center"/>
              <w:rPr>
                <w:rFonts w:cstheme="majorHAnsi"/>
                <w:sz w:val="18"/>
                <w:szCs w:val="18"/>
              </w:rPr>
            </w:pPr>
            <w:r w:rsidRPr="00176980">
              <w:rPr>
                <w:rFonts w:cstheme="majorHAnsi"/>
                <w:sz w:val="18"/>
                <w:szCs w:val="18"/>
              </w:rPr>
              <w:t>NA</w:t>
            </w:r>
          </w:p>
        </w:tc>
      </w:tr>
      <w:tr w:rsidR="00B81799" w:rsidRPr="00176980" w14:paraId="1127252F" w14:textId="77777777" w:rsidTr="00630B87">
        <w:tc>
          <w:tcPr>
            <w:tcW w:w="1812" w:type="dxa"/>
          </w:tcPr>
          <w:p w14:paraId="15AE4374" w14:textId="77777777" w:rsidR="00B81799" w:rsidRPr="00176980" w:rsidRDefault="00B81799" w:rsidP="00B81799">
            <w:pPr>
              <w:rPr>
                <w:rFonts w:cstheme="majorHAnsi"/>
                <w:sz w:val="18"/>
                <w:szCs w:val="18"/>
              </w:rPr>
            </w:pPr>
            <w:r w:rsidRPr="00176980">
              <w:rPr>
                <w:rFonts w:cstheme="majorHAnsi"/>
                <w:sz w:val="18"/>
                <w:szCs w:val="18"/>
              </w:rPr>
              <w:t>Zackrisson et al. (2018)</w:t>
            </w:r>
          </w:p>
          <w:p w14:paraId="14E99CA9" w14:textId="549107D4" w:rsidR="00B81799" w:rsidRPr="00176980" w:rsidRDefault="00B81799" w:rsidP="00B81799">
            <w:pPr>
              <w:rPr>
                <w:rFonts w:cstheme="majorHAnsi"/>
                <w:sz w:val="18"/>
                <w:szCs w:val="18"/>
              </w:rPr>
            </w:pPr>
            <w:r w:rsidRPr="00176980">
              <w:rPr>
                <w:rFonts w:cstheme="majorHAnsi"/>
                <w:sz w:val="18"/>
                <w:szCs w:val="18"/>
              </w:rPr>
              <w:t>Malmö</w:t>
            </w:r>
          </w:p>
        </w:tc>
        <w:tc>
          <w:tcPr>
            <w:tcW w:w="1812" w:type="dxa"/>
          </w:tcPr>
          <w:p w14:paraId="612BC813" w14:textId="4D3F0CF1" w:rsidR="00B81799" w:rsidRPr="00176980" w:rsidRDefault="00B81799" w:rsidP="00B81799">
            <w:pPr>
              <w:jc w:val="center"/>
              <w:rPr>
                <w:rFonts w:cstheme="majorHAnsi"/>
                <w:sz w:val="18"/>
                <w:szCs w:val="18"/>
              </w:rPr>
            </w:pPr>
            <w:r w:rsidRPr="00176980">
              <w:rPr>
                <w:rFonts w:cstheme="majorHAnsi"/>
                <w:sz w:val="18"/>
                <w:szCs w:val="18"/>
              </w:rPr>
              <w:t>NA</w:t>
            </w:r>
          </w:p>
        </w:tc>
        <w:tc>
          <w:tcPr>
            <w:tcW w:w="1812" w:type="dxa"/>
          </w:tcPr>
          <w:p w14:paraId="67A76215" w14:textId="68C63FA9" w:rsidR="00B81799" w:rsidRPr="00176980" w:rsidRDefault="00B81799" w:rsidP="00B81799">
            <w:pPr>
              <w:jc w:val="center"/>
              <w:rPr>
                <w:rFonts w:cstheme="majorHAnsi"/>
                <w:sz w:val="18"/>
                <w:szCs w:val="18"/>
              </w:rPr>
            </w:pPr>
            <w:r w:rsidRPr="00176980">
              <w:rPr>
                <w:rFonts w:cstheme="majorHAnsi"/>
                <w:sz w:val="18"/>
                <w:szCs w:val="18"/>
              </w:rPr>
              <w:t>NA</w:t>
            </w:r>
          </w:p>
        </w:tc>
        <w:tc>
          <w:tcPr>
            <w:tcW w:w="1812" w:type="dxa"/>
          </w:tcPr>
          <w:p w14:paraId="0C7537FF" w14:textId="490A2061" w:rsidR="00B81799" w:rsidRPr="00176980" w:rsidRDefault="00B81799" w:rsidP="00B81799">
            <w:pPr>
              <w:pStyle w:val="BodyText"/>
              <w:spacing w:before="0" w:after="0" w:line="240" w:lineRule="auto"/>
              <w:jc w:val="left"/>
              <w:rPr>
                <w:rFonts w:eastAsia="Shaker2Lancet-Regular" w:cstheme="majorHAnsi"/>
                <w:sz w:val="18"/>
                <w:szCs w:val="18"/>
              </w:rPr>
            </w:pPr>
            <w:r w:rsidRPr="00176980">
              <w:rPr>
                <w:rFonts w:cstheme="majorHAnsi"/>
                <w:bCs/>
                <w:sz w:val="18"/>
                <w:szCs w:val="18"/>
              </w:rPr>
              <w:t>98·1% (97·9, 98·3)</w:t>
            </w:r>
            <w:r w:rsidRPr="00176980">
              <w:rPr>
                <w:rFonts w:eastAsia="Shaker2Lancet-Regular" w:cstheme="majorHAnsi"/>
                <w:sz w:val="18"/>
                <w:szCs w:val="18"/>
              </w:rPr>
              <w:t xml:space="preserve"> </w:t>
            </w:r>
          </w:p>
          <w:p w14:paraId="1B6AB006" w14:textId="07F1EC3C" w:rsidR="00B81799" w:rsidRPr="00176980" w:rsidRDefault="00B81799" w:rsidP="00B81799">
            <w:pPr>
              <w:rPr>
                <w:rFonts w:cstheme="majorHAnsi"/>
                <w:sz w:val="18"/>
                <w:szCs w:val="18"/>
              </w:rPr>
            </w:pPr>
          </w:p>
        </w:tc>
        <w:tc>
          <w:tcPr>
            <w:tcW w:w="1813" w:type="dxa"/>
          </w:tcPr>
          <w:p w14:paraId="66EF9B56" w14:textId="61C61794" w:rsidR="00B81799" w:rsidRPr="00176980" w:rsidRDefault="00B81799" w:rsidP="00B81799">
            <w:pPr>
              <w:pStyle w:val="BodyText"/>
              <w:spacing w:before="0" w:after="0" w:line="240" w:lineRule="auto"/>
              <w:jc w:val="left"/>
              <w:rPr>
                <w:rFonts w:cstheme="majorHAnsi"/>
                <w:sz w:val="18"/>
                <w:szCs w:val="18"/>
              </w:rPr>
            </w:pPr>
            <w:r w:rsidRPr="00176980">
              <w:rPr>
                <w:rFonts w:cstheme="majorHAnsi"/>
                <w:bCs/>
                <w:sz w:val="18"/>
                <w:szCs w:val="18"/>
              </w:rPr>
              <w:t>97·2% (97·0, 97·5)</w:t>
            </w:r>
          </w:p>
        </w:tc>
      </w:tr>
      <w:tr w:rsidR="00B81799" w:rsidRPr="00176980" w14:paraId="797EA9ED" w14:textId="77777777" w:rsidTr="00630B87">
        <w:tc>
          <w:tcPr>
            <w:tcW w:w="9061" w:type="dxa"/>
            <w:gridSpan w:val="5"/>
          </w:tcPr>
          <w:p w14:paraId="4A3F4D20" w14:textId="1922D352" w:rsidR="00B81799" w:rsidRPr="00176980" w:rsidRDefault="00B81799" w:rsidP="00B81799">
            <w:pPr>
              <w:rPr>
                <w:rFonts w:cstheme="majorHAnsi"/>
                <w:b/>
                <w:bCs/>
                <w:sz w:val="18"/>
                <w:szCs w:val="18"/>
              </w:rPr>
            </w:pPr>
            <w:r w:rsidRPr="00176980">
              <w:rPr>
                <w:rFonts w:cstheme="majorHAnsi"/>
                <w:b/>
                <w:bCs/>
                <w:sz w:val="18"/>
                <w:szCs w:val="18"/>
              </w:rPr>
              <w:t>Retrospective analysis</w:t>
            </w:r>
          </w:p>
        </w:tc>
      </w:tr>
      <w:tr w:rsidR="00B81799" w:rsidRPr="00176980" w14:paraId="4BB42616" w14:textId="77777777" w:rsidTr="00630B87">
        <w:tc>
          <w:tcPr>
            <w:tcW w:w="1812" w:type="dxa"/>
          </w:tcPr>
          <w:p w14:paraId="52250E1F" w14:textId="77777777" w:rsidR="00B81799" w:rsidRPr="00176980" w:rsidRDefault="00B81799" w:rsidP="00B81799">
            <w:pPr>
              <w:rPr>
                <w:rFonts w:cstheme="majorHAnsi"/>
                <w:sz w:val="18"/>
                <w:szCs w:val="18"/>
              </w:rPr>
            </w:pPr>
            <w:r w:rsidRPr="00176980">
              <w:rPr>
                <w:rFonts w:cstheme="majorHAnsi"/>
                <w:sz w:val="18"/>
                <w:szCs w:val="18"/>
              </w:rPr>
              <w:t>Bahl et al. (2019)</w:t>
            </w:r>
          </w:p>
        </w:tc>
        <w:tc>
          <w:tcPr>
            <w:tcW w:w="1812" w:type="dxa"/>
          </w:tcPr>
          <w:p w14:paraId="729B9699" w14:textId="77777777" w:rsidR="00B81799" w:rsidRPr="00176980" w:rsidRDefault="00B81799" w:rsidP="00B81799">
            <w:pPr>
              <w:jc w:val="center"/>
              <w:rPr>
                <w:rFonts w:cstheme="majorHAnsi"/>
                <w:sz w:val="18"/>
                <w:szCs w:val="18"/>
              </w:rPr>
            </w:pPr>
            <w:r w:rsidRPr="00176980">
              <w:rPr>
                <w:rFonts w:cstheme="majorHAnsi"/>
                <w:sz w:val="18"/>
                <w:szCs w:val="18"/>
              </w:rPr>
              <w:t>NA</w:t>
            </w:r>
          </w:p>
        </w:tc>
        <w:tc>
          <w:tcPr>
            <w:tcW w:w="1812" w:type="dxa"/>
          </w:tcPr>
          <w:p w14:paraId="55ED5588" w14:textId="77777777" w:rsidR="00B81799" w:rsidRPr="00176980" w:rsidRDefault="00B81799" w:rsidP="00B81799">
            <w:pPr>
              <w:rPr>
                <w:rFonts w:cstheme="majorHAnsi"/>
                <w:sz w:val="18"/>
                <w:szCs w:val="18"/>
              </w:rPr>
            </w:pPr>
            <w:r w:rsidRPr="00176980">
              <w:rPr>
                <w:rFonts w:cstheme="majorHAnsi"/>
                <w:sz w:val="18"/>
                <w:szCs w:val="18"/>
              </w:rPr>
              <w:t>95.1% (94.9, 95.3)</w:t>
            </w:r>
          </w:p>
        </w:tc>
        <w:tc>
          <w:tcPr>
            <w:tcW w:w="1812" w:type="dxa"/>
          </w:tcPr>
          <w:p w14:paraId="0CF71641" w14:textId="77777777" w:rsidR="00B81799" w:rsidRPr="00176980" w:rsidRDefault="00B81799" w:rsidP="00B81799">
            <w:pPr>
              <w:rPr>
                <w:rFonts w:cstheme="majorHAnsi"/>
                <w:sz w:val="18"/>
                <w:szCs w:val="18"/>
              </w:rPr>
            </w:pPr>
            <w:r w:rsidRPr="00176980">
              <w:rPr>
                <w:rFonts w:cstheme="majorHAnsi"/>
                <w:sz w:val="18"/>
                <w:szCs w:val="18"/>
              </w:rPr>
              <w:t>94.8% (94.6, 95.1)</w:t>
            </w:r>
          </w:p>
        </w:tc>
        <w:tc>
          <w:tcPr>
            <w:tcW w:w="1813" w:type="dxa"/>
          </w:tcPr>
          <w:p w14:paraId="7E1D78E7" w14:textId="77777777" w:rsidR="00B81799" w:rsidRPr="00176980" w:rsidRDefault="00B81799" w:rsidP="00B81799">
            <w:pPr>
              <w:jc w:val="center"/>
              <w:rPr>
                <w:rFonts w:cstheme="majorHAnsi"/>
                <w:sz w:val="18"/>
                <w:szCs w:val="18"/>
              </w:rPr>
            </w:pPr>
            <w:r w:rsidRPr="00176980">
              <w:rPr>
                <w:rFonts w:cstheme="majorHAnsi"/>
                <w:sz w:val="18"/>
                <w:szCs w:val="18"/>
              </w:rPr>
              <w:t>NA</w:t>
            </w:r>
          </w:p>
        </w:tc>
      </w:tr>
      <w:tr w:rsidR="00B81799" w:rsidRPr="00176980" w14:paraId="56BABEAC" w14:textId="77777777" w:rsidTr="00630B87">
        <w:tc>
          <w:tcPr>
            <w:tcW w:w="1812" w:type="dxa"/>
          </w:tcPr>
          <w:p w14:paraId="4DBC08AF" w14:textId="77777777" w:rsidR="00B81799" w:rsidRPr="00176980" w:rsidRDefault="00B81799" w:rsidP="00B81799">
            <w:pPr>
              <w:rPr>
                <w:rFonts w:cstheme="majorHAnsi"/>
                <w:sz w:val="18"/>
                <w:szCs w:val="18"/>
              </w:rPr>
            </w:pPr>
            <w:r w:rsidRPr="00176980">
              <w:rPr>
                <w:rFonts w:cstheme="majorHAnsi"/>
                <w:sz w:val="18"/>
                <w:szCs w:val="18"/>
              </w:rPr>
              <w:t>Conant et al. (2019)</w:t>
            </w:r>
          </w:p>
          <w:p w14:paraId="06347A93" w14:textId="06A4FF51" w:rsidR="00B81799" w:rsidRPr="00176980" w:rsidRDefault="00B81799" w:rsidP="00B81799">
            <w:pPr>
              <w:rPr>
                <w:rFonts w:cstheme="majorHAnsi"/>
                <w:sz w:val="18"/>
                <w:szCs w:val="18"/>
              </w:rPr>
            </w:pPr>
            <w:r w:rsidRPr="00176980">
              <w:rPr>
                <w:rFonts w:cstheme="majorHAnsi"/>
                <w:sz w:val="18"/>
                <w:szCs w:val="18"/>
              </w:rPr>
              <w:t>PROSPR</w:t>
            </w:r>
          </w:p>
        </w:tc>
        <w:tc>
          <w:tcPr>
            <w:tcW w:w="1812" w:type="dxa"/>
          </w:tcPr>
          <w:p w14:paraId="264F059D" w14:textId="6D917006" w:rsidR="00B81799" w:rsidRPr="00176980" w:rsidRDefault="00B81799" w:rsidP="00B81799">
            <w:pPr>
              <w:jc w:val="center"/>
              <w:rPr>
                <w:rFonts w:cstheme="majorHAnsi"/>
                <w:sz w:val="18"/>
                <w:szCs w:val="18"/>
              </w:rPr>
            </w:pPr>
            <w:r w:rsidRPr="00176980">
              <w:rPr>
                <w:rFonts w:cstheme="majorHAnsi"/>
                <w:sz w:val="18"/>
                <w:szCs w:val="18"/>
              </w:rPr>
              <w:t>NA</w:t>
            </w:r>
          </w:p>
        </w:tc>
        <w:tc>
          <w:tcPr>
            <w:tcW w:w="1812" w:type="dxa"/>
          </w:tcPr>
          <w:p w14:paraId="5A7DAA7E" w14:textId="75CE4F38" w:rsidR="00B81799" w:rsidRPr="00176980" w:rsidRDefault="00B81799" w:rsidP="00B81799">
            <w:pPr>
              <w:pStyle w:val="BodyText"/>
              <w:spacing w:before="0" w:after="0" w:line="240" w:lineRule="auto"/>
              <w:jc w:val="left"/>
              <w:rPr>
                <w:rFonts w:cstheme="majorHAnsi"/>
                <w:bCs/>
                <w:sz w:val="18"/>
                <w:szCs w:val="18"/>
              </w:rPr>
            </w:pPr>
            <w:r w:rsidRPr="00176980">
              <w:rPr>
                <w:rFonts w:cstheme="majorHAnsi"/>
                <w:i/>
                <w:iCs/>
                <w:sz w:val="18"/>
                <w:szCs w:val="18"/>
              </w:rPr>
              <w:t>All</w:t>
            </w:r>
            <w:r w:rsidRPr="00176980">
              <w:rPr>
                <w:rFonts w:cstheme="majorHAnsi"/>
                <w:sz w:val="18"/>
                <w:szCs w:val="18"/>
              </w:rPr>
              <w:t xml:space="preserve">: </w:t>
            </w:r>
            <w:r w:rsidRPr="00176980">
              <w:rPr>
                <w:rFonts w:cstheme="majorHAnsi"/>
                <w:bCs/>
                <w:sz w:val="18"/>
                <w:szCs w:val="18"/>
              </w:rPr>
              <w:t>91.3%</w:t>
            </w:r>
          </w:p>
          <w:p w14:paraId="7CEB719E" w14:textId="32901240" w:rsidR="00B81799" w:rsidRPr="00176980" w:rsidRDefault="00B81799" w:rsidP="00B81799">
            <w:pPr>
              <w:pStyle w:val="BodyText"/>
              <w:spacing w:before="0" w:after="0" w:line="240" w:lineRule="auto"/>
              <w:jc w:val="left"/>
              <w:rPr>
                <w:rFonts w:cstheme="majorHAnsi"/>
                <w:bCs/>
                <w:sz w:val="18"/>
                <w:szCs w:val="18"/>
              </w:rPr>
            </w:pPr>
            <w:r w:rsidRPr="00176980">
              <w:rPr>
                <w:rFonts w:cstheme="majorHAnsi"/>
                <w:sz w:val="18"/>
                <w:szCs w:val="18"/>
              </w:rPr>
              <w:t>40-49y</w:t>
            </w:r>
            <w:r w:rsidR="00BC52D9">
              <w:rPr>
                <w:rFonts w:cstheme="majorHAnsi"/>
                <w:sz w:val="18"/>
                <w:szCs w:val="18"/>
              </w:rPr>
              <w:t>: n</w:t>
            </w:r>
            <w:r w:rsidRPr="00176980">
              <w:rPr>
                <w:rFonts w:cstheme="majorHAnsi"/>
                <w:sz w:val="18"/>
                <w:szCs w:val="18"/>
              </w:rPr>
              <w:t xml:space="preserve">on-dense </w:t>
            </w:r>
            <w:r w:rsidRPr="00176980">
              <w:rPr>
                <w:rFonts w:cstheme="majorHAnsi"/>
                <w:bCs/>
                <w:sz w:val="18"/>
                <w:szCs w:val="18"/>
              </w:rPr>
              <w:t>89.6%</w:t>
            </w:r>
            <w:r w:rsidR="00BC52D9">
              <w:rPr>
                <w:rFonts w:cstheme="majorHAnsi"/>
                <w:bCs/>
                <w:sz w:val="18"/>
                <w:szCs w:val="18"/>
              </w:rPr>
              <w:t>; d</w:t>
            </w:r>
            <w:r w:rsidRPr="00176980">
              <w:rPr>
                <w:rFonts w:cstheme="majorHAnsi"/>
                <w:sz w:val="18"/>
                <w:szCs w:val="18"/>
              </w:rPr>
              <w:t xml:space="preserve">ense </w:t>
            </w:r>
            <w:r w:rsidRPr="00176980">
              <w:rPr>
                <w:rFonts w:cstheme="majorHAnsi"/>
                <w:bCs/>
                <w:sz w:val="18"/>
                <w:szCs w:val="18"/>
              </w:rPr>
              <w:t>86.0%</w:t>
            </w:r>
          </w:p>
          <w:p w14:paraId="5287AE34" w14:textId="684AB58F" w:rsidR="00B81799" w:rsidRPr="00176980" w:rsidRDefault="00B81799" w:rsidP="00B81799">
            <w:pPr>
              <w:pStyle w:val="BodyText"/>
              <w:spacing w:before="0" w:after="0" w:line="240" w:lineRule="auto"/>
              <w:jc w:val="left"/>
              <w:rPr>
                <w:rFonts w:cstheme="majorHAnsi"/>
                <w:bCs/>
                <w:sz w:val="18"/>
                <w:szCs w:val="18"/>
              </w:rPr>
            </w:pPr>
            <w:r w:rsidRPr="00176980">
              <w:rPr>
                <w:rFonts w:cstheme="majorHAnsi"/>
                <w:sz w:val="18"/>
                <w:szCs w:val="18"/>
              </w:rPr>
              <w:t>50-64y</w:t>
            </w:r>
            <w:r w:rsidR="00BC52D9">
              <w:rPr>
                <w:rFonts w:cstheme="majorHAnsi"/>
                <w:sz w:val="18"/>
                <w:szCs w:val="18"/>
              </w:rPr>
              <w:t>: n</w:t>
            </w:r>
            <w:r w:rsidRPr="00176980">
              <w:rPr>
                <w:rFonts w:cstheme="majorHAnsi"/>
                <w:sz w:val="18"/>
                <w:szCs w:val="18"/>
              </w:rPr>
              <w:t xml:space="preserve">on-dense </w:t>
            </w:r>
            <w:r w:rsidRPr="00176980">
              <w:rPr>
                <w:rFonts w:cstheme="majorHAnsi"/>
                <w:bCs/>
                <w:sz w:val="18"/>
                <w:szCs w:val="18"/>
              </w:rPr>
              <w:t>93.2%</w:t>
            </w:r>
            <w:r w:rsidR="00BC52D9">
              <w:rPr>
                <w:rFonts w:cstheme="majorHAnsi"/>
                <w:bCs/>
                <w:sz w:val="18"/>
                <w:szCs w:val="18"/>
              </w:rPr>
              <w:t>; d</w:t>
            </w:r>
            <w:r w:rsidRPr="00176980">
              <w:rPr>
                <w:rFonts w:cstheme="majorHAnsi"/>
                <w:sz w:val="18"/>
                <w:szCs w:val="18"/>
              </w:rPr>
              <w:t xml:space="preserve">ense </w:t>
            </w:r>
            <w:r w:rsidRPr="00176980">
              <w:rPr>
                <w:rFonts w:cstheme="majorHAnsi"/>
                <w:bCs/>
                <w:sz w:val="18"/>
                <w:szCs w:val="18"/>
              </w:rPr>
              <w:t>94.4%</w:t>
            </w:r>
          </w:p>
          <w:p w14:paraId="409711F4" w14:textId="481ABB85" w:rsidR="00B81799" w:rsidRPr="00176980" w:rsidRDefault="00B81799" w:rsidP="00BC52D9">
            <w:pPr>
              <w:pStyle w:val="BodyText"/>
              <w:spacing w:before="0" w:after="0" w:line="240" w:lineRule="auto"/>
              <w:jc w:val="left"/>
              <w:rPr>
                <w:rFonts w:cstheme="majorHAnsi"/>
                <w:sz w:val="18"/>
                <w:szCs w:val="18"/>
              </w:rPr>
            </w:pPr>
            <w:r w:rsidRPr="00176980">
              <w:rPr>
                <w:rFonts w:cstheme="majorHAnsi"/>
                <w:sz w:val="18"/>
                <w:szCs w:val="18"/>
              </w:rPr>
              <w:t>65-74 y</w:t>
            </w:r>
            <w:r w:rsidR="00BC52D9">
              <w:rPr>
                <w:rFonts w:cstheme="majorHAnsi"/>
                <w:sz w:val="18"/>
                <w:szCs w:val="18"/>
              </w:rPr>
              <w:t>: n</w:t>
            </w:r>
            <w:r w:rsidRPr="00176980">
              <w:rPr>
                <w:rFonts w:cstheme="majorHAnsi"/>
                <w:sz w:val="18"/>
                <w:szCs w:val="18"/>
              </w:rPr>
              <w:t xml:space="preserve">on-dense </w:t>
            </w:r>
            <w:r w:rsidRPr="00176980">
              <w:rPr>
                <w:rFonts w:cstheme="majorHAnsi"/>
                <w:bCs/>
                <w:sz w:val="18"/>
                <w:szCs w:val="18"/>
              </w:rPr>
              <w:t>94.4%</w:t>
            </w:r>
            <w:r w:rsidR="00BC52D9">
              <w:rPr>
                <w:rFonts w:cstheme="majorHAnsi"/>
                <w:bCs/>
                <w:sz w:val="18"/>
                <w:szCs w:val="18"/>
              </w:rPr>
              <w:t>; d</w:t>
            </w:r>
            <w:r w:rsidRPr="00176980">
              <w:rPr>
                <w:rFonts w:cstheme="majorHAnsi"/>
                <w:sz w:val="18"/>
                <w:szCs w:val="18"/>
              </w:rPr>
              <w:t xml:space="preserve">ense </w:t>
            </w:r>
            <w:r w:rsidRPr="00176980">
              <w:rPr>
                <w:rFonts w:cstheme="majorHAnsi"/>
                <w:bCs/>
                <w:sz w:val="18"/>
                <w:szCs w:val="18"/>
              </w:rPr>
              <w:t>93.9%</w:t>
            </w:r>
          </w:p>
        </w:tc>
        <w:tc>
          <w:tcPr>
            <w:tcW w:w="1812" w:type="dxa"/>
          </w:tcPr>
          <w:p w14:paraId="157B3A36" w14:textId="77777777" w:rsidR="00B81799" w:rsidRPr="00176980" w:rsidRDefault="00B81799" w:rsidP="00B81799">
            <w:pPr>
              <w:pStyle w:val="BodyText"/>
              <w:spacing w:before="0" w:after="0" w:line="240" w:lineRule="auto"/>
              <w:jc w:val="left"/>
              <w:rPr>
                <w:rFonts w:cstheme="majorHAnsi"/>
                <w:bCs/>
                <w:sz w:val="18"/>
                <w:szCs w:val="18"/>
              </w:rPr>
            </w:pPr>
            <w:r w:rsidRPr="00176980">
              <w:rPr>
                <w:rFonts w:cstheme="majorHAnsi"/>
                <w:sz w:val="18"/>
                <w:szCs w:val="18"/>
              </w:rPr>
              <w:t xml:space="preserve">All </w:t>
            </w:r>
            <w:r w:rsidRPr="00176980">
              <w:rPr>
                <w:rFonts w:cstheme="majorHAnsi"/>
                <w:bCs/>
                <w:sz w:val="18"/>
                <w:szCs w:val="18"/>
              </w:rPr>
              <w:t>88.9%</w:t>
            </w:r>
          </w:p>
          <w:p w14:paraId="13D76571" w14:textId="11CDC98F" w:rsidR="00B81799" w:rsidRPr="00176980" w:rsidRDefault="00B81799" w:rsidP="00B81799">
            <w:pPr>
              <w:pStyle w:val="BodyText"/>
              <w:spacing w:before="0" w:after="0" w:line="240" w:lineRule="auto"/>
              <w:jc w:val="left"/>
              <w:rPr>
                <w:rFonts w:cstheme="majorHAnsi"/>
                <w:sz w:val="18"/>
                <w:szCs w:val="18"/>
              </w:rPr>
            </w:pPr>
            <w:r w:rsidRPr="00176980">
              <w:rPr>
                <w:rFonts w:cstheme="majorHAnsi"/>
                <w:sz w:val="18"/>
                <w:szCs w:val="18"/>
              </w:rPr>
              <w:t>40-49y</w:t>
            </w:r>
            <w:r w:rsidR="00BC52D9">
              <w:rPr>
                <w:rFonts w:cstheme="majorHAnsi"/>
                <w:sz w:val="18"/>
                <w:szCs w:val="18"/>
              </w:rPr>
              <w:t>: n</w:t>
            </w:r>
            <w:r w:rsidRPr="00176980">
              <w:rPr>
                <w:rFonts w:cstheme="majorHAnsi"/>
                <w:sz w:val="18"/>
                <w:szCs w:val="18"/>
              </w:rPr>
              <w:t xml:space="preserve">on-dense </w:t>
            </w:r>
            <w:r w:rsidRPr="00176980">
              <w:rPr>
                <w:rFonts w:cstheme="majorHAnsi"/>
                <w:bCs/>
                <w:sz w:val="18"/>
                <w:szCs w:val="18"/>
              </w:rPr>
              <w:t>84.9%</w:t>
            </w:r>
            <w:r w:rsidR="00BC52D9">
              <w:rPr>
                <w:rFonts w:cstheme="majorHAnsi"/>
                <w:bCs/>
                <w:sz w:val="18"/>
                <w:szCs w:val="18"/>
              </w:rPr>
              <w:t>; d</w:t>
            </w:r>
            <w:r w:rsidRPr="00176980">
              <w:rPr>
                <w:rFonts w:cstheme="majorHAnsi"/>
                <w:sz w:val="18"/>
                <w:szCs w:val="18"/>
              </w:rPr>
              <w:t xml:space="preserve">ense </w:t>
            </w:r>
            <w:r w:rsidRPr="00176980">
              <w:rPr>
                <w:rFonts w:cstheme="majorHAnsi"/>
                <w:bCs/>
                <w:sz w:val="18"/>
                <w:szCs w:val="18"/>
              </w:rPr>
              <w:t>82.3%</w:t>
            </w:r>
          </w:p>
          <w:p w14:paraId="09C68100" w14:textId="489062A2" w:rsidR="00B81799" w:rsidRPr="00176980" w:rsidRDefault="00B81799" w:rsidP="00B81799">
            <w:pPr>
              <w:pStyle w:val="BodyText"/>
              <w:spacing w:before="0" w:after="0" w:line="240" w:lineRule="auto"/>
              <w:jc w:val="left"/>
              <w:rPr>
                <w:rFonts w:cstheme="majorHAnsi"/>
                <w:sz w:val="18"/>
                <w:szCs w:val="18"/>
              </w:rPr>
            </w:pPr>
            <w:r w:rsidRPr="00176980">
              <w:rPr>
                <w:rFonts w:cstheme="majorHAnsi"/>
                <w:sz w:val="18"/>
                <w:szCs w:val="18"/>
              </w:rPr>
              <w:t>50-64y</w:t>
            </w:r>
            <w:r w:rsidR="00BC52D9">
              <w:rPr>
                <w:rFonts w:cstheme="majorHAnsi"/>
                <w:sz w:val="18"/>
                <w:szCs w:val="18"/>
              </w:rPr>
              <w:t>: n</w:t>
            </w:r>
            <w:r w:rsidRPr="00176980">
              <w:rPr>
                <w:rFonts w:cstheme="majorHAnsi"/>
                <w:sz w:val="18"/>
                <w:szCs w:val="18"/>
              </w:rPr>
              <w:t xml:space="preserve">on-dense </w:t>
            </w:r>
            <w:r w:rsidRPr="00176980">
              <w:rPr>
                <w:rFonts w:cstheme="majorHAnsi"/>
                <w:bCs/>
                <w:sz w:val="18"/>
                <w:szCs w:val="18"/>
              </w:rPr>
              <w:t>91.1%</w:t>
            </w:r>
            <w:r w:rsidR="00BC52D9">
              <w:rPr>
                <w:rFonts w:cstheme="majorHAnsi"/>
                <w:bCs/>
                <w:sz w:val="18"/>
                <w:szCs w:val="18"/>
              </w:rPr>
              <w:t>; d</w:t>
            </w:r>
            <w:r w:rsidRPr="00176980">
              <w:rPr>
                <w:rFonts w:cstheme="majorHAnsi"/>
                <w:sz w:val="18"/>
                <w:szCs w:val="18"/>
              </w:rPr>
              <w:t xml:space="preserve">ense </w:t>
            </w:r>
            <w:r w:rsidRPr="00176980">
              <w:rPr>
                <w:rFonts w:cstheme="majorHAnsi"/>
                <w:bCs/>
                <w:sz w:val="18"/>
                <w:szCs w:val="18"/>
              </w:rPr>
              <w:t>89.1%</w:t>
            </w:r>
          </w:p>
          <w:p w14:paraId="7E98A723" w14:textId="1FFE1C7F" w:rsidR="00B81799" w:rsidRPr="00176980" w:rsidRDefault="00B81799" w:rsidP="00BC52D9">
            <w:pPr>
              <w:pStyle w:val="BodyText"/>
              <w:spacing w:before="0" w:after="0" w:line="240" w:lineRule="auto"/>
              <w:jc w:val="left"/>
              <w:rPr>
                <w:rFonts w:cstheme="majorHAnsi"/>
                <w:sz w:val="18"/>
                <w:szCs w:val="18"/>
              </w:rPr>
            </w:pPr>
            <w:r w:rsidRPr="00176980">
              <w:rPr>
                <w:rFonts w:cstheme="majorHAnsi"/>
                <w:sz w:val="18"/>
                <w:szCs w:val="18"/>
              </w:rPr>
              <w:t>65-74y</w:t>
            </w:r>
            <w:r w:rsidR="00BC52D9">
              <w:rPr>
                <w:rFonts w:cstheme="majorHAnsi"/>
                <w:sz w:val="18"/>
                <w:szCs w:val="18"/>
              </w:rPr>
              <w:t>: n</w:t>
            </w:r>
            <w:r w:rsidRPr="00176980">
              <w:rPr>
                <w:rFonts w:cstheme="majorHAnsi"/>
                <w:sz w:val="18"/>
                <w:szCs w:val="18"/>
              </w:rPr>
              <w:t xml:space="preserve">on-dense </w:t>
            </w:r>
            <w:r w:rsidRPr="00176980">
              <w:rPr>
                <w:rFonts w:cstheme="majorHAnsi"/>
                <w:bCs/>
                <w:sz w:val="18"/>
                <w:szCs w:val="18"/>
              </w:rPr>
              <w:t>92.2%</w:t>
            </w:r>
            <w:r w:rsidR="00BC52D9">
              <w:rPr>
                <w:rFonts w:cstheme="majorHAnsi"/>
                <w:bCs/>
                <w:sz w:val="18"/>
                <w:szCs w:val="18"/>
              </w:rPr>
              <w:t>; d</w:t>
            </w:r>
            <w:r w:rsidRPr="00176980">
              <w:rPr>
                <w:rFonts w:cstheme="majorHAnsi"/>
                <w:sz w:val="18"/>
                <w:szCs w:val="18"/>
              </w:rPr>
              <w:t xml:space="preserve">ense </w:t>
            </w:r>
            <w:r w:rsidRPr="00176980">
              <w:rPr>
                <w:rFonts w:cstheme="majorHAnsi"/>
                <w:bCs/>
                <w:sz w:val="18"/>
                <w:szCs w:val="18"/>
              </w:rPr>
              <w:t>90.6%</w:t>
            </w:r>
          </w:p>
        </w:tc>
        <w:tc>
          <w:tcPr>
            <w:tcW w:w="1813" w:type="dxa"/>
          </w:tcPr>
          <w:p w14:paraId="4150E054" w14:textId="75A5FC6D" w:rsidR="00B81799" w:rsidRPr="00176980" w:rsidRDefault="00B81799" w:rsidP="00B81799">
            <w:pPr>
              <w:jc w:val="center"/>
              <w:rPr>
                <w:rFonts w:cstheme="majorHAnsi"/>
                <w:sz w:val="18"/>
                <w:szCs w:val="18"/>
              </w:rPr>
            </w:pPr>
            <w:r w:rsidRPr="00176980">
              <w:rPr>
                <w:rFonts w:cstheme="majorHAnsi"/>
                <w:sz w:val="18"/>
                <w:szCs w:val="18"/>
              </w:rPr>
              <w:t>NA</w:t>
            </w:r>
          </w:p>
        </w:tc>
      </w:tr>
      <w:tr w:rsidR="00B81799" w:rsidRPr="00176980" w14:paraId="61319E0C" w14:textId="77777777" w:rsidTr="00630B87">
        <w:tc>
          <w:tcPr>
            <w:tcW w:w="1812" w:type="dxa"/>
          </w:tcPr>
          <w:p w14:paraId="5D12CC28" w14:textId="77777777" w:rsidR="00B81799" w:rsidRPr="00176980" w:rsidRDefault="00B81799" w:rsidP="00B81799">
            <w:pPr>
              <w:pStyle w:val="BodyText"/>
              <w:spacing w:before="0" w:after="0" w:line="240" w:lineRule="auto"/>
              <w:jc w:val="left"/>
              <w:rPr>
                <w:rFonts w:cstheme="majorHAnsi"/>
                <w:bCs/>
                <w:sz w:val="18"/>
                <w:szCs w:val="18"/>
              </w:rPr>
            </w:pPr>
            <w:r w:rsidRPr="00176980">
              <w:rPr>
                <w:rFonts w:cstheme="majorHAnsi"/>
                <w:bCs/>
                <w:sz w:val="18"/>
                <w:szCs w:val="18"/>
              </w:rPr>
              <w:t>Hovda et al. (2019)</w:t>
            </w:r>
          </w:p>
          <w:p w14:paraId="2B26F1CD" w14:textId="352EF9C4" w:rsidR="00B81799" w:rsidRPr="00176980" w:rsidRDefault="00B81799" w:rsidP="00B81799">
            <w:pPr>
              <w:rPr>
                <w:rFonts w:cstheme="majorHAnsi"/>
                <w:sz w:val="18"/>
                <w:szCs w:val="18"/>
              </w:rPr>
            </w:pPr>
            <w:r w:rsidRPr="00176980">
              <w:rPr>
                <w:rFonts w:cstheme="majorHAnsi"/>
                <w:bCs/>
                <w:sz w:val="18"/>
                <w:szCs w:val="18"/>
              </w:rPr>
              <w:t>BSP Norway</w:t>
            </w:r>
          </w:p>
        </w:tc>
        <w:tc>
          <w:tcPr>
            <w:tcW w:w="3624" w:type="dxa"/>
            <w:gridSpan w:val="2"/>
          </w:tcPr>
          <w:p w14:paraId="61ABE226" w14:textId="5AB9D5A1" w:rsidR="00B81799" w:rsidRPr="00176980" w:rsidRDefault="00B81799" w:rsidP="00B81799">
            <w:pPr>
              <w:rPr>
                <w:rFonts w:cstheme="majorHAnsi"/>
                <w:sz w:val="18"/>
                <w:szCs w:val="18"/>
              </w:rPr>
            </w:pPr>
            <w:r w:rsidRPr="00176980">
              <w:rPr>
                <w:rFonts w:cstheme="majorHAnsi"/>
                <w:sz w:val="18"/>
                <w:szCs w:val="18"/>
              </w:rPr>
              <w:t>Group 2 (FFDM then FFDM+DBT or DBT+</w:t>
            </w:r>
            <w:r w:rsidR="00176980" w:rsidRPr="00176980">
              <w:rPr>
                <w:rFonts w:cstheme="majorHAnsi"/>
                <w:sz w:val="18"/>
                <w:szCs w:val="18"/>
              </w:rPr>
              <w:t>s2DM</w:t>
            </w:r>
            <w:r w:rsidRPr="00176980">
              <w:rPr>
                <w:rFonts w:cstheme="majorHAnsi"/>
                <w:sz w:val="18"/>
                <w:szCs w:val="18"/>
              </w:rPr>
              <w:t>): 98.0%</w:t>
            </w:r>
          </w:p>
        </w:tc>
        <w:tc>
          <w:tcPr>
            <w:tcW w:w="1812" w:type="dxa"/>
          </w:tcPr>
          <w:p w14:paraId="1A0FB6FE" w14:textId="05771CDA" w:rsidR="00B81799" w:rsidRPr="00176980" w:rsidRDefault="00B81799" w:rsidP="00B81799">
            <w:pPr>
              <w:rPr>
                <w:rFonts w:cstheme="majorHAnsi"/>
                <w:sz w:val="18"/>
                <w:szCs w:val="18"/>
              </w:rPr>
            </w:pPr>
            <w:r w:rsidRPr="00176980">
              <w:rPr>
                <w:rFonts w:cstheme="majorHAnsi"/>
                <w:sz w:val="18"/>
                <w:szCs w:val="18"/>
              </w:rPr>
              <w:t>96.9%</w:t>
            </w:r>
          </w:p>
        </w:tc>
        <w:tc>
          <w:tcPr>
            <w:tcW w:w="1813" w:type="dxa"/>
          </w:tcPr>
          <w:p w14:paraId="67EBEEB6" w14:textId="540BE290" w:rsidR="00B81799" w:rsidRPr="00176980" w:rsidRDefault="00B81799" w:rsidP="00B81799">
            <w:pPr>
              <w:jc w:val="center"/>
              <w:rPr>
                <w:rFonts w:cstheme="majorHAnsi"/>
                <w:sz w:val="18"/>
                <w:szCs w:val="18"/>
              </w:rPr>
            </w:pPr>
            <w:r w:rsidRPr="00176980">
              <w:rPr>
                <w:rFonts w:cstheme="majorHAnsi"/>
                <w:sz w:val="18"/>
                <w:szCs w:val="18"/>
              </w:rPr>
              <w:t>NA</w:t>
            </w:r>
          </w:p>
        </w:tc>
      </w:tr>
    </w:tbl>
    <w:p w14:paraId="3BC58E04" w14:textId="61502A24" w:rsidR="00EF13F6" w:rsidRDefault="00580D93" w:rsidP="00EF13F6">
      <w:pPr>
        <w:pStyle w:val="NumberedHeading3"/>
      </w:pPr>
      <w:bookmarkStart w:id="395" w:name="_Toc43376342"/>
      <w:r>
        <w:lastRenderedPageBreak/>
        <w:t>Positive predictive value</w:t>
      </w:r>
      <w:bookmarkEnd w:id="395"/>
    </w:p>
    <w:p w14:paraId="37FDAD62" w14:textId="7F925338" w:rsidR="00272789" w:rsidRPr="00EF13F6" w:rsidRDefault="00272789" w:rsidP="00272789">
      <w:pPr>
        <w:pStyle w:val="BodyText"/>
      </w:pPr>
      <w:r w:rsidRPr="00A45BFC">
        <w:t>P</w:t>
      </w:r>
      <w:r w:rsidR="00702940">
        <w:t xml:space="preserve">ositive </w:t>
      </w:r>
      <w:r w:rsidR="00580D93">
        <w:t>p</w:t>
      </w:r>
      <w:r w:rsidR="00702940">
        <w:t xml:space="preserve">redictive </w:t>
      </w:r>
      <w:r w:rsidR="00580D93">
        <w:t>va</w:t>
      </w:r>
      <w:r w:rsidR="00702940">
        <w:t>lue (P</w:t>
      </w:r>
      <w:r w:rsidRPr="00A45BFC">
        <w:t>PV</w:t>
      </w:r>
      <w:r w:rsidR="00580D93">
        <w:t>)</w:t>
      </w:r>
      <w:r w:rsidRPr="00A45BFC">
        <w:t xml:space="preserve"> is the probability that asymptomatic women with a screening mammogram that detects something suspicious (i.e., a “positive” mammogram) are subsequently diagnosed with breast cancer. It is a measure of the overall accuracy of the screening test.</w:t>
      </w:r>
    </w:p>
    <w:p w14:paraId="19F15CC0" w14:textId="77777777" w:rsidR="00272789" w:rsidRDefault="00272789" w:rsidP="00272789">
      <w:pPr>
        <w:pStyle w:val="CV-Heading"/>
      </w:pPr>
      <w:r>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5B7FE48D" w14:textId="2E838EC7" w:rsidR="00272789" w:rsidRDefault="00272789" w:rsidP="00272789">
      <w:pPr>
        <w:jc w:val="both"/>
      </w:pPr>
      <w:r w:rsidRPr="00BE2E91">
        <w:t>Overall results on PPV</w:t>
      </w:r>
      <w:r w:rsidRPr="00BE2E91">
        <w:rPr>
          <w:vertAlign w:val="subscript"/>
        </w:rPr>
        <w:t>1</w:t>
      </w:r>
      <w:r w:rsidRPr="00BE2E91">
        <w:t xml:space="preserve"> indicated that</w:t>
      </w:r>
      <w:r>
        <w:t xml:space="preserve"> </w:t>
      </w:r>
      <w:r w:rsidRPr="00BE2E91">
        <w:t>FFDM+DBT accurately detected proportionally more women recalled from screening who had breast cancer compared to FFDM alone. DBT+</w:t>
      </w:r>
      <w:r w:rsidR="00176980">
        <w:t>s2DM</w:t>
      </w:r>
      <w:r w:rsidRPr="00BE2E91">
        <w:t xml:space="preserve"> also show</w:t>
      </w:r>
      <w:r>
        <w:t>ed</w:t>
      </w:r>
      <w:r w:rsidRPr="00BE2E91">
        <w:t xml:space="preserve"> promise of increased accuracy. </w:t>
      </w:r>
      <w:r>
        <w:t xml:space="preserve">Screening </w:t>
      </w:r>
      <w:r w:rsidRPr="00BE2E91">
        <w:t>based on DBT+</w:t>
      </w:r>
      <w:r w:rsidR="00176980">
        <w:t>s2DM</w:t>
      </w:r>
      <w:r w:rsidRPr="00BE2E91">
        <w:t xml:space="preserve"> </w:t>
      </w:r>
      <w:r>
        <w:t xml:space="preserve">may </w:t>
      </w:r>
      <w:r w:rsidRPr="00BE2E91">
        <w:t xml:space="preserve">correctly identify between one and three more women with diagnosable breast cancer for every 100 women recalled, compared with recalls based on FFDM+DBT screening. Results </w:t>
      </w:r>
      <w:r>
        <w:t xml:space="preserve">on the </w:t>
      </w:r>
      <w:r w:rsidRPr="00BE2E91">
        <w:t>PPV</w:t>
      </w:r>
      <w:r>
        <w:rPr>
          <w:vertAlign w:val="subscript"/>
        </w:rPr>
        <w:t xml:space="preserve"> </w:t>
      </w:r>
      <w:r>
        <w:t xml:space="preserve">for biopsy recommended and biopsy performed </w:t>
      </w:r>
      <w:r w:rsidRPr="00BE2E91">
        <w:t>indicate</w:t>
      </w:r>
      <w:r w:rsidR="0075618D">
        <w:t>d</w:t>
      </w:r>
      <w:r w:rsidRPr="00BE2E91">
        <w:t xml:space="preserve"> that FFDM+DBT was also more accurate th</w:t>
      </w:r>
      <w:r>
        <w:t>an</w:t>
      </w:r>
      <w:r w:rsidRPr="00BE2E91">
        <w:t xml:space="preserve"> FFDM alone when used as a basis for recommending or performing biopsies. PPV</w:t>
      </w:r>
      <w:r>
        <w:rPr>
          <w:vertAlign w:val="subscript"/>
        </w:rPr>
        <w:t>2 -3</w:t>
      </w:r>
      <w:r w:rsidRPr="00BE2E91">
        <w:t xml:space="preserve"> results for DBT+</w:t>
      </w:r>
      <w:r w:rsidR="00176980">
        <w:t>s2DM</w:t>
      </w:r>
      <w:r w:rsidRPr="00BE2E91">
        <w:t xml:space="preserve"> are also promising but present more varied effect size than results for FFDM+DBT.</w:t>
      </w:r>
    </w:p>
    <w:p w14:paraId="546FD4E8" w14:textId="79A34035" w:rsidR="00272789" w:rsidRDefault="00272789" w:rsidP="00272789">
      <w:pPr>
        <w:pStyle w:val="BodyText"/>
        <w:rPr>
          <w:b/>
          <w:bCs/>
        </w:rPr>
      </w:pPr>
      <w:r w:rsidRPr="00A235D7">
        <w:rPr>
          <w:b/>
          <w:bCs/>
        </w:rPr>
        <w:t>GRADE assessment</w:t>
      </w:r>
      <w:r>
        <w:rPr>
          <w:b/>
          <w:bCs/>
        </w:rPr>
        <w:t xml:space="preserve">: overall recall rate: </w:t>
      </w:r>
      <w:r w:rsidR="00176980">
        <w:rPr>
          <w:b/>
          <w:bCs/>
        </w:rPr>
        <w:t>FFDM+DBT</w:t>
      </w:r>
      <w:r>
        <w:rPr>
          <w:b/>
          <w:bCs/>
        </w:rPr>
        <w:t xml:space="preserve"> compared to FFDM alone</w:t>
      </w:r>
    </w:p>
    <w:tbl>
      <w:tblPr>
        <w:tblStyle w:val="ACGreen-BasicTable"/>
        <w:tblW w:w="9209" w:type="dxa"/>
        <w:tblLook w:val="04A0" w:firstRow="1" w:lastRow="0" w:firstColumn="1" w:lastColumn="0" w:noHBand="0" w:noVBand="1"/>
        <w:tblDescription w:val="GRADE assessment: overall recall rate: FFDM+DBT compared to FFDM alone.&#10;&#10;The participants studies included 1,347,022 participants and 13 studies.&#10;The quality of evidence was low.&#10;The overall results was no systematic review or pooled analysis was available. Data from one fully paired trial reported a small non-statistically significant increase in PPV. 12 studies reported increased PPV favouring FFDM+DBT compared to FFDM alone.&#10;"/>
      </w:tblPr>
      <w:tblGrid>
        <w:gridCol w:w="1701"/>
        <w:gridCol w:w="1134"/>
        <w:gridCol w:w="6374"/>
      </w:tblGrid>
      <w:tr w:rsidR="00272789" w14:paraId="169DCCDC" w14:textId="77777777" w:rsidTr="006859AE">
        <w:trPr>
          <w:cnfStyle w:val="100000000000" w:firstRow="1" w:lastRow="0" w:firstColumn="0" w:lastColumn="0" w:oddVBand="0" w:evenVBand="0" w:oddHBand="0" w:evenHBand="0" w:firstRowFirstColumn="0" w:firstRowLastColumn="0" w:lastRowFirstColumn="0" w:lastRowLastColumn="0"/>
        </w:trPr>
        <w:tc>
          <w:tcPr>
            <w:tcW w:w="1701" w:type="dxa"/>
          </w:tcPr>
          <w:p w14:paraId="6147A065" w14:textId="77777777" w:rsidR="00272789" w:rsidRPr="00BB08AB" w:rsidRDefault="00272789" w:rsidP="00285D7E">
            <w:pPr>
              <w:rPr>
                <w:rFonts w:cstheme="majorHAnsi"/>
                <w:b w:val="0"/>
                <w:sz w:val="18"/>
                <w:szCs w:val="18"/>
              </w:rPr>
            </w:pPr>
            <w:r w:rsidRPr="00BB08AB">
              <w:rPr>
                <w:rFonts w:cstheme="majorHAnsi"/>
                <w:sz w:val="18"/>
                <w:szCs w:val="18"/>
              </w:rPr>
              <w:t xml:space="preserve">Participants </w:t>
            </w:r>
          </w:p>
          <w:p w14:paraId="419136BB" w14:textId="2220F55E" w:rsidR="00272789" w:rsidRPr="00285D7E" w:rsidRDefault="00272789" w:rsidP="00285D7E">
            <w:pPr>
              <w:rPr>
                <w:rFonts w:cstheme="majorHAnsi"/>
                <w:b w:val="0"/>
                <w:sz w:val="18"/>
                <w:szCs w:val="18"/>
              </w:rPr>
            </w:pPr>
            <w:r w:rsidRPr="00BB08AB">
              <w:rPr>
                <w:rFonts w:cstheme="majorHAnsi"/>
                <w:sz w:val="18"/>
                <w:szCs w:val="18"/>
              </w:rPr>
              <w:t>Studies</w:t>
            </w:r>
          </w:p>
        </w:tc>
        <w:tc>
          <w:tcPr>
            <w:tcW w:w="1134" w:type="dxa"/>
          </w:tcPr>
          <w:p w14:paraId="7AED698A" w14:textId="77777777" w:rsidR="00272789" w:rsidRDefault="00272789" w:rsidP="00285D7E">
            <w:pPr>
              <w:pStyle w:val="BodyText"/>
              <w:spacing w:before="0" w:after="0"/>
              <w:jc w:val="left"/>
            </w:pPr>
            <w:r w:rsidRPr="00BB08AB">
              <w:rPr>
                <w:rFonts w:cstheme="majorHAnsi"/>
                <w:sz w:val="18"/>
                <w:szCs w:val="18"/>
              </w:rPr>
              <w:t xml:space="preserve">Quality of evidence </w:t>
            </w:r>
          </w:p>
        </w:tc>
        <w:tc>
          <w:tcPr>
            <w:tcW w:w="6374" w:type="dxa"/>
          </w:tcPr>
          <w:p w14:paraId="00F6C986" w14:textId="77777777" w:rsidR="00272789" w:rsidRDefault="00272789" w:rsidP="00285D7E">
            <w:pPr>
              <w:pStyle w:val="BodyText"/>
              <w:spacing w:before="0" w:after="0"/>
            </w:pPr>
            <w:r w:rsidRPr="00BB08AB">
              <w:rPr>
                <w:rFonts w:cstheme="majorHAnsi"/>
                <w:sz w:val="18"/>
                <w:szCs w:val="18"/>
              </w:rPr>
              <w:t xml:space="preserve">Overall results </w:t>
            </w:r>
          </w:p>
        </w:tc>
      </w:tr>
      <w:tr w:rsidR="00272789" w:rsidRPr="00BB08AB" w14:paraId="5C7BBBA5" w14:textId="77777777" w:rsidTr="006859AE">
        <w:tc>
          <w:tcPr>
            <w:tcW w:w="1701" w:type="dxa"/>
          </w:tcPr>
          <w:p w14:paraId="3EC8C9B9" w14:textId="77777777" w:rsidR="00272789" w:rsidRPr="00BB08AB" w:rsidRDefault="00272789" w:rsidP="006859AE">
            <w:pPr>
              <w:rPr>
                <w:rFonts w:cstheme="majorHAnsi"/>
                <w:sz w:val="18"/>
                <w:szCs w:val="18"/>
              </w:rPr>
            </w:pPr>
            <w:r w:rsidRPr="00BB08AB">
              <w:rPr>
                <w:rFonts w:cstheme="majorHAnsi"/>
                <w:sz w:val="18"/>
                <w:szCs w:val="18"/>
              </w:rPr>
              <w:t>1,347,022 participants</w:t>
            </w:r>
          </w:p>
          <w:p w14:paraId="37EF8D38" w14:textId="77777777" w:rsidR="00272789" w:rsidRPr="00BB08AB" w:rsidRDefault="00272789" w:rsidP="006859AE">
            <w:pPr>
              <w:rPr>
                <w:rFonts w:cstheme="majorHAnsi"/>
                <w:sz w:val="18"/>
                <w:szCs w:val="18"/>
              </w:rPr>
            </w:pPr>
            <w:r w:rsidRPr="00BB08AB">
              <w:rPr>
                <w:rFonts w:cstheme="majorHAnsi"/>
                <w:sz w:val="18"/>
                <w:szCs w:val="18"/>
              </w:rPr>
              <w:t>13 studies</w:t>
            </w:r>
          </w:p>
        </w:tc>
        <w:tc>
          <w:tcPr>
            <w:tcW w:w="1134" w:type="dxa"/>
          </w:tcPr>
          <w:p w14:paraId="7C0978C1" w14:textId="77777777" w:rsidR="00272789" w:rsidRPr="00BB08AB" w:rsidRDefault="00272789" w:rsidP="006859AE">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126A7509" w14:textId="77777777" w:rsidR="00272789" w:rsidRPr="00BB08AB" w:rsidRDefault="00272789" w:rsidP="006859AE">
            <w:pPr>
              <w:rPr>
                <w:rFonts w:cstheme="majorHAnsi"/>
                <w:sz w:val="18"/>
                <w:szCs w:val="18"/>
              </w:rPr>
            </w:pPr>
            <w:r>
              <w:rPr>
                <w:rFonts w:cstheme="majorHAnsi"/>
                <w:sz w:val="18"/>
                <w:szCs w:val="18"/>
              </w:rPr>
              <w:t>L</w:t>
            </w:r>
            <w:r w:rsidRPr="00BB08AB">
              <w:rPr>
                <w:rFonts w:cstheme="majorHAnsi"/>
                <w:sz w:val="18"/>
                <w:szCs w:val="18"/>
              </w:rPr>
              <w:t>ow</w:t>
            </w:r>
          </w:p>
        </w:tc>
        <w:tc>
          <w:tcPr>
            <w:tcW w:w="6374" w:type="dxa"/>
          </w:tcPr>
          <w:p w14:paraId="1918838F" w14:textId="533E0630" w:rsidR="00272789" w:rsidRPr="00BB08AB" w:rsidRDefault="00272789" w:rsidP="006859AE">
            <w:pPr>
              <w:jc w:val="both"/>
              <w:rPr>
                <w:rFonts w:cstheme="majorHAnsi"/>
                <w:sz w:val="18"/>
                <w:szCs w:val="18"/>
              </w:rPr>
            </w:pPr>
            <w:r w:rsidRPr="00BB08AB">
              <w:rPr>
                <w:rFonts w:cstheme="majorHAnsi"/>
                <w:sz w:val="18"/>
                <w:szCs w:val="18"/>
              </w:rPr>
              <w:t xml:space="preserve">No systematic review or pooled analysis was available. Data from one fully paired trial reported a small non-statistically significant increase in PPV. 12 studies reported increased PPV favouring </w:t>
            </w:r>
            <w:r w:rsidR="00176980">
              <w:rPr>
                <w:rFonts w:cstheme="majorHAnsi"/>
                <w:sz w:val="18"/>
                <w:szCs w:val="18"/>
              </w:rPr>
              <w:t>FFDM+DBT</w:t>
            </w:r>
            <w:r w:rsidRPr="00BB08AB">
              <w:rPr>
                <w:rFonts w:cstheme="majorHAnsi"/>
                <w:sz w:val="18"/>
                <w:szCs w:val="18"/>
              </w:rPr>
              <w:t xml:space="preserve"> compared to FFDM alone.</w:t>
            </w:r>
          </w:p>
        </w:tc>
      </w:tr>
    </w:tbl>
    <w:p w14:paraId="11DA99B6" w14:textId="64C534D5" w:rsidR="00272789" w:rsidRDefault="00272789" w:rsidP="00272789">
      <w:pPr>
        <w:pStyle w:val="BodyText"/>
        <w:rPr>
          <w:b/>
          <w:bCs/>
        </w:rPr>
      </w:pPr>
      <w:r w:rsidRPr="00A235D7">
        <w:rPr>
          <w:b/>
          <w:bCs/>
        </w:rPr>
        <w:t>GRADE assessment</w:t>
      </w:r>
      <w:r>
        <w:rPr>
          <w:b/>
          <w:bCs/>
        </w:rPr>
        <w:t>: overall recall rate: DBT +</w:t>
      </w:r>
      <w:r w:rsidR="00176980">
        <w:rPr>
          <w:b/>
          <w:bCs/>
        </w:rPr>
        <w:t>s2DM</w:t>
      </w:r>
      <w:r>
        <w:rPr>
          <w:b/>
          <w:bCs/>
        </w:rPr>
        <w:t xml:space="preserve"> compared to </w:t>
      </w:r>
      <w:r w:rsidR="00176980">
        <w:rPr>
          <w:b/>
          <w:bCs/>
        </w:rPr>
        <w:t>FFDM+DBT</w:t>
      </w:r>
      <w:r>
        <w:rPr>
          <w:b/>
          <w:bCs/>
        </w:rPr>
        <w:t xml:space="preserve"> or FFDM alone</w:t>
      </w:r>
    </w:p>
    <w:tbl>
      <w:tblPr>
        <w:tblStyle w:val="ACGreen-BasicTable"/>
        <w:tblW w:w="9209" w:type="dxa"/>
        <w:tblLook w:val="04A0" w:firstRow="1" w:lastRow="0" w:firstColumn="1" w:lastColumn="0" w:noHBand="0" w:noVBand="1"/>
        <w:tblDescription w:val="GRADE assessment: overall recall rate: DBT+s@DM comparted to FFDM+DBT or FFDM alone.&#10;&#10;The participants studies included 162,718 participants and 4 studies.&#10;The quality of evidence was low.&#10;The overall results was no systematic review or pooled analysis was available. Data from one fully paired trial reported a small non-statistically significant increase in PPV. 12 studies reported increased PPV favouring FFDM+DBT compared to FFDM alone.&#10;"/>
      </w:tblPr>
      <w:tblGrid>
        <w:gridCol w:w="1701"/>
        <w:gridCol w:w="1134"/>
        <w:gridCol w:w="6374"/>
      </w:tblGrid>
      <w:tr w:rsidR="00272789" w14:paraId="41AEE7D1" w14:textId="77777777" w:rsidTr="006859AE">
        <w:trPr>
          <w:cnfStyle w:val="100000000000" w:firstRow="1" w:lastRow="0" w:firstColumn="0" w:lastColumn="0" w:oddVBand="0" w:evenVBand="0" w:oddHBand="0" w:evenHBand="0" w:firstRowFirstColumn="0" w:firstRowLastColumn="0" w:lastRowFirstColumn="0" w:lastRowLastColumn="0"/>
        </w:trPr>
        <w:tc>
          <w:tcPr>
            <w:tcW w:w="1701" w:type="dxa"/>
          </w:tcPr>
          <w:p w14:paraId="0A479CC2" w14:textId="77777777" w:rsidR="00272789" w:rsidRPr="00BB08AB" w:rsidRDefault="00272789" w:rsidP="006859AE">
            <w:pPr>
              <w:rPr>
                <w:rFonts w:cstheme="majorHAnsi"/>
                <w:b w:val="0"/>
                <w:sz w:val="18"/>
                <w:szCs w:val="18"/>
              </w:rPr>
            </w:pPr>
            <w:r w:rsidRPr="00BB08AB">
              <w:rPr>
                <w:rFonts w:cstheme="majorHAnsi"/>
                <w:sz w:val="18"/>
                <w:szCs w:val="18"/>
              </w:rPr>
              <w:t xml:space="preserve">Participants </w:t>
            </w:r>
          </w:p>
          <w:p w14:paraId="01ADE78F" w14:textId="0F08814E" w:rsidR="00272789" w:rsidRPr="00285D7E" w:rsidRDefault="00272789" w:rsidP="006859AE">
            <w:pPr>
              <w:rPr>
                <w:rFonts w:cstheme="majorHAnsi"/>
                <w:b w:val="0"/>
                <w:sz w:val="18"/>
                <w:szCs w:val="18"/>
              </w:rPr>
            </w:pPr>
            <w:r w:rsidRPr="00BB08AB">
              <w:rPr>
                <w:rFonts w:cstheme="majorHAnsi"/>
                <w:sz w:val="18"/>
                <w:szCs w:val="18"/>
              </w:rPr>
              <w:t>Studies</w:t>
            </w:r>
          </w:p>
        </w:tc>
        <w:tc>
          <w:tcPr>
            <w:tcW w:w="1134" w:type="dxa"/>
          </w:tcPr>
          <w:p w14:paraId="0798FB0C" w14:textId="77777777" w:rsidR="00272789" w:rsidRPr="00BB08AB" w:rsidRDefault="00272789" w:rsidP="006859AE">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12E3A147" w14:textId="77777777" w:rsidR="00272789" w:rsidRPr="00BB08AB" w:rsidRDefault="00272789" w:rsidP="006859AE">
            <w:pPr>
              <w:pStyle w:val="BodyText"/>
              <w:rPr>
                <w:rFonts w:cstheme="majorHAnsi"/>
                <w:sz w:val="18"/>
                <w:szCs w:val="18"/>
              </w:rPr>
            </w:pPr>
            <w:r w:rsidRPr="00BB08AB">
              <w:rPr>
                <w:rFonts w:cstheme="majorHAnsi"/>
                <w:sz w:val="18"/>
                <w:szCs w:val="18"/>
              </w:rPr>
              <w:t xml:space="preserve">Overall results </w:t>
            </w:r>
          </w:p>
        </w:tc>
      </w:tr>
      <w:tr w:rsidR="00272789" w:rsidRPr="00BB08AB" w14:paraId="38BE3FB3" w14:textId="77777777" w:rsidTr="006859AE">
        <w:tc>
          <w:tcPr>
            <w:tcW w:w="1701" w:type="dxa"/>
          </w:tcPr>
          <w:p w14:paraId="6E000F02" w14:textId="77777777" w:rsidR="00272789" w:rsidRPr="00BB08AB" w:rsidRDefault="00272789" w:rsidP="006859AE">
            <w:pPr>
              <w:rPr>
                <w:rFonts w:cstheme="majorHAnsi"/>
                <w:sz w:val="18"/>
                <w:szCs w:val="18"/>
              </w:rPr>
            </w:pPr>
            <w:r w:rsidRPr="00BB08AB">
              <w:rPr>
                <w:rFonts w:cstheme="majorHAnsi"/>
                <w:sz w:val="18"/>
                <w:szCs w:val="18"/>
              </w:rPr>
              <w:t>162,718 participants</w:t>
            </w:r>
          </w:p>
          <w:p w14:paraId="134CAC3A" w14:textId="77777777" w:rsidR="00272789" w:rsidRPr="00BB08AB" w:rsidRDefault="00272789" w:rsidP="006859AE">
            <w:pPr>
              <w:rPr>
                <w:rFonts w:cstheme="majorHAnsi"/>
                <w:sz w:val="18"/>
                <w:szCs w:val="18"/>
              </w:rPr>
            </w:pPr>
            <w:r w:rsidRPr="00BB08AB">
              <w:rPr>
                <w:rFonts w:cstheme="majorHAnsi"/>
                <w:sz w:val="18"/>
                <w:szCs w:val="18"/>
              </w:rPr>
              <w:t>4 studies</w:t>
            </w:r>
          </w:p>
        </w:tc>
        <w:tc>
          <w:tcPr>
            <w:tcW w:w="1134" w:type="dxa"/>
          </w:tcPr>
          <w:p w14:paraId="7F77E124" w14:textId="77777777" w:rsidR="00272789" w:rsidRPr="00BB08AB" w:rsidRDefault="00272789" w:rsidP="006859AE">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35052B7F" w14:textId="77777777" w:rsidR="00272789" w:rsidRPr="00BB08AB" w:rsidRDefault="00272789" w:rsidP="006859AE">
            <w:pPr>
              <w:rPr>
                <w:rFonts w:cstheme="majorHAnsi"/>
                <w:sz w:val="18"/>
                <w:szCs w:val="18"/>
              </w:rPr>
            </w:pPr>
            <w:r w:rsidRPr="00BB08AB">
              <w:rPr>
                <w:rFonts w:cstheme="majorHAnsi"/>
                <w:sz w:val="18"/>
                <w:szCs w:val="18"/>
              </w:rPr>
              <w:t>Low</w:t>
            </w:r>
          </w:p>
        </w:tc>
        <w:tc>
          <w:tcPr>
            <w:tcW w:w="6374" w:type="dxa"/>
          </w:tcPr>
          <w:p w14:paraId="22628613" w14:textId="7FFFDC8C" w:rsidR="00272789" w:rsidRPr="00BB08AB" w:rsidRDefault="00272789" w:rsidP="006859AE">
            <w:pPr>
              <w:jc w:val="both"/>
              <w:rPr>
                <w:rFonts w:cstheme="majorHAnsi"/>
                <w:sz w:val="18"/>
                <w:szCs w:val="18"/>
              </w:rPr>
            </w:pPr>
            <w:r w:rsidRPr="00BB08AB">
              <w:rPr>
                <w:rFonts w:cstheme="majorHAnsi"/>
                <w:sz w:val="18"/>
                <w:szCs w:val="18"/>
              </w:rPr>
              <w:t xml:space="preserve">No systematic review or pooled analysis was available. Data from one fully paired trial reported a small non-statistically significant increase in PPV. 12 studies reported increased PPV favouring </w:t>
            </w:r>
            <w:r w:rsidR="00176980">
              <w:rPr>
                <w:rFonts w:cstheme="majorHAnsi"/>
                <w:sz w:val="18"/>
                <w:szCs w:val="18"/>
              </w:rPr>
              <w:t>FFDM+DBT</w:t>
            </w:r>
            <w:r w:rsidRPr="00BB08AB">
              <w:rPr>
                <w:rFonts w:cstheme="majorHAnsi"/>
                <w:sz w:val="18"/>
                <w:szCs w:val="18"/>
              </w:rPr>
              <w:t xml:space="preserve"> compared to FFDM alone.</w:t>
            </w:r>
          </w:p>
        </w:tc>
      </w:tr>
    </w:tbl>
    <w:p w14:paraId="759E83BA" w14:textId="77777777" w:rsidR="00272789" w:rsidRPr="00641388" w:rsidRDefault="00272789" w:rsidP="00272789">
      <w:pPr>
        <w:pStyle w:val="BodyText"/>
      </w:pPr>
      <w:r w:rsidRPr="00A235D7">
        <w:rPr>
          <w:b/>
          <w:bCs/>
        </w:rPr>
        <w:t>GRADE assessment</w:t>
      </w:r>
      <w:r>
        <w:rPr>
          <w:b/>
          <w:bCs/>
        </w:rPr>
        <w:t>: overall recall rate: DBT</w:t>
      </w:r>
      <w:r>
        <w:rPr>
          <w:b/>
          <w:bCs/>
          <w:vertAlign w:val="subscript"/>
        </w:rPr>
        <w:t>MLO</w:t>
      </w:r>
      <w:r>
        <w:rPr>
          <w:b/>
          <w:bCs/>
        </w:rPr>
        <w:t xml:space="preserve"> compared to other imaging</w:t>
      </w:r>
    </w:p>
    <w:tbl>
      <w:tblPr>
        <w:tblStyle w:val="ACGreen-BasicTable"/>
        <w:tblW w:w="9209" w:type="dxa"/>
        <w:tblLook w:val="04A0" w:firstRow="1" w:lastRow="0" w:firstColumn="1" w:lastColumn="0" w:noHBand="0" w:noVBand="1"/>
        <w:tblDescription w:val="GRADE assessment: overall recall rate: DBTMLO compared to other imaging.&#10;&#10;The participants studies had no participants.&#10;The quality of evidence was not reported.&#10;The overall results was no studies reported on PPV1-3."/>
      </w:tblPr>
      <w:tblGrid>
        <w:gridCol w:w="1701"/>
        <w:gridCol w:w="1134"/>
        <w:gridCol w:w="6374"/>
      </w:tblGrid>
      <w:tr w:rsidR="00272789" w14:paraId="4067DBE7" w14:textId="77777777" w:rsidTr="006859AE">
        <w:trPr>
          <w:cnfStyle w:val="100000000000" w:firstRow="1" w:lastRow="0" w:firstColumn="0" w:lastColumn="0" w:oddVBand="0" w:evenVBand="0" w:oddHBand="0" w:evenHBand="0" w:firstRowFirstColumn="0" w:firstRowLastColumn="0" w:lastRowFirstColumn="0" w:lastRowLastColumn="0"/>
        </w:trPr>
        <w:tc>
          <w:tcPr>
            <w:tcW w:w="1701" w:type="dxa"/>
          </w:tcPr>
          <w:p w14:paraId="5D305E45" w14:textId="77777777" w:rsidR="00272789" w:rsidRPr="00BB08AB" w:rsidRDefault="00272789" w:rsidP="006859AE">
            <w:pPr>
              <w:rPr>
                <w:rFonts w:cstheme="majorHAnsi"/>
                <w:b w:val="0"/>
                <w:sz w:val="18"/>
                <w:szCs w:val="18"/>
              </w:rPr>
            </w:pPr>
            <w:r w:rsidRPr="00BB08AB">
              <w:rPr>
                <w:rFonts w:cstheme="majorHAnsi"/>
                <w:sz w:val="18"/>
                <w:szCs w:val="18"/>
              </w:rPr>
              <w:t xml:space="preserve">Participants </w:t>
            </w:r>
          </w:p>
          <w:p w14:paraId="685ABA16" w14:textId="5AB8875A" w:rsidR="00272789" w:rsidRPr="00285D7E" w:rsidRDefault="00272789" w:rsidP="006859AE">
            <w:pPr>
              <w:rPr>
                <w:rFonts w:cstheme="majorHAnsi"/>
                <w:b w:val="0"/>
                <w:sz w:val="18"/>
                <w:szCs w:val="18"/>
              </w:rPr>
            </w:pPr>
            <w:r w:rsidRPr="00BB08AB">
              <w:rPr>
                <w:rFonts w:cstheme="majorHAnsi"/>
                <w:sz w:val="18"/>
                <w:szCs w:val="18"/>
              </w:rPr>
              <w:t>Studies</w:t>
            </w:r>
          </w:p>
        </w:tc>
        <w:tc>
          <w:tcPr>
            <w:tcW w:w="1134" w:type="dxa"/>
          </w:tcPr>
          <w:p w14:paraId="7BA1CB29" w14:textId="77777777" w:rsidR="00272789" w:rsidRPr="00BB08AB" w:rsidRDefault="00272789" w:rsidP="006859AE">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08FBD6B0" w14:textId="77777777" w:rsidR="00272789" w:rsidRPr="00BB08AB" w:rsidRDefault="00272789" w:rsidP="006859AE">
            <w:pPr>
              <w:pStyle w:val="BodyText"/>
              <w:rPr>
                <w:rFonts w:cstheme="majorHAnsi"/>
                <w:sz w:val="18"/>
                <w:szCs w:val="18"/>
              </w:rPr>
            </w:pPr>
            <w:r w:rsidRPr="00BB08AB">
              <w:rPr>
                <w:rFonts w:cstheme="majorHAnsi"/>
                <w:sz w:val="18"/>
                <w:szCs w:val="18"/>
              </w:rPr>
              <w:t xml:space="preserve">Overall results </w:t>
            </w:r>
          </w:p>
        </w:tc>
      </w:tr>
      <w:tr w:rsidR="00272789" w:rsidRPr="00BB08AB" w14:paraId="6C9093C4" w14:textId="77777777" w:rsidTr="006859AE">
        <w:tc>
          <w:tcPr>
            <w:tcW w:w="1701" w:type="dxa"/>
          </w:tcPr>
          <w:p w14:paraId="6B6C0F12" w14:textId="77777777" w:rsidR="00272789" w:rsidRPr="00BB08AB" w:rsidRDefault="00272789" w:rsidP="006859AE">
            <w:pPr>
              <w:rPr>
                <w:rFonts w:cstheme="majorHAnsi"/>
                <w:sz w:val="18"/>
                <w:szCs w:val="18"/>
              </w:rPr>
            </w:pPr>
            <w:r>
              <w:rPr>
                <w:rFonts w:cstheme="majorHAnsi"/>
                <w:sz w:val="18"/>
                <w:szCs w:val="18"/>
              </w:rPr>
              <w:t>0</w:t>
            </w:r>
          </w:p>
        </w:tc>
        <w:tc>
          <w:tcPr>
            <w:tcW w:w="1134" w:type="dxa"/>
          </w:tcPr>
          <w:p w14:paraId="2B8B23CB" w14:textId="77777777" w:rsidR="00272789" w:rsidRPr="00BB08AB" w:rsidRDefault="00272789" w:rsidP="006859AE">
            <w:pPr>
              <w:rPr>
                <w:rFonts w:cstheme="majorHAnsi"/>
                <w:sz w:val="18"/>
                <w:szCs w:val="18"/>
              </w:rPr>
            </w:pPr>
            <w:r>
              <w:rPr>
                <w:rFonts w:cstheme="majorHAnsi"/>
                <w:sz w:val="18"/>
                <w:szCs w:val="18"/>
              </w:rPr>
              <w:t>Not reported</w:t>
            </w:r>
          </w:p>
        </w:tc>
        <w:tc>
          <w:tcPr>
            <w:tcW w:w="6374" w:type="dxa"/>
          </w:tcPr>
          <w:p w14:paraId="13E8FF23" w14:textId="77777777" w:rsidR="00272789" w:rsidRPr="00BB08AB" w:rsidRDefault="00272789" w:rsidP="006859AE">
            <w:pPr>
              <w:jc w:val="both"/>
              <w:rPr>
                <w:rFonts w:cstheme="majorHAnsi"/>
                <w:sz w:val="18"/>
                <w:szCs w:val="18"/>
              </w:rPr>
            </w:pPr>
            <w:r>
              <w:rPr>
                <w:rFonts w:cstheme="majorHAnsi"/>
                <w:sz w:val="18"/>
                <w:szCs w:val="18"/>
              </w:rPr>
              <w:t>No studies reported on PPV</w:t>
            </w:r>
            <w:r>
              <w:rPr>
                <w:rFonts w:cstheme="majorHAnsi"/>
                <w:sz w:val="18"/>
                <w:szCs w:val="18"/>
                <w:vertAlign w:val="subscript"/>
              </w:rPr>
              <w:t>1-3</w:t>
            </w:r>
            <w:r>
              <w:rPr>
                <w:rFonts w:cstheme="majorHAnsi"/>
                <w:sz w:val="18"/>
                <w:szCs w:val="18"/>
              </w:rPr>
              <w:t>.</w:t>
            </w:r>
          </w:p>
        </w:tc>
      </w:tr>
    </w:tbl>
    <w:p w14:paraId="0181ACEF" w14:textId="77777777" w:rsidR="00272789" w:rsidRPr="00867836" w:rsidRDefault="00272789" w:rsidP="00272789">
      <w:pPr>
        <w:pStyle w:val="CV-Heading"/>
      </w:pPr>
      <w:r>
        <w:t>Updated findings</w:t>
      </w:r>
    </w:p>
    <w:p w14:paraId="4832E87E" w14:textId="77777777" w:rsidR="00BC52D9" w:rsidRDefault="00272789" w:rsidP="00272789">
      <w:pPr>
        <w:pStyle w:val="BodyText"/>
      </w:pPr>
      <w:r>
        <w:t>Literature published since 31 December 2017 reported on PPV</w:t>
      </w:r>
      <w:r w:rsidRPr="009E7821">
        <w:rPr>
          <w:vertAlign w:val="subscript"/>
        </w:rPr>
        <w:t>1-3</w:t>
      </w:r>
      <w:r>
        <w:t>; however, there were some inconsistencies observed between the definitions for PPV</w:t>
      </w:r>
      <w:r w:rsidRPr="009E7821">
        <w:rPr>
          <w:vertAlign w:val="subscript"/>
        </w:rPr>
        <w:t>2</w:t>
      </w:r>
      <w:r>
        <w:t xml:space="preserve"> and PPV</w:t>
      </w:r>
      <w:r w:rsidRPr="009E7821">
        <w:rPr>
          <w:vertAlign w:val="subscript"/>
        </w:rPr>
        <w:t>3</w:t>
      </w:r>
      <w:r>
        <w:t xml:space="preserve">, with both being reported as the percentage </w:t>
      </w:r>
      <w:r w:rsidRPr="00E35CA9">
        <w:t xml:space="preserve">of breast </w:t>
      </w:r>
      <w:r w:rsidRPr="00EF75FD">
        <w:t xml:space="preserve">cancer detected from </w:t>
      </w:r>
      <w:r>
        <w:t xml:space="preserve">needle </w:t>
      </w:r>
      <w:r w:rsidRPr="00EF75FD">
        <w:t>biopsy after recall</w:t>
      </w:r>
      <w:r>
        <w:t xml:space="preserve">. </w:t>
      </w:r>
    </w:p>
    <w:p w14:paraId="0879B20A" w14:textId="77777777" w:rsidR="00BC52D9" w:rsidRDefault="00BC52D9">
      <w:r>
        <w:br w:type="page"/>
      </w:r>
    </w:p>
    <w:p w14:paraId="66D4017F" w14:textId="3FAFDA1D" w:rsidR="00272789" w:rsidRDefault="00272789" w:rsidP="00272789">
      <w:pPr>
        <w:pStyle w:val="BodyText"/>
      </w:pPr>
      <w:r>
        <w:lastRenderedPageBreak/>
        <w:t>For the purposes of this paper the following definitions will be used:</w:t>
      </w:r>
    </w:p>
    <w:p w14:paraId="6E4A5993" w14:textId="74AAEAF2" w:rsidR="00272789" w:rsidRDefault="00272789" w:rsidP="0075618D">
      <w:pPr>
        <w:pStyle w:val="List-BulletLvl1"/>
      </w:pPr>
      <w:r>
        <w:t>PPV</w:t>
      </w:r>
      <w:r w:rsidRPr="00593A56">
        <w:rPr>
          <w:vertAlign w:val="subscript"/>
        </w:rPr>
        <w:t>1</w:t>
      </w:r>
      <w:r w:rsidR="0075618D" w:rsidRPr="0075618D">
        <w:t>:</w:t>
      </w:r>
      <w:r w:rsidRPr="00593A56">
        <w:rPr>
          <w:vertAlign w:val="subscript"/>
        </w:rPr>
        <w:t xml:space="preserve"> </w:t>
      </w:r>
      <w:r w:rsidRPr="00E62C85">
        <w:t>the percentage of breast cancer cases detected among recalled women</w:t>
      </w:r>
    </w:p>
    <w:p w14:paraId="355B4C0C" w14:textId="262AE875" w:rsidR="00272789" w:rsidRDefault="00272789" w:rsidP="0075618D">
      <w:pPr>
        <w:pStyle w:val="List-BulletLvl1"/>
      </w:pPr>
      <w:r>
        <w:t>PPV</w:t>
      </w:r>
      <w:r w:rsidRPr="00E62C85">
        <w:rPr>
          <w:vertAlign w:val="subscript"/>
        </w:rPr>
        <w:t>2</w:t>
      </w:r>
      <w:r w:rsidR="0075618D" w:rsidRPr="0075618D">
        <w:t>:</w:t>
      </w:r>
      <w:r w:rsidR="0075618D" w:rsidRPr="00593A56">
        <w:rPr>
          <w:vertAlign w:val="subscript"/>
        </w:rPr>
        <w:t xml:space="preserve"> </w:t>
      </w:r>
      <w:r w:rsidRPr="00E62C85">
        <w:t>the percentage of recalled women recommended to have needle biopsy</w:t>
      </w:r>
    </w:p>
    <w:p w14:paraId="0A8134B7" w14:textId="32911BB2" w:rsidR="00272789" w:rsidRDefault="00272789" w:rsidP="0075618D">
      <w:pPr>
        <w:pStyle w:val="List-BulletLvl1"/>
      </w:pPr>
      <w:r>
        <w:t>PPV</w:t>
      </w:r>
      <w:r w:rsidRPr="00593A56">
        <w:rPr>
          <w:vertAlign w:val="subscript"/>
        </w:rPr>
        <w:t>3</w:t>
      </w:r>
      <w:r w:rsidR="0075618D" w:rsidRPr="0075618D">
        <w:t>:</w:t>
      </w:r>
      <w:r w:rsidR="0075618D" w:rsidRPr="00593A56">
        <w:rPr>
          <w:vertAlign w:val="subscript"/>
        </w:rPr>
        <w:t xml:space="preserve"> </w:t>
      </w:r>
      <w:r>
        <w:t xml:space="preserve">the percentage </w:t>
      </w:r>
      <w:r w:rsidRPr="00E35CA9">
        <w:t xml:space="preserve">of breast </w:t>
      </w:r>
      <w:r w:rsidRPr="00EF75FD">
        <w:t xml:space="preserve">cancer detected from </w:t>
      </w:r>
      <w:r>
        <w:t xml:space="preserve">needle </w:t>
      </w:r>
      <w:r w:rsidRPr="00EF75FD">
        <w:t>biopsy after recall</w:t>
      </w:r>
      <w:r>
        <w:t>.</w:t>
      </w:r>
    </w:p>
    <w:p w14:paraId="228125E8" w14:textId="32DD3B1B" w:rsidR="00272789" w:rsidRDefault="00272789" w:rsidP="00272789">
      <w:pPr>
        <w:pStyle w:val="BodyText"/>
      </w:pPr>
      <w:r>
        <w:t>If a study has reported PPV</w:t>
      </w:r>
      <w:r w:rsidRPr="009E7821">
        <w:rPr>
          <w:vertAlign w:val="subscript"/>
        </w:rPr>
        <w:t>2</w:t>
      </w:r>
      <w:r>
        <w:t xml:space="preserve"> as the </w:t>
      </w:r>
      <w:r w:rsidRPr="00272789">
        <w:t>percentage</w:t>
      </w:r>
      <w:r>
        <w:t xml:space="preserve"> </w:t>
      </w:r>
      <w:r w:rsidRPr="00E35CA9">
        <w:t xml:space="preserve">of breast </w:t>
      </w:r>
      <w:r w:rsidRPr="00EF75FD">
        <w:t>cancer detected from biopsy after recall,</w:t>
      </w:r>
      <w:r>
        <w:t xml:space="preserve"> we have reported this as PPV</w:t>
      </w:r>
      <w:r w:rsidRPr="009E7821">
        <w:rPr>
          <w:vertAlign w:val="subscript"/>
        </w:rPr>
        <w:t>3</w:t>
      </w:r>
      <w:r w:rsidRPr="00272789">
        <w:t>.</w:t>
      </w:r>
      <w:r w:rsidR="00DF1560">
        <w:t xml:space="preserve"> </w:t>
      </w:r>
      <w:r w:rsidR="0015655E" w:rsidRPr="00DF1560">
        <w:t xml:space="preserve">No systematic reviews assessing false positive recall rates have been completed. Included studies are listed below. Detailed methodologies for each of these studies is provided in </w:t>
      </w:r>
      <w:r w:rsidR="0015655E" w:rsidRPr="00DF1560">
        <w:rPr>
          <w:i/>
          <w:iCs/>
        </w:rPr>
        <w:t>section 3.1.1</w:t>
      </w:r>
      <w:r w:rsidR="0015655E" w:rsidRPr="00DF1560">
        <w:t>)</w:t>
      </w:r>
      <w:r w:rsidR="0015655E" w:rsidRPr="00DF1560">
        <w:rPr>
          <w:i/>
          <w:iCs/>
        </w:rPr>
        <w:t xml:space="preserve">. Table </w:t>
      </w:r>
      <w:r w:rsidR="00BC52D9">
        <w:rPr>
          <w:i/>
          <w:iCs/>
        </w:rPr>
        <w:t>19</w:t>
      </w:r>
      <w:r w:rsidR="0015655E" w:rsidRPr="00DF1560">
        <w:t xml:space="preserve"> includes a summary of all</w:t>
      </w:r>
      <w:r w:rsidR="0015655E" w:rsidRPr="00DF1560">
        <w:rPr>
          <w:i/>
          <w:iCs/>
        </w:rPr>
        <w:t xml:space="preserve"> </w:t>
      </w:r>
      <w:r w:rsidR="0015655E" w:rsidRPr="00DF1560">
        <w:t>study results.</w:t>
      </w:r>
    </w:p>
    <w:p w14:paraId="28CBFA1A" w14:textId="77777777" w:rsidR="00272789" w:rsidRDefault="00272789" w:rsidP="00272789">
      <w:pPr>
        <w:pStyle w:val="Heading3"/>
      </w:pPr>
      <w:r>
        <w:tab/>
      </w:r>
      <w:bookmarkStart w:id="396" w:name="_Toc27844545"/>
      <w:bookmarkStart w:id="397" w:name="_Toc27859675"/>
      <w:bookmarkStart w:id="398" w:name="_Toc27904792"/>
      <w:bookmarkStart w:id="399" w:name="_Toc43376343"/>
      <w:r>
        <w:t>Randomized controlled trials</w:t>
      </w:r>
      <w:bookmarkEnd w:id="396"/>
      <w:bookmarkEnd w:id="397"/>
      <w:bookmarkEnd w:id="398"/>
      <w:bookmarkEnd w:id="399"/>
    </w:p>
    <w:p w14:paraId="037F5C39" w14:textId="77777777" w:rsidR="00F23A05" w:rsidRDefault="00F23A05" w:rsidP="00272789">
      <w:pPr>
        <w:pStyle w:val="BodyText"/>
        <w:ind w:firstLine="720"/>
      </w:pPr>
      <w:r>
        <w:t>One</w:t>
      </w:r>
      <w:r w:rsidR="00272789">
        <w:t xml:space="preserve"> </w:t>
      </w:r>
      <w:r w:rsidR="00D540EC">
        <w:t>RCT</w:t>
      </w:r>
      <w:r>
        <w:t xml:space="preserve"> (one paper)</w:t>
      </w:r>
      <w:r w:rsidR="0015655E">
        <w:t>:</w:t>
      </w:r>
      <w:r w:rsidR="00272789">
        <w:t xml:space="preserve"> </w:t>
      </w:r>
      <w:r w:rsidR="00272789" w:rsidRPr="00E35CA9">
        <w:t>Hofvind et al</w:t>
      </w:r>
      <w:r w:rsidR="0015655E">
        <w:t xml:space="preserve">., </w:t>
      </w:r>
      <w:r w:rsidR="00272789" w:rsidRPr="00E35CA9">
        <w:t>2019</w:t>
      </w:r>
    </w:p>
    <w:p w14:paraId="344670EB" w14:textId="4801B6D8" w:rsidR="00272789" w:rsidRPr="00E35CA9" w:rsidRDefault="00F23A05" w:rsidP="00272789">
      <w:pPr>
        <w:pStyle w:val="BodyText"/>
        <w:ind w:firstLine="720"/>
      </w:pPr>
      <w:r>
        <w:t xml:space="preserve">One randomized study embedded in a population screening program: </w:t>
      </w:r>
      <w:r w:rsidR="00272789" w:rsidRPr="00E35CA9">
        <w:t>Pattacini et al.</w:t>
      </w:r>
      <w:r w:rsidR="0015655E">
        <w:t xml:space="preserve">, </w:t>
      </w:r>
      <w:r w:rsidR="00272789" w:rsidRPr="00E35CA9">
        <w:t>2018</w:t>
      </w:r>
    </w:p>
    <w:p w14:paraId="0D66A710" w14:textId="77777777" w:rsidR="00272789" w:rsidRDefault="00272789" w:rsidP="00272789">
      <w:pPr>
        <w:pStyle w:val="Heading3"/>
        <w:ind w:firstLine="720"/>
      </w:pPr>
      <w:bookmarkStart w:id="400" w:name="_Toc27844546"/>
      <w:bookmarkStart w:id="401" w:name="_Toc27859676"/>
      <w:bookmarkStart w:id="402" w:name="_Toc27904793"/>
      <w:bookmarkStart w:id="403" w:name="_Toc43376344"/>
      <w:r>
        <w:t>Prospective trials embedded in population screening programs</w:t>
      </w:r>
      <w:bookmarkEnd w:id="400"/>
      <w:bookmarkEnd w:id="401"/>
      <w:bookmarkEnd w:id="402"/>
      <w:bookmarkEnd w:id="403"/>
    </w:p>
    <w:p w14:paraId="3623D36D" w14:textId="33815CDC" w:rsidR="00272789" w:rsidRDefault="005866B2" w:rsidP="00272789">
      <w:pPr>
        <w:pStyle w:val="BodyText"/>
        <w:ind w:left="720"/>
      </w:pPr>
      <w:r>
        <w:t>Six studies (seven papers)</w:t>
      </w:r>
      <w:r w:rsidR="00272789">
        <w:t xml:space="preserve">: </w:t>
      </w:r>
      <w:r w:rsidR="00272789" w:rsidRPr="00E35CA9">
        <w:t>Bernardi et al., 2019</w:t>
      </w:r>
      <w:r w:rsidR="00C040D4">
        <w:t>;</w:t>
      </w:r>
      <w:r w:rsidR="00272789">
        <w:t xml:space="preserve"> </w:t>
      </w:r>
      <w:r w:rsidR="00C040D4">
        <w:t xml:space="preserve">Skaane et al., 2019; Bernardi et al., 2018; </w:t>
      </w:r>
      <w:r w:rsidR="00272789" w:rsidRPr="00E35CA9">
        <w:t>Caumo et al.</w:t>
      </w:r>
      <w:r w:rsidR="00C040D4">
        <w:t xml:space="preserve">, </w:t>
      </w:r>
      <w:r w:rsidR="00272789" w:rsidRPr="00E35CA9">
        <w:t>2018</w:t>
      </w:r>
      <w:r w:rsidR="00C040D4">
        <w:t>;</w:t>
      </w:r>
      <w:r w:rsidR="00272789">
        <w:t xml:space="preserve"> </w:t>
      </w:r>
      <w:r w:rsidR="00272789" w:rsidRPr="00E35CA9">
        <w:t>Hofvind et al</w:t>
      </w:r>
      <w:r w:rsidR="00C040D4">
        <w:t>.,</w:t>
      </w:r>
      <w:r w:rsidR="00272789" w:rsidRPr="00E35CA9">
        <w:t xml:space="preserve"> 2018</w:t>
      </w:r>
      <w:r w:rsidR="00C040D4">
        <w:t>;</w:t>
      </w:r>
      <w:r w:rsidR="00272789">
        <w:t xml:space="preserve"> </w:t>
      </w:r>
      <w:r w:rsidR="00272789" w:rsidRPr="00E35CA9">
        <w:t>Romero Martín et al.</w:t>
      </w:r>
      <w:r w:rsidR="00C040D4">
        <w:t xml:space="preserve">, </w:t>
      </w:r>
      <w:r w:rsidR="00272789" w:rsidRPr="00E35CA9">
        <w:t>2018</w:t>
      </w:r>
      <w:r w:rsidR="00C040D4">
        <w:t>;</w:t>
      </w:r>
      <w:r w:rsidR="00272789">
        <w:t xml:space="preserve"> Skaane et al</w:t>
      </w:r>
      <w:r w:rsidR="00C040D4">
        <w:t xml:space="preserve">., </w:t>
      </w:r>
      <w:r w:rsidR="00272789">
        <w:t xml:space="preserve">2018 </w:t>
      </w:r>
    </w:p>
    <w:p w14:paraId="1772C26F" w14:textId="77777777" w:rsidR="00272789" w:rsidRDefault="00272789" w:rsidP="00272789">
      <w:pPr>
        <w:pStyle w:val="Heading3"/>
        <w:ind w:firstLine="720"/>
      </w:pPr>
      <w:bookmarkStart w:id="404" w:name="_Toc27844547"/>
      <w:bookmarkStart w:id="405" w:name="_Toc27859677"/>
      <w:bookmarkStart w:id="406" w:name="_Toc27904794"/>
      <w:bookmarkStart w:id="407" w:name="_Toc43376345"/>
      <w:r>
        <w:t>Observational studies</w:t>
      </w:r>
      <w:bookmarkEnd w:id="404"/>
      <w:bookmarkEnd w:id="405"/>
      <w:bookmarkEnd w:id="406"/>
      <w:bookmarkEnd w:id="407"/>
    </w:p>
    <w:p w14:paraId="316F2A01" w14:textId="0C5AF5D0" w:rsidR="00272789" w:rsidRDefault="00AC0D5D" w:rsidP="00272789">
      <w:pPr>
        <w:pStyle w:val="BodyText"/>
        <w:ind w:left="720"/>
      </w:pPr>
      <w:r>
        <w:t>Four</w:t>
      </w:r>
      <w:r w:rsidR="00272789">
        <w:t xml:space="preserve"> studies with a retrospective design: </w:t>
      </w:r>
      <w:r w:rsidR="00C040D4">
        <w:t xml:space="preserve">Bahl et al., 2019; </w:t>
      </w:r>
      <w:r w:rsidR="00272789">
        <w:t>Conant et al.</w:t>
      </w:r>
      <w:r w:rsidR="00C040D4">
        <w:t>,</w:t>
      </w:r>
      <w:r w:rsidR="00272789">
        <w:t xml:space="preserve"> 2019</w:t>
      </w:r>
      <w:r w:rsidR="00C040D4">
        <w:t>;</w:t>
      </w:r>
      <w:r w:rsidR="00272789">
        <w:t xml:space="preserve"> </w:t>
      </w:r>
      <w:r w:rsidR="00C040D4" w:rsidRPr="00D55F52">
        <w:t>Hovda et al.</w:t>
      </w:r>
      <w:r w:rsidR="00C040D4">
        <w:t>,</w:t>
      </w:r>
      <w:r w:rsidR="00C040D4" w:rsidRPr="00D55F52">
        <w:t xml:space="preserve"> 2019</w:t>
      </w:r>
      <w:r w:rsidR="00C040D4">
        <w:t xml:space="preserve">; </w:t>
      </w:r>
      <w:r w:rsidR="00272789">
        <w:t xml:space="preserve">Rose </w:t>
      </w:r>
      <w:r w:rsidR="00C040D4">
        <w:t xml:space="preserve">&amp; </w:t>
      </w:r>
      <w:r w:rsidR="00272789">
        <w:t>Shisler</w:t>
      </w:r>
      <w:r w:rsidR="00C040D4">
        <w:t xml:space="preserve">, </w:t>
      </w:r>
      <w:r w:rsidR="00272789">
        <w:t xml:space="preserve">2018 </w:t>
      </w:r>
    </w:p>
    <w:p w14:paraId="110F9706" w14:textId="77777777" w:rsidR="00EC6F2F"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A235D7">
        <w:rPr>
          <w:b/>
          <w:bCs/>
        </w:rPr>
        <w:t>Summary of key findings published between 1 January 2018 and 31 December 2019</w:t>
      </w:r>
    </w:p>
    <w:p w14:paraId="1894EC08" w14:textId="1E2174CF" w:rsidR="00EC6F2F"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D540EC">
        <w:t xml:space="preserve">There </w:t>
      </w:r>
      <w:r>
        <w:t>is strong, consistent evidence that use of DBT increases PPV</w:t>
      </w:r>
      <w:r>
        <w:rPr>
          <w:vertAlign w:val="subscript"/>
        </w:rPr>
        <w:t>1</w:t>
      </w:r>
      <w:r>
        <w:t xml:space="preserve"> (i.e., DBT is a more accurate test compared to FFM alone. Usually, studies reported that PPV</w:t>
      </w:r>
      <w:r>
        <w:rPr>
          <w:vertAlign w:val="subscript"/>
        </w:rPr>
        <w:t>1</w:t>
      </w:r>
      <w:r>
        <w:t xml:space="preserve"> approximately doubled but RCT evidence suggested a slightly lower increase (about 30 percent). PPV</w:t>
      </w:r>
      <w:r>
        <w:rPr>
          <w:vertAlign w:val="subscript"/>
        </w:rPr>
        <w:t>3</w:t>
      </w:r>
      <w:r>
        <w:t xml:space="preserve"> also increased significantly with the use of DBT.</w:t>
      </w:r>
    </w:p>
    <w:p w14:paraId="3548FEFA" w14:textId="274B5BE8" w:rsidR="00022015" w:rsidRPr="000C0773" w:rsidRDefault="00022015" w:rsidP="00022015">
      <w:pPr>
        <w:pStyle w:val="Heading3-NOTinTOC"/>
      </w:pPr>
      <w:r>
        <w:t>DBT</w:t>
      </w:r>
      <w:r w:rsidR="00176980">
        <w:t>+s2DM</w:t>
      </w:r>
      <w:r>
        <w:t xml:space="preserve"> compared to </w:t>
      </w:r>
      <w:r w:rsidR="00176980">
        <w:t>FFDM+DBT</w:t>
      </w:r>
      <w:r>
        <w:t xml:space="preserve"> and/or FFDM alone</w:t>
      </w:r>
    </w:p>
    <w:p w14:paraId="4C6A91CA" w14:textId="2DC48CE8" w:rsidR="00022015" w:rsidRPr="00022015" w:rsidRDefault="0019576D" w:rsidP="00022015">
      <w:pPr>
        <w:pStyle w:val="BodyText-GREEN"/>
        <w:rPr>
          <w:b/>
          <w:bCs/>
        </w:rPr>
      </w:pPr>
      <w:r>
        <w:rPr>
          <w:b/>
          <w:bCs/>
        </w:rPr>
        <w:t>RCT</w:t>
      </w:r>
    </w:p>
    <w:p w14:paraId="17901EA0" w14:textId="6BB2EC62" w:rsidR="00022015" w:rsidRDefault="00022015" w:rsidP="00022015">
      <w:pPr>
        <w:pStyle w:val="BodyText"/>
      </w:pPr>
      <w:r w:rsidRPr="00022015">
        <w:t>The To-Be RCT conducted by Hofvind at al. (2019) reported on PPV</w:t>
      </w:r>
      <w:r w:rsidRPr="00022015">
        <w:rPr>
          <w:vertAlign w:val="subscript"/>
        </w:rPr>
        <w:t>1</w:t>
      </w:r>
      <w:r w:rsidRPr="00022015">
        <w:t xml:space="preserve"> noting significantly higher PPV</w:t>
      </w:r>
      <w:r w:rsidRPr="00022015">
        <w:rPr>
          <w:vertAlign w:val="subscript"/>
        </w:rPr>
        <w:t xml:space="preserve">1 </w:t>
      </w:r>
      <w:r w:rsidRPr="00022015">
        <w:t>among those screened with DBT+</w:t>
      </w:r>
      <w:r w:rsidR="00176980">
        <w:t>s2DM</w:t>
      </w:r>
      <w:r>
        <w:t xml:space="preserve"> compared to those screened with FFDM alone:</w:t>
      </w:r>
    </w:p>
    <w:p w14:paraId="0AA5A253" w14:textId="49BDE8AC" w:rsidR="00022015" w:rsidRDefault="00022015" w:rsidP="00022015">
      <w:pPr>
        <w:pStyle w:val="List-BulletLvl1"/>
      </w:pPr>
      <w:r>
        <w:t>DBT+</w:t>
      </w:r>
      <w:r w:rsidR="00176980">
        <w:t>s2DM</w:t>
      </w:r>
      <w:r>
        <w:t>: PPV</w:t>
      </w:r>
      <w:r>
        <w:rPr>
          <w:vertAlign w:val="subscript"/>
        </w:rPr>
        <w:t xml:space="preserve">1 </w:t>
      </w:r>
      <w:r w:rsidRPr="00022015">
        <w:t>was 21.4</w:t>
      </w:r>
      <w:r>
        <w:t xml:space="preserve"> percent </w:t>
      </w:r>
      <w:r w:rsidRPr="00022015">
        <w:t>(</w:t>
      </w:r>
      <w:r>
        <w:t xml:space="preserve">95%CI: </w:t>
      </w:r>
      <w:r w:rsidRPr="00022015">
        <w:t>17·6</w:t>
      </w:r>
      <w:r w:rsidR="00D540EC">
        <w:t xml:space="preserve">, </w:t>
      </w:r>
      <w:r w:rsidRPr="00022015">
        <w:t xml:space="preserve">25·2) </w:t>
      </w:r>
    </w:p>
    <w:p w14:paraId="2F67CB79" w14:textId="740F3C16" w:rsidR="00022015" w:rsidRDefault="00022015" w:rsidP="00022015">
      <w:pPr>
        <w:pStyle w:val="List-BulletLvl1"/>
      </w:pPr>
      <w:r>
        <w:t xml:space="preserve">FFDM </w:t>
      </w:r>
      <w:r w:rsidRPr="00022015">
        <w:t>alone</w:t>
      </w:r>
      <w:r>
        <w:t>:</w:t>
      </w:r>
      <w:r w:rsidRPr="00022015">
        <w:t xml:space="preserve"> </w:t>
      </w:r>
      <w:r>
        <w:t>PPV</w:t>
      </w:r>
      <w:r>
        <w:rPr>
          <w:vertAlign w:val="subscript"/>
        </w:rPr>
        <w:t xml:space="preserve">1 </w:t>
      </w:r>
      <w:r>
        <w:t xml:space="preserve">was </w:t>
      </w:r>
      <w:r w:rsidRPr="00022015">
        <w:t>15·2</w:t>
      </w:r>
      <w:r>
        <w:t xml:space="preserve"> percent </w:t>
      </w:r>
      <w:r w:rsidRPr="00022015">
        <w:t>(</w:t>
      </w:r>
      <w:r>
        <w:t xml:space="preserve">95%CI: </w:t>
      </w:r>
      <w:r w:rsidRPr="00022015">
        <w:t>12·3</w:t>
      </w:r>
      <w:r w:rsidR="00D540EC">
        <w:t xml:space="preserve">, </w:t>
      </w:r>
      <w:r w:rsidRPr="00022015">
        <w:t xml:space="preserve">18·2; </w:t>
      </w:r>
      <w:r w:rsidRPr="00022015">
        <w:rPr>
          <w:i/>
          <w:iCs/>
        </w:rPr>
        <w:t>p</w:t>
      </w:r>
      <w:r w:rsidRPr="00022015">
        <w:t>=</w:t>
      </w:r>
      <w:r w:rsidR="00D540EC">
        <w:t>.</w:t>
      </w:r>
      <w:r w:rsidRPr="00022015">
        <w:t xml:space="preserve">011). </w:t>
      </w:r>
    </w:p>
    <w:p w14:paraId="59CDD066" w14:textId="6652E92D" w:rsidR="003A2F70" w:rsidRPr="00022015" w:rsidRDefault="003A2F70" w:rsidP="003A2F70">
      <w:pPr>
        <w:pStyle w:val="BodyText"/>
      </w:pPr>
      <w:r>
        <w:t>PPV</w:t>
      </w:r>
      <w:r>
        <w:rPr>
          <w:vertAlign w:val="subscript"/>
        </w:rPr>
        <w:t>3</w:t>
      </w:r>
      <w:r>
        <w:t xml:space="preserve"> for </w:t>
      </w:r>
      <w:r w:rsidRPr="003A2F70">
        <w:t>DBT+</w:t>
      </w:r>
      <w:r w:rsidR="00176980">
        <w:t>s2DM</w:t>
      </w:r>
      <w:r w:rsidRPr="003A2F70">
        <w:t xml:space="preserve"> </w:t>
      </w:r>
      <w:r>
        <w:t xml:space="preserve">was </w:t>
      </w:r>
      <w:r w:rsidRPr="003A2F70">
        <w:t>37·7</w:t>
      </w:r>
      <w:r>
        <w:t xml:space="preserve"> percent </w:t>
      </w:r>
      <w:r w:rsidRPr="003A2F70">
        <w:t>compared to 32·1</w:t>
      </w:r>
      <w:r>
        <w:t xml:space="preserve"> percent </w:t>
      </w:r>
      <w:r w:rsidRPr="003A2F70">
        <w:t>for FFDM, which was higher but not significantly higher (</w:t>
      </w:r>
      <w:r w:rsidRPr="003A2F70">
        <w:rPr>
          <w:i/>
          <w:iCs/>
        </w:rPr>
        <w:t>p</w:t>
      </w:r>
      <w:r>
        <w:t>=</w:t>
      </w:r>
      <w:r w:rsidR="00D540EC">
        <w:t>.</w:t>
      </w:r>
      <w:r w:rsidRPr="003A2F70">
        <w:t xml:space="preserve">18). </w:t>
      </w:r>
    </w:p>
    <w:p w14:paraId="2825EFC8" w14:textId="77777777" w:rsidR="00BC52D9" w:rsidRDefault="00BC52D9">
      <w:pPr>
        <w:rPr>
          <w:b/>
          <w:bCs/>
          <w:color w:val="77B800" w:themeColor="background2"/>
        </w:rPr>
      </w:pPr>
      <w:r>
        <w:rPr>
          <w:b/>
          <w:bCs/>
        </w:rPr>
        <w:br w:type="page"/>
      </w:r>
    </w:p>
    <w:p w14:paraId="3BF5B9AC" w14:textId="3BF459CD" w:rsidR="00022015" w:rsidRPr="00022015" w:rsidRDefault="00022015" w:rsidP="00022015">
      <w:pPr>
        <w:pStyle w:val="BodyText-GREEN"/>
        <w:rPr>
          <w:b/>
          <w:bCs/>
        </w:rPr>
      </w:pPr>
      <w:r w:rsidRPr="00022015">
        <w:rPr>
          <w:b/>
          <w:bCs/>
        </w:rPr>
        <w:lastRenderedPageBreak/>
        <w:t>Prospective trials embedded in population screening programs</w:t>
      </w:r>
    </w:p>
    <w:p w14:paraId="576CD388" w14:textId="680BE735" w:rsidR="00C51A9C" w:rsidRPr="00C51A9C" w:rsidRDefault="00C51A9C" w:rsidP="00D02FD6">
      <w:pPr>
        <w:pStyle w:val="BodyText"/>
        <w:rPr>
          <w:vertAlign w:val="subscript"/>
        </w:rPr>
      </w:pPr>
      <w:r>
        <w:t>All studies reported an increase in PPV</w:t>
      </w:r>
      <w:r>
        <w:rPr>
          <w:vertAlign w:val="subscript"/>
        </w:rPr>
        <w:t xml:space="preserve">1 </w:t>
      </w:r>
      <w:r w:rsidRPr="00C51A9C">
        <w:t>with t</w:t>
      </w:r>
      <w:r>
        <w:t>he use of DBT</w:t>
      </w:r>
      <w:r w:rsidR="003A2F70">
        <w:t>, with PPV</w:t>
      </w:r>
      <w:r w:rsidR="003A2F70">
        <w:rPr>
          <w:vertAlign w:val="subscript"/>
        </w:rPr>
        <w:t xml:space="preserve">1 </w:t>
      </w:r>
      <w:r w:rsidR="003A2F70">
        <w:t>usually doubling</w:t>
      </w:r>
      <w:r>
        <w:t>.</w:t>
      </w:r>
    </w:p>
    <w:p w14:paraId="5754345B" w14:textId="72B36DBF" w:rsidR="00D02FD6" w:rsidRDefault="00022015" w:rsidP="00D02FD6">
      <w:pPr>
        <w:pStyle w:val="BodyText"/>
      </w:pPr>
      <w:r w:rsidRPr="00D02FD6">
        <w:t>The Trento</w:t>
      </w:r>
      <w:r w:rsidR="00D02FD6">
        <w:t xml:space="preserve"> and </w:t>
      </w:r>
      <w:r w:rsidRPr="00D02FD6">
        <w:t xml:space="preserve">Verona </w:t>
      </w:r>
      <w:r w:rsidR="00D02FD6">
        <w:t xml:space="preserve">evaluation pilots reported a </w:t>
      </w:r>
      <w:r w:rsidRPr="00D02FD6">
        <w:t>near doubling of PPV</w:t>
      </w:r>
      <w:r w:rsidRPr="00D02FD6">
        <w:rPr>
          <w:vertAlign w:val="subscript"/>
        </w:rPr>
        <w:t>1</w:t>
      </w:r>
      <w:r w:rsidRPr="00D02FD6">
        <w:t xml:space="preserve"> rates </w:t>
      </w:r>
      <w:r w:rsidR="00D02FD6">
        <w:t xml:space="preserve">when </w:t>
      </w:r>
      <w:r w:rsidRPr="00D02FD6">
        <w:t>DBT+</w:t>
      </w:r>
      <w:r w:rsidR="00176980">
        <w:t>s2DM</w:t>
      </w:r>
      <w:r w:rsidRPr="00D02FD6">
        <w:t xml:space="preserve"> </w:t>
      </w:r>
      <w:r w:rsidR="00D02FD6">
        <w:t xml:space="preserve">was used </w:t>
      </w:r>
      <w:r w:rsidRPr="00D02FD6">
        <w:t>compared to FFDM. The Trento prospective study reported a difference of PPV</w:t>
      </w:r>
      <w:r w:rsidRPr="00D02FD6">
        <w:rPr>
          <w:vertAlign w:val="subscript"/>
        </w:rPr>
        <w:t>1</w:t>
      </w:r>
      <w:r w:rsidRPr="00D02FD6">
        <w:t xml:space="preserve"> for DBT+</w:t>
      </w:r>
      <w:r w:rsidR="00176980">
        <w:t>s2DM</w:t>
      </w:r>
      <w:r w:rsidRPr="00D02FD6">
        <w:t xml:space="preserve"> at 34.07</w:t>
      </w:r>
      <w:r w:rsidR="00D02FD6">
        <w:t xml:space="preserve"> percent</w:t>
      </w:r>
      <w:r w:rsidRPr="00D02FD6">
        <w:t xml:space="preserve"> compared with 17.07</w:t>
      </w:r>
      <w:r w:rsidR="00D02FD6">
        <w:t xml:space="preserve"> percent</w:t>
      </w:r>
      <w:r w:rsidRPr="00D02FD6">
        <w:t xml:space="preserve"> for FFDM</w:t>
      </w:r>
      <w:r w:rsidR="00D02FD6">
        <w:t xml:space="preserve"> (</w:t>
      </w:r>
      <w:r w:rsidR="00D02FD6" w:rsidRPr="00D02FD6">
        <w:t>Bernardi et al.</w:t>
      </w:r>
      <w:r w:rsidR="00D02FD6">
        <w:t xml:space="preserve">, </w:t>
      </w:r>
      <w:r w:rsidR="00D02FD6" w:rsidRPr="00D02FD6">
        <w:t>2019)</w:t>
      </w:r>
      <w:r w:rsidRPr="00D02FD6">
        <w:t>. The Verona prospective study</w:t>
      </w:r>
      <w:r w:rsidR="00D02FD6">
        <w:t xml:space="preserve"> </w:t>
      </w:r>
      <w:r w:rsidRPr="00D02FD6">
        <w:t>reported PPV</w:t>
      </w:r>
      <w:r w:rsidRPr="00D02FD6">
        <w:rPr>
          <w:vertAlign w:val="subscript"/>
        </w:rPr>
        <w:t>1</w:t>
      </w:r>
      <w:r w:rsidRPr="00D02FD6">
        <w:t xml:space="preserve"> for DBT+</w:t>
      </w:r>
      <w:r w:rsidR="00176980">
        <w:t>s2DM</w:t>
      </w:r>
      <w:r w:rsidRPr="00D02FD6">
        <w:t xml:space="preserve"> at 23.3</w:t>
      </w:r>
      <w:r w:rsidR="00D02FD6">
        <w:t xml:space="preserve"> percent </w:t>
      </w:r>
      <w:r w:rsidRPr="00D02FD6">
        <w:t>compared with 12.9</w:t>
      </w:r>
      <w:r w:rsidR="00D02FD6">
        <w:t xml:space="preserve"> percent </w:t>
      </w:r>
      <w:r w:rsidRPr="00D02FD6">
        <w:t>for FFDM (RR</w:t>
      </w:r>
      <w:r w:rsidR="00285D7E">
        <w:t>=</w:t>
      </w:r>
      <w:r w:rsidRPr="00D02FD6">
        <w:t>1.81; 95%CI: 1.34, 2.47)</w:t>
      </w:r>
      <w:r w:rsidR="00D02FD6">
        <w:t xml:space="preserve"> (</w:t>
      </w:r>
      <w:r w:rsidR="00D02FD6" w:rsidRPr="00D02FD6">
        <w:t>Caumo et al</w:t>
      </w:r>
      <w:r w:rsidR="00D02FD6">
        <w:t xml:space="preserve">., </w:t>
      </w:r>
      <w:r w:rsidR="00D02FD6" w:rsidRPr="00D02FD6">
        <w:t>2018)</w:t>
      </w:r>
      <w:r w:rsidRPr="00D02FD6">
        <w:t xml:space="preserve">. </w:t>
      </w:r>
      <w:r w:rsidR="006E02AA">
        <w:t>Increases in PPV were also observed between prevalent and incident screening rounds in the Verona pilot evaluation.</w:t>
      </w:r>
    </w:p>
    <w:p w14:paraId="5CE0D7B8" w14:textId="1B264E52" w:rsidR="00022015" w:rsidRPr="00D02FD6" w:rsidRDefault="00022015" w:rsidP="00D02FD6">
      <w:pPr>
        <w:pStyle w:val="BodyText"/>
      </w:pPr>
      <w:r w:rsidRPr="00D02FD6">
        <w:t>Hofvind et al</w:t>
      </w:r>
      <w:r w:rsidR="00D02FD6">
        <w:t>.</w:t>
      </w:r>
      <w:r w:rsidRPr="00D02FD6">
        <w:t xml:space="preserve"> (2018) </w:t>
      </w:r>
      <w:r w:rsidR="00D02FD6">
        <w:t xml:space="preserve">also reported increased </w:t>
      </w:r>
      <w:r w:rsidRPr="00D02FD6">
        <w:t>PPV</w:t>
      </w:r>
      <w:r w:rsidRPr="00D02FD6">
        <w:rPr>
          <w:vertAlign w:val="subscript"/>
        </w:rPr>
        <w:t xml:space="preserve">1 </w:t>
      </w:r>
      <w:r w:rsidR="00D02FD6">
        <w:t>when DBT+</w:t>
      </w:r>
      <w:r w:rsidR="00176980">
        <w:t>s2DM</w:t>
      </w:r>
      <w:r w:rsidR="00D02FD6">
        <w:t xml:space="preserve"> was used: </w:t>
      </w:r>
      <w:r w:rsidRPr="00D02FD6">
        <w:t>27.8</w:t>
      </w:r>
      <w:r w:rsidR="00D02FD6">
        <w:t xml:space="preserve"> percent compared to </w:t>
      </w:r>
      <w:r w:rsidRPr="00D02FD6">
        <w:t>18.6</w:t>
      </w:r>
      <w:r w:rsidR="00D02FD6">
        <w:t xml:space="preserve"> percent with FFDM alone (</w:t>
      </w:r>
      <w:r w:rsidRPr="00D02FD6">
        <w:rPr>
          <w:i/>
          <w:iCs/>
        </w:rPr>
        <w:t>p</w:t>
      </w:r>
      <w:r w:rsidR="00D02FD6">
        <w:t>=.</w:t>
      </w:r>
      <w:r w:rsidRPr="00D02FD6">
        <w:t>001)</w:t>
      </w:r>
      <w:r w:rsidR="006E5A43">
        <w:t>.</w:t>
      </w:r>
      <w:r w:rsidRPr="00D02FD6">
        <w:t xml:space="preserve"> This was also reflected in another BreastScreen Norway </w:t>
      </w:r>
      <w:r w:rsidR="00D02FD6">
        <w:t>analysis of</w:t>
      </w:r>
      <w:r w:rsidRPr="00D02FD6">
        <w:t xml:space="preserve"> consecutive screening rounds</w:t>
      </w:r>
      <w:r w:rsidR="00D02FD6">
        <w:t xml:space="preserve"> (</w:t>
      </w:r>
      <w:r w:rsidR="00D02FD6" w:rsidRPr="00D02FD6">
        <w:t>Hovda et al</w:t>
      </w:r>
      <w:r w:rsidR="00D02FD6">
        <w:t>.,</w:t>
      </w:r>
      <w:r w:rsidR="00D02FD6" w:rsidRPr="00D02FD6">
        <w:t xml:space="preserve"> 2019)</w:t>
      </w:r>
      <w:r w:rsidRPr="00D02FD6">
        <w:t>. The results of this study found PPV</w:t>
      </w:r>
      <w:r w:rsidRPr="00D02FD6">
        <w:rPr>
          <w:vertAlign w:val="subscript"/>
        </w:rPr>
        <w:t>1</w:t>
      </w:r>
      <w:r w:rsidRPr="00D02FD6">
        <w:t xml:space="preserve"> </w:t>
      </w:r>
      <w:r w:rsidR="00D02FD6">
        <w:t xml:space="preserve">was </w:t>
      </w:r>
      <w:r w:rsidRPr="00D02FD6">
        <w:t>12.9</w:t>
      </w:r>
      <w:r w:rsidR="00D02FD6">
        <w:t xml:space="preserve"> percent</w:t>
      </w:r>
      <w:r w:rsidRPr="00D02FD6">
        <w:t xml:space="preserve"> with two consecutive FFDM screens </w:t>
      </w:r>
      <w:r w:rsidR="00D02FD6">
        <w:t xml:space="preserve">but </w:t>
      </w:r>
      <w:r w:rsidRPr="00D02FD6">
        <w:t>43.5</w:t>
      </w:r>
      <w:r w:rsidR="00D02FD6">
        <w:t xml:space="preserve"> percent </w:t>
      </w:r>
      <w:r w:rsidRPr="00D02FD6">
        <w:t>for women with two consecutive DBT screens (</w:t>
      </w:r>
      <w:r w:rsidR="00D02FD6">
        <w:rPr>
          <w:i/>
          <w:iCs/>
        </w:rPr>
        <w:t>p</w:t>
      </w:r>
      <w:r w:rsidRPr="00D02FD6">
        <w:t>&lt;.001). PPV</w:t>
      </w:r>
      <w:r w:rsidRPr="00D02FD6">
        <w:rPr>
          <w:vertAlign w:val="subscript"/>
        </w:rPr>
        <w:t>1</w:t>
      </w:r>
      <w:r w:rsidRPr="00D02FD6">
        <w:t xml:space="preserve"> was </w:t>
      </w:r>
      <w:r w:rsidR="00A226FA">
        <w:t xml:space="preserve">also </w:t>
      </w:r>
      <w:r w:rsidRPr="00D02FD6">
        <w:t>higher for FFDM after DBT compared with FFDM after FFDM (</w:t>
      </w:r>
      <w:r w:rsidRPr="00A226FA">
        <w:rPr>
          <w:i/>
          <w:iCs/>
        </w:rPr>
        <w:t>p</w:t>
      </w:r>
      <w:r w:rsidRPr="00D02FD6">
        <w:t>&lt;.05)</w:t>
      </w:r>
      <w:r w:rsidR="00A226FA">
        <w:t xml:space="preserve">, </w:t>
      </w:r>
      <w:r w:rsidRPr="00D02FD6">
        <w:t>suggesting that DBT significantly improves PPV</w:t>
      </w:r>
      <w:r w:rsidRPr="00D02FD6">
        <w:rPr>
          <w:vertAlign w:val="subscript"/>
        </w:rPr>
        <w:t>1</w:t>
      </w:r>
      <w:r w:rsidRPr="00D02FD6">
        <w:t xml:space="preserve">. </w:t>
      </w:r>
    </w:p>
    <w:p w14:paraId="38C09EB0" w14:textId="459E3715" w:rsidR="00022015" w:rsidRPr="00C51A9C" w:rsidRDefault="00022015" w:rsidP="00022015">
      <w:pPr>
        <w:pStyle w:val="BodyText"/>
      </w:pPr>
      <w:r w:rsidRPr="00C51A9C">
        <w:t>The Cordoba study conducted by Romero Martín et al. (2018) undertook a slightly different screening protocol although the addition of DBT saw an increase in PPV</w:t>
      </w:r>
      <w:r w:rsidRPr="00C51A9C">
        <w:rPr>
          <w:vertAlign w:val="subscript"/>
        </w:rPr>
        <w:t>1</w:t>
      </w:r>
      <w:r w:rsidRPr="00C51A9C">
        <w:t xml:space="preserve"> and</w:t>
      </w:r>
      <w:r w:rsidRPr="00C51A9C">
        <w:rPr>
          <w:vertAlign w:val="subscript"/>
        </w:rPr>
        <w:t xml:space="preserve"> </w:t>
      </w:r>
      <w:r w:rsidRPr="00C51A9C">
        <w:t>PPV</w:t>
      </w:r>
      <w:r w:rsidRPr="00C51A9C">
        <w:rPr>
          <w:vertAlign w:val="subscript"/>
        </w:rPr>
        <w:t>3</w:t>
      </w:r>
      <w:r w:rsidRPr="00C51A9C">
        <w:t xml:space="preserve">. Their analysis involved a comparison of paired double reading of FFDM </w:t>
      </w:r>
      <w:r w:rsidR="003A2F70">
        <w:t>(PPV</w:t>
      </w:r>
      <w:r w:rsidR="003A2F70">
        <w:rPr>
          <w:vertAlign w:val="subscript"/>
        </w:rPr>
        <w:t xml:space="preserve">1 </w:t>
      </w:r>
      <w:r w:rsidR="003A2F70">
        <w:t xml:space="preserve">was 9.4 percent) </w:t>
      </w:r>
      <w:r w:rsidRPr="00C51A9C">
        <w:t xml:space="preserve">and </w:t>
      </w:r>
      <w:r w:rsidR="003A2F70">
        <w:t xml:space="preserve">a single reading of </w:t>
      </w:r>
      <w:r w:rsidRPr="00C51A9C">
        <w:t>DBT</w:t>
      </w:r>
      <w:r w:rsidR="00C51A9C">
        <w:t>+</w:t>
      </w:r>
      <w:r w:rsidR="00176980">
        <w:t>s2DM</w:t>
      </w:r>
      <w:r w:rsidR="003A2F70">
        <w:t xml:space="preserve"> (PPV</w:t>
      </w:r>
      <w:r w:rsidR="003A2F70">
        <w:rPr>
          <w:vertAlign w:val="subscript"/>
        </w:rPr>
        <w:t>1</w:t>
      </w:r>
      <w:r w:rsidR="003A2F70">
        <w:t xml:space="preserve"> was 18 percent, an increase of 47.8</w:t>
      </w:r>
      <w:r w:rsidR="00C3089B">
        <w:t xml:space="preserve"> percent</w:t>
      </w:r>
      <w:r w:rsidR="003A2F70">
        <w:t xml:space="preserve">, </w:t>
      </w:r>
      <w:r w:rsidR="003A2F70">
        <w:rPr>
          <w:i/>
          <w:iCs/>
        </w:rPr>
        <w:t>p</w:t>
      </w:r>
      <w:r w:rsidR="003A2F70">
        <w:t>&lt;.001)</w:t>
      </w:r>
      <w:r w:rsidR="00C51A9C">
        <w:t>.</w:t>
      </w:r>
      <w:r w:rsidR="003A2F70">
        <w:t xml:space="preserve"> </w:t>
      </w:r>
    </w:p>
    <w:p w14:paraId="0C689D1F" w14:textId="51FE2F5C" w:rsidR="003A2F70" w:rsidRDefault="00022015" w:rsidP="00022015">
      <w:pPr>
        <w:pStyle w:val="BodyText"/>
      </w:pPr>
      <w:r w:rsidRPr="003A2F70">
        <w:t>In relation to studies that compared DBT+</w:t>
      </w:r>
      <w:r w:rsidR="00176980">
        <w:t>s2DM</w:t>
      </w:r>
      <w:r w:rsidRPr="003A2F70">
        <w:t xml:space="preserve"> with FFDM for PPV</w:t>
      </w:r>
      <w:r w:rsidRPr="003A2F70">
        <w:rPr>
          <w:vertAlign w:val="subscript"/>
        </w:rPr>
        <w:t>3</w:t>
      </w:r>
      <w:r w:rsidRPr="003A2F70">
        <w:t xml:space="preserve">, </w:t>
      </w:r>
      <w:r w:rsidR="003611CF">
        <w:t>inconsistent results were reported (which aligns to the PPV</w:t>
      </w:r>
      <w:r w:rsidR="003611CF">
        <w:rPr>
          <w:vertAlign w:val="subscript"/>
        </w:rPr>
        <w:t>3</w:t>
      </w:r>
      <w:r w:rsidR="003611CF">
        <w:t xml:space="preserve"> reported in the To-Be-1 RCT)</w:t>
      </w:r>
      <w:r w:rsidR="003A2F70">
        <w:t>:</w:t>
      </w:r>
    </w:p>
    <w:p w14:paraId="60339258" w14:textId="00F168E3" w:rsidR="003A2F70" w:rsidRDefault="00022015" w:rsidP="003A2F70">
      <w:pPr>
        <w:pStyle w:val="List-BulletLvl1"/>
      </w:pPr>
      <w:r w:rsidRPr="003A2F70">
        <w:t>Hofvind et al.</w:t>
      </w:r>
      <w:r w:rsidR="003A2F70">
        <w:t xml:space="preserve"> (</w:t>
      </w:r>
      <w:r w:rsidRPr="003A2F70">
        <w:t>2018)</w:t>
      </w:r>
      <w:r w:rsidR="003A2F70">
        <w:t xml:space="preserve"> reported a PPV</w:t>
      </w:r>
      <w:r w:rsidR="003A2F70">
        <w:rPr>
          <w:vertAlign w:val="subscript"/>
        </w:rPr>
        <w:t>3</w:t>
      </w:r>
      <w:r w:rsidR="003A2F70">
        <w:t xml:space="preserve"> of </w:t>
      </w:r>
      <w:r w:rsidRPr="003A2F70">
        <w:t>53.7</w:t>
      </w:r>
      <w:r w:rsidR="003A2F70">
        <w:t xml:space="preserve"> percent with DBT+</w:t>
      </w:r>
      <w:r w:rsidR="00176980">
        <w:t>s2DM</w:t>
      </w:r>
      <w:r w:rsidR="003A2F70">
        <w:t xml:space="preserve"> compared to </w:t>
      </w:r>
      <w:r w:rsidRPr="003A2F70">
        <w:t>38.6</w:t>
      </w:r>
      <w:r w:rsidR="003A2F70">
        <w:t xml:space="preserve"> percent </w:t>
      </w:r>
      <w:r w:rsidRPr="003A2F70">
        <w:t>with FFDM (</w:t>
      </w:r>
      <w:r w:rsidRPr="003A2F70">
        <w:rPr>
          <w:i/>
          <w:iCs/>
        </w:rPr>
        <w:t>p</w:t>
      </w:r>
      <w:r w:rsidRPr="003A2F70">
        <w:t xml:space="preserve">&lt;.001) </w:t>
      </w:r>
    </w:p>
    <w:p w14:paraId="6E2D44B5" w14:textId="7B9D1B97" w:rsidR="00022015" w:rsidRPr="003A2F70" w:rsidRDefault="003611CF" w:rsidP="003611CF">
      <w:pPr>
        <w:pStyle w:val="List-BulletLvl1"/>
      </w:pPr>
      <w:r w:rsidRPr="00C51A9C">
        <w:t>Romero Martín et al. (2018)</w:t>
      </w:r>
      <w:r>
        <w:t xml:space="preserve"> reported a</w:t>
      </w:r>
      <w:r w:rsidR="00C3089B">
        <w:t xml:space="preserve"> non-significant increase in</w:t>
      </w:r>
      <w:r>
        <w:t xml:space="preserve"> PPV</w:t>
      </w:r>
      <w:r>
        <w:rPr>
          <w:vertAlign w:val="subscript"/>
        </w:rPr>
        <w:t>3</w:t>
      </w:r>
      <w:r>
        <w:t xml:space="preserve"> of </w:t>
      </w:r>
      <w:r w:rsidR="00022015" w:rsidRPr="003A2F70">
        <w:t>14.4</w:t>
      </w:r>
      <w:r>
        <w:t xml:space="preserve"> percent</w:t>
      </w:r>
      <w:r w:rsidR="00022015" w:rsidRPr="003A2F70">
        <w:t xml:space="preserve"> </w:t>
      </w:r>
      <w:r>
        <w:t>DBT+</w:t>
      </w:r>
      <w:r w:rsidR="00176980">
        <w:t>s2DM</w:t>
      </w:r>
      <w:r>
        <w:t xml:space="preserve"> compared to </w:t>
      </w:r>
      <w:r w:rsidR="00022015" w:rsidRPr="003A2F70">
        <w:t xml:space="preserve">0.8 </w:t>
      </w:r>
      <w:r>
        <w:t xml:space="preserve">percent </w:t>
      </w:r>
      <w:r w:rsidR="00022015" w:rsidRPr="003A2F70">
        <w:t>for double reading</w:t>
      </w:r>
      <w:r>
        <w:t xml:space="preserve"> with FFDM</w:t>
      </w:r>
      <w:r w:rsidR="00022015" w:rsidRPr="003A2F70">
        <w:t xml:space="preserve">, </w:t>
      </w:r>
      <w:r w:rsidR="00022015" w:rsidRPr="003611CF">
        <w:rPr>
          <w:i/>
          <w:iCs/>
        </w:rPr>
        <w:t>p</w:t>
      </w:r>
      <w:r w:rsidR="00022015" w:rsidRPr="003A2F70">
        <w:t xml:space="preserve">=.961). </w:t>
      </w:r>
    </w:p>
    <w:p w14:paraId="59B1C844" w14:textId="5BB05AA8" w:rsidR="00022015" w:rsidRPr="00DC1A06" w:rsidRDefault="00022015" w:rsidP="00022015">
      <w:pPr>
        <w:pStyle w:val="BodyText"/>
      </w:pPr>
      <w:r>
        <w:t>Hofvind et al.</w:t>
      </w:r>
      <w:r w:rsidR="003611CF">
        <w:t xml:space="preserve"> (2018)</w:t>
      </w:r>
      <w:r>
        <w:t xml:space="preserve"> also provided biopsy rates for both screening protocols, indicating that biopsy rates were slightly lower for DBT+</w:t>
      </w:r>
      <w:r w:rsidR="00176980">
        <w:t>s2DM</w:t>
      </w:r>
      <w:r>
        <w:t xml:space="preserve"> (1·8</w:t>
      </w:r>
      <w:r w:rsidR="00C3089B">
        <w:t xml:space="preserve"> percent; 95%CI:</w:t>
      </w:r>
      <w:r>
        <w:t>1</w:t>
      </w:r>
      <w:r w:rsidR="00C3089B">
        <w:t>.</w:t>
      </w:r>
      <w:r>
        <w:t>5</w:t>
      </w:r>
      <w:r w:rsidR="00176980">
        <w:t xml:space="preserve">, </w:t>
      </w:r>
      <w:r>
        <w:t>2</w:t>
      </w:r>
      <w:r w:rsidR="00C3089B">
        <w:t>.</w:t>
      </w:r>
      <w:r>
        <w:t>0) than for FFDM (1</w:t>
      </w:r>
      <w:r w:rsidR="00C3089B">
        <w:t>.</w:t>
      </w:r>
      <w:r>
        <w:t>9</w:t>
      </w:r>
      <w:r w:rsidR="00C3089B">
        <w:t xml:space="preserve"> percent</w:t>
      </w:r>
      <w:r w:rsidR="00176980">
        <w:t>;</w:t>
      </w:r>
      <w:r>
        <w:t xml:space="preserve"> </w:t>
      </w:r>
      <w:r w:rsidR="00C3089B">
        <w:t xml:space="preserve">95%CI: </w:t>
      </w:r>
      <w:r>
        <w:t>1</w:t>
      </w:r>
      <w:r w:rsidR="00C3089B">
        <w:t>.</w:t>
      </w:r>
      <w:r>
        <w:t>7</w:t>
      </w:r>
      <w:r w:rsidR="00C3089B">
        <w:t xml:space="preserve">, </w:t>
      </w:r>
      <w:r>
        <w:t>2</w:t>
      </w:r>
      <w:r w:rsidR="00C3089B">
        <w:t>.</w:t>
      </w:r>
      <w:r>
        <w:t>1) which was not significant (</w:t>
      </w:r>
      <w:r w:rsidRPr="00AB15F0">
        <w:rPr>
          <w:i/>
          <w:iCs/>
        </w:rPr>
        <w:t>p</w:t>
      </w:r>
      <w:r w:rsidR="003611CF">
        <w:rPr>
          <w:i/>
          <w:iCs/>
        </w:rPr>
        <w:t>=</w:t>
      </w:r>
      <w:r>
        <w:t xml:space="preserve">·40). </w:t>
      </w:r>
    </w:p>
    <w:p w14:paraId="145CC3EE" w14:textId="4F3419F0" w:rsidR="00022015" w:rsidRPr="000C0773" w:rsidRDefault="00176980" w:rsidP="00022015">
      <w:pPr>
        <w:pStyle w:val="Heading3-NOTinTOC"/>
      </w:pPr>
      <w:r>
        <w:t>FFDM+DBT</w:t>
      </w:r>
      <w:r w:rsidR="00022015">
        <w:t xml:space="preserve"> compared to FFDM alone</w:t>
      </w:r>
    </w:p>
    <w:p w14:paraId="45D5322A" w14:textId="3730F4FD" w:rsidR="00022015" w:rsidRPr="003611CF" w:rsidRDefault="0019576D" w:rsidP="003611CF">
      <w:pPr>
        <w:pStyle w:val="BodyText-GREEN"/>
        <w:rPr>
          <w:b/>
          <w:bCs/>
        </w:rPr>
      </w:pPr>
      <w:r>
        <w:rPr>
          <w:b/>
          <w:bCs/>
        </w:rPr>
        <w:t>RCT</w:t>
      </w:r>
    </w:p>
    <w:p w14:paraId="0DF49705" w14:textId="59B94837" w:rsidR="00B31C37" w:rsidRPr="00A741E4" w:rsidRDefault="00A741E4" w:rsidP="00B31C37">
      <w:pPr>
        <w:pStyle w:val="BodyText"/>
      </w:pPr>
      <w:r>
        <w:t xml:space="preserve">Baseline PPV was reported for the </w:t>
      </w:r>
      <w:r w:rsidR="00022015" w:rsidRPr="00A741E4">
        <w:t>Reg</w:t>
      </w:r>
      <w:r>
        <w:t>g</w:t>
      </w:r>
      <w:r w:rsidR="00022015" w:rsidRPr="00A741E4">
        <w:t xml:space="preserve">io Emilia RCT </w:t>
      </w:r>
      <w:r w:rsidR="003D1788">
        <w:t>(</w:t>
      </w:r>
      <w:r w:rsidR="00022015" w:rsidRPr="00A741E4">
        <w:t>Pattacini et al.</w:t>
      </w:r>
      <w:r w:rsidR="003D1788">
        <w:t>,</w:t>
      </w:r>
      <w:r w:rsidR="00022015" w:rsidRPr="00A741E4">
        <w:t xml:space="preserve"> 2018)</w:t>
      </w:r>
      <w:r w:rsidR="003D1788">
        <w:t>. Like other studies, the authors reported an increase in PPV</w:t>
      </w:r>
      <w:r w:rsidR="003D1788">
        <w:rPr>
          <w:vertAlign w:val="subscript"/>
        </w:rPr>
        <w:t>1</w:t>
      </w:r>
      <w:r w:rsidR="003D1788">
        <w:t xml:space="preserve"> and, again, this increase was almost double that reported for FFDM alone. PPV</w:t>
      </w:r>
      <w:r w:rsidR="003D1788">
        <w:rPr>
          <w:vertAlign w:val="subscript"/>
        </w:rPr>
        <w:t xml:space="preserve">1 </w:t>
      </w:r>
      <w:r w:rsidR="003D1788">
        <w:t>for FFDM+</w:t>
      </w:r>
      <w:r w:rsidR="00C3089B">
        <w:t>DB</w:t>
      </w:r>
      <w:r w:rsidR="003D1788">
        <w:t>T was</w:t>
      </w:r>
      <w:r w:rsidR="00022015" w:rsidRPr="00A741E4">
        <w:t xml:space="preserve"> 24.1</w:t>
      </w:r>
      <w:r w:rsidR="003D1788">
        <w:t xml:space="preserve"> percent</w:t>
      </w:r>
      <w:r w:rsidR="00022015" w:rsidRPr="00A741E4">
        <w:t xml:space="preserve"> </w:t>
      </w:r>
      <w:r w:rsidR="003D1788">
        <w:t xml:space="preserve">compared to </w:t>
      </w:r>
      <w:r w:rsidR="00022015" w:rsidRPr="00A741E4">
        <w:t>13.0</w:t>
      </w:r>
      <w:r w:rsidR="003D1788">
        <w:t xml:space="preserve"> percent for </w:t>
      </w:r>
      <w:r w:rsidR="00022015" w:rsidRPr="00A741E4">
        <w:t>FFDM</w:t>
      </w:r>
      <w:r w:rsidR="003D1788">
        <w:t xml:space="preserve"> alone </w:t>
      </w:r>
      <w:r w:rsidR="00022015" w:rsidRPr="00A741E4">
        <w:t>(</w:t>
      </w:r>
      <w:r w:rsidR="00022015" w:rsidRPr="00A741E4">
        <w:rPr>
          <w:i/>
          <w:iCs/>
        </w:rPr>
        <w:t>p</w:t>
      </w:r>
      <w:r w:rsidR="003D1788">
        <w:rPr>
          <w:i/>
          <w:iCs/>
        </w:rPr>
        <w:t>=.</w:t>
      </w:r>
      <w:r w:rsidR="00022015" w:rsidRPr="00A741E4">
        <w:t>0002). The increased PPV</w:t>
      </w:r>
      <w:r w:rsidR="00022015" w:rsidRPr="00A741E4">
        <w:rPr>
          <w:vertAlign w:val="subscript"/>
        </w:rPr>
        <w:t>1</w:t>
      </w:r>
      <w:r w:rsidR="00022015" w:rsidRPr="00A741E4">
        <w:t xml:space="preserve"> was observed across all age cohorts</w:t>
      </w:r>
      <w:r w:rsidR="00B31C37">
        <w:t xml:space="preserve"> (see </w:t>
      </w:r>
      <w:r w:rsidR="00B31C37">
        <w:rPr>
          <w:i/>
          <w:iCs/>
        </w:rPr>
        <w:t xml:space="preserve">Table </w:t>
      </w:r>
      <w:r w:rsidR="00E45406">
        <w:rPr>
          <w:i/>
          <w:iCs/>
        </w:rPr>
        <w:t>19</w:t>
      </w:r>
      <w:r w:rsidR="00B31C37">
        <w:rPr>
          <w:i/>
          <w:iCs/>
        </w:rPr>
        <w:t xml:space="preserve"> </w:t>
      </w:r>
      <w:r w:rsidR="00B31C37">
        <w:t>for data).</w:t>
      </w:r>
    </w:p>
    <w:p w14:paraId="5132FF5B" w14:textId="3143CB95" w:rsidR="00022015" w:rsidRPr="00B31C37" w:rsidRDefault="00022015" w:rsidP="00B31C37">
      <w:pPr>
        <w:pStyle w:val="BodyText-GREEN"/>
        <w:rPr>
          <w:b/>
          <w:bCs/>
        </w:rPr>
      </w:pPr>
      <w:r w:rsidRPr="00B31C37">
        <w:rPr>
          <w:b/>
          <w:bCs/>
        </w:rPr>
        <w:t xml:space="preserve"> Prospective trials embedded in population screening programs</w:t>
      </w:r>
    </w:p>
    <w:p w14:paraId="2C7B2CC9" w14:textId="51584706" w:rsidR="00022015" w:rsidRDefault="00022015" w:rsidP="00C3089B">
      <w:pPr>
        <w:pStyle w:val="BodyText"/>
      </w:pPr>
      <w:r w:rsidRPr="00C3089B">
        <w:t>Skaane et al. (2018)</w:t>
      </w:r>
      <w:r w:rsidR="00C3089B" w:rsidRPr="00C3089B">
        <w:t xml:space="preserve"> reported updated data from the OTS trial. PPV</w:t>
      </w:r>
      <w:r w:rsidR="00C3089B" w:rsidRPr="00C3089B">
        <w:rPr>
          <w:vertAlign w:val="subscript"/>
        </w:rPr>
        <w:t>1</w:t>
      </w:r>
      <w:r w:rsidR="00C3089B" w:rsidRPr="00C3089B">
        <w:t xml:space="preserve"> was only reported for FFDM+DBT but it was quite high (</w:t>
      </w:r>
      <w:r w:rsidRPr="00C3089B">
        <w:t>27.7</w:t>
      </w:r>
      <w:r w:rsidR="00C3089B" w:rsidRPr="00C3089B">
        <w:t xml:space="preserve"> percent). They also reported only on</w:t>
      </w:r>
      <w:r w:rsidRPr="00C3089B">
        <w:t xml:space="preserve"> PPV</w:t>
      </w:r>
      <w:r w:rsidRPr="00C3089B">
        <w:rPr>
          <w:vertAlign w:val="subscript"/>
        </w:rPr>
        <w:t>3</w:t>
      </w:r>
      <w:r w:rsidRPr="00C3089B">
        <w:t xml:space="preserve"> </w:t>
      </w:r>
      <w:r w:rsidR="00C3089B" w:rsidRPr="00C3089B">
        <w:t>for FFDM+DBT (</w:t>
      </w:r>
      <w:r w:rsidRPr="00C3089B">
        <w:t>55.0</w:t>
      </w:r>
      <w:r w:rsidR="00C3089B" w:rsidRPr="00C3089B">
        <w:t xml:space="preserve"> percent), which seems very high. A second paper in 2019 (</w:t>
      </w:r>
      <w:r w:rsidRPr="00C3089B">
        <w:t>Ska</w:t>
      </w:r>
      <w:r w:rsidR="00C3089B" w:rsidRPr="00C3089B">
        <w:t>a</w:t>
      </w:r>
      <w:r w:rsidRPr="00C3089B">
        <w:t>ne et al.</w:t>
      </w:r>
      <w:r w:rsidR="00C3089B" w:rsidRPr="00C3089B">
        <w:t>,</w:t>
      </w:r>
      <w:r w:rsidRPr="00C3089B">
        <w:t xml:space="preserve"> 2019) </w:t>
      </w:r>
      <w:r w:rsidR="00C3089B" w:rsidRPr="00C3089B">
        <w:t xml:space="preserve">presented </w:t>
      </w:r>
      <w:r w:rsidRPr="00C3089B">
        <w:t xml:space="preserve">final results of the OTS </w:t>
      </w:r>
      <w:r w:rsidR="00C3089B" w:rsidRPr="00C3089B">
        <w:t>t</w:t>
      </w:r>
      <w:r w:rsidRPr="00C3089B">
        <w:t>rial</w:t>
      </w:r>
      <w:r w:rsidR="00C3089B" w:rsidRPr="00C3089B">
        <w:t>. Skaane et al. (2019)</w:t>
      </w:r>
      <w:r w:rsidRPr="00C3089B">
        <w:t xml:space="preserve"> </w:t>
      </w:r>
      <w:r w:rsidR="00C3089B" w:rsidRPr="00C3089B">
        <w:t xml:space="preserve">reported </w:t>
      </w:r>
      <w:r w:rsidRPr="00C3089B">
        <w:t>the predictive value of a positive score estimated as the fraction of true-positive cases out of all cases with positive scores, reader-adjusted estimates of sensitivity and specificity combined with the estimated cancer rate (1.16</w:t>
      </w:r>
      <w:r w:rsidR="00C3089B">
        <w:t xml:space="preserve"> </w:t>
      </w:r>
      <w:r w:rsidR="00C3089B">
        <w:lastRenderedPageBreak/>
        <w:t>percent</w:t>
      </w:r>
      <w:r w:rsidRPr="00C3089B">
        <w:t>). The study determined that the predictive value of positive scores improved with the addition of DBT</w:t>
      </w:r>
      <w:r w:rsidR="00C3089B">
        <w:t xml:space="preserve"> </w:t>
      </w:r>
      <w:r w:rsidRPr="00C3089B">
        <w:t>from 9.9</w:t>
      </w:r>
      <w:r w:rsidR="00C3089B">
        <w:t xml:space="preserve"> percent </w:t>
      </w:r>
      <w:r w:rsidRPr="00C3089B">
        <w:t>to 14.1</w:t>
      </w:r>
      <w:r w:rsidR="00C3089B">
        <w:t xml:space="preserve"> percent</w:t>
      </w:r>
      <w:r w:rsidRPr="00C3089B">
        <w:t>. Similar gains were observed for simulated double-reading modes with the addition of DBT.</w:t>
      </w:r>
      <w:r>
        <w:t xml:space="preserve"> </w:t>
      </w:r>
    </w:p>
    <w:p w14:paraId="0C71F5FC" w14:textId="77777777" w:rsidR="00022015" w:rsidRPr="00AC0D5D" w:rsidRDefault="00022015" w:rsidP="00AC0D5D">
      <w:pPr>
        <w:pStyle w:val="BodyText-GREEN"/>
        <w:rPr>
          <w:b/>
          <w:bCs/>
        </w:rPr>
      </w:pPr>
      <w:r w:rsidRPr="00AC0D5D">
        <w:rPr>
          <w:b/>
          <w:bCs/>
        </w:rPr>
        <w:t>Observational studies: retrospective design</w:t>
      </w:r>
    </w:p>
    <w:p w14:paraId="0AF68BA8" w14:textId="58EA31F2" w:rsidR="00022015" w:rsidRDefault="00C3089B" w:rsidP="00022015">
      <w:pPr>
        <w:pStyle w:val="BodyText"/>
      </w:pPr>
      <w:r>
        <w:t>Three</w:t>
      </w:r>
      <w:r w:rsidR="00022015">
        <w:t xml:space="preserve"> retrospective observational studies conducted in the US that compared FFDM+DBT with FFDM alone provided PPV</w:t>
      </w:r>
      <w:r w:rsidR="00022015" w:rsidRPr="00CA0612">
        <w:rPr>
          <w:vertAlign w:val="subscript"/>
        </w:rPr>
        <w:t>1</w:t>
      </w:r>
      <w:r w:rsidR="00022015">
        <w:t xml:space="preserve"> and PPV</w:t>
      </w:r>
      <w:r w:rsidR="00022015" w:rsidRPr="00CA0612">
        <w:rPr>
          <w:vertAlign w:val="subscript"/>
        </w:rPr>
        <w:t>3</w:t>
      </w:r>
      <w:r w:rsidR="00022015">
        <w:t xml:space="preserve"> results, with one study also providing a result for </w:t>
      </w:r>
      <w:r w:rsidR="00022015" w:rsidRPr="00CA0612">
        <w:t>PPV</w:t>
      </w:r>
      <w:r w:rsidR="00022015" w:rsidRPr="00CA0612">
        <w:rPr>
          <w:vertAlign w:val="subscript"/>
        </w:rPr>
        <w:t>2</w:t>
      </w:r>
      <w:r w:rsidR="00022015">
        <w:t xml:space="preserve">. </w:t>
      </w:r>
    </w:p>
    <w:p w14:paraId="463A4F70" w14:textId="5014000D" w:rsidR="00AC0D5D" w:rsidRDefault="00022015" w:rsidP="00022015">
      <w:pPr>
        <w:pStyle w:val="BodyText"/>
      </w:pPr>
      <w:r w:rsidRPr="00AC0D5D">
        <w:t>PPV</w:t>
      </w:r>
      <w:r w:rsidRPr="00AC0D5D">
        <w:rPr>
          <w:vertAlign w:val="subscript"/>
        </w:rPr>
        <w:t>1</w:t>
      </w:r>
      <w:r w:rsidRPr="00AC0D5D">
        <w:t xml:space="preserve"> values for </w:t>
      </w:r>
      <w:r w:rsidR="00C3089B">
        <w:t>the three</w:t>
      </w:r>
      <w:r w:rsidRPr="00AC0D5D">
        <w:t xml:space="preserve"> studies included</w:t>
      </w:r>
      <w:r w:rsidR="00AC0D5D">
        <w:t>:</w:t>
      </w:r>
    </w:p>
    <w:p w14:paraId="78B08823" w14:textId="6B0EF34D" w:rsidR="00AC0D5D" w:rsidRDefault="00022015" w:rsidP="00AC0D5D">
      <w:pPr>
        <w:pStyle w:val="List-BulletLvl1"/>
      </w:pPr>
      <w:r w:rsidRPr="00AC0D5D">
        <w:t>Conant et al. (2019)</w:t>
      </w:r>
      <w:r w:rsidR="00AC0D5D">
        <w:t>:</w:t>
      </w:r>
      <w:r w:rsidR="00AC0D5D" w:rsidRPr="00AC0D5D">
        <w:t xml:space="preserve"> PPV</w:t>
      </w:r>
      <w:r w:rsidR="00AC0D5D" w:rsidRPr="00AC0D5D">
        <w:rPr>
          <w:vertAlign w:val="subscript"/>
        </w:rPr>
        <w:t xml:space="preserve">1 </w:t>
      </w:r>
      <w:r w:rsidR="00AC0D5D" w:rsidRPr="00AC0D5D">
        <w:t>was significantly greater for FFDM</w:t>
      </w:r>
      <w:r w:rsidR="00AC0D5D">
        <w:t>+DBT</w:t>
      </w:r>
      <w:r w:rsidR="00AC0D5D" w:rsidRPr="00AC0D5D">
        <w:t xml:space="preserve"> (6.29</w:t>
      </w:r>
      <w:r w:rsidR="00AC0D5D">
        <w:t xml:space="preserve"> percent</w:t>
      </w:r>
      <w:r w:rsidR="00AC0D5D" w:rsidRPr="00AC0D5D">
        <w:t xml:space="preserve">) </w:t>
      </w:r>
      <w:r w:rsidR="00AC0D5D">
        <w:t xml:space="preserve">compared to </w:t>
      </w:r>
      <w:r w:rsidR="00AC0D5D" w:rsidRPr="00AC0D5D">
        <w:t>FFDM (3.85</w:t>
      </w:r>
      <w:r w:rsidR="00AC0D5D">
        <w:t xml:space="preserve"> percent</w:t>
      </w:r>
      <w:r w:rsidR="00AC0D5D" w:rsidRPr="00AC0D5D">
        <w:t>; OR 2.00; 95%CI</w:t>
      </w:r>
      <w:r w:rsidR="00AC0D5D">
        <w:t>:</w:t>
      </w:r>
      <w:r w:rsidR="00AC0D5D" w:rsidRPr="00AC0D5D">
        <w:t xml:space="preserve"> 1.47</w:t>
      </w:r>
      <w:r w:rsidR="00176980">
        <w:t xml:space="preserve">, </w:t>
      </w:r>
      <w:r w:rsidR="00AC0D5D" w:rsidRPr="00AC0D5D">
        <w:t>2.72;</w:t>
      </w:r>
      <w:r w:rsidR="00AC0D5D">
        <w:t xml:space="preserve"> </w:t>
      </w:r>
      <w:r w:rsidR="00AC0D5D">
        <w:rPr>
          <w:i/>
          <w:iCs/>
        </w:rPr>
        <w:t>p</w:t>
      </w:r>
      <w:r w:rsidR="00AC0D5D" w:rsidRPr="00AC0D5D">
        <w:t>&lt;.001)</w:t>
      </w:r>
      <w:r w:rsidR="00AC0D5D">
        <w:t>.</w:t>
      </w:r>
    </w:p>
    <w:p w14:paraId="2A83CBB9" w14:textId="615EB74B" w:rsidR="00AC0D5D" w:rsidRDefault="00AC0D5D" w:rsidP="00AC0D5D">
      <w:pPr>
        <w:pStyle w:val="List-BulletLvl1"/>
      </w:pPr>
      <w:r w:rsidRPr="00AC0D5D">
        <w:t>Bahl et al. (2019)</w:t>
      </w:r>
      <w:r>
        <w:t xml:space="preserve">: </w:t>
      </w:r>
      <w:r w:rsidRPr="00AC0D5D">
        <w:t>PPV</w:t>
      </w:r>
      <w:r w:rsidRPr="00AC0D5D">
        <w:rPr>
          <w:vertAlign w:val="subscript"/>
        </w:rPr>
        <w:t>1</w:t>
      </w:r>
      <w:r w:rsidRPr="00AC0D5D">
        <w:t xml:space="preserve"> </w:t>
      </w:r>
      <w:r>
        <w:t xml:space="preserve">increased with FFDM+DBT </w:t>
      </w:r>
      <w:r w:rsidRPr="00AC0D5D">
        <w:t>with the addition of DBT to FFDM (15.0</w:t>
      </w:r>
      <w:r>
        <w:t xml:space="preserve"> percent compared to </w:t>
      </w:r>
      <w:r w:rsidRPr="00AC0D5D">
        <w:t>11.5</w:t>
      </w:r>
      <w:r>
        <w:t xml:space="preserve"> percent; </w:t>
      </w:r>
      <w:r w:rsidRPr="00AC0D5D">
        <w:t>AOR</w:t>
      </w:r>
      <w:r w:rsidR="00285D7E">
        <w:t>=</w:t>
      </w:r>
      <w:r w:rsidRPr="00AC0D5D">
        <w:t xml:space="preserve">1.19; </w:t>
      </w:r>
      <w:r>
        <w:rPr>
          <w:i/>
          <w:iCs/>
        </w:rPr>
        <w:t>p</w:t>
      </w:r>
      <w:r w:rsidRPr="00AC0D5D">
        <w:t xml:space="preserve">=.02). </w:t>
      </w:r>
    </w:p>
    <w:p w14:paraId="227A84C5" w14:textId="7757404E" w:rsidR="00AC0D5D" w:rsidRPr="00AC0D5D" w:rsidRDefault="00AC0D5D" w:rsidP="00AC0D5D">
      <w:pPr>
        <w:pStyle w:val="List-BulletLvl1"/>
      </w:pPr>
      <w:r w:rsidRPr="00AC0D5D">
        <w:t xml:space="preserve">Rose </w:t>
      </w:r>
      <w:r>
        <w:t xml:space="preserve">&amp; </w:t>
      </w:r>
      <w:r w:rsidRPr="00AC0D5D">
        <w:t>Shisler (2018)</w:t>
      </w:r>
      <w:r>
        <w:t xml:space="preserve">: </w:t>
      </w:r>
      <w:r w:rsidRPr="00AC0D5D">
        <w:t xml:space="preserve">in women </w:t>
      </w:r>
      <w:r>
        <w:t xml:space="preserve">aged </w:t>
      </w:r>
      <w:r w:rsidRPr="00AC0D5D">
        <w:t>younger than 50 years</w:t>
      </w:r>
      <w:r>
        <w:t>,</w:t>
      </w:r>
      <w:r w:rsidRPr="00AC0D5D">
        <w:t xml:space="preserve"> PPV</w:t>
      </w:r>
      <w:r w:rsidRPr="00AC0D5D">
        <w:rPr>
          <w:vertAlign w:val="subscript"/>
        </w:rPr>
        <w:t>1</w:t>
      </w:r>
      <w:r w:rsidRPr="00AC0D5D">
        <w:t xml:space="preserve"> increased from 1.6</w:t>
      </w:r>
      <w:r>
        <w:t xml:space="preserve"> percent</w:t>
      </w:r>
      <w:r w:rsidRPr="00AC0D5D">
        <w:t xml:space="preserve"> to 2.3</w:t>
      </w:r>
      <w:r>
        <w:t xml:space="preserve"> percent with the use of FFDM+DBT</w:t>
      </w:r>
      <w:r w:rsidRPr="00AC0D5D">
        <w:t xml:space="preserve"> (a significant increase of 0.7</w:t>
      </w:r>
      <w:r w:rsidR="00176980">
        <w:t>;</w:t>
      </w:r>
      <w:r>
        <w:t xml:space="preserve"> 95%CI: </w:t>
      </w:r>
      <w:r w:rsidRPr="00AC0D5D">
        <w:t>0.04</w:t>
      </w:r>
      <w:r w:rsidR="00176980">
        <w:t xml:space="preserve">, </w:t>
      </w:r>
      <w:r w:rsidRPr="00AC0D5D">
        <w:t>1.4</w:t>
      </w:r>
      <w:r>
        <w:t xml:space="preserve">; </w:t>
      </w:r>
      <w:r>
        <w:rPr>
          <w:i/>
          <w:iCs/>
        </w:rPr>
        <w:t>p=</w:t>
      </w:r>
      <w:r w:rsidRPr="00AC0D5D">
        <w:t>.04). For women with dense breasts</w:t>
      </w:r>
      <w:r>
        <w:t>,</w:t>
      </w:r>
      <w:r w:rsidRPr="00AC0D5D">
        <w:t xml:space="preserve"> PPV</w:t>
      </w:r>
      <w:r w:rsidRPr="00AC0D5D">
        <w:rPr>
          <w:vertAlign w:val="subscript"/>
        </w:rPr>
        <w:t>1</w:t>
      </w:r>
      <w:r w:rsidRPr="00AC0D5D">
        <w:t xml:space="preserve"> increased from 1.6</w:t>
      </w:r>
      <w:r>
        <w:t xml:space="preserve"> percent</w:t>
      </w:r>
      <w:r w:rsidRPr="00AC0D5D">
        <w:t xml:space="preserve"> to 2.5</w:t>
      </w:r>
      <w:r>
        <w:t xml:space="preserve"> percent </w:t>
      </w:r>
      <w:r w:rsidRPr="00AC0D5D">
        <w:t xml:space="preserve">with </w:t>
      </w:r>
      <w:r>
        <w:t xml:space="preserve">FFDM+DBT </w:t>
      </w:r>
      <w:r w:rsidRPr="00AC0D5D">
        <w:t>(a non-significant difference of 0.9</w:t>
      </w:r>
      <w:r>
        <w:t>; 95%CI:</w:t>
      </w:r>
      <w:r w:rsidRPr="00AC0D5D">
        <w:t xml:space="preserve"> 0.04</w:t>
      </w:r>
      <w:r w:rsidR="00176980">
        <w:t xml:space="preserve">, </w:t>
      </w:r>
      <w:r w:rsidRPr="00AC0D5D">
        <w:t>1.8</w:t>
      </w:r>
      <w:r>
        <w:t xml:space="preserve">; </w:t>
      </w:r>
      <w:r w:rsidRPr="00AC0D5D">
        <w:rPr>
          <w:i/>
          <w:iCs/>
        </w:rPr>
        <w:t>p</w:t>
      </w:r>
      <w:r>
        <w:rPr>
          <w:i/>
          <w:iCs/>
        </w:rPr>
        <w:t>=</w:t>
      </w:r>
      <w:r w:rsidRPr="00AC0D5D">
        <w:t xml:space="preserve">.55). </w:t>
      </w:r>
    </w:p>
    <w:p w14:paraId="6E7F96F0" w14:textId="7800F239" w:rsidR="00022015" w:rsidRDefault="00022015" w:rsidP="00022015">
      <w:pPr>
        <w:pStyle w:val="BodyText"/>
      </w:pPr>
      <w:r>
        <w:t>The results for PPV</w:t>
      </w:r>
      <w:r w:rsidRPr="00F82BBD">
        <w:rPr>
          <w:vertAlign w:val="subscript"/>
        </w:rPr>
        <w:t>2</w:t>
      </w:r>
      <w:r>
        <w:t xml:space="preserve"> provided by Bahl et al. (2018) reported that </w:t>
      </w:r>
      <w:r w:rsidRPr="001B4DA2">
        <w:t>the percentage of recalled women recommended to have needle biopsy</w:t>
      </w:r>
      <w:r>
        <w:t xml:space="preserve"> was greater for FFDM+DBT at </w:t>
      </w:r>
      <w:r w:rsidRPr="00F82BBD">
        <w:t>58.8</w:t>
      </w:r>
      <w:r w:rsidR="00AC0D5D">
        <w:t xml:space="preserve"> percent</w:t>
      </w:r>
      <w:r w:rsidRPr="00F82BBD">
        <w:t xml:space="preserve"> (</w:t>
      </w:r>
      <w:r w:rsidR="00AC0D5D">
        <w:t xml:space="preserve">95%CI: </w:t>
      </w:r>
      <w:r w:rsidRPr="00F82BBD">
        <w:t>54.7</w:t>
      </w:r>
      <w:r w:rsidR="00176980">
        <w:t xml:space="preserve">, </w:t>
      </w:r>
      <w:r w:rsidRPr="00F82BBD">
        <w:t>62.7)</w:t>
      </w:r>
      <w:r>
        <w:t xml:space="preserve"> </w:t>
      </w:r>
      <w:r w:rsidR="00AC0D5D">
        <w:t xml:space="preserve">compared to </w:t>
      </w:r>
      <w:r>
        <w:t xml:space="preserve">FFDM alone </w:t>
      </w:r>
      <w:r w:rsidR="00AC0D5D">
        <w:t>(</w:t>
      </w:r>
      <w:r w:rsidRPr="00F82BBD">
        <w:t>56.4</w:t>
      </w:r>
      <w:r w:rsidR="00AC0D5D">
        <w:t xml:space="preserve"> percent</w:t>
      </w:r>
      <w:r w:rsidR="00176980">
        <w:t>;</w:t>
      </w:r>
      <w:r w:rsidR="00AC0D5D">
        <w:t xml:space="preserve"> 95%CI: </w:t>
      </w:r>
      <w:r w:rsidRPr="00F82BBD">
        <w:t>51.4,</w:t>
      </w:r>
      <w:r w:rsidR="00C3089B">
        <w:t xml:space="preserve"> </w:t>
      </w:r>
      <w:r w:rsidRPr="00F82BBD">
        <w:t>61.4</w:t>
      </w:r>
      <w:r w:rsidR="00AC0D5D">
        <w:t>)</w:t>
      </w:r>
      <w:r>
        <w:t>. They also reported a higher PPV</w:t>
      </w:r>
      <w:r w:rsidRPr="00F82BBD">
        <w:rPr>
          <w:vertAlign w:val="subscript"/>
        </w:rPr>
        <w:t>3</w:t>
      </w:r>
      <w:r>
        <w:t xml:space="preserve"> rate of </w:t>
      </w:r>
      <w:r w:rsidRPr="00F82BBD">
        <w:t>61.5</w:t>
      </w:r>
      <w:r w:rsidR="00AC0D5D">
        <w:t xml:space="preserve"> percent</w:t>
      </w:r>
      <w:r w:rsidRPr="00F82BBD">
        <w:t xml:space="preserve"> (</w:t>
      </w:r>
      <w:r w:rsidR="00AC0D5D">
        <w:t xml:space="preserve">95%CI: </w:t>
      </w:r>
      <w:r w:rsidRPr="00F82BBD">
        <w:t>57.4,</w:t>
      </w:r>
      <w:r w:rsidR="00C3089B">
        <w:t xml:space="preserve"> </w:t>
      </w:r>
      <w:r w:rsidRPr="00F82BBD">
        <w:t>65.5</w:t>
      </w:r>
      <w:r>
        <w:t xml:space="preserve">, </w:t>
      </w:r>
      <w:r w:rsidRPr="00B26ED2">
        <w:rPr>
          <w:i/>
          <w:iCs/>
        </w:rPr>
        <w:t>p</w:t>
      </w:r>
      <w:r w:rsidR="00AC0D5D">
        <w:rPr>
          <w:i/>
          <w:iCs/>
        </w:rPr>
        <w:t>=</w:t>
      </w:r>
      <w:r>
        <w:t>.55</w:t>
      </w:r>
      <w:r w:rsidRPr="00F82BBD">
        <w:t>)</w:t>
      </w:r>
      <w:r>
        <w:t xml:space="preserve"> for FFDM+DBT compared with </w:t>
      </w:r>
      <w:r w:rsidRPr="00F82BBD">
        <w:t>59.6</w:t>
      </w:r>
      <w:r w:rsidR="00AC0D5D">
        <w:t xml:space="preserve"> percent</w:t>
      </w:r>
      <w:r w:rsidRPr="00F82BBD">
        <w:t xml:space="preserve"> (</w:t>
      </w:r>
      <w:r w:rsidR="00AC0D5D">
        <w:t xml:space="preserve">95%CI: </w:t>
      </w:r>
      <w:r w:rsidRPr="00F82BBD">
        <w:t>54.4,</w:t>
      </w:r>
      <w:r w:rsidR="00C3089B">
        <w:t xml:space="preserve"> </w:t>
      </w:r>
      <w:r w:rsidRPr="00F82BBD">
        <w:t>64.6</w:t>
      </w:r>
      <w:r w:rsidR="00AC0D5D">
        <w:t>;</w:t>
      </w:r>
      <w:r>
        <w:t xml:space="preserve"> </w:t>
      </w:r>
      <w:r w:rsidRPr="009E7821">
        <w:rPr>
          <w:i/>
          <w:iCs/>
        </w:rPr>
        <w:t>p</w:t>
      </w:r>
      <w:r w:rsidR="00AC0D5D">
        <w:rPr>
          <w:i/>
          <w:iCs/>
        </w:rPr>
        <w:t>=</w:t>
      </w:r>
      <w:r w:rsidRPr="009E7821">
        <w:t>.69</w:t>
      </w:r>
      <w:r w:rsidRPr="00F82BBD">
        <w:t>)</w:t>
      </w:r>
      <w:r>
        <w:t xml:space="preserve"> for FFDM alone</w:t>
      </w:r>
      <w:r w:rsidR="00AC0D5D">
        <w:t xml:space="preserve"> but </w:t>
      </w:r>
      <w:r>
        <w:t xml:space="preserve">neither of these differences were significant </w:t>
      </w:r>
      <w:r w:rsidR="00AC0D5D">
        <w:t>(</w:t>
      </w:r>
      <w:r>
        <w:t>unlike that of PPV</w:t>
      </w:r>
      <w:r w:rsidRPr="00F82BBD">
        <w:rPr>
          <w:vertAlign w:val="subscript"/>
        </w:rPr>
        <w:t>1</w:t>
      </w:r>
      <w:r>
        <w:t xml:space="preserve"> in the same study</w:t>
      </w:r>
      <w:r w:rsidR="00AC0D5D">
        <w:t>)</w:t>
      </w:r>
      <w:r>
        <w:t xml:space="preserve">. </w:t>
      </w:r>
    </w:p>
    <w:p w14:paraId="1A33206D" w14:textId="142596BC" w:rsidR="00022015" w:rsidRDefault="00022015" w:rsidP="00022015">
      <w:pPr>
        <w:pStyle w:val="BodyText"/>
      </w:pPr>
      <w:r w:rsidRPr="00B26ED2">
        <w:t xml:space="preserve">Conant et al. </w:t>
      </w:r>
      <w:r w:rsidR="00165C18">
        <w:t xml:space="preserve">(2019) </w:t>
      </w:r>
      <w:r w:rsidRPr="00B26ED2">
        <w:t xml:space="preserve">and Rose </w:t>
      </w:r>
      <w:r w:rsidR="00165C18">
        <w:t xml:space="preserve">&amp; </w:t>
      </w:r>
      <w:r w:rsidRPr="00B26ED2">
        <w:t xml:space="preserve">Shisler </w:t>
      </w:r>
      <w:r w:rsidR="00165C18">
        <w:t xml:space="preserve">(2018) </w:t>
      </w:r>
      <w:r w:rsidRPr="00B26ED2">
        <w:t>also observed increases in PPV</w:t>
      </w:r>
      <w:r w:rsidRPr="00165C18">
        <w:rPr>
          <w:vertAlign w:val="subscript"/>
        </w:rPr>
        <w:t>3</w:t>
      </w:r>
      <w:r w:rsidRPr="00B26ED2">
        <w:t xml:space="preserve"> for FFDM+DBT compared to FFDM alone</w:t>
      </w:r>
      <w:r w:rsidR="00165C18">
        <w:t xml:space="preserve"> but these results did not reach significance (see </w:t>
      </w:r>
      <w:r w:rsidR="00165C18">
        <w:rPr>
          <w:i/>
          <w:iCs/>
        </w:rPr>
        <w:t xml:space="preserve">Table </w:t>
      </w:r>
      <w:r w:rsidR="00E45406">
        <w:rPr>
          <w:i/>
          <w:iCs/>
        </w:rPr>
        <w:t xml:space="preserve">19 </w:t>
      </w:r>
      <w:r w:rsidR="00165C18">
        <w:t xml:space="preserve">for data). Both </w:t>
      </w:r>
      <w:r>
        <w:t xml:space="preserve">Conant et al. and </w:t>
      </w:r>
      <w:r w:rsidR="00165C18">
        <w:t>Rose &amp; Shisler</w:t>
      </w:r>
      <w:r>
        <w:t xml:space="preserve"> also recorded increases in biopsy rate for DBT+FFDM compared to FFDM alone. Conant et al. record</w:t>
      </w:r>
      <w:r w:rsidR="00165C18">
        <w:t>ed</w:t>
      </w:r>
      <w:r>
        <w:t xml:space="preserve"> a rate of 28.08 per 1000 </w:t>
      </w:r>
      <w:r w:rsidR="00165C18">
        <w:t xml:space="preserve">screening examinations </w:t>
      </w:r>
      <w:r>
        <w:t xml:space="preserve">for DBT+FFDM compared with 18.96 per 1000 </w:t>
      </w:r>
      <w:r w:rsidR="00165C18">
        <w:t xml:space="preserve">screening examinations </w:t>
      </w:r>
      <w:r>
        <w:t>for FFDM alone (OR</w:t>
      </w:r>
      <w:r w:rsidR="00285D7E">
        <w:t>=</w:t>
      </w:r>
      <w:r>
        <w:t>1.23; 95%C</w:t>
      </w:r>
      <w:r w:rsidR="00C3089B">
        <w:t>I:</w:t>
      </w:r>
      <w:r>
        <w:t xml:space="preserve"> 1.08</w:t>
      </w:r>
      <w:r w:rsidR="00176980">
        <w:t xml:space="preserve">, </w:t>
      </w:r>
      <w:r>
        <w:t xml:space="preserve">1.40; </w:t>
      </w:r>
      <w:r w:rsidR="00165C18">
        <w:rPr>
          <w:i/>
          <w:iCs/>
        </w:rPr>
        <w:t>p</w:t>
      </w:r>
      <w:r>
        <w:t xml:space="preserve">=.002). The increased biopsy rate observed by Rose </w:t>
      </w:r>
      <w:r w:rsidR="00165C18">
        <w:t xml:space="preserve">&amp; </w:t>
      </w:r>
      <w:r>
        <w:t xml:space="preserve">Shisler was  </w:t>
      </w:r>
      <w:r w:rsidRPr="00835167">
        <w:t>16.6</w:t>
      </w:r>
      <w:r w:rsidR="00165C18">
        <w:t xml:space="preserve"> percent </w:t>
      </w:r>
      <w:r>
        <w:t xml:space="preserve">for </w:t>
      </w:r>
      <w:r w:rsidR="00165C18">
        <w:t xml:space="preserve">FFDM+DBT </w:t>
      </w:r>
      <w:r>
        <w:t xml:space="preserve">compared with </w:t>
      </w:r>
      <w:r w:rsidRPr="00835167">
        <w:t>13.5</w:t>
      </w:r>
      <w:r w:rsidR="00165C18">
        <w:t xml:space="preserve"> percent</w:t>
      </w:r>
      <w:r w:rsidRPr="00835167">
        <w:t xml:space="preserve"> </w:t>
      </w:r>
      <w:r>
        <w:t>for FFDM</w:t>
      </w:r>
      <w:r w:rsidRPr="00835167">
        <w:t xml:space="preserve"> </w:t>
      </w:r>
      <w:r w:rsidR="00165C18">
        <w:t xml:space="preserve">alone </w:t>
      </w:r>
      <w:r w:rsidRPr="00835167">
        <w:t>(</w:t>
      </w:r>
      <w:r w:rsidRPr="00165C18">
        <w:rPr>
          <w:i/>
          <w:iCs/>
        </w:rPr>
        <w:t>p</w:t>
      </w:r>
      <w:r w:rsidRPr="00835167">
        <w:t>=.003)</w:t>
      </w:r>
      <w:r w:rsidR="00165C18">
        <w:t>. T</w:t>
      </w:r>
      <w:r>
        <w:t>his was comparable among women with non-dense breasts (OR</w:t>
      </w:r>
      <w:r w:rsidR="00285D7E">
        <w:t>=</w:t>
      </w:r>
      <w:r>
        <w:t>1.29; 95%CI</w:t>
      </w:r>
      <w:r w:rsidR="00C3089B">
        <w:t>:</w:t>
      </w:r>
      <w:r>
        <w:t xml:space="preserve"> 1.05</w:t>
      </w:r>
      <w:r w:rsidR="00C3089B">
        <w:t xml:space="preserve">, </w:t>
      </w:r>
      <w:r>
        <w:t xml:space="preserve">1.58; </w:t>
      </w:r>
      <w:r w:rsidR="00165C18">
        <w:rPr>
          <w:i/>
          <w:iCs/>
        </w:rPr>
        <w:t>p=</w:t>
      </w:r>
      <w:r>
        <w:t>.01) and women with dense breasts (OR</w:t>
      </w:r>
      <w:r w:rsidR="00285D7E">
        <w:t>=</w:t>
      </w:r>
      <w:r>
        <w:t>1.17; 95%CI</w:t>
      </w:r>
      <w:r w:rsidR="00C3089B">
        <w:t>:</w:t>
      </w:r>
      <w:r>
        <w:t xml:space="preserve"> 1.00</w:t>
      </w:r>
      <w:r w:rsidR="00C3089B">
        <w:t xml:space="preserve">, </w:t>
      </w:r>
      <w:r>
        <w:t xml:space="preserve">1.37; </w:t>
      </w:r>
      <w:r w:rsidR="00165C18">
        <w:rPr>
          <w:i/>
          <w:iCs/>
        </w:rPr>
        <w:t>p=</w:t>
      </w:r>
      <w:r>
        <w:t xml:space="preserve">.06). </w:t>
      </w:r>
    </w:p>
    <w:p w14:paraId="366FB3CA" w14:textId="77777777" w:rsidR="00022015" w:rsidRPr="000C0773" w:rsidRDefault="00022015" w:rsidP="00022015">
      <w:pPr>
        <w:pStyle w:val="Heading3-NOTinTOC"/>
      </w:pPr>
      <w:r>
        <w:t>DBT</w:t>
      </w:r>
      <w:r>
        <w:rPr>
          <w:vertAlign w:val="subscript"/>
        </w:rPr>
        <w:t>MLO</w:t>
      </w:r>
      <w:r>
        <w:t xml:space="preserve"> compared to other imaging combinations</w:t>
      </w:r>
    </w:p>
    <w:p w14:paraId="76511D14" w14:textId="77777777" w:rsidR="00022015" w:rsidRPr="00165C18" w:rsidRDefault="00022015" w:rsidP="00165C18">
      <w:pPr>
        <w:pStyle w:val="BodyText-GREEN"/>
        <w:rPr>
          <w:b/>
          <w:bCs/>
        </w:rPr>
      </w:pPr>
      <w:r w:rsidRPr="00165C18">
        <w:rPr>
          <w:b/>
          <w:bCs/>
        </w:rPr>
        <w:t>Prospective trials embedded in population screening programs</w:t>
      </w:r>
    </w:p>
    <w:p w14:paraId="20D57A29" w14:textId="0A0BD01E" w:rsidR="00022015" w:rsidRPr="00165C18" w:rsidRDefault="00022015" w:rsidP="00022015">
      <w:pPr>
        <w:pStyle w:val="BodyText"/>
      </w:pPr>
      <w:r w:rsidRPr="00165C18">
        <w:t>Zac</w:t>
      </w:r>
      <w:r w:rsidR="00165C18">
        <w:t>k</w:t>
      </w:r>
      <w:r w:rsidRPr="00165C18">
        <w:t>risson et al</w:t>
      </w:r>
      <w:r w:rsidR="00165C18">
        <w:t>.</w:t>
      </w:r>
      <w:r w:rsidRPr="00165C18">
        <w:t xml:space="preserve"> (2018) </w:t>
      </w:r>
      <w:r w:rsidR="00165C18">
        <w:t xml:space="preserve">reported a </w:t>
      </w:r>
      <w:r w:rsidRPr="00165C18">
        <w:t>PPV</w:t>
      </w:r>
      <w:r w:rsidRPr="00165C18">
        <w:rPr>
          <w:vertAlign w:val="subscript"/>
        </w:rPr>
        <w:t>1</w:t>
      </w:r>
      <w:r w:rsidRPr="00165C18">
        <w:t xml:space="preserve"> of 24</w:t>
      </w:r>
      <w:r w:rsidR="00C3089B">
        <w:t>.</w:t>
      </w:r>
      <w:r w:rsidRPr="00165C18">
        <w:t>1</w:t>
      </w:r>
      <w:r w:rsidR="00165C18">
        <w:t xml:space="preserve"> percent</w:t>
      </w:r>
      <w:r w:rsidRPr="00165C18">
        <w:t xml:space="preserve"> (95%CI</w:t>
      </w:r>
      <w:r w:rsidR="00165C18">
        <w:t>:</w:t>
      </w:r>
      <w:r w:rsidRPr="00165C18">
        <w:t xml:space="preserve"> 20</w:t>
      </w:r>
      <w:r w:rsidR="00C3089B">
        <w:t>.</w:t>
      </w:r>
      <w:r w:rsidRPr="00165C18">
        <w:t>5</w:t>
      </w:r>
      <w:r w:rsidR="00C3089B">
        <w:t>, 2</w:t>
      </w:r>
      <w:r w:rsidRPr="00165C18">
        <w:t>8</w:t>
      </w:r>
      <w:r w:rsidR="00C3089B">
        <w:t>.</w:t>
      </w:r>
      <w:r w:rsidRPr="00165C18">
        <w:t>0) for DBT</w:t>
      </w:r>
      <w:r w:rsidRPr="00165C18">
        <w:rPr>
          <w:vertAlign w:val="subscript"/>
        </w:rPr>
        <w:t>MLO</w:t>
      </w:r>
      <w:r w:rsidRPr="00165C18">
        <w:t xml:space="preserve"> compared with 25</w:t>
      </w:r>
      <w:r w:rsidR="00C3089B">
        <w:t>.</w:t>
      </w:r>
      <w:r w:rsidRPr="00165C18">
        <w:t>9</w:t>
      </w:r>
      <w:r w:rsidR="00165C18">
        <w:t xml:space="preserve"> percent </w:t>
      </w:r>
      <w:r w:rsidRPr="00165C18">
        <w:t>(</w:t>
      </w:r>
      <w:r w:rsidR="00C3089B">
        <w:t xml:space="preserve">95%CI: </w:t>
      </w:r>
      <w:r w:rsidRPr="00165C18">
        <w:t>21</w:t>
      </w:r>
      <w:r w:rsidR="00C3089B">
        <w:t>.</w:t>
      </w:r>
      <w:r w:rsidRPr="00165C18">
        <w:t>6</w:t>
      </w:r>
      <w:r w:rsidR="00C3089B">
        <w:t xml:space="preserve">, </w:t>
      </w:r>
      <w:r w:rsidRPr="00165C18">
        <w:t>30</w:t>
      </w:r>
      <w:r w:rsidR="00C3089B">
        <w:t>.</w:t>
      </w:r>
      <w:r w:rsidRPr="00165C18">
        <w:t>7) for FFDM. The addition of a second DBT view may have improved the PPV</w:t>
      </w:r>
      <w:r w:rsidR="00165C18" w:rsidRPr="00165C18">
        <w:rPr>
          <w:vertAlign w:val="subscript"/>
        </w:rPr>
        <w:t>1</w:t>
      </w:r>
      <w:r w:rsidRPr="00165C18">
        <w:rPr>
          <w:vertAlign w:val="superscript"/>
        </w:rPr>
        <w:t xml:space="preserve"> </w:t>
      </w:r>
      <w:r w:rsidRPr="00165C18">
        <w:t>for the DBT study group.</w:t>
      </w:r>
      <w:r w:rsidR="00165C18">
        <w:t xml:space="preserve"> This was the only study to report a lower PPV</w:t>
      </w:r>
      <w:r w:rsidR="00165C18">
        <w:rPr>
          <w:vertAlign w:val="subscript"/>
        </w:rPr>
        <w:t>1</w:t>
      </w:r>
      <w:r w:rsidR="00165C18">
        <w:t xml:space="preserve"> with the use of DBT and the single view may account for the difference.</w:t>
      </w:r>
      <w:r w:rsidRPr="00165C18">
        <w:t xml:space="preserve"> </w:t>
      </w:r>
    </w:p>
    <w:p w14:paraId="70DD7DE8" w14:textId="1740A714" w:rsidR="00C3089B" w:rsidRDefault="00C3089B" w:rsidP="00C3089B">
      <w:pPr>
        <w:pStyle w:val="Caption"/>
      </w:pPr>
      <w:r>
        <w:t xml:space="preserve">Table </w:t>
      </w:r>
      <w:r w:rsidR="00BC52D9">
        <w:t>19</w:t>
      </w:r>
      <w:r>
        <w:t>: PPV</w:t>
      </w:r>
    </w:p>
    <w:tbl>
      <w:tblPr>
        <w:tblStyle w:val="ACGreen-BasicTable"/>
        <w:tblW w:w="0" w:type="auto"/>
        <w:tblLook w:val="04A0" w:firstRow="1" w:lastRow="0" w:firstColumn="1" w:lastColumn="0" w:noHBand="0" w:noVBand="1"/>
        <w:tblDescription w:val="Table 19 for PPV includes the following studies:&#10;&#10;DBT+s2DM compared to FFDM alone for RCT a study by Hofvind et al. (2019) TO-BE-1 (main analysis) which included:&#10;DBT+s2DM (95%CI) are PPV1: 21.4% (17.6, 25.2) , PPV2: 37.7% (31.7, 43.7) , PPV3: 1.8% (1.5, 2.0).&#10;FFDM+DBT (95%CI) is NA.&#10;FFDM alone (95%CI) are PPV1: 15·2%, (12.3, 18.2, p=.011) , PPV2: 32·1%, (26.5, 37.7, p=.18) , PPV3: 1.9% (1.7, 2.1, p=.40). &#10;DBTMLO (95%CI) is NA.&#10;Difference (95%CI) is NA.&#10;&#10;For prospecitve studies embedded in population-based screening programs the following studies are:&#10;Bernardi et al. (2019) Trento, included are:&#10;DBT+s2DM (95%CI) is PPV1: 34.07%.&#10;FFDM+DBT (95%CI) is NA.&#10;FFDM alone (95%CI) is PPV1: 17.07%.&#10;DBTMLO (95%CI) is NA.&#10;Difference (95%CI) is PPV1 % ratio: 2.00; (1.69±2.36).&#10;&#10;A study by Caumo et al. (2019) Verona included:&#10;DBT+s2DM (95%CI) of PPV1; All: 23.3%; Prevalent:  18.1%; Incident: 25.5%.&#10;FFDM+DBT (95%CI) is NA.&#10;FFDM alone (95%CI) of PPV1; All: 12.9%; Prevalent: 10.7%; Incident: 13.5%.&#10;DBTMLO (95%CI) is NA.&#10;Difference (95%CI) is NA.&#10;&#10;A study by Hofvind et al. (2018) included:&#10;DBT+s2DM (95%CI) of PPV1: 27.8% ; PPV3: 53.7%.&#10;FFDM+DBT (95%CI) is NA.&#10;FFDM alone (95%CI) of PPV1: 18.6%, p=.001; PPV3: 38.6%, p=.001.&#10;DBTMLO (95%CI) is NA.&#10;Difference (95%CI) is NA.&#10;&#10;A study by Romero Martin et al. (2018) Cordoba included:&#10;DBT+s2DM (95%CI) of PPV1: 18.0%, PPV3: 46.0%.&#10;FFDM+DBT (95%CI) is NA.&#10;FFDM alone (95%CI) of PPV1: 13.2%; PPV3: 44.3%.&#10;DBTMLO (95%CI) is NA.&#10;Difference (95%CI) is NA.&#10;&#10;A study by Bernardi et al. (2018) STORM-2 included:&#10;DBT+s2DM (95%CI) is PPV1: 34.07%.&#10;FFDM+DBT (95%CI) is NA.&#10;FFDM alone (95%CI) is PPV1: 17.07%.&#10;DBTMLO (95%CI) is NA.&#10;Difference (95%CI) is Difference (95%CI).&#10;&#10;For retrospective analysis a study by Hovda et al. (2019) included:&#10;DBT+s2DM (95%CI) is PPV1 (DBT after FFDM): 36.4%.&#10;FFDM+DBT (95%CI) is NA.&#10;FFDM alone (95%CI) is PPV1 (FFDM after FFDM): 12.9%, p&lt;.001.&#10;DBTMLO (95%CI) is NA.&#10;Difference (95%CI) is NA.&#10;&#10;FFDM+DBT compared to FFDM alone for RCT included a study by Pattacini et al. (2018) Reggio Emilia included:&#10;DBT+s2DM (95%CI) is NA.&#10;FFDM+DBT (95%CI) of&#10;PPV1 - &#10;All: 24.1%;&#10;45 to 49 years: 13.4% &#10;50 to 59 years: 28.5% &#10;60 to 70 years: 29.1%.&#10;&#10;FFDM alone (95%CI) of &#10;PPV1 &#10;All: 13.0%&#10;45 to 49 years: 7.8% &#10;50 to 59 years: 12.8% &#10;60 to 70 years: 21.1.&#10;DBTMLO (95%CI) is NA.&#10;Difference (95%CI) is NA.&#10;&#10;For prospective studies embedded in population-based screening programs include a study by Skaane et al. (2018) included:&#10;DBT+s2DM (95%CI) is NA. &#10;FFDM+DBT (95%CI) is PPV1: 27.7%, PPV3: 55.0%.&#10;FFDM alone (95%CI) is NA.&#10;DBTMLO (95%CI) is NA.&#10;Difference (95%CI) is NA.&#10;&#10;For retrospective analysis the following studies were included:&#10;A study by Bahl et al. (2019) included&#10;DBT+s2DM (95%CI) is NA.&#10;FFDM+DBT (95%CI) is PPV1: 14.5% (13.1, 15.9), PPV2: 58.8% (54.7, 62.7, PPV3: 61.5% (57.4, 65.5).&#10;FFDM alone (95%CI) is PPV1: 11.9% (10.4, 13.4), PPV2: 56.4% (51.4, 61.4), PPV3: 59.6% (54.4, 64.6).&#10;DBTMLO (95%CI) is NA.&#10;Difference (95%CI) is NA.&#10;&#10;A study by Honig et al. (2019) included:&#10;DBT+s2DM (95%CI) is NA.&#10;FFDM+DBT (95%CI) is PPV1: 5.9%, PPV3:38.3%.&#10;FFDM alone (95%CI)  is PPV1: 5.1%, PPV3: 36.5%.&#10;DBTMLO (95%CI) is NA.&#10;Difference (95%CI) is NA.&#10;&#10;A study by Rose &amp; Shisler (2018) included:&#10;DBT+s2DM (95%CI) is NA.&#10;FDM+DBT (95%CI) is PPV1 &#10;All: 2.3%&#10;Dense: 2.5%, PPV3 &#10;All: 16.1%, Dense: 17.2%&#10;FFDM alone (95%CI) is&#10;PPV1 &#10;All: 1.6%, Dense: 1.6%.&#10;PPV3&#10;All: 13.8%,Dense: 13.4%.&#10;DBTMLO (95%CI) is NA.&#10;Difference (95%CI) is PPV1 &#10;All: 0.7 (0.04, 1.4;  p=.04), Dense: 0.9 (0.04, 1.8; p=.55)&#10;PPV3 &#10;All: 1.5 (−3.3, 6.3; p=.55), Dense:  3.2 (−2.8, 9.2; p=.29).&#10;&#10;FFDM+DBT compared to FFDM alone -&#10;For prospective studies embedded in population-based screening programs included a study by Zackrisson et al. (2018) Malmö which included:&#10;DBT+s2DM (95%CI) is NA.&#10;FDM+DBT (95%CI) is NA.&#10;FFDM alone (95%CI) is&#10;PPV1 : 25·9% (21·6, 30·7)&#10;NPV:  99·6% (99·4, 99·7)&#10;DBTMLO (95%CI) is PPV1 : 24·1% (20·5, 28·0)&#10;NPV: 99·8% (99·7, 99·9)&#10;Difference (95%CI) is NA.&#10;"/>
      </w:tblPr>
      <w:tblGrid>
        <w:gridCol w:w="1151"/>
        <w:gridCol w:w="1582"/>
        <w:gridCol w:w="1582"/>
        <w:gridCol w:w="1582"/>
        <w:gridCol w:w="1582"/>
        <w:gridCol w:w="1582"/>
      </w:tblGrid>
      <w:tr w:rsidR="006E02AA" w:rsidRPr="006E02AA" w14:paraId="66232751" w14:textId="77777777" w:rsidTr="006E02AA">
        <w:trPr>
          <w:cnfStyle w:val="100000000000" w:firstRow="1" w:lastRow="0" w:firstColumn="0" w:lastColumn="0" w:oddVBand="0" w:evenVBand="0" w:oddHBand="0" w:evenHBand="0" w:firstRowFirstColumn="0" w:firstRowLastColumn="0" w:lastRowFirstColumn="0" w:lastRowLastColumn="0"/>
        </w:trPr>
        <w:tc>
          <w:tcPr>
            <w:tcW w:w="1151" w:type="dxa"/>
          </w:tcPr>
          <w:p w14:paraId="4815087D" w14:textId="67A6D4F2" w:rsidR="006E02AA" w:rsidRPr="006E02AA" w:rsidRDefault="006E02AA" w:rsidP="006E02AA">
            <w:pPr>
              <w:jc w:val="center"/>
              <w:rPr>
                <w:sz w:val="18"/>
                <w:szCs w:val="18"/>
              </w:rPr>
            </w:pPr>
            <w:r w:rsidRPr="006E02AA">
              <w:rPr>
                <w:sz w:val="18"/>
                <w:szCs w:val="18"/>
              </w:rPr>
              <w:lastRenderedPageBreak/>
              <w:t>Study</w:t>
            </w:r>
          </w:p>
        </w:tc>
        <w:tc>
          <w:tcPr>
            <w:tcW w:w="1582" w:type="dxa"/>
          </w:tcPr>
          <w:p w14:paraId="58D9E21C" w14:textId="365C78A9" w:rsidR="006E02AA" w:rsidRPr="006E02AA" w:rsidRDefault="006E02AA" w:rsidP="006E02AA">
            <w:pPr>
              <w:jc w:val="center"/>
              <w:rPr>
                <w:b w:val="0"/>
                <w:sz w:val="18"/>
                <w:szCs w:val="18"/>
              </w:rPr>
            </w:pPr>
            <w:r w:rsidRPr="006E02AA">
              <w:rPr>
                <w:sz w:val="18"/>
                <w:szCs w:val="18"/>
              </w:rPr>
              <w:t>DBT+</w:t>
            </w:r>
            <w:r w:rsidR="00176980">
              <w:rPr>
                <w:sz w:val="18"/>
                <w:szCs w:val="18"/>
              </w:rPr>
              <w:t>s2DM</w:t>
            </w:r>
          </w:p>
          <w:p w14:paraId="69F37D52" w14:textId="3FEDDB55" w:rsidR="006E02AA" w:rsidRPr="006E02AA" w:rsidRDefault="006E02AA" w:rsidP="006E02AA">
            <w:pPr>
              <w:jc w:val="center"/>
              <w:rPr>
                <w:b w:val="0"/>
                <w:bCs/>
                <w:sz w:val="16"/>
                <w:szCs w:val="16"/>
              </w:rPr>
            </w:pPr>
            <w:r w:rsidRPr="006E02AA">
              <w:rPr>
                <w:b w:val="0"/>
                <w:bCs/>
                <w:sz w:val="16"/>
                <w:szCs w:val="16"/>
              </w:rPr>
              <w:t>(95%CI)</w:t>
            </w:r>
          </w:p>
        </w:tc>
        <w:tc>
          <w:tcPr>
            <w:tcW w:w="1582" w:type="dxa"/>
          </w:tcPr>
          <w:p w14:paraId="6EE44BDD" w14:textId="77777777" w:rsidR="006E02AA" w:rsidRPr="006E02AA" w:rsidRDefault="006E02AA" w:rsidP="006E02AA">
            <w:pPr>
              <w:jc w:val="center"/>
              <w:rPr>
                <w:b w:val="0"/>
                <w:sz w:val="18"/>
                <w:szCs w:val="18"/>
              </w:rPr>
            </w:pPr>
            <w:r w:rsidRPr="006E02AA">
              <w:rPr>
                <w:sz w:val="18"/>
                <w:szCs w:val="18"/>
              </w:rPr>
              <w:t>FFDM+DBT</w:t>
            </w:r>
          </w:p>
          <w:p w14:paraId="3D1BB1CB" w14:textId="61B37F6E" w:rsidR="006E02AA" w:rsidRPr="006E02AA" w:rsidRDefault="006E02AA" w:rsidP="006E02AA">
            <w:pPr>
              <w:jc w:val="center"/>
              <w:rPr>
                <w:sz w:val="18"/>
                <w:szCs w:val="18"/>
              </w:rPr>
            </w:pPr>
            <w:r w:rsidRPr="006E02AA">
              <w:rPr>
                <w:b w:val="0"/>
                <w:bCs/>
                <w:sz w:val="16"/>
                <w:szCs w:val="16"/>
              </w:rPr>
              <w:t>(95%CI)</w:t>
            </w:r>
          </w:p>
        </w:tc>
        <w:tc>
          <w:tcPr>
            <w:tcW w:w="1582" w:type="dxa"/>
          </w:tcPr>
          <w:p w14:paraId="71B8ABA5" w14:textId="77777777" w:rsidR="006E02AA" w:rsidRPr="006E02AA" w:rsidRDefault="006E02AA" w:rsidP="006E02AA">
            <w:pPr>
              <w:jc w:val="center"/>
              <w:rPr>
                <w:b w:val="0"/>
                <w:sz w:val="18"/>
                <w:szCs w:val="18"/>
              </w:rPr>
            </w:pPr>
            <w:r w:rsidRPr="006E02AA">
              <w:rPr>
                <w:sz w:val="18"/>
                <w:szCs w:val="18"/>
              </w:rPr>
              <w:t>FFDM alone</w:t>
            </w:r>
          </w:p>
          <w:p w14:paraId="6A808E03" w14:textId="4D3CA9F6" w:rsidR="006E02AA" w:rsidRPr="006E02AA" w:rsidRDefault="006E02AA" w:rsidP="006E02AA">
            <w:pPr>
              <w:jc w:val="center"/>
              <w:rPr>
                <w:sz w:val="18"/>
                <w:szCs w:val="18"/>
              </w:rPr>
            </w:pPr>
            <w:r w:rsidRPr="006E02AA">
              <w:rPr>
                <w:b w:val="0"/>
                <w:bCs/>
                <w:sz w:val="16"/>
                <w:szCs w:val="16"/>
              </w:rPr>
              <w:t>(95%CI)</w:t>
            </w:r>
          </w:p>
        </w:tc>
        <w:tc>
          <w:tcPr>
            <w:tcW w:w="1582" w:type="dxa"/>
          </w:tcPr>
          <w:p w14:paraId="65D49FF0" w14:textId="77777777" w:rsidR="006E02AA" w:rsidRPr="006E02AA" w:rsidRDefault="006E02AA" w:rsidP="006E02AA">
            <w:pPr>
              <w:jc w:val="center"/>
              <w:rPr>
                <w:b w:val="0"/>
                <w:sz w:val="18"/>
                <w:szCs w:val="18"/>
                <w:vertAlign w:val="subscript"/>
              </w:rPr>
            </w:pPr>
            <w:r w:rsidRPr="006E02AA">
              <w:rPr>
                <w:sz w:val="18"/>
                <w:szCs w:val="18"/>
              </w:rPr>
              <w:t>DBT</w:t>
            </w:r>
            <w:r w:rsidRPr="006E02AA">
              <w:rPr>
                <w:sz w:val="18"/>
                <w:szCs w:val="18"/>
                <w:vertAlign w:val="subscript"/>
              </w:rPr>
              <w:t>MLO</w:t>
            </w:r>
          </w:p>
          <w:p w14:paraId="14268152" w14:textId="61215585" w:rsidR="006E02AA" w:rsidRPr="006E02AA" w:rsidRDefault="006E02AA" w:rsidP="006E02AA">
            <w:pPr>
              <w:jc w:val="center"/>
              <w:rPr>
                <w:sz w:val="18"/>
                <w:szCs w:val="18"/>
                <w:vertAlign w:val="subscript"/>
              </w:rPr>
            </w:pPr>
            <w:r w:rsidRPr="006E02AA">
              <w:rPr>
                <w:b w:val="0"/>
                <w:bCs/>
                <w:sz w:val="16"/>
                <w:szCs w:val="16"/>
              </w:rPr>
              <w:t>(95%CI)</w:t>
            </w:r>
          </w:p>
        </w:tc>
        <w:tc>
          <w:tcPr>
            <w:tcW w:w="1582" w:type="dxa"/>
          </w:tcPr>
          <w:p w14:paraId="7C4B2921" w14:textId="77777777" w:rsidR="006E02AA" w:rsidRPr="006E02AA" w:rsidRDefault="006E02AA" w:rsidP="006E02AA">
            <w:pPr>
              <w:jc w:val="center"/>
              <w:rPr>
                <w:b w:val="0"/>
                <w:sz w:val="18"/>
                <w:szCs w:val="18"/>
              </w:rPr>
            </w:pPr>
            <w:r w:rsidRPr="006E02AA">
              <w:rPr>
                <w:sz w:val="18"/>
                <w:szCs w:val="18"/>
              </w:rPr>
              <w:t>Difference</w:t>
            </w:r>
          </w:p>
          <w:p w14:paraId="60D4FE0D" w14:textId="2047364C" w:rsidR="006E02AA" w:rsidRPr="006E02AA" w:rsidRDefault="006E02AA" w:rsidP="006E02AA">
            <w:pPr>
              <w:jc w:val="center"/>
              <w:rPr>
                <w:sz w:val="18"/>
                <w:szCs w:val="18"/>
              </w:rPr>
            </w:pPr>
            <w:r w:rsidRPr="006E02AA">
              <w:rPr>
                <w:b w:val="0"/>
                <w:bCs/>
                <w:sz w:val="16"/>
                <w:szCs w:val="16"/>
              </w:rPr>
              <w:t>(95%CI)</w:t>
            </w:r>
          </w:p>
        </w:tc>
      </w:tr>
      <w:tr w:rsidR="006E02AA" w:rsidRPr="006E02AA" w14:paraId="6645D6C5" w14:textId="77777777" w:rsidTr="006E02AA">
        <w:tc>
          <w:tcPr>
            <w:tcW w:w="9061" w:type="dxa"/>
            <w:gridSpan w:val="6"/>
            <w:shd w:val="clear" w:color="auto" w:fill="E7FFBD" w:themeFill="background2" w:themeFillTint="33"/>
          </w:tcPr>
          <w:p w14:paraId="039E2D8B" w14:textId="1C13F4A5" w:rsidR="006E02AA" w:rsidRPr="006E02AA" w:rsidRDefault="006E02AA" w:rsidP="006E02AA">
            <w:pPr>
              <w:jc w:val="center"/>
              <w:rPr>
                <w:sz w:val="18"/>
                <w:szCs w:val="18"/>
              </w:rPr>
            </w:pPr>
            <w:r w:rsidRPr="006E02AA">
              <w:rPr>
                <w:sz w:val="18"/>
                <w:szCs w:val="18"/>
              </w:rPr>
              <w:t>DBT+</w:t>
            </w:r>
            <w:r w:rsidR="00176980">
              <w:rPr>
                <w:sz w:val="18"/>
                <w:szCs w:val="18"/>
              </w:rPr>
              <w:t>s2DM</w:t>
            </w:r>
            <w:r w:rsidRPr="006E02AA">
              <w:rPr>
                <w:sz w:val="18"/>
                <w:szCs w:val="18"/>
              </w:rPr>
              <w:t xml:space="preserve"> compared to FFDM alone</w:t>
            </w:r>
          </w:p>
        </w:tc>
      </w:tr>
      <w:tr w:rsidR="006E02AA" w:rsidRPr="006E02AA" w14:paraId="3D316380" w14:textId="77777777" w:rsidTr="00630B87">
        <w:tc>
          <w:tcPr>
            <w:tcW w:w="9061" w:type="dxa"/>
            <w:gridSpan w:val="6"/>
          </w:tcPr>
          <w:p w14:paraId="0E891D30" w14:textId="243BDC5D" w:rsidR="006E02AA" w:rsidRPr="006E02AA" w:rsidRDefault="006E02AA" w:rsidP="00C3089B">
            <w:pPr>
              <w:rPr>
                <w:b/>
                <w:bCs/>
                <w:sz w:val="18"/>
                <w:szCs w:val="18"/>
              </w:rPr>
            </w:pPr>
            <w:r w:rsidRPr="006E02AA">
              <w:rPr>
                <w:b/>
                <w:bCs/>
                <w:sz w:val="18"/>
                <w:szCs w:val="18"/>
              </w:rPr>
              <w:t>RCT</w:t>
            </w:r>
          </w:p>
        </w:tc>
      </w:tr>
      <w:tr w:rsidR="006E02AA" w:rsidRPr="006E02AA" w14:paraId="0D428EA2" w14:textId="77777777" w:rsidTr="006E02AA">
        <w:tc>
          <w:tcPr>
            <w:tcW w:w="1151" w:type="dxa"/>
          </w:tcPr>
          <w:p w14:paraId="0FB845FB" w14:textId="2ECB1E39" w:rsidR="006E02AA" w:rsidRPr="006E02AA" w:rsidRDefault="006E02AA" w:rsidP="00C3089B">
            <w:pPr>
              <w:pStyle w:val="BodyText"/>
              <w:spacing w:before="0" w:after="0" w:line="240" w:lineRule="auto"/>
              <w:jc w:val="left"/>
              <w:rPr>
                <w:rFonts w:cstheme="majorHAnsi"/>
                <w:bCs/>
                <w:sz w:val="18"/>
                <w:szCs w:val="18"/>
              </w:rPr>
            </w:pPr>
            <w:r w:rsidRPr="006E02AA">
              <w:rPr>
                <w:rFonts w:cstheme="majorHAnsi"/>
                <w:bCs/>
                <w:sz w:val="18"/>
                <w:szCs w:val="18"/>
              </w:rPr>
              <w:t>Hofvind et al. (2019)</w:t>
            </w:r>
          </w:p>
          <w:p w14:paraId="2B6179B7" w14:textId="128BF9C5" w:rsidR="006E02AA" w:rsidRDefault="006E02AA" w:rsidP="00C3089B">
            <w:pPr>
              <w:pStyle w:val="BodyText"/>
              <w:spacing w:before="0" w:after="0" w:line="240" w:lineRule="auto"/>
              <w:jc w:val="left"/>
              <w:rPr>
                <w:rFonts w:cstheme="majorHAnsi"/>
                <w:bCs/>
                <w:sz w:val="18"/>
                <w:szCs w:val="18"/>
              </w:rPr>
            </w:pPr>
            <w:r w:rsidRPr="006E02AA">
              <w:rPr>
                <w:rFonts w:cstheme="majorHAnsi"/>
                <w:bCs/>
                <w:sz w:val="18"/>
                <w:szCs w:val="18"/>
              </w:rPr>
              <w:t>To-Be</w:t>
            </w:r>
            <w:r w:rsidR="000C5381">
              <w:rPr>
                <w:rFonts w:cstheme="majorHAnsi"/>
                <w:bCs/>
                <w:sz w:val="18"/>
                <w:szCs w:val="18"/>
              </w:rPr>
              <w:t>-1</w:t>
            </w:r>
          </w:p>
          <w:p w14:paraId="1EF9C592" w14:textId="3EA023E8" w:rsidR="000C5381" w:rsidRPr="006E02AA" w:rsidRDefault="000C5381" w:rsidP="00C3089B">
            <w:pPr>
              <w:pStyle w:val="BodyText"/>
              <w:spacing w:before="0" w:after="0" w:line="240" w:lineRule="auto"/>
              <w:jc w:val="left"/>
              <w:rPr>
                <w:rFonts w:cstheme="majorHAnsi"/>
                <w:bCs/>
                <w:sz w:val="18"/>
                <w:szCs w:val="18"/>
              </w:rPr>
            </w:pPr>
            <w:r>
              <w:rPr>
                <w:rFonts w:cstheme="majorHAnsi"/>
                <w:bCs/>
                <w:sz w:val="18"/>
                <w:szCs w:val="18"/>
              </w:rPr>
              <w:t>(main analysis)</w:t>
            </w:r>
          </w:p>
          <w:p w14:paraId="2AC2EDA8" w14:textId="77777777" w:rsidR="006E02AA" w:rsidRPr="006E02AA" w:rsidRDefault="006E02AA" w:rsidP="00C3089B">
            <w:pPr>
              <w:rPr>
                <w:sz w:val="18"/>
                <w:szCs w:val="18"/>
              </w:rPr>
            </w:pPr>
          </w:p>
        </w:tc>
        <w:tc>
          <w:tcPr>
            <w:tcW w:w="1582" w:type="dxa"/>
          </w:tcPr>
          <w:p w14:paraId="3745C0CE" w14:textId="3510524C" w:rsidR="006E02AA" w:rsidRPr="006E02AA" w:rsidRDefault="006E02AA" w:rsidP="00C3089B">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21.4% (17.6, 25.2) </w:t>
            </w:r>
          </w:p>
          <w:p w14:paraId="1808229F" w14:textId="48B782BA" w:rsidR="006E02AA" w:rsidRPr="006E02AA" w:rsidRDefault="006E02AA" w:rsidP="00C3089B">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2</w:t>
            </w:r>
            <w:r w:rsidRPr="006E02AA">
              <w:rPr>
                <w:rFonts w:cstheme="majorHAnsi"/>
                <w:bCs/>
                <w:sz w:val="18"/>
                <w:szCs w:val="18"/>
              </w:rPr>
              <w:t xml:space="preserve">: 37.7% (31.7, 43.7) </w:t>
            </w:r>
          </w:p>
          <w:p w14:paraId="13241CCD" w14:textId="2D67CF3C"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r w:rsidRPr="006E02AA">
              <w:rPr>
                <w:rFonts w:cstheme="majorHAnsi"/>
                <w:bCs/>
                <w:sz w:val="18"/>
                <w:szCs w:val="18"/>
              </w:rPr>
              <w:t>: 1.8% (1.5, 2.0)</w:t>
            </w:r>
          </w:p>
        </w:tc>
        <w:tc>
          <w:tcPr>
            <w:tcW w:w="1582" w:type="dxa"/>
          </w:tcPr>
          <w:p w14:paraId="6B71A4FC" w14:textId="3FC01B5A" w:rsidR="006E02AA" w:rsidRPr="006E02AA" w:rsidRDefault="006E02AA" w:rsidP="006E02AA">
            <w:pPr>
              <w:jc w:val="center"/>
              <w:rPr>
                <w:sz w:val="18"/>
                <w:szCs w:val="18"/>
              </w:rPr>
            </w:pPr>
            <w:r w:rsidRPr="006E02AA">
              <w:rPr>
                <w:sz w:val="18"/>
                <w:szCs w:val="18"/>
              </w:rPr>
              <w:t>NA</w:t>
            </w:r>
          </w:p>
        </w:tc>
        <w:tc>
          <w:tcPr>
            <w:tcW w:w="1582" w:type="dxa"/>
          </w:tcPr>
          <w:p w14:paraId="0839CD8C" w14:textId="4F2F3652" w:rsidR="006E02AA" w:rsidRPr="006E02AA" w:rsidRDefault="006E02AA" w:rsidP="00C3089B">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15·2%, (12.3, 18.2, </w:t>
            </w:r>
            <w:r w:rsidRPr="006E02AA">
              <w:rPr>
                <w:rFonts w:cstheme="majorHAnsi"/>
                <w:bCs/>
                <w:i/>
                <w:iCs/>
                <w:sz w:val="18"/>
                <w:szCs w:val="18"/>
              </w:rPr>
              <w:t>p=.</w:t>
            </w:r>
            <w:r w:rsidRPr="006E02AA">
              <w:rPr>
                <w:rFonts w:cstheme="majorHAnsi"/>
                <w:bCs/>
                <w:sz w:val="18"/>
                <w:szCs w:val="18"/>
              </w:rPr>
              <w:t xml:space="preserve">011) </w:t>
            </w:r>
          </w:p>
          <w:p w14:paraId="2C8F1DD2" w14:textId="21073DEA"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2</w:t>
            </w:r>
            <w:r w:rsidRPr="006E02AA">
              <w:rPr>
                <w:rFonts w:cstheme="majorHAnsi"/>
                <w:bCs/>
                <w:sz w:val="18"/>
                <w:szCs w:val="18"/>
              </w:rPr>
              <w:t xml:space="preserve">: 32·1% (26.5, 37.7, </w:t>
            </w:r>
            <w:r w:rsidRPr="006E02AA">
              <w:rPr>
                <w:rFonts w:cstheme="majorHAnsi"/>
                <w:bCs/>
                <w:i/>
                <w:iCs/>
                <w:sz w:val="18"/>
                <w:szCs w:val="18"/>
              </w:rPr>
              <w:t>p</w:t>
            </w:r>
            <w:r w:rsidRPr="006E02AA">
              <w:rPr>
                <w:rFonts w:cstheme="majorHAnsi"/>
                <w:bCs/>
                <w:sz w:val="18"/>
                <w:szCs w:val="18"/>
              </w:rPr>
              <w:t xml:space="preserve">=.18) </w:t>
            </w:r>
          </w:p>
          <w:p w14:paraId="01D34073" w14:textId="1BAB0943"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r w:rsidRPr="006E02AA">
              <w:rPr>
                <w:rFonts w:cstheme="majorHAnsi"/>
                <w:bCs/>
                <w:sz w:val="18"/>
                <w:szCs w:val="18"/>
              </w:rPr>
              <w:t xml:space="preserve">: 1.9% (1.7, 2.1, </w:t>
            </w:r>
            <w:r w:rsidRPr="006E02AA">
              <w:rPr>
                <w:rFonts w:cstheme="majorHAnsi"/>
                <w:bCs/>
                <w:i/>
                <w:iCs/>
                <w:sz w:val="18"/>
                <w:szCs w:val="18"/>
              </w:rPr>
              <w:t>p=</w:t>
            </w:r>
            <w:r w:rsidRPr="006E02AA">
              <w:rPr>
                <w:rFonts w:cstheme="majorHAnsi"/>
                <w:bCs/>
                <w:sz w:val="18"/>
                <w:szCs w:val="18"/>
              </w:rPr>
              <w:t>.40)</w:t>
            </w:r>
            <w:r w:rsidRPr="006E02AA">
              <w:rPr>
                <w:rFonts w:cstheme="majorHAnsi"/>
                <w:bCs/>
                <w:sz w:val="18"/>
                <w:szCs w:val="18"/>
                <w:highlight w:val="yellow"/>
              </w:rPr>
              <w:t xml:space="preserve"> </w:t>
            </w:r>
          </w:p>
        </w:tc>
        <w:tc>
          <w:tcPr>
            <w:tcW w:w="1582" w:type="dxa"/>
          </w:tcPr>
          <w:p w14:paraId="4042649B" w14:textId="01D1FC7A" w:rsidR="006E02AA" w:rsidRPr="006E02AA" w:rsidRDefault="006E02AA" w:rsidP="006E02AA">
            <w:pPr>
              <w:pStyle w:val="BodyText"/>
              <w:spacing w:before="0" w:after="0" w:line="240" w:lineRule="auto"/>
              <w:jc w:val="center"/>
              <w:rPr>
                <w:rFonts w:cstheme="majorHAnsi"/>
                <w:bCs/>
                <w:sz w:val="18"/>
                <w:szCs w:val="18"/>
              </w:rPr>
            </w:pPr>
            <w:r w:rsidRPr="006E02AA">
              <w:rPr>
                <w:rFonts w:cstheme="majorHAnsi"/>
                <w:bCs/>
                <w:sz w:val="18"/>
                <w:szCs w:val="18"/>
              </w:rPr>
              <w:t>NA</w:t>
            </w:r>
          </w:p>
        </w:tc>
        <w:tc>
          <w:tcPr>
            <w:tcW w:w="1582" w:type="dxa"/>
          </w:tcPr>
          <w:p w14:paraId="5CBA6687" w14:textId="59A6DB97" w:rsidR="006E02AA" w:rsidRPr="006E02AA" w:rsidRDefault="006E02AA" w:rsidP="006E02AA">
            <w:pPr>
              <w:pStyle w:val="BodyText"/>
              <w:spacing w:before="0" w:after="0" w:line="240" w:lineRule="auto"/>
              <w:jc w:val="center"/>
              <w:rPr>
                <w:rFonts w:cstheme="majorHAnsi"/>
                <w:bCs/>
                <w:sz w:val="18"/>
                <w:szCs w:val="18"/>
              </w:rPr>
            </w:pPr>
            <w:r w:rsidRPr="006E02AA">
              <w:rPr>
                <w:rFonts w:cstheme="majorHAnsi"/>
                <w:bCs/>
                <w:sz w:val="18"/>
                <w:szCs w:val="18"/>
              </w:rPr>
              <w:t>NA</w:t>
            </w:r>
          </w:p>
          <w:p w14:paraId="75FC2E0B" w14:textId="77777777" w:rsidR="006E02AA" w:rsidRPr="006E02AA" w:rsidRDefault="006E02AA" w:rsidP="00C3089B">
            <w:pPr>
              <w:pStyle w:val="BodyText"/>
              <w:spacing w:before="0" w:after="0" w:line="240" w:lineRule="auto"/>
              <w:jc w:val="left"/>
              <w:rPr>
                <w:rFonts w:cstheme="majorHAnsi"/>
                <w:bCs/>
                <w:color w:val="FFFFFF" w:themeColor="background1"/>
                <w:sz w:val="18"/>
                <w:szCs w:val="18"/>
              </w:rPr>
            </w:pPr>
          </w:p>
          <w:p w14:paraId="205C3AA5" w14:textId="10289D9B" w:rsidR="006E02AA" w:rsidRPr="006E02AA" w:rsidRDefault="006E02AA" w:rsidP="00C3089B">
            <w:pPr>
              <w:rPr>
                <w:sz w:val="18"/>
                <w:szCs w:val="18"/>
              </w:rPr>
            </w:pPr>
          </w:p>
        </w:tc>
      </w:tr>
      <w:tr w:rsidR="006E02AA" w:rsidRPr="006E02AA" w14:paraId="439EB82D" w14:textId="77777777" w:rsidTr="00630B87">
        <w:tc>
          <w:tcPr>
            <w:tcW w:w="9061" w:type="dxa"/>
            <w:gridSpan w:val="6"/>
          </w:tcPr>
          <w:p w14:paraId="0A679A7F" w14:textId="77777777" w:rsidR="006E02AA" w:rsidRPr="006E02AA" w:rsidRDefault="006E02AA" w:rsidP="00630B87">
            <w:pPr>
              <w:rPr>
                <w:sz w:val="18"/>
                <w:szCs w:val="18"/>
              </w:rPr>
            </w:pPr>
            <w:r w:rsidRPr="006E02AA">
              <w:rPr>
                <w:rFonts w:cstheme="majorHAnsi"/>
                <w:b/>
                <w:sz w:val="18"/>
                <w:szCs w:val="18"/>
              </w:rPr>
              <w:t>Prospective studies embedded in population-based screening programs</w:t>
            </w:r>
          </w:p>
        </w:tc>
      </w:tr>
      <w:tr w:rsidR="006E02AA" w:rsidRPr="006E02AA" w14:paraId="4A3CF15E" w14:textId="77777777" w:rsidTr="006E02AA">
        <w:trPr>
          <w:trHeight w:val="530"/>
        </w:trPr>
        <w:tc>
          <w:tcPr>
            <w:tcW w:w="1151" w:type="dxa"/>
          </w:tcPr>
          <w:p w14:paraId="3B0C7F79" w14:textId="6414951F" w:rsidR="006E02AA" w:rsidRPr="006E02AA" w:rsidRDefault="006E02AA" w:rsidP="00630B87">
            <w:pPr>
              <w:rPr>
                <w:sz w:val="18"/>
                <w:szCs w:val="18"/>
              </w:rPr>
            </w:pPr>
            <w:r w:rsidRPr="006E02AA">
              <w:rPr>
                <w:sz w:val="18"/>
                <w:szCs w:val="18"/>
              </w:rPr>
              <w:t>Bernardi et al. (2019) Trento</w:t>
            </w:r>
          </w:p>
        </w:tc>
        <w:tc>
          <w:tcPr>
            <w:tcW w:w="1582" w:type="dxa"/>
          </w:tcPr>
          <w:p w14:paraId="698318BA" w14:textId="33314989" w:rsidR="006E02AA" w:rsidRPr="006E02AA" w:rsidRDefault="006E02AA" w:rsidP="00630B87">
            <w:pPr>
              <w:rPr>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34.07% </w:t>
            </w:r>
          </w:p>
        </w:tc>
        <w:tc>
          <w:tcPr>
            <w:tcW w:w="1582" w:type="dxa"/>
          </w:tcPr>
          <w:p w14:paraId="65587441" w14:textId="4A0F1C23" w:rsidR="006E02AA" w:rsidRPr="006E02AA" w:rsidRDefault="006E02AA" w:rsidP="006E02AA">
            <w:pPr>
              <w:jc w:val="center"/>
              <w:rPr>
                <w:sz w:val="18"/>
                <w:szCs w:val="18"/>
              </w:rPr>
            </w:pPr>
            <w:r w:rsidRPr="006E02AA">
              <w:rPr>
                <w:sz w:val="18"/>
                <w:szCs w:val="18"/>
              </w:rPr>
              <w:t>NA</w:t>
            </w:r>
          </w:p>
        </w:tc>
        <w:tc>
          <w:tcPr>
            <w:tcW w:w="1582" w:type="dxa"/>
          </w:tcPr>
          <w:p w14:paraId="4C60625B" w14:textId="3881BBF6" w:rsidR="006E02AA" w:rsidRPr="006E02AA" w:rsidRDefault="006E02AA" w:rsidP="006E02AA">
            <w:pPr>
              <w:pStyle w:val="BodyText"/>
              <w:spacing w:before="0" w:after="0" w:line="240" w:lineRule="auto"/>
              <w:jc w:val="left"/>
              <w:rPr>
                <w:rFonts w:cstheme="majorHAnsi"/>
                <w:b/>
                <w:color w:val="FFFFFF" w:themeColor="background1"/>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17.07% </w:t>
            </w:r>
          </w:p>
        </w:tc>
        <w:tc>
          <w:tcPr>
            <w:tcW w:w="1582" w:type="dxa"/>
          </w:tcPr>
          <w:p w14:paraId="28AA1C72" w14:textId="50D6AF62" w:rsidR="006E02AA" w:rsidRPr="006E02AA" w:rsidRDefault="006E02AA" w:rsidP="006E02AA">
            <w:pPr>
              <w:jc w:val="center"/>
              <w:rPr>
                <w:rFonts w:cstheme="majorHAnsi"/>
                <w:bCs/>
                <w:sz w:val="18"/>
                <w:szCs w:val="18"/>
              </w:rPr>
            </w:pPr>
            <w:r w:rsidRPr="006E02AA">
              <w:rPr>
                <w:rFonts w:cstheme="majorHAnsi"/>
                <w:bCs/>
                <w:sz w:val="18"/>
                <w:szCs w:val="18"/>
              </w:rPr>
              <w:t>NA</w:t>
            </w:r>
          </w:p>
        </w:tc>
        <w:tc>
          <w:tcPr>
            <w:tcW w:w="1582" w:type="dxa"/>
          </w:tcPr>
          <w:p w14:paraId="2111FDA9" w14:textId="15C43D25" w:rsidR="006E02AA" w:rsidRPr="006E02AA" w:rsidRDefault="006E02AA" w:rsidP="00630B87">
            <w:pPr>
              <w:rPr>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 ratio: 2.00; (1.69±2.36)</w:t>
            </w:r>
          </w:p>
        </w:tc>
      </w:tr>
      <w:tr w:rsidR="006E02AA" w:rsidRPr="006E02AA" w14:paraId="2A587CD1" w14:textId="77777777" w:rsidTr="00630B87">
        <w:tc>
          <w:tcPr>
            <w:tcW w:w="1151" w:type="dxa"/>
          </w:tcPr>
          <w:p w14:paraId="1F048D19" w14:textId="77777777"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Caumo et al. (2018)</w:t>
            </w:r>
          </w:p>
          <w:p w14:paraId="0CA5CBC8" w14:textId="77777777" w:rsidR="006E02AA" w:rsidRPr="006E02AA" w:rsidRDefault="006E02AA" w:rsidP="00630B87">
            <w:pPr>
              <w:rPr>
                <w:sz w:val="18"/>
                <w:szCs w:val="18"/>
              </w:rPr>
            </w:pPr>
            <w:r w:rsidRPr="006E02AA">
              <w:rPr>
                <w:rFonts w:cstheme="majorHAnsi"/>
                <w:bCs/>
                <w:sz w:val="18"/>
                <w:szCs w:val="18"/>
              </w:rPr>
              <w:t>Verona</w:t>
            </w:r>
          </w:p>
        </w:tc>
        <w:tc>
          <w:tcPr>
            <w:tcW w:w="1582" w:type="dxa"/>
          </w:tcPr>
          <w:p w14:paraId="4F876703" w14:textId="77777777"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w:t>
            </w:r>
          </w:p>
          <w:p w14:paraId="1887B024" w14:textId="77777777"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All: 23.3%</w:t>
            </w:r>
          </w:p>
          <w:p w14:paraId="287D0496" w14:textId="7402C314"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Prevalent:  18.1%</w:t>
            </w:r>
          </w:p>
          <w:p w14:paraId="5F25A81C" w14:textId="07218ADB" w:rsidR="006E02AA" w:rsidRPr="006E02AA" w:rsidRDefault="006E02AA" w:rsidP="00630B87">
            <w:pPr>
              <w:rPr>
                <w:sz w:val="18"/>
                <w:szCs w:val="18"/>
              </w:rPr>
            </w:pPr>
            <w:r w:rsidRPr="006E02AA">
              <w:rPr>
                <w:rFonts w:cstheme="majorHAnsi"/>
                <w:bCs/>
                <w:sz w:val="18"/>
                <w:szCs w:val="18"/>
              </w:rPr>
              <w:t>Incident: 25.5%</w:t>
            </w:r>
          </w:p>
        </w:tc>
        <w:tc>
          <w:tcPr>
            <w:tcW w:w="1582" w:type="dxa"/>
          </w:tcPr>
          <w:p w14:paraId="42AF2E29" w14:textId="30F9F396" w:rsidR="006E02AA" w:rsidRPr="006E02AA" w:rsidRDefault="006E02AA" w:rsidP="006E02AA">
            <w:pPr>
              <w:jc w:val="center"/>
              <w:rPr>
                <w:sz w:val="18"/>
                <w:szCs w:val="18"/>
              </w:rPr>
            </w:pPr>
            <w:r>
              <w:rPr>
                <w:sz w:val="18"/>
                <w:szCs w:val="18"/>
              </w:rPr>
              <w:t>NA</w:t>
            </w:r>
          </w:p>
        </w:tc>
        <w:tc>
          <w:tcPr>
            <w:tcW w:w="1582" w:type="dxa"/>
          </w:tcPr>
          <w:p w14:paraId="558ABBA0" w14:textId="77777777"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p>
          <w:p w14:paraId="464CD612" w14:textId="77777777"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All: 12.9%</w:t>
            </w:r>
          </w:p>
          <w:p w14:paraId="0CBD4E6D" w14:textId="610D78FA" w:rsidR="006E02AA" w:rsidRPr="006E02AA" w:rsidRDefault="006E02AA" w:rsidP="00630B87">
            <w:pPr>
              <w:pStyle w:val="BodyText"/>
              <w:spacing w:before="0" w:after="0" w:line="240" w:lineRule="auto"/>
              <w:jc w:val="left"/>
              <w:rPr>
                <w:rFonts w:cstheme="majorHAnsi"/>
                <w:bCs/>
                <w:sz w:val="18"/>
                <w:szCs w:val="18"/>
              </w:rPr>
            </w:pPr>
            <w:r>
              <w:rPr>
                <w:rFonts w:cstheme="majorHAnsi"/>
                <w:bCs/>
                <w:sz w:val="18"/>
                <w:szCs w:val="18"/>
              </w:rPr>
              <w:t>Prevalent</w:t>
            </w:r>
            <w:r w:rsidRPr="006E02AA">
              <w:rPr>
                <w:rFonts w:cstheme="majorHAnsi"/>
                <w:bCs/>
                <w:sz w:val="18"/>
                <w:szCs w:val="18"/>
              </w:rPr>
              <w:t>: 10.7%</w:t>
            </w:r>
          </w:p>
          <w:p w14:paraId="557675ED" w14:textId="5AFCE7AB" w:rsidR="006E02AA" w:rsidRPr="006E02AA" w:rsidRDefault="006E02AA" w:rsidP="00630B87">
            <w:pPr>
              <w:rPr>
                <w:sz w:val="18"/>
                <w:szCs w:val="18"/>
              </w:rPr>
            </w:pPr>
            <w:r>
              <w:rPr>
                <w:rFonts w:cstheme="majorHAnsi"/>
                <w:bCs/>
                <w:sz w:val="18"/>
                <w:szCs w:val="18"/>
              </w:rPr>
              <w:t>Incident</w:t>
            </w:r>
            <w:r w:rsidRPr="006E02AA">
              <w:rPr>
                <w:rFonts w:cstheme="majorHAnsi"/>
                <w:bCs/>
                <w:sz w:val="18"/>
                <w:szCs w:val="18"/>
              </w:rPr>
              <w:t>: 13.5%</w:t>
            </w:r>
          </w:p>
        </w:tc>
        <w:tc>
          <w:tcPr>
            <w:tcW w:w="1582" w:type="dxa"/>
          </w:tcPr>
          <w:p w14:paraId="3C96E621" w14:textId="605A32E1" w:rsidR="006E02AA" w:rsidRPr="006E02AA" w:rsidRDefault="006E02AA" w:rsidP="006E02AA">
            <w:pPr>
              <w:jc w:val="center"/>
              <w:rPr>
                <w:sz w:val="18"/>
                <w:szCs w:val="18"/>
              </w:rPr>
            </w:pPr>
            <w:r>
              <w:rPr>
                <w:sz w:val="18"/>
                <w:szCs w:val="18"/>
              </w:rPr>
              <w:t>NA</w:t>
            </w:r>
          </w:p>
        </w:tc>
        <w:tc>
          <w:tcPr>
            <w:tcW w:w="1582" w:type="dxa"/>
          </w:tcPr>
          <w:p w14:paraId="04076273" w14:textId="5EB73203" w:rsidR="006E02AA" w:rsidRPr="006E02AA" w:rsidRDefault="006E02AA" w:rsidP="006E02AA">
            <w:pPr>
              <w:jc w:val="center"/>
              <w:rPr>
                <w:sz w:val="18"/>
                <w:szCs w:val="18"/>
              </w:rPr>
            </w:pPr>
            <w:r>
              <w:rPr>
                <w:sz w:val="18"/>
                <w:szCs w:val="18"/>
              </w:rPr>
              <w:t>NA</w:t>
            </w:r>
          </w:p>
        </w:tc>
      </w:tr>
      <w:tr w:rsidR="006E02AA" w:rsidRPr="006E02AA" w14:paraId="27FFD3A0" w14:textId="77777777" w:rsidTr="00630B87">
        <w:tc>
          <w:tcPr>
            <w:tcW w:w="1151" w:type="dxa"/>
          </w:tcPr>
          <w:p w14:paraId="1D83A410" w14:textId="7550C42D"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Hofvind et al</w:t>
            </w:r>
            <w:r w:rsidR="00176980">
              <w:rPr>
                <w:rFonts w:cstheme="majorHAnsi"/>
                <w:bCs/>
                <w:sz w:val="18"/>
                <w:szCs w:val="18"/>
              </w:rPr>
              <w:t>.</w:t>
            </w:r>
            <w:r w:rsidRPr="006E02AA">
              <w:rPr>
                <w:rFonts w:cstheme="majorHAnsi"/>
                <w:bCs/>
                <w:sz w:val="18"/>
                <w:szCs w:val="18"/>
              </w:rPr>
              <w:t xml:space="preserve"> (2018)</w:t>
            </w:r>
          </w:p>
        </w:tc>
        <w:tc>
          <w:tcPr>
            <w:tcW w:w="1582" w:type="dxa"/>
          </w:tcPr>
          <w:p w14:paraId="5E39B035" w14:textId="7BA80DAE"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27.8% </w:t>
            </w:r>
          </w:p>
          <w:p w14:paraId="6EFD5FB5" w14:textId="0F32FB68" w:rsidR="006E02AA" w:rsidRPr="006E02AA" w:rsidRDefault="006E02AA" w:rsidP="00630B87">
            <w:pPr>
              <w:rPr>
                <w:sz w:val="18"/>
                <w:szCs w:val="18"/>
              </w:rPr>
            </w:pPr>
            <w:r w:rsidRPr="006E02AA">
              <w:rPr>
                <w:rFonts w:cstheme="majorHAnsi"/>
                <w:bCs/>
                <w:sz w:val="18"/>
                <w:szCs w:val="18"/>
              </w:rPr>
              <w:t>PPV</w:t>
            </w:r>
            <w:r w:rsidRPr="006E02AA">
              <w:rPr>
                <w:rFonts w:cstheme="majorHAnsi"/>
                <w:bCs/>
                <w:sz w:val="18"/>
                <w:szCs w:val="18"/>
                <w:vertAlign w:val="subscript"/>
              </w:rPr>
              <w:t>3</w:t>
            </w:r>
            <w:r>
              <w:rPr>
                <w:rFonts w:cstheme="majorHAnsi"/>
                <w:bCs/>
                <w:sz w:val="18"/>
                <w:szCs w:val="18"/>
              </w:rPr>
              <w:t>:</w:t>
            </w:r>
            <w:r w:rsidRPr="006E02AA">
              <w:rPr>
                <w:rFonts w:cstheme="majorHAnsi"/>
                <w:bCs/>
                <w:sz w:val="18"/>
                <w:szCs w:val="18"/>
              </w:rPr>
              <w:t xml:space="preserve"> 53.7%</w:t>
            </w:r>
          </w:p>
        </w:tc>
        <w:tc>
          <w:tcPr>
            <w:tcW w:w="1582" w:type="dxa"/>
          </w:tcPr>
          <w:p w14:paraId="094DA5F5" w14:textId="5B1C3BB7" w:rsidR="006E02AA" w:rsidRPr="006E02AA" w:rsidRDefault="006E02AA" w:rsidP="006E02AA">
            <w:pPr>
              <w:jc w:val="center"/>
              <w:rPr>
                <w:sz w:val="18"/>
                <w:szCs w:val="18"/>
              </w:rPr>
            </w:pPr>
            <w:r>
              <w:rPr>
                <w:sz w:val="18"/>
                <w:szCs w:val="18"/>
              </w:rPr>
              <w:t>NA</w:t>
            </w:r>
          </w:p>
        </w:tc>
        <w:tc>
          <w:tcPr>
            <w:tcW w:w="1582" w:type="dxa"/>
          </w:tcPr>
          <w:p w14:paraId="02E45D95" w14:textId="1704ABAE"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18.6%</w:t>
            </w:r>
            <w:r>
              <w:rPr>
                <w:rFonts w:cstheme="majorHAnsi"/>
                <w:bCs/>
                <w:sz w:val="18"/>
                <w:szCs w:val="18"/>
              </w:rPr>
              <w:t xml:space="preserve">, </w:t>
            </w:r>
            <w:r>
              <w:rPr>
                <w:rFonts w:cstheme="majorHAnsi"/>
                <w:bCs/>
                <w:i/>
                <w:iCs/>
                <w:sz w:val="18"/>
                <w:szCs w:val="18"/>
              </w:rPr>
              <w:t>p</w:t>
            </w:r>
            <w:r>
              <w:rPr>
                <w:rFonts w:cstheme="majorHAnsi"/>
                <w:bCs/>
                <w:sz w:val="18"/>
                <w:szCs w:val="18"/>
              </w:rPr>
              <w:t>=.001</w:t>
            </w:r>
          </w:p>
          <w:p w14:paraId="6A22C463" w14:textId="4DD51413" w:rsidR="006E02AA" w:rsidRPr="006E02AA" w:rsidRDefault="006E02AA" w:rsidP="00630B87">
            <w:pPr>
              <w:rPr>
                <w:sz w:val="18"/>
                <w:szCs w:val="18"/>
              </w:rPr>
            </w:pPr>
            <w:r w:rsidRPr="006E02AA">
              <w:rPr>
                <w:rFonts w:cstheme="majorHAnsi"/>
                <w:bCs/>
                <w:sz w:val="18"/>
                <w:szCs w:val="18"/>
              </w:rPr>
              <w:t>PPV</w:t>
            </w:r>
            <w:r w:rsidRPr="006E02AA">
              <w:rPr>
                <w:rFonts w:cstheme="majorHAnsi"/>
                <w:bCs/>
                <w:sz w:val="18"/>
                <w:szCs w:val="18"/>
                <w:vertAlign w:val="subscript"/>
              </w:rPr>
              <w:t>3</w:t>
            </w:r>
            <w:r>
              <w:rPr>
                <w:rFonts w:cstheme="majorHAnsi"/>
                <w:bCs/>
                <w:sz w:val="18"/>
                <w:szCs w:val="18"/>
              </w:rPr>
              <w:t>:</w:t>
            </w:r>
            <w:r w:rsidRPr="006E02AA">
              <w:rPr>
                <w:rFonts w:cstheme="majorHAnsi"/>
                <w:bCs/>
                <w:sz w:val="18"/>
                <w:szCs w:val="18"/>
              </w:rPr>
              <w:t xml:space="preserve"> 38.6%</w:t>
            </w:r>
            <w:r>
              <w:rPr>
                <w:rFonts w:cstheme="majorHAnsi"/>
                <w:bCs/>
                <w:sz w:val="18"/>
                <w:szCs w:val="18"/>
              </w:rPr>
              <w:t xml:space="preserve">, </w:t>
            </w:r>
            <w:r>
              <w:rPr>
                <w:rFonts w:cstheme="majorHAnsi"/>
                <w:bCs/>
                <w:i/>
                <w:iCs/>
                <w:sz w:val="18"/>
                <w:szCs w:val="18"/>
              </w:rPr>
              <w:t>p</w:t>
            </w:r>
            <w:r>
              <w:rPr>
                <w:rFonts w:cstheme="majorHAnsi"/>
                <w:bCs/>
                <w:sz w:val="18"/>
                <w:szCs w:val="18"/>
              </w:rPr>
              <w:t>=.001</w:t>
            </w:r>
          </w:p>
        </w:tc>
        <w:tc>
          <w:tcPr>
            <w:tcW w:w="1582" w:type="dxa"/>
          </w:tcPr>
          <w:p w14:paraId="52D4F9AF" w14:textId="53BAA65E"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742419D4" w14:textId="09377918" w:rsidR="006E02AA" w:rsidRPr="006E02AA" w:rsidRDefault="006E02AA" w:rsidP="006E02AA">
            <w:pPr>
              <w:jc w:val="center"/>
              <w:rPr>
                <w:sz w:val="18"/>
                <w:szCs w:val="18"/>
              </w:rPr>
            </w:pPr>
            <w:r>
              <w:rPr>
                <w:sz w:val="18"/>
                <w:szCs w:val="18"/>
              </w:rPr>
              <w:t>NA</w:t>
            </w:r>
          </w:p>
        </w:tc>
      </w:tr>
      <w:tr w:rsidR="006E02AA" w:rsidRPr="006E02AA" w14:paraId="3BF47553" w14:textId="77777777" w:rsidTr="00630B87">
        <w:tc>
          <w:tcPr>
            <w:tcW w:w="1151" w:type="dxa"/>
          </w:tcPr>
          <w:p w14:paraId="1C667379" w14:textId="77777777" w:rsidR="006E02AA" w:rsidRPr="006E02AA" w:rsidRDefault="006E02AA" w:rsidP="006E02AA">
            <w:pPr>
              <w:rPr>
                <w:sz w:val="18"/>
                <w:szCs w:val="18"/>
              </w:rPr>
            </w:pPr>
            <w:r w:rsidRPr="006E02AA">
              <w:rPr>
                <w:rFonts w:cstheme="majorHAnsi"/>
                <w:bCs/>
                <w:sz w:val="18"/>
                <w:szCs w:val="18"/>
              </w:rPr>
              <w:t>Romero Martín et al. (2018) Cordoba</w:t>
            </w:r>
          </w:p>
        </w:tc>
        <w:tc>
          <w:tcPr>
            <w:tcW w:w="1582" w:type="dxa"/>
          </w:tcPr>
          <w:p w14:paraId="48DB16BE" w14:textId="01F8969C"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18.0%</w:t>
            </w:r>
          </w:p>
          <w:p w14:paraId="18044627" w14:textId="7902880E"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Pr>
                <w:rFonts w:cstheme="majorHAnsi"/>
                <w:bCs/>
                <w:sz w:val="18"/>
                <w:szCs w:val="18"/>
                <w:vertAlign w:val="subscript"/>
              </w:rPr>
              <w:t>3</w:t>
            </w:r>
            <w:r>
              <w:rPr>
                <w:rFonts w:cstheme="majorHAnsi"/>
                <w:bCs/>
                <w:sz w:val="18"/>
                <w:szCs w:val="18"/>
              </w:rPr>
              <w:t>:</w:t>
            </w:r>
            <w:r w:rsidRPr="006E02AA">
              <w:rPr>
                <w:rFonts w:cstheme="majorHAnsi"/>
                <w:bCs/>
                <w:sz w:val="18"/>
                <w:szCs w:val="18"/>
              </w:rPr>
              <w:t xml:space="preserve"> 46.0%</w:t>
            </w:r>
          </w:p>
          <w:p w14:paraId="590B3209" w14:textId="77777777" w:rsidR="006E02AA" w:rsidRPr="006E02AA" w:rsidRDefault="006E02AA" w:rsidP="006E02AA">
            <w:pPr>
              <w:pStyle w:val="BodyText"/>
              <w:spacing w:before="0" w:after="0" w:line="240" w:lineRule="auto"/>
              <w:jc w:val="left"/>
              <w:rPr>
                <w:sz w:val="18"/>
                <w:szCs w:val="18"/>
              </w:rPr>
            </w:pPr>
          </w:p>
        </w:tc>
        <w:tc>
          <w:tcPr>
            <w:tcW w:w="1582" w:type="dxa"/>
          </w:tcPr>
          <w:p w14:paraId="1D8B6979" w14:textId="0650AE29" w:rsidR="006E02AA" w:rsidRPr="006E02AA" w:rsidRDefault="006E02AA" w:rsidP="006E02AA">
            <w:pPr>
              <w:jc w:val="center"/>
              <w:rPr>
                <w:sz w:val="18"/>
                <w:szCs w:val="18"/>
              </w:rPr>
            </w:pPr>
            <w:r>
              <w:rPr>
                <w:sz w:val="18"/>
                <w:szCs w:val="18"/>
              </w:rPr>
              <w:t>NA</w:t>
            </w:r>
          </w:p>
        </w:tc>
        <w:tc>
          <w:tcPr>
            <w:tcW w:w="1582" w:type="dxa"/>
          </w:tcPr>
          <w:p w14:paraId="517711A2" w14:textId="1026FED2"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13.2%</w:t>
            </w:r>
          </w:p>
          <w:p w14:paraId="5FEC4F56" w14:textId="039893EC"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Pr>
                <w:rFonts w:cstheme="majorHAnsi"/>
                <w:bCs/>
                <w:sz w:val="18"/>
                <w:szCs w:val="18"/>
                <w:vertAlign w:val="subscript"/>
              </w:rPr>
              <w:t>3</w:t>
            </w:r>
            <w:r>
              <w:rPr>
                <w:rFonts w:cstheme="majorHAnsi"/>
                <w:bCs/>
                <w:sz w:val="18"/>
                <w:szCs w:val="18"/>
              </w:rPr>
              <w:t>:</w:t>
            </w:r>
            <w:r w:rsidRPr="006E02AA">
              <w:rPr>
                <w:rFonts w:cstheme="majorHAnsi"/>
                <w:bCs/>
                <w:sz w:val="18"/>
                <w:szCs w:val="18"/>
              </w:rPr>
              <w:t xml:space="preserve"> 44.3%</w:t>
            </w:r>
          </w:p>
          <w:p w14:paraId="07AC8E22" w14:textId="77777777" w:rsidR="006E02AA" w:rsidRPr="006E02AA" w:rsidRDefault="006E02AA" w:rsidP="006E02AA">
            <w:pPr>
              <w:rPr>
                <w:sz w:val="18"/>
                <w:szCs w:val="18"/>
              </w:rPr>
            </w:pPr>
          </w:p>
        </w:tc>
        <w:tc>
          <w:tcPr>
            <w:tcW w:w="1582" w:type="dxa"/>
          </w:tcPr>
          <w:p w14:paraId="01D55372" w14:textId="5BFA7B2E" w:rsidR="006E02AA" w:rsidRPr="006E02AA" w:rsidRDefault="006E02AA" w:rsidP="006E02AA">
            <w:pPr>
              <w:jc w:val="center"/>
              <w:rPr>
                <w:sz w:val="18"/>
                <w:szCs w:val="18"/>
              </w:rPr>
            </w:pPr>
            <w:r>
              <w:rPr>
                <w:rFonts w:cstheme="majorHAnsi"/>
                <w:bCs/>
                <w:sz w:val="18"/>
                <w:szCs w:val="18"/>
              </w:rPr>
              <w:t>NA</w:t>
            </w:r>
          </w:p>
        </w:tc>
        <w:tc>
          <w:tcPr>
            <w:tcW w:w="1582" w:type="dxa"/>
          </w:tcPr>
          <w:p w14:paraId="6FEEEC84" w14:textId="335485D4" w:rsidR="006E02AA" w:rsidRPr="006E02AA" w:rsidRDefault="006E02AA" w:rsidP="006E02AA">
            <w:pPr>
              <w:jc w:val="center"/>
              <w:rPr>
                <w:sz w:val="18"/>
                <w:szCs w:val="18"/>
              </w:rPr>
            </w:pPr>
            <w:r>
              <w:rPr>
                <w:sz w:val="18"/>
                <w:szCs w:val="18"/>
              </w:rPr>
              <w:t>NA</w:t>
            </w:r>
          </w:p>
        </w:tc>
      </w:tr>
      <w:tr w:rsidR="006E02AA" w:rsidRPr="006E02AA" w14:paraId="0A63BD34" w14:textId="77777777" w:rsidTr="00630B87">
        <w:tc>
          <w:tcPr>
            <w:tcW w:w="1151" w:type="dxa"/>
          </w:tcPr>
          <w:p w14:paraId="2C45B4D0" w14:textId="77777777" w:rsidR="006E02AA" w:rsidRPr="006E02AA" w:rsidRDefault="006E02AA" w:rsidP="006E02AA">
            <w:pPr>
              <w:pStyle w:val="BodyText-GREEN"/>
              <w:spacing w:before="0" w:after="0" w:line="240" w:lineRule="auto"/>
              <w:rPr>
                <w:rFonts w:cstheme="majorHAnsi"/>
                <w:bCs/>
                <w:color w:val="auto"/>
                <w:sz w:val="18"/>
                <w:szCs w:val="18"/>
              </w:rPr>
            </w:pPr>
            <w:r w:rsidRPr="006E02AA">
              <w:rPr>
                <w:rFonts w:cstheme="majorHAnsi"/>
                <w:bCs/>
                <w:color w:val="auto"/>
                <w:sz w:val="18"/>
                <w:szCs w:val="18"/>
              </w:rPr>
              <w:t>Bernardi et al. (2018)</w:t>
            </w:r>
          </w:p>
          <w:p w14:paraId="079604AC" w14:textId="28DF86B7"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STORM-2</w:t>
            </w:r>
          </w:p>
        </w:tc>
        <w:tc>
          <w:tcPr>
            <w:tcW w:w="1582" w:type="dxa"/>
          </w:tcPr>
          <w:p w14:paraId="213DE68B" w14:textId="04B48EDE"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34.07% </w:t>
            </w:r>
          </w:p>
          <w:p w14:paraId="5EC234D7" w14:textId="77777777"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 xml:space="preserve"> </w:t>
            </w:r>
          </w:p>
        </w:tc>
        <w:tc>
          <w:tcPr>
            <w:tcW w:w="1582" w:type="dxa"/>
          </w:tcPr>
          <w:p w14:paraId="5B720DD8" w14:textId="5D0E7D16" w:rsidR="006E02AA" w:rsidRPr="006E02AA" w:rsidRDefault="006E02AA" w:rsidP="006E02AA">
            <w:pPr>
              <w:jc w:val="center"/>
              <w:rPr>
                <w:sz w:val="18"/>
                <w:szCs w:val="18"/>
              </w:rPr>
            </w:pPr>
            <w:r>
              <w:rPr>
                <w:sz w:val="18"/>
                <w:szCs w:val="18"/>
              </w:rPr>
              <w:t>NA</w:t>
            </w:r>
          </w:p>
        </w:tc>
        <w:tc>
          <w:tcPr>
            <w:tcW w:w="1582" w:type="dxa"/>
          </w:tcPr>
          <w:p w14:paraId="418A0D55" w14:textId="0C77B534"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17.07% </w:t>
            </w:r>
          </w:p>
          <w:p w14:paraId="682E4500" w14:textId="77777777"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 xml:space="preserve"> </w:t>
            </w:r>
          </w:p>
        </w:tc>
        <w:tc>
          <w:tcPr>
            <w:tcW w:w="1582" w:type="dxa"/>
          </w:tcPr>
          <w:p w14:paraId="521A0A02" w14:textId="5C620557" w:rsidR="006E02AA" w:rsidRPr="006E02AA" w:rsidRDefault="006E02AA" w:rsidP="006E02AA">
            <w:pPr>
              <w:jc w:val="center"/>
              <w:rPr>
                <w:rFonts w:cstheme="majorHAnsi"/>
                <w:bCs/>
                <w:sz w:val="18"/>
                <w:szCs w:val="18"/>
              </w:rPr>
            </w:pPr>
            <w:r>
              <w:rPr>
                <w:rFonts w:cstheme="majorHAnsi"/>
                <w:bCs/>
                <w:sz w:val="18"/>
                <w:szCs w:val="18"/>
              </w:rPr>
              <w:t>NA</w:t>
            </w:r>
          </w:p>
        </w:tc>
        <w:tc>
          <w:tcPr>
            <w:tcW w:w="1582" w:type="dxa"/>
          </w:tcPr>
          <w:p w14:paraId="4BFED5FA" w14:textId="4CA31EC0" w:rsidR="006E02AA" w:rsidRPr="006E02AA" w:rsidRDefault="006E02AA" w:rsidP="006E02AA">
            <w:pPr>
              <w:rPr>
                <w:sz w:val="18"/>
                <w:szCs w:val="18"/>
              </w:rPr>
            </w:pPr>
            <w:r w:rsidRPr="006E02AA">
              <w:rPr>
                <w:rFonts w:cstheme="majorHAnsi"/>
                <w:bCs/>
                <w:sz w:val="18"/>
                <w:szCs w:val="18"/>
              </w:rPr>
              <w:t xml:space="preserve">PPV% ratio 2.00 </w:t>
            </w:r>
            <w:r>
              <w:rPr>
                <w:rFonts w:cstheme="majorHAnsi"/>
                <w:bCs/>
                <w:sz w:val="18"/>
                <w:szCs w:val="18"/>
              </w:rPr>
              <w:t>(</w:t>
            </w:r>
            <w:r w:rsidRPr="006E02AA">
              <w:rPr>
                <w:rFonts w:cstheme="majorHAnsi"/>
                <w:bCs/>
                <w:sz w:val="18"/>
                <w:szCs w:val="18"/>
              </w:rPr>
              <w:t>95%CI</w:t>
            </w:r>
            <w:r>
              <w:rPr>
                <w:rFonts w:cstheme="majorHAnsi"/>
                <w:bCs/>
                <w:sz w:val="18"/>
                <w:szCs w:val="18"/>
              </w:rPr>
              <w:t>:</w:t>
            </w:r>
            <w:r w:rsidRPr="006E02AA">
              <w:rPr>
                <w:rFonts w:cstheme="majorHAnsi"/>
                <w:bCs/>
                <w:sz w:val="18"/>
                <w:szCs w:val="18"/>
              </w:rPr>
              <w:t xml:space="preserve"> 1.69±2.36</w:t>
            </w:r>
            <w:r>
              <w:rPr>
                <w:rFonts w:cstheme="majorHAnsi"/>
                <w:bCs/>
                <w:sz w:val="18"/>
                <w:szCs w:val="18"/>
              </w:rPr>
              <w:t>)</w:t>
            </w:r>
          </w:p>
        </w:tc>
      </w:tr>
      <w:tr w:rsidR="006E02AA" w:rsidRPr="006E02AA" w14:paraId="6E56F86A" w14:textId="77777777" w:rsidTr="00630B87">
        <w:tc>
          <w:tcPr>
            <w:tcW w:w="9061" w:type="dxa"/>
            <w:gridSpan w:val="6"/>
          </w:tcPr>
          <w:p w14:paraId="3A411888" w14:textId="77777777" w:rsidR="006E02AA" w:rsidRPr="006E02AA" w:rsidRDefault="006E02AA" w:rsidP="00630B87">
            <w:pPr>
              <w:rPr>
                <w:sz w:val="18"/>
                <w:szCs w:val="18"/>
              </w:rPr>
            </w:pPr>
            <w:r w:rsidRPr="006E02AA">
              <w:rPr>
                <w:rFonts w:cstheme="majorHAnsi"/>
                <w:b/>
                <w:sz w:val="18"/>
                <w:szCs w:val="18"/>
              </w:rPr>
              <w:t>Retrospective analysis</w:t>
            </w:r>
          </w:p>
        </w:tc>
      </w:tr>
      <w:tr w:rsidR="006E02AA" w:rsidRPr="006E02AA" w14:paraId="658B25DE" w14:textId="77777777" w:rsidTr="00630B87">
        <w:tc>
          <w:tcPr>
            <w:tcW w:w="1151" w:type="dxa"/>
          </w:tcPr>
          <w:p w14:paraId="702FA468" w14:textId="77777777" w:rsidR="006E02AA" w:rsidRPr="006E02AA" w:rsidRDefault="006E02AA" w:rsidP="00630B87">
            <w:pPr>
              <w:pStyle w:val="BodyText"/>
              <w:spacing w:before="0" w:after="0" w:line="240" w:lineRule="auto"/>
              <w:jc w:val="left"/>
              <w:rPr>
                <w:rFonts w:cstheme="majorHAnsi"/>
                <w:bCs/>
                <w:sz w:val="18"/>
                <w:szCs w:val="18"/>
              </w:rPr>
            </w:pPr>
            <w:bookmarkStart w:id="408" w:name="_Hlk27382648"/>
            <w:r w:rsidRPr="006E02AA">
              <w:rPr>
                <w:rFonts w:cstheme="majorHAnsi"/>
                <w:bCs/>
                <w:sz w:val="18"/>
                <w:szCs w:val="18"/>
              </w:rPr>
              <w:t>Hovda et al. (2019)</w:t>
            </w:r>
          </w:p>
          <w:bookmarkEnd w:id="408"/>
          <w:p w14:paraId="6EC32EC7" w14:textId="77777777" w:rsidR="006E02AA" w:rsidRPr="006E02AA" w:rsidRDefault="006E02AA" w:rsidP="00630B87">
            <w:pPr>
              <w:rPr>
                <w:rFonts w:cstheme="majorHAnsi"/>
                <w:bCs/>
                <w:sz w:val="18"/>
                <w:szCs w:val="18"/>
              </w:rPr>
            </w:pPr>
          </w:p>
        </w:tc>
        <w:tc>
          <w:tcPr>
            <w:tcW w:w="1582" w:type="dxa"/>
          </w:tcPr>
          <w:p w14:paraId="50E67204" w14:textId="77777777"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w:t>
            </w:r>
            <w:r>
              <w:rPr>
                <w:rFonts w:cstheme="majorHAnsi"/>
                <w:bCs/>
                <w:sz w:val="18"/>
                <w:szCs w:val="18"/>
              </w:rPr>
              <w:t>(</w:t>
            </w:r>
            <w:r w:rsidRPr="006E02AA">
              <w:rPr>
                <w:rFonts w:cstheme="majorHAnsi"/>
                <w:bCs/>
                <w:sz w:val="18"/>
                <w:szCs w:val="18"/>
              </w:rPr>
              <w:t>DBT after FFDM</w:t>
            </w:r>
            <w:r>
              <w:rPr>
                <w:rFonts w:cstheme="majorHAnsi"/>
                <w:bCs/>
                <w:sz w:val="18"/>
                <w:szCs w:val="18"/>
              </w:rPr>
              <w:t>):</w:t>
            </w:r>
            <w:r w:rsidRPr="006E02AA">
              <w:rPr>
                <w:rFonts w:cstheme="majorHAnsi"/>
                <w:bCs/>
                <w:sz w:val="18"/>
                <w:szCs w:val="18"/>
              </w:rPr>
              <w:t xml:space="preserve"> 36.4%</w:t>
            </w:r>
          </w:p>
          <w:p w14:paraId="33B0E8AF" w14:textId="77777777" w:rsidR="006E02AA" w:rsidRPr="006E02AA" w:rsidRDefault="006E02AA" w:rsidP="00630B87">
            <w:pPr>
              <w:pStyle w:val="BodyText"/>
              <w:spacing w:before="0" w:after="0" w:line="240" w:lineRule="auto"/>
              <w:jc w:val="left"/>
              <w:rPr>
                <w:rFonts w:cstheme="majorHAnsi"/>
                <w:bCs/>
                <w:sz w:val="18"/>
                <w:szCs w:val="18"/>
              </w:rPr>
            </w:pPr>
          </w:p>
        </w:tc>
        <w:tc>
          <w:tcPr>
            <w:tcW w:w="1582" w:type="dxa"/>
          </w:tcPr>
          <w:p w14:paraId="24DB4443" w14:textId="77777777" w:rsidR="006E02AA" w:rsidRPr="006E02AA" w:rsidRDefault="006E02AA" w:rsidP="00630B87">
            <w:pPr>
              <w:jc w:val="center"/>
              <w:rPr>
                <w:sz w:val="18"/>
                <w:szCs w:val="18"/>
              </w:rPr>
            </w:pPr>
            <w:r>
              <w:rPr>
                <w:sz w:val="18"/>
                <w:szCs w:val="18"/>
              </w:rPr>
              <w:t>NA</w:t>
            </w:r>
          </w:p>
        </w:tc>
        <w:tc>
          <w:tcPr>
            <w:tcW w:w="1582" w:type="dxa"/>
          </w:tcPr>
          <w:p w14:paraId="0AD68B25" w14:textId="77777777"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w:t>
            </w:r>
            <w:r>
              <w:rPr>
                <w:rFonts w:cstheme="majorHAnsi"/>
                <w:bCs/>
                <w:sz w:val="18"/>
                <w:szCs w:val="18"/>
              </w:rPr>
              <w:t>(FFDM</w:t>
            </w:r>
            <w:r w:rsidRPr="006E02AA">
              <w:rPr>
                <w:rFonts w:cstheme="majorHAnsi"/>
                <w:bCs/>
                <w:sz w:val="18"/>
                <w:szCs w:val="18"/>
              </w:rPr>
              <w:t xml:space="preserve"> after FFDM</w:t>
            </w:r>
            <w:r>
              <w:rPr>
                <w:rFonts w:cstheme="majorHAnsi"/>
                <w:bCs/>
                <w:sz w:val="18"/>
                <w:szCs w:val="18"/>
              </w:rPr>
              <w:t>):</w:t>
            </w:r>
            <w:r w:rsidRPr="006E02AA">
              <w:rPr>
                <w:rFonts w:cstheme="majorHAnsi"/>
                <w:bCs/>
                <w:sz w:val="18"/>
                <w:szCs w:val="18"/>
              </w:rPr>
              <w:t xml:space="preserve"> 12.9%</w:t>
            </w:r>
            <w:r>
              <w:rPr>
                <w:rFonts w:cstheme="majorHAnsi"/>
                <w:bCs/>
                <w:sz w:val="18"/>
                <w:szCs w:val="18"/>
              </w:rPr>
              <w:t xml:space="preserve">, </w:t>
            </w:r>
            <w:r>
              <w:rPr>
                <w:rFonts w:cstheme="majorHAnsi"/>
                <w:bCs/>
                <w:i/>
                <w:iCs/>
                <w:sz w:val="18"/>
                <w:szCs w:val="18"/>
              </w:rPr>
              <w:t>p</w:t>
            </w:r>
            <w:r>
              <w:rPr>
                <w:rFonts w:cstheme="majorHAnsi"/>
                <w:bCs/>
                <w:sz w:val="18"/>
                <w:szCs w:val="18"/>
              </w:rPr>
              <w:t>&lt;.001</w:t>
            </w:r>
          </w:p>
          <w:p w14:paraId="63A4C4E2" w14:textId="77777777" w:rsidR="006E02AA" w:rsidRPr="006E02AA" w:rsidRDefault="006E02AA" w:rsidP="00630B87">
            <w:pPr>
              <w:pStyle w:val="BodyText"/>
              <w:spacing w:before="0" w:after="0" w:line="240" w:lineRule="auto"/>
              <w:jc w:val="left"/>
              <w:rPr>
                <w:rFonts w:cstheme="majorHAnsi"/>
                <w:bCs/>
                <w:sz w:val="18"/>
                <w:szCs w:val="18"/>
              </w:rPr>
            </w:pPr>
          </w:p>
        </w:tc>
        <w:tc>
          <w:tcPr>
            <w:tcW w:w="1582" w:type="dxa"/>
          </w:tcPr>
          <w:p w14:paraId="43220604" w14:textId="77777777" w:rsidR="006E02AA" w:rsidRPr="006E02AA" w:rsidRDefault="006E02AA" w:rsidP="00630B87">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0B4DA139" w14:textId="77777777" w:rsidR="006E02AA" w:rsidRPr="006E02AA" w:rsidRDefault="006E02AA" w:rsidP="00630B87">
            <w:pPr>
              <w:pStyle w:val="BodyText"/>
              <w:spacing w:before="0" w:after="0" w:line="240" w:lineRule="auto"/>
              <w:jc w:val="center"/>
              <w:rPr>
                <w:rFonts w:cstheme="majorHAnsi"/>
                <w:bCs/>
                <w:sz w:val="18"/>
                <w:szCs w:val="18"/>
              </w:rPr>
            </w:pPr>
            <w:r>
              <w:rPr>
                <w:rFonts w:cstheme="majorHAnsi"/>
                <w:bCs/>
                <w:sz w:val="18"/>
                <w:szCs w:val="18"/>
              </w:rPr>
              <w:t>NA</w:t>
            </w:r>
          </w:p>
          <w:p w14:paraId="3C2EAC0C" w14:textId="77777777" w:rsidR="006E02AA" w:rsidRPr="006E02AA" w:rsidRDefault="006E02AA" w:rsidP="00630B87">
            <w:pPr>
              <w:jc w:val="center"/>
              <w:rPr>
                <w:sz w:val="18"/>
                <w:szCs w:val="18"/>
              </w:rPr>
            </w:pPr>
          </w:p>
        </w:tc>
      </w:tr>
      <w:tr w:rsidR="006E02AA" w:rsidRPr="006E02AA" w14:paraId="25D28813" w14:textId="77777777" w:rsidTr="00630B87">
        <w:tc>
          <w:tcPr>
            <w:tcW w:w="9061" w:type="dxa"/>
            <w:gridSpan w:val="6"/>
            <w:shd w:val="clear" w:color="auto" w:fill="E7FFBD" w:themeFill="background2" w:themeFillTint="33"/>
          </w:tcPr>
          <w:p w14:paraId="3A59E5D2" w14:textId="5869A353" w:rsidR="006E02AA" w:rsidRPr="006E02AA" w:rsidRDefault="006E02AA" w:rsidP="006E02AA">
            <w:pPr>
              <w:jc w:val="center"/>
              <w:rPr>
                <w:sz w:val="18"/>
                <w:szCs w:val="18"/>
              </w:rPr>
            </w:pPr>
            <w:r w:rsidRPr="006E02AA">
              <w:rPr>
                <w:sz w:val="18"/>
                <w:szCs w:val="18"/>
              </w:rPr>
              <w:t>FFDM+DBT compared to FFDM alone</w:t>
            </w:r>
          </w:p>
        </w:tc>
      </w:tr>
      <w:tr w:rsidR="006E02AA" w:rsidRPr="006E02AA" w14:paraId="5BB32B91" w14:textId="77777777" w:rsidTr="00630B87">
        <w:tc>
          <w:tcPr>
            <w:tcW w:w="9061" w:type="dxa"/>
            <w:gridSpan w:val="6"/>
          </w:tcPr>
          <w:p w14:paraId="18BB1221" w14:textId="77777777" w:rsidR="006E02AA" w:rsidRPr="006E02AA" w:rsidRDefault="006E02AA" w:rsidP="006E02AA">
            <w:pPr>
              <w:rPr>
                <w:b/>
                <w:bCs/>
                <w:sz w:val="18"/>
                <w:szCs w:val="18"/>
              </w:rPr>
            </w:pPr>
            <w:r w:rsidRPr="006E02AA">
              <w:rPr>
                <w:b/>
                <w:bCs/>
                <w:sz w:val="18"/>
                <w:szCs w:val="18"/>
              </w:rPr>
              <w:t>RCT</w:t>
            </w:r>
          </w:p>
        </w:tc>
      </w:tr>
      <w:tr w:rsidR="006E02AA" w:rsidRPr="006E02AA" w14:paraId="07C062A8" w14:textId="77777777" w:rsidTr="006E02AA">
        <w:tc>
          <w:tcPr>
            <w:tcW w:w="1151" w:type="dxa"/>
          </w:tcPr>
          <w:p w14:paraId="7A9581D9" w14:textId="77777777"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Pattacini et al. (2018)</w:t>
            </w:r>
          </w:p>
          <w:p w14:paraId="64CB7A12" w14:textId="54A35239"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Reggio Emilia</w:t>
            </w:r>
          </w:p>
        </w:tc>
        <w:tc>
          <w:tcPr>
            <w:tcW w:w="1582" w:type="dxa"/>
          </w:tcPr>
          <w:p w14:paraId="6D16F78D" w14:textId="63AB9EDB"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07BE1FCC" w14:textId="77777777" w:rsidR="006E02AA" w:rsidRPr="006E02AA" w:rsidRDefault="006E02AA" w:rsidP="006E02AA">
            <w:pPr>
              <w:pStyle w:val="BodyText"/>
              <w:spacing w:before="0" w:after="0" w:line="240" w:lineRule="auto"/>
              <w:jc w:val="left"/>
              <w:rPr>
                <w:rFonts w:cstheme="majorHAnsi"/>
                <w:bCs/>
                <w:i/>
                <w:iCs/>
                <w:sz w:val="18"/>
                <w:szCs w:val="18"/>
              </w:rPr>
            </w:pPr>
            <w:r w:rsidRPr="006E02AA">
              <w:rPr>
                <w:rFonts w:cstheme="majorHAnsi"/>
                <w:bCs/>
                <w:i/>
                <w:iCs/>
                <w:sz w:val="18"/>
                <w:szCs w:val="18"/>
              </w:rPr>
              <w:t>PPV</w:t>
            </w:r>
            <w:r w:rsidRPr="006E02AA">
              <w:rPr>
                <w:rFonts w:cstheme="majorHAnsi"/>
                <w:bCs/>
                <w:i/>
                <w:iCs/>
                <w:sz w:val="18"/>
                <w:szCs w:val="18"/>
                <w:vertAlign w:val="subscript"/>
              </w:rPr>
              <w:t>1</w:t>
            </w:r>
            <w:r w:rsidRPr="006E02AA">
              <w:rPr>
                <w:rFonts w:cstheme="majorHAnsi"/>
                <w:bCs/>
                <w:i/>
                <w:iCs/>
                <w:sz w:val="18"/>
                <w:szCs w:val="18"/>
              </w:rPr>
              <w:t xml:space="preserve"> </w:t>
            </w:r>
          </w:p>
          <w:p w14:paraId="25A10CF4" w14:textId="3C057165" w:rsidR="006E02AA" w:rsidRPr="006E02AA" w:rsidRDefault="006E02AA" w:rsidP="006E02AA">
            <w:pPr>
              <w:pStyle w:val="BodyText"/>
              <w:spacing w:before="0" w:after="0" w:line="240" w:lineRule="auto"/>
              <w:jc w:val="left"/>
              <w:rPr>
                <w:rFonts w:cstheme="majorHAnsi"/>
                <w:sz w:val="18"/>
                <w:szCs w:val="18"/>
              </w:rPr>
            </w:pPr>
            <w:r w:rsidRPr="006E02AA">
              <w:rPr>
                <w:rFonts w:cstheme="majorHAnsi"/>
                <w:sz w:val="18"/>
                <w:szCs w:val="18"/>
              </w:rPr>
              <w:t>All</w:t>
            </w:r>
            <w:r>
              <w:rPr>
                <w:rFonts w:cstheme="majorHAnsi"/>
                <w:sz w:val="18"/>
                <w:szCs w:val="18"/>
              </w:rPr>
              <w:t xml:space="preserve">: </w:t>
            </w:r>
            <w:r w:rsidRPr="006E02AA">
              <w:rPr>
                <w:rFonts w:cstheme="majorHAnsi"/>
                <w:sz w:val="18"/>
                <w:szCs w:val="18"/>
              </w:rPr>
              <w:t>24.1%</w:t>
            </w:r>
          </w:p>
          <w:p w14:paraId="2E7AB120" w14:textId="057E82BE" w:rsidR="006E02AA" w:rsidRPr="006E02AA" w:rsidRDefault="006E02AA" w:rsidP="006E02AA">
            <w:pPr>
              <w:pStyle w:val="BodyText"/>
              <w:spacing w:before="0" w:after="0" w:line="240" w:lineRule="auto"/>
              <w:jc w:val="left"/>
              <w:rPr>
                <w:rFonts w:cstheme="majorHAnsi"/>
                <w:sz w:val="18"/>
                <w:szCs w:val="18"/>
              </w:rPr>
            </w:pPr>
            <w:r w:rsidRPr="006E02AA">
              <w:rPr>
                <w:rFonts w:cstheme="majorHAnsi"/>
                <w:sz w:val="18"/>
                <w:szCs w:val="18"/>
              </w:rPr>
              <w:t>45-49 years</w:t>
            </w:r>
            <w:r>
              <w:rPr>
                <w:rFonts w:cstheme="majorHAnsi"/>
                <w:sz w:val="18"/>
                <w:szCs w:val="18"/>
              </w:rPr>
              <w:t xml:space="preserve">: </w:t>
            </w:r>
            <w:r w:rsidRPr="006E02AA">
              <w:rPr>
                <w:rFonts w:cstheme="majorHAnsi"/>
                <w:sz w:val="18"/>
                <w:szCs w:val="18"/>
              </w:rPr>
              <w:t xml:space="preserve">13.4% </w:t>
            </w:r>
          </w:p>
          <w:p w14:paraId="2523D575" w14:textId="1542B15D" w:rsidR="006E02AA" w:rsidRPr="006E02AA" w:rsidRDefault="006E02AA" w:rsidP="006E02AA">
            <w:pPr>
              <w:pStyle w:val="BodyText"/>
              <w:spacing w:before="0" w:after="0" w:line="240" w:lineRule="auto"/>
              <w:jc w:val="left"/>
              <w:rPr>
                <w:sz w:val="18"/>
                <w:szCs w:val="18"/>
              </w:rPr>
            </w:pPr>
            <w:r w:rsidRPr="006E02AA">
              <w:rPr>
                <w:rFonts w:cstheme="majorHAnsi"/>
                <w:sz w:val="18"/>
                <w:szCs w:val="18"/>
              </w:rPr>
              <w:t>50-59 years</w:t>
            </w:r>
            <w:r>
              <w:rPr>
                <w:rFonts w:cstheme="majorHAnsi"/>
                <w:sz w:val="18"/>
                <w:szCs w:val="18"/>
              </w:rPr>
              <w:t xml:space="preserve">: </w:t>
            </w:r>
            <w:r w:rsidRPr="006E02AA">
              <w:rPr>
                <w:rFonts w:cstheme="majorHAnsi"/>
                <w:sz w:val="18"/>
                <w:szCs w:val="18"/>
              </w:rPr>
              <w:t>28.5% 60-70 years</w:t>
            </w:r>
            <w:r>
              <w:rPr>
                <w:rFonts w:cstheme="majorHAnsi"/>
                <w:sz w:val="18"/>
                <w:szCs w:val="18"/>
              </w:rPr>
              <w:t>:</w:t>
            </w:r>
            <w:r w:rsidRPr="006E02AA">
              <w:rPr>
                <w:rFonts w:cstheme="majorHAnsi"/>
                <w:sz w:val="18"/>
                <w:szCs w:val="18"/>
              </w:rPr>
              <w:t xml:space="preserve"> 29.1% </w:t>
            </w:r>
          </w:p>
        </w:tc>
        <w:tc>
          <w:tcPr>
            <w:tcW w:w="1582" w:type="dxa"/>
          </w:tcPr>
          <w:p w14:paraId="6762E087" w14:textId="77777777" w:rsidR="006E02AA" w:rsidRDefault="006E02AA" w:rsidP="006E02AA">
            <w:pPr>
              <w:pStyle w:val="BodyText"/>
              <w:spacing w:before="0" w:after="0" w:line="240" w:lineRule="auto"/>
              <w:jc w:val="left"/>
              <w:rPr>
                <w:rFonts w:cstheme="majorHAnsi"/>
                <w:sz w:val="18"/>
                <w:szCs w:val="18"/>
              </w:rPr>
            </w:pPr>
            <w:r w:rsidRPr="006E02AA">
              <w:rPr>
                <w:rFonts w:cstheme="majorHAnsi"/>
                <w:bCs/>
                <w:i/>
                <w:iCs/>
                <w:sz w:val="18"/>
                <w:szCs w:val="18"/>
              </w:rPr>
              <w:t>PPV</w:t>
            </w:r>
            <w:r w:rsidRPr="006E02AA">
              <w:rPr>
                <w:rFonts w:cstheme="majorHAnsi"/>
                <w:bCs/>
                <w:i/>
                <w:iCs/>
                <w:sz w:val="18"/>
                <w:szCs w:val="18"/>
                <w:vertAlign w:val="subscript"/>
              </w:rPr>
              <w:t>1</w:t>
            </w:r>
            <w:r w:rsidRPr="006E02AA">
              <w:rPr>
                <w:rFonts w:cstheme="majorHAnsi"/>
                <w:bCs/>
                <w:sz w:val="18"/>
                <w:szCs w:val="18"/>
              </w:rPr>
              <w:t xml:space="preserve"> </w:t>
            </w:r>
          </w:p>
          <w:p w14:paraId="590EEA36" w14:textId="2EFB47EF" w:rsidR="006E02AA" w:rsidRPr="006E02AA" w:rsidRDefault="006E02AA" w:rsidP="006E02AA">
            <w:pPr>
              <w:pStyle w:val="BodyText"/>
              <w:spacing w:before="0" w:after="0" w:line="240" w:lineRule="auto"/>
              <w:jc w:val="left"/>
              <w:rPr>
                <w:rFonts w:cstheme="majorHAnsi"/>
                <w:sz w:val="18"/>
                <w:szCs w:val="18"/>
              </w:rPr>
            </w:pPr>
            <w:r w:rsidRPr="006E02AA">
              <w:rPr>
                <w:rFonts w:cstheme="majorHAnsi"/>
                <w:sz w:val="18"/>
                <w:szCs w:val="18"/>
              </w:rPr>
              <w:t>All</w:t>
            </w:r>
            <w:r>
              <w:rPr>
                <w:rFonts w:cstheme="majorHAnsi"/>
                <w:sz w:val="18"/>
                <w:szCs w:val="18"/>
              </w:rPr>
              <w:t>:</w:t>
            </w:r>
            <w:r w:rsidRPr="006E02AA">
              <w:rPr>
                <w:rFonts w:cstheme="majorHAnsi"/>
                <w:sz w:val="18"/>
                <w:szCs w:val="18"/>
              </w:rPr>
              <w:t xml:space="preserve"> 13.0%</w:t>
            </w:r>
          </w:p>
          <w:p w14:paraId="2C3C11F4" w14:textId="2D03DB5F" w:rsidR="006E02AA" w:rsidRPr="006E02AA" w:rsidRDefault="006E02AA" w:rsidP="006E02AA">
            <w:pPr>
              <w:pStyle w:val="BodyText"/>
              <w:spacing w:before="0" w:after="0" w:line="240" w:lineRule="auto"/>
              <w:jc w:val="left"/>
              <w:rPr>
                <w:rFonts w:cstheme="majorHAnsi"/>
                <w:sz w:val="18"/>
                <w:szCs w:val="18"/>
              </w:rPr>
            </w:pPr>
            <w:r w:rsidRPr="006E02AA">
              <w:rPr>
                <w:rFonts w:cstheme="majorHAnsi"/>
                <w:sz w:val="18"/>
                <w:szCs w:val="18"/>
              </w:rPr>
              <w:t>45-49 years</w:t>
            </w:r>
            <w:r>
              <w:rPr>
                <w:rFonts w:cstheme="majorHAnsi"/>
                <w:sz w:val="18"/>
                <w:szCs w:val="18"/>
              </w:rPr>
              <w:t>:</w:t>
            </w:r>
            <w:r w:rsidRPr="006E02AA">
              <w:rPr>
                <w:rFonts w:cstheme="majorHAnsi"/>
                <w:sz w:val="18"/>
                <w:szCs w:val="18"/>
              </w:rPr>
              <w:t xml:space="preserve"> 7.8% </w:t>
            </w:r>
          </w:p>
          <w:p w14:paraId="17898C8B" w14:textId="2755CF15" w:rsidR="006E02AA" w:rsidRPr="006E02AA" w:rsidRDefault="006E02AA" w:rsidP="006E02AA">
            <w:pPr>
              <w:pStyle w:val="BodyText"/>
              <w:spacing w:before="0" w:after="0" w:line="240" w:lineRule="auto"/>
              <w:jc w:val="left"/>
              <w:rPr>
                <w:rFonts w:cstheme="majorHAnsi"/>
                <w:sz w:val="18"/>
                <w:szCs w:val="18"/>
              </w:rPr>
            </w:pPr>
            <w:r w:rsidRPr="006E02AA">
              <w:rPr>
                <w:rFonts w:cstheme="majorHAnsi"/>
                <w:sz w:val="18"/>
                <w:szCs w:val="18"/>
              </w:rPr>
              <w:t>50-59 years</w:t>
            </w:r>
            <w:r>
              <w:rPr>
                <w:rFonts w:cstheme="majorHAnsi"/>
                <w:sz w:val="18"/>
                <w:szCs w:val="18"/>
              </w:rPr>
              <w:t>:</w:t>
            </w:r>
            <w:r w:rsidRPr="006E02AA">
              <w:rPr>
                <w:rFonts w:cstheme="majorHAnsi"/>
                <w:sz w:val="18"/>
                <w:szCs w:val="18"/>
              </w:rPr>
              <w:t xml:space="preserve"> 12.8% </w:t>
            </w:r>
          </w:p>
          <w:p w14:paraId="6AC0BF72" w14:textId="3A218CE3"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sz w:val="18"/>
                <w:szCs w:val="18"/>
              </w:rPr>
              <w:t>60-70 years</w:t>
            </w:r>
            <w:r>
              <w:rPr>
                <w:rFonts w:cstheme="majorHAnsi"/>
                <w:sz w:val="18"/>
                <w:szCs w:val="18"/>
              </w:rPr>
              <w:t xml:space="preserve">: </w:t>
            </w:r>
            <w:r w:rsidRPr="006E02AA">
              <w:rPr>
                <w:rFonts w:cstheme="majorHAnsi"/>
                <w:sz w:val="18"/>
                <w:szCs w:val="18"/>
              </w:rPr>
              <w:t xml:space="preserve">21.1 </w:t>
            </w:r>
          </w:p>
        </w:tc>
        <w:tc>
          <w:tcPr>
            <w:tcW w:w="1582" w:type="dxa"/>
          </w:tcPr>
          <w:p w14:paraId="66764756" w14:textId="1E87CD88"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7F7D5F5D" w14:textId="10DE3DD7"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r>
      <w:tr w:rsidR="006E02AA" w:rsidRPr="006E02AA" w14:paraId="13FC98AA" w14:textId="77777777" w:rsidTr="00630B87">
        <w:tc>
          <w:tcPr>
            <w:tcW w:w="9061" w:type="dxa"/>
            <w:gridSpan w:val="6"/>
          </w:tcPr>
          <w:p w14:paraId="55CF7D09" w14:textId="776FBED1" w:rsidR="006E02AA" w:rsidRPr="006E02AA" w:rsidRDefault="006E02AA" w:rsidP="00630B87">
            <w:pPr>
              <w:rPr>
                <w:sz w:val="18"/>
                <w:szCs w:val="18"/>
              </w:rPr>
            </w:pPr>
            <w:r w:rsidRPr="006E02AA">
              <w:rPr>
                <w:rFonts w:cstheme="majorHAnsi"/>
                <w:b/>
                <w:sz w:val="18"/>
                <w:szCs w:val="18"/>
              </w:rPr>
              <w:t>Prospective studies embedded in population-based screening programs</w:t>
            </w:r>
          </w:p>
        </w:tc>
      </w:tr>
      <w:tr w:rsidR="006E02AA" w:rsidRPr="006E02AA" w14:paraId="4C5E7E95" w14:textId="77777777" w:rsidTr="006E02AA">
        <w:tc>
          <w:tcPr>
            <w:tcW w:w="1151" w:type="dxa"/>
          </w:tcPr>
          <w:p w14:paraId="4839C727" w14:textId="5BD5627E"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Skaane et al. (2018)</w:t>
            </w:r>
          </w:p>
        </w:tc>
        <w:tc>
          <w:tcPr>
            <w:tcW w:w="1582" w:type="dxa"/>
          </w:tcPr>
          <w:p w14:paraId="6B9A0C71" w14:textId="62FE340F"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1752A69A" w14:textId="5AE27E00"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27.7% </w:t>
            </w:r>
          </w:p>
          <w:p w14:paraId="0FDC2CC3" w14:textId="3F4C9CDA" w:rsidR="006E02AA" w:rsidRPr="006E02AA" w:rsidRDefault="006E02AA" w:rsidP="006E02AA">
            <w:pPr>
              <w:pStyle w:val="BodyText"/>
              <w:spacing w:before="0" w:after="0" w:line="240" w:lineRule="auto"/>
              <w:jc w:val="left"/>
              <w:rPr>
                <w:rFonts w:cstheme="majorHAnsi"/>
                <w:bCs/>
                <w:i/>
                <w:iCs/>
                <w:sz w:val="18"/>
                <w:szCs w:val="18"/>
              </w:rPr>
            </w:pPr>
            <w:r w:rsidRPr="006E02AA">
              <w:rPr>
                <w:rFonts w:cstheme="majorHAnsi"/>
                <w:bCs/>
                <w:sz w:val="18"/>
                <w:szCs w:val="18"/>
              </w:rPr>
              <w:t>PPV</w:t>
            </w:r>
            <w:r w:rsidRPr="006E02AA">
              <w:rPr>
                <w:rFonts w:cstheme="majorHAnsi"/>
                <w:bCs/>
                <w:sz w:val="18"/>
                <w:szCs w:val="18"/>
                <w:vertAlign w:val="subscript"/>
              </w:rPr>
              <w:t>3</w:t>
            </w:r>
            <w:r>
              <w:rPr>
                <w:rFonts w:cstheme="majorHAnsi"/>
                <w:bCs/>
                <w:sz w:val="18"/>
                <w:szCs w:val="18"/>
              </w:rPr>
              <w:t xml:space="preserve">: </w:t>
            </w:r>
            <w:r w:rsidRPr="006E02AA">
              <w:rPr>
                <w:rFonts w:cstheme="majorHAnsi"/>
                <w:sz w:val="18"/>
                <w:szCs w:val="18"/>
              </w:rPr>
              <w:t xml:space="preserve">55.0% </w:t>
            </w:r>
          </w:p>
        </w:tc>
        <w:tc>
          <w:tcPr>
            <w:tcW w:w="1582" w:type="dxa"/>
          </w:tcPr>
          <w:p w14:paraId="0CADE2ED" w14:textId="40133B4E" w:rsidR="006E02AA" w:rsidRPr="006E02AA" w:rsidRDefault="006E02AA" w:rsidP="006E02AA">
            <w:pPr>
              <w:pStyle w:val="BodyText"/>
              <w:spacing w:before="0" w:after="0" w:line="240" w:lineRule="auto"/>
              <w:jc w:val="center"/>
              <w:rPr>
                <w:rFonts w:cstheme="majorHAnsi"/>
                <w:bCs/>
                <w:sz w:val="18"/>
                <w:szCs w:val="18"/>
              </w:rPr>
            </w:pPr>
            <w:r w:rsidRPr="006E02AA">
              <w:rPr>
                <w:rFonts w:cstheme="majorHAnsi"/>
                <w:bCs/>
                <w:sz w:val="18"/>
                <w:szCs w:val="18"/>
              </w:rPr>
              <w:t>NA</w:t>
            </w:r>
          </w:p>
        </w:tc>
        <w:tc>
          <w:tcPr>
            <w:tcW w:w="1582" w:type="dxa"/>
          </w:tcPr>
          <w:p w14:paraId="05E7466A" w14:textId="11600C3F"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1484F959" w14:textId="7BBA9454"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r>
      <w:tr w:rsidR="006E02AA" w:rsidRPr="006E02AA" w14:paraId="5B5E07B2" w14:textId="77777777" w:rsidTr="00630B87">
        <w:tc>
          <w:tcPr>
            <w:tcW w:w="9061" w:type="dxa"/>
            <w:gridSpan w:val="6"/>
          </w:tcPr>
          <w:p w14:paraId="20363A0F" w14:textId="5512583D" w:rsidR="006E02AA" w:rsidRPr="006E02AA" w:rsidRDefault="006E02AA" w:rsidP="006E02AA">
            <w:pPr>
              <w:rPr>
                <w:sz w:val="18"/>
                <w:szCs w:val="18"/>
              </w:rPr>
            </w:pPr>
            <w:r w:rsidRPr="006E02AA">
              <w:rPr>
                <w:rFonts w:cstheme="majorHAnsi"/>
                <w:b/>
                <w:sz w:val="18"/>
                <w:szCs w:val="18"/>
              </w:rPr>
              <w:t>Retrospective analysis</w:t>
            </w:r>
          </w:p>
        </w:tc>
      </w:tr>
      <w:tr w:rsidR="006E02AA" w:rsidRPr="006E02AA" w14:paraId="55E23FD2" w14:textId="77777777" w:rsidTr="00630B87">
        <w:tc>
          <w:tcPr>
            <w:tcW w:w="1151" w:type="dxa"/>
          </w:tcPr>
          <w:p w14:paraId="19F36B98" w14:textId="73ABFA88"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Bahl et al</w:t>
            </w:r>
            <w:r>
              <w:rPr>
                <w:rFonts w:cstheme="majorHAnsi"/>
                <w:bCs/>
                <w:sz w:val="18"/>
                <w:szCs w:val="18"/>
              </w:rPr>
              <w:t xml:space="preserve">. </w:t>
            </w:r>
            <w:r w:rsidRPr="006E02AA">
              <w:rPr>
                <w:rFonts w:cstheme="majorHAnsi"/>
                <w:bCs/>
                <w:sz w:val="18"/>
                <w:szCs w:val="18"/>
              </w:rPr>
              <w:t>(2019)</w:t>
            </w:r>
          </w:p>
          <w:p w14:paraId="2A736B14" w14:textId="5DFA09EB" w:rsidR="006E02AA" w:rsidRPr="006E02AA" w:rsidRDefault="006E02AA" w:rsidP="006E02AA">
            <w:pPr>
              <w:rPr>
                <w:rFonts w:cstheme="majorHAnsi"/>
                <w:bCs/>
                <w:sz w:val="18"/>
                <w:szCs w:val="18"/>
              </w:rPr>
            </w:pPr>
          </w:p>
        </w:tc>
        <w:tc>
          <w:tcPr>
            <w:tcW w:w="1582" w:type="dxa"/>
          </w:tcPr>
          <w:p w14:paraId="28DFB556" w14:textId="211E921E"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293C5A44" w14:textId="363A9E16"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14.5% (13.1,</w:t>
            </w:r>
            <w:r>
              <w:rPr>
                <w:rFonts w:cstheme="majorHAnsi"/>
                <w:bCs/>
                <w:sz w:val="18"/>
                <w:szCs w:val="18"/>
              </w:rPr>
              <w:t xml:space="preserve"> </w:t>
            </w:r>
            <w:r w:rsidRPr="006E02AA">
              <w:rPr>
                <w:rFonts w:cstheme="majorHAnsi"/>
                <w:bCs/>
                <w:sz w:val="18"/>
                <w:szCs w:val="18"/>
              </w:rPr>
              <w:t>15.9)</w:t>
            </w:r>
          </w:p>
          <w:p w14:paraId="0B5FBB1F" w14:textId="21EA80B8"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2</w:t>
            </w:r>
            <w:r w:rsidRPr="006E02AA">
              <w:rPr>
                <w:rFonts w:cstheme="majorHAnsi"/>
                <w:bCs/>
                <w:sz w:val="18"/>
                <w:szCs w:val="18"/>
              </w:rPr>
              <w:t>: 58.8% (54.7,</w:t>
            </w:r>
            <w:r>
              <w:rPr>
                <w:rFonts w:cstheme="majorHAnsi"/>
                <w:bCs/>
                <w:sz w:val="18"/>
                <w:szCs w:val="18"/>
              </w:rPr>
              <w:t xml:space="preserve"> </w:t>
            </w:r>
            <w:r w:rsidRPr="006E02AA">
              <w:rPr>
                <w:rFonts w:cstheme="majorHAnsi"/>
                <w:bCs/>
                <w:sz w:val="18"/>
                <w:szCs w:val="18"/>
              </w:rPr>
              <w:t>62.7)</w:t>
            </w:r>
          </w:p>
          <w:p w14:paraId="25AD5917" w14:textId="7EB2DBE6"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r w:rsidRPr="006E02AA">
              <w:rPr>
                <w:rFonts w:cstheme="majorHAnsi"/>
                <w:bCs/>
                <w:sz w:val="18"/>
                <w:szCs w:val="18"/>
              </w:rPr>
              <w:t>: 61.5% (57.4,</w:t>
            </w:r>
            <w:r>
              <w:rPr>
                <w:rFonts w:cstheme="majorHAnsi"/>
                <w:bCs/>
                <w:sz w:val="18"/>
                <w:szCs w:val="18"/>
              </w:rPr>
              <w:t xml:space="preserve"> </w:t>
            </w:r>
            <w:r w:rsidRPr="006E02AA">
              <w:rPr>
                <w:rFonts w:cstheme="majorHAnsi"/>
                <w:bCs/>
                <w:sz w:val="18"/>
                <w:szCs w:val="18"/>
              </w:rPr>
              <w:t>65.5)</w:t>
            </w:r>
          </w:p>
        </w:tc>
        <w:tc>
          <w:tcPr>
            <w:tcW w:w="1582" w:type="dxa"/>
          </w:tcPr>
          <w:p w14:paraId="063F8E9E" w14:textId="0B280BD4"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11.9% (10.4,</w:t>
            </w:r>
            <w:r>
              <w:rPr>
                <w:rFonts w:cstheme="majorHAnsi"/>
                <w:bCs/>
                <w:sz w:val="18"/>
                <w:szCs w:val="18"/>
              </w:rPr>
              <w:t xml:space="preserve"> </w:t>
            </w:r>
            <w:r w:rsidRPr="006E02AA">
              <w:rPr>
                <w:rFonts w:cstheme="majorHAnsi"/>
                <w:bCs/>
                <w:sz w:val="18"/>
                <w:szCs w:val="18"/>
              </w:rPr>
              <w:t>13.4</w:t>
            </w:r>
            <w:r>
              <w:rPr>
                <w:rFonts w:cstheme="majorHAnsi"/>
                <w:bCs/>
                <w:sz w:val="18"/>
                <w:szCs w:val="18"/>
              </w:rPr>
              <w:t>)</w:t>
            </w:r>
          </w:p>
          <w:p w14:paraId="4F4EECE8" w14:textId="00561E98"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2</w:t>
            </w:r>
            <w:r w:rsidRPr="006E02AA">
              <w:rPr>
                <w:rFonts w:cstheme="majorHAnsi"/>
                <w:bCs/>
                <w:sz w:val="18"/>
                <w:szCs w:val="18"/>
              </w:rPr>
              <w:t>: 56.4%</w:t>
            </w:r>
            <w:r>
              <w:rPr>
                <w:rFonts w:cstheme="majorHAnsi"/>
                <w:bCs/>
                <w:sz w:val="18"/>
                <w:szCs w:val="18"/>
              </w:rPr>
              <w:t xml:space="preserve"> (</w:t>
            </w:r>
            <w:r w:rsidRPr="006E02AA">
              <w:rPr>
                <w:rFonts w:cstheme="majorHAnsi"/>
                <w:bCs/>
                <w:sz w:val="18"/>
                <w:szCs w:val="18"/>
              </w:rPr>
              <w:t>51.4,</w:t>
            </w:r>
            <w:r>
              <w:rPr>
                <w:rFonts w:cstheme="majorHAnsi"/>
                <w:bCs/>
                <w:sz w:val="18"/>
                <w:szCs w:val="18"/>
              </w:rPr>
              <w:t xml:space="preserve"> </w:t>
            </w:r>
            <w:r w:rsidRPr="006E02AA">
              <w:rPr>
                <w:rFonts w:cstheme="majorHAnsi"/>
                <w:bCs/>
                <w:sz w:val="18"/>
                <w:szCs w:val="18"/>
              </w:rPr>
              <w:t>61.4)</w:t>
            </w:r>
          </w:p>
          <w:p w14:paraId="2DA2BF4B" w14:textId="2EAB045C"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r w:rsidRPr="006E02AA">
              <w:rPr>
                <w:rFonts w:cstheme="majorHAnsi"/>
                <w:bCs/>
                <w:sz w:val="18"/>
                <w:szCs w:val="18"/>
              </w:rPr>
              <w:t xml:space="preserve">: 59.6% </w:t>
            </w:r>
            <w:r>
              <w:rPr>
                <w:rFonts w:cstheme="majorHAnsi"/>
                <w:bCs/>
                <w:sz w:val="18"/>
                <w:szCs w:val="18"/>
              </w:rPr>
              <w:t>(</w:t>
            </w:r>
            <w:r w:rsidRPr="006E02AA">
              <w:rPr>
                <w:rFonts w:cstheme="majorHAnsi"/>
                <w:bCs/>
                <w:sz w:val="18"/>
                <w:szCs w:val="18"/>
              </w:rPr>
              <w:t>54.4,</w:t>
            </w:r>
            <w:r>
              <w:rPr>
                <w:rFonts w:cstheme="majorHAnsi"/>
                <w:bCs/>
                <w:sz w:val="18"/>
                <w:szCs w:val="18"/>
              </w:rPr>
              <w:t xml:space="preserve"> </w:t>
            </w:r>
            <w:r w:rsidRPr="006E02AA">
              <w:rPr>
                <w:rFonts w:cstheme="majorHAnsi"/>
                <w:bCs/>
                <w:sz w:val="18"/>
                <w:szCs w:val="18"/>
              </w:rPr>
              <w:t>64.6)</w:t>
            </w:r>
          </w:p>
        </w:tc>
        <w:tc>
          <w:tcPr>
            <w:tcW w:w="1582" w:type="dxa"/>
          </w:tcPr>
          <w:p w14:paraId="57916302" w14:textId="173DF517" w:rsidR="006E02AA" w:rsidRPr="006E02AA" w:rsidRDefault="006E02AA" w:rsidP="006E02AA">
            <w:pPr>
              <w:jc w:val="center"/>
              <w:rPr>
                <w:sz w:val="18"/>
                <w:szCs w:val="18"/>
              </w:rPr>
            </w:pPr>
            <w:r w:rsidRPr="006E02AA">
              <w:rPr>
                <w:rFonts w:cstheme="majorHAnsi"/>
                <w:bCs/>
                <w:sz w:val="18"/>
                <w:szCs w:val="18"/>
              </w:rPr>
              <w:t>NA</w:t>
            </w:r>
          </w:p>
        </w:tc>
        <w:tc>
          <w:tcPr>
            <w:tcW w:w="1582" w:type="dxa"/>
          </w:tcPr>
          <w:p w14:paraId="7F90177E" w14:textId="3EF02329" w:rsidR="006E02AA" w:rsidRPr="006E02AA" w:rsidRDefault="006E02AA" w:rsidP="006E02AA">
            <w:pPr>
              <w:rPr>
                <w:sz w:val="18"/>
                <w:szCs w:val="18"/>
              </w:rPr>
            </w:pPr>
            <w:r>
              <w:rPr>
                <w:rFonts w:cstheme="majorHAnsi"/>
                <w:bCs/>
                <w:sz w:val="18"/>
                <w:szCs w:val="18"/>
              </w:rPr>
              <w:t>NA</w:t>
            </w:r>
          </w:p>
        </w:tc>
      </w:tr>
      <w:tr w:rsidR="006E02AA" w:rsidRPr="006E02AA" w14:paraId="20C0A592" w14:textId="77777777" w:rsidTr="00630B87">
        <w:tc>
          <w:tcPr>
            <w:tcW w:w="1151" w:type="dxa"/>
          </w:tcPr>
          <w:p w14:paraId="4955914C" w14:textId="5D54E7FB"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lastRenderedPageBreak/>
              <w:t>Honig et al</w:t>
            </w:r>
            <w:r>
              <w:rPr>
                <w:rFonts w:cstheme="majorHAnsi"/>
                <w:bCs/>
                <w:sz w:val="18"/>
                <w:szCs w:val="18"/>
              </w:rPr>
              <w:t>.</w:t>
            </w:r>
            <w:r w:rsidRPr="006E02AA">
              <w:rPr>
                <w:rFonts w:cstheme="majorHAnsi"/>
                <w:bCs/>
                <w:sz w:val="18"/>
                <w:szCs w:val="18"/>
              </w:rPr>
              <w:t xml:space="preserve"> (2019) </w:t>
            </w:r>
          </w:p>
        </w:tc>
        <w:tc>
          <w:tcPr>
            <w:tcW w:w="1582" w:type="dxa"/>
          </w:tcPr>
          <w:p w14:paraId="72B3F3D0" w14:textId="4C40CF52"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3C5D3C93" w14:textId="5419A3AE" w:rsidR="006E02AA" w:rsidRPr="006E02AA" w:rsidRDefault="006E02AA" w:rsidP="00630B87">
            <w:pPr>
              <w:pStyle w:val="BodyText"/>
              <w:spacing w:before="0" w:after="0" w:line="240" w:lineRule="auto"/>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5.9% </w:t>
            </w:r>
          </w:p>
          <w:p w14:paraId="233D6E79" w14:textId="62687B73"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r w:rsidRPr="006E02AA">
              <w:rPr>
                <w:rFonts w:cstheme="majorHAnsi"/>
                <w:bCs/>
                <w:sz w:val="18"/>
                <w:szCs w:val="18"/>
              </w:rPr>
              <w:t xml:space="preserve">:38.3% </w:t>
            </w:r>
          </w:p>
        </w:tc>
        <w:tc>
          <w:tcPr>
            <w:tcW w:w="1582" w:type="dxa"/>
          </w:tcPr>
          <w:p w14:paraId="06C3DADF" w14:textId="0D9CC012" w:rsidR="006E02AA" w:rsidRPr="006E02AA" w:rsidRDefault="006E02AA" w:rsidP="00630B87">
            <w:pPr>
              <w:pStyle w:val="BodyText"/>
              <w:spacing w:before="0" w:after="0" w:line="240" w:lineRule="auto"/>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Pr>
                <w:rFonts w:cstheme="majorHAnsi"/>
                <w:bCs/>
                <w:sz w:val="18"/>
                <w:szCs w:val="18"/>
              </w:rPr>
              <w:t>:</w:t>
            </w:r>
            <w:r w:rsidRPr="006E02AA">
              <w:rPr>
                <w:rFonts w:cstheme="majorHAnsi"/>
                <w:bCs/>
                <w:sz w:val="18"/>
                <w:szCs w:val="18"/>
              </w:rPr>
              <w:t xml:space="preserve"> 5.1% </w:t>
            </w:r>
          </w:p>
          <w:p w14:paraId="623A6F80" w14:textId="518124AA" w:rsidR="006E02AA" w:rsidRPr="006E02AA" w:rsidRDefault="006E02AA" w:rsidP="00630B87">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r w:rsidRPr="006E02AA">
              <w:rPr>
                <w:rFonts w:cstheme="majorHAnsi"/>
                <w:bCs/>
                <w:sz w:val="18"/>
                <w:szCs w:val="18"/>
              </w:rPr>
              <w:t xml:space="preserve">: 36.5% </w:t>
            </w:r>
          </w:p>
        </w:tc>
        <w:tc>
          <w:tcPr>
            <w:tcW w:w="1582" w:type="dxa"/>
          </w:tcPr>
          <w:p w14:paraId="76D47689" w14:textId="58F17BDB" w:rsidR="006E02AA" w:rsidRPr="006E02AA" w:rsidRDefault="006E02AA" w:rsidP="006E02AA">
            <w:pPr>
              <w:jc w:val="center"/>
              <w:rPr>
                <w:sz w:val="18"/>
                <w:szCs w:val="18"/>
              </w:rPr>
            </w:pPr>
            <w:r>
              <w:rPr>
                <w:sz w:val="18"/>
                <w:szCs w:val="18"/>
              </w:rPr>
              <w:t>NA</w:t>
            </w:r>
          </w:p>
        </w:tc>
        <w:tc>
          <w:tcPr>
            <w:tcW w:w="1582" w:type="dxa"/>
          </w:tcPr>
          <w:p w14:paraId="4FD45B55" w14:textId="2535C474" w:rsidR="006E02AA" w:rsidRPr="006E02AA" w:rsidRDefault="006E02AA" w:rsidP="006E02AA">
            <w:pPr>
              <w:jc w:val="center"/>
              <w:rPr>
                <w:sz w:val="18"/>
                <w:szCs w:val="18"/>
              </w:rPr>
            </w:pPr>
            <w:r>
              <w:rPr>
                <w:sz w:val="18"/>
                <w:szCs w:val="18"/>
              </w:rPr>
              <w:t>NA</w:t>
            </w:r>
          </w:p>
        </w:tc>
      </w:tr>
      <w:tr w:rsidR="006E02AA" w:rsidRPr="006E02AA" w14:paraId="0CB6846D" w14:textId="77777777" w:rsidTr="006E02AA">
        <w:tc>
          <w:tcPr>
            <w:tcW w:w="1151" w:type="dxa"/>
          </w:tcPr>
          <w:p w14:paraId="7F8F699C" w14:textId="5EA8799A" w:rsidR="006E02AA" w:rsidRPr="006E02AA" w:rsidRDefault="006E02AA" w:rsidP="006E02AA">
            <w:pPr>
              <w:rPr>
                <w:rFonts w:cstheme="majorHAnsi"/>
                <w:bCs/>
                <w:sz w:val="18"/>
                <w:szCs w:val="18"/>
              </w:rPr>
            </w:pPr>
            <w:r w:rsidRPr="006E02AA">
              <w:rPr>
                <w:rFonts w:cstheme="majorHAnsi"/>
                <w:bCs/>
                <w:sz w:val="18"/>
                <w:szCs w:val="18"/>
              </w:rPr>
              <w:t>Rose &amp; Shisler (2018)</w:t>
            </w:r>
          </w:p>
        </w:tc>
        <w:tc>
          <w:tcPr>
            <w:tcW w:w="1582" w:type="dxa"/>
          </w:tcPr>
          <w:p w14:paraId="3BD380EE" w14:textId="1CF9E18B"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567127EF"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w:t>
            </w:r>
          </w:p>
          <w:p w14:paraId="4E15DC2E"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All: 2.3%</w:t>
            </w:r>
          </w:p>
          <w:p w14:paraId="37ACC12E"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Dense: 2.5%</w:t>
            </w:r>
          </w:p>
          <w:p w14:paraId="1D947990"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r w:rsidRPr="006E02AA">
              <w:rPr>
                <w:rFonts w:cstheme="majorHAnsi"/>
                <w:bCs/>
                <w:sz w:val="18"/>
                <w:szCs w:val="18"/>
              </w:rPr>
              <w:t xml:space="preserve"> </w:t>
            </w:r>
          </w:p>
          <w:p w14:paraId="640855AA"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All: 16.1%</w:t>
            </w:r>
          </w:p>
          <w:p w14:paraId="3C05FCA8" w14:textId="1ABE4DF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Dense: 17.2%</w:t>
            </w:r>
          </w:p>
        </w:tc>
        <w:tc>
          <w:tcPr>
            <w:tcW w:w="1582" w:type="dxa"/>
          </w:tcPr>
          <w:p w14:paraId="4534BD2D"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w:t>
            </w:r>
          </w:p>
          <w:p w14:paraId="134A3EDE"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All: 1.6%</w:t>
            </w:r>
          </w:p>
          <w:p w14:paraId="225A841F"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Dense: 1.6%</w:t>
            </w:r>
          </w:p>
          <w:p w14:paraId="4DE04B40"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p>
          <w:p w14:paraId="30B3C273" w14:textId="77777777"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All: 13.8%</w:t>
            </w:r>
          </w:p>
          <w:p w14:paraId="4CBA9CD6" w14:textId="506BFD96"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Dense: 13.4%</w:t>
            </w:r>
          </w:p>
        </w:tc>
        <w:tc>
          <w:tcPr>
            <w:tcW w:w="1582" w:type="dxa"/>
          </w:tcPr>
          <w:p w14:paraId="33816F84" w14:textId="4AC405C8"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0A3F65E1" w14:textId="572B4EF8" w:rsidR="006E02AA" w:rsidRPr="006E02AA" w:rsidRDefault="006E02AA" w:rsidP="006E02AA">
            <w:pPr>
              <w:pStyle w:val="BodyText"/>
              <w:spacing w:before="0" w:after="0" w:line="240" w:lineRule="auto"/>
              <w:rPr>
                <w:rFonts w:cstheme="majorHAnsi"/>
                <w:bCs/>
                <w:i/>
                <w:iCs/>
                <w:sz w:val="18"/>
                <w:szCs w:val="18"/>
              </w:rPr>
            </w:pPr>
            <w:r w:rsidRPr="006E02AA">
              <w:rPr>
                <w:rFonts w:cstheme="majorHAnsi"/>
                <w:bCs/>
                <w:i/>
                <w:iCs/>
                <w:sz w:val="18"/>
                <w:szCs w:val="18"/>
              </w:rPr>
              <w:t>PPV</w:t>
            </w:r>
            <w:r w:rsidRPr="006E02AA">
              <w:rPr>
                <w:rFonts w:cstheme="majorHAnsi"/>
                <w:bCs/>
                <w:i/>
                <w:iCs/>
                <w:sz w:val="18"/>
                <w:szCs w:val="18"/>
                <w:vertAlign w:val="subscript"/>
              </w:rPr>
              <w:t>1</w:t>
            </w:r>
            <w:r w:rsidRPr="006E02AA">
              <w:rPr>
                <w:rFonts w:cstheme="majorHAnsi"/>
                <w:bCs/>
                <w:i/>
                <w:iCs/>
                <w:sz w:val="18"/>
                <w:szCs w:val="18"/>
              </w:rPr>
              <w:t xml:space="preserve"> </w:t>
            </w:r>
          </w:p>
          <w:p w14:paraId="3D342F9F" w14:textId="4C90F995"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All: 0.7 (0.04</w:t>
            </w:r>
            <w:r>
              <w:rPr>
                <w:rFonts w:cstheme="majorHAnsi"/>
                <w:bCs/>
                <w:sz w:val="18"/>
                <w:szCs w:val="18"/>
              </w:rPr>
              <w:t xml:space="preserve">, </w:t>
            </w:r>
            <w:r w:rsidRPr="006E02AA">
              <w:rPr>
                <w:rFonts w:cstheme="majorHAnsi"/>
                <w:bCs/>
                <w:sz w:val="18"/>
                <w:szCs w:val="18"/>
              </w:rPr>
              <w:t>1.4</w:t>
            </w:r>
            <w:r>
              <w:rPr>
                <w:rFonts w:cstheme="majorHAnsi"/>
                <w:bCs/>
                <w:sz w:val="18"/>
                <w:szCs w:val="18"/>
              </w:rPr>
              <w:t xml:space="preserve">; </w:t>
            </w:r>
            <w:r w:rsidRPr="006E02AA">
              <w:rPr>
                <w:rFonts w:cstheme="majorHAnsi"/>
                <w:sz w:val="18"/>
                <w:szCs w:val="18"/>
              </w:rPr>
              <w:t xml:space="preserve"> </w:t>
            </w:r>
            <w:r w:rsidRPr="006E02AA">
              <w:rPr>
                <w:rFonts w:cstheme="majorHAnsi"/>
                <w:bCs/>
                <w:i/>
                <w:iCs/>
                <w:sz w:val="18"/>
                <w:szCs w:val="18"/>
              </w:rPr>
              <w:t>p</w:t>
            </w:r>
            <w:r>
              <w:rPr>
                <w:rFonts w:cstheme="majorHAnsi"/>
                <w:bCs/>
                <w:i/>
                <w:iCs/>
                <w:sz w:val="18"/>
                <w:szCs w:val="18"/>
              </w:rPr>
              <w:t>=</w:t>
            </w:r>
            <w:r w:rsidRPr="006E02AA">
              <w:rPr>
                <w:rFonts w:cstheme="majorHAnsi"/>
                <w:bCs/>
                <w:sz w:val="18"/>
                <w:szCs w:val="18"/>
              </w:rPr>
              <w:t>.04</w:t>
            </w:r>
            <w:r>
              <w:rPr>
                <w:rFonts w:cstheme="majorHAnsi"/>
                <w:bCs/>
                <w:sz w:val="18"/>
                <w:szCs w:val="18"/>
              </w:rPr>
              <w:t>)</w:t>
            </w:r>
          </w:p>
          <w:p w14:paraId="1613BA29" w14:textId="392E59A5"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Dense: 0.9 (0.04</w:t>
            </w:r>
            <w:r>
              <w:rPr>
                <w:rFonts w:cstheme="majorHAnsi"/>
                <w:bCs/>
                <w:sz w:val="18"/>
                <w:szCs w:val="18"/>
              </w:rPr>
              <w:t xml:space="preserve">, </w:t>
            </w:r>
            <w:r w:rsidRPr="006E02AA">
              <w:rPr>
                <w:rFonts w:cstheme="majorHAnsi"/>
                <w:bCs/>
                <w:sz w:val="18"/>
                <w:szCs w:val="18"/>
              </w:rPr>
              <w:t>1.8</w:t>
            </w:r>
            <w:r>
              <w:rPr>
                <w:rFonts w:cstheme="majorHAnsi"/>
                <w:bCs/>
                <w:sz w:val="18"/>
                <w:szCs w:val="18"/>
              </w:rPr>
              <w:t>;</w:t>
            </w:r>
            <w:r w:rsidRPr="006E02AA">
              <w:rPr>
                <w:rFonts w:cstheme="majorHAnsi"/>
                <w:bCs/>
                <w:sz w:val="18"/>
                <w:szCs w:val="18"/>
              </w:rPr>
              <w:t xml:space="preserve"> </w:t>
            </w:r>
            <w:r w:rsidRPr="006E02AA">
              <w:rPr>
                <w:rFonts w:cstheme="majorHAnsi"/>
                <w:bCs/>
                <w:i/>
                <w:iCs/>
                <w:sz w:val="18"/>
                <w:szCs w:val="18"/>
              </w:rPr>
              <w:t>p</w:t>
            </w:r>
            <w:r>
              <w:rPr>
                <w:rFonts w:cstheme="majorHAnsi"/>
                <w:bCs/>
                <w:i/>
                <w:iCs/>
                <w:sz w:val="18"/>
                <w:szCs w:val="18"/>
              </w:rPr>
              <w:t>=</w:t>
            </w:r>
            <w:r w:rsidRPr="006E02AA">
              <w:rPr>
                <w:rFonts w:cstheme="majorHAnsi"/>
                <w:bCs/>
                <w:sz w:val="18"/>
                <w:szCs w:val="18"/>
              </w:rPr>
              <w:t>.55</w:t>
            </w:r>
            <w:r>
              <w:rPr>
                <w:rFonts w:cstheme="majorHAnsi"/>
                <w:bCs/>
                <w:sz w:val="18"/>
                <w:szCs w:val="18"/>
              </w:rPr>
              <w:t>)</w:t>
            </w:r>
          </w:p>
          <w:p w14:paraId="0DD970BE" w14:textId="4231F392"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3</w:t>
            </w:r>
            <w:r w:rsidRPr="006E02AA">
              <w:rPr>
                <w:rFonts w:cstheme="majorHAnsi"/>
                <w:bCs/>
                <w:sz w:val="18"/>
                <w:szCs w:val="18"/>
              </w:rPr>
              <w:t xml:space="preserve"> </w:t>
            </w:r>
          </w:p>
          <w:p w14:paraId="69C6E530" w14:textId="6E1D8E04" w:rsidR="006E02AA" w:rsidRPr="006E02AA" w:rsidRDefault="006E02AA" w:rsidP="006E02AA">
            <w:pPr>
              <w:pStyle w:val="BodyText"/>
              <w:spacing w:before="0" w:after="0" w:line="240" w:lineRule="auto"/>
              <w:rPr>
                <w:rFonts w:cstheme="majorHAnsi"/>
                <w:bCs/>
                <w:sz w:val="18"/>
                <w:szCs w:val="18"/>
              </w:rPr>
            </w:pPr>
            <w:r w:rsidRPr="006E02AA">
              <w:rPr>
                <w:rFonts w:cstheme="majorHAnsi"/>
                <w:bCs/>
                <w:sz w:val="18"/>
                <w:szCs w:val="18"/>
              </w:rPr>
              <w:t>All:</w:t>
            </w:r>
            <w:r w:rsidRPr="006E02AA">
              <w:rPr>
                <w:rFonts w:cstheme="majorHAnsi"/>
                <w:sz w:val="18"/>
                <w:szCs w:val="18"/>
              </w:rPr>
              <w:t xml:space="preserve"> 1.5 (−3.3</w:t>
            </w:r>
            <w:r>
              <w:rPr>
                <w:rFonts w:cstheme="majorHAnsi"/>
                <w:sz w:val="18"/>
                <w:szCs w:val="18"/>
              </w:rPr>
              <w:t>,</w:t>
            </w:r>
            <w:r w:rsidRPr="006E02AA">
              <w:rPr>
                <w:rFonts w:cstheme="majorHAnsi"/>
                <w:sz w:val="18"/>
                <w:szCs w:val="18"/>
              </w:rPr>
              <w:t xml:space="preserve"> 6.3</w:t>
            </w:r>
            <w:r>
              <w:rPr>
                <w:rFonts w:cstheme="majorHAnsi"/>
                <w:sz w:val="18"/>
                <w:szCs w:val="18"/>
              </w:rPr>
              <w:t xml:space="preserve">; </w:t>
            </w:r>
            <w:r w:rsidRPr="006E02AA">
              <w:rPr>
                <w:rFonts w:cstheme="majorHAnsi"/>
                <w:i/>
                <w:iCs/>
                <w:sz w:val="18"/>
                <w:szCs w:val="18"/>
              </w:rPr>
              <w:t>p</w:t>
            </w:r>
            <w:r>
              <w:rPr>
                <w:rFonts w:cstheme="majorHAnsi"/>
                <w:sz w:val="18"/>
                <w:szCs w:val="18"/>
              </w:rPr>
              <w:t>=</w:t>
            </w:r>
            <w:r w:rsidRPr="006E02AA">
              <w:rPr>
                <w:rFonts w:cstheme="majorHAnsi"/>
                <w:sz w:val="18"/>
                <w:szCs w:val="18"/>
              </w:rPr>
              <w:t>.55</w:t>
            </w:r>
            <w:r>
              <w:rPr>
                <w:rFonts w:cstheme="majorHAnsi"/>
                <w:sz w:val="18"/>
                <w:szCs w:val="18"/>
              </w:rPr>
              <w:t>)</w:t>
            </w:r>
          </w:p>
          <w:p w14:paraId="2E1F957C" w14:textId="0B6E467F" w:rsidR="006E02AA" w:rsidRPr="006E02AA" w:rsidRDefault="006E02AA" w:rsidP="006E02AA">
            <w:pPr>
              <w:rPr>
                <w:sz w:val="18"/>
                <w:szCs w:val="18"/>
              </w:rPr>
            </w:pPr>
            <w:r w:rsidRPr="006E02AA">
              <w:rPr>
                <w:rFonts w:cstheme="majorHAnsi"/>
                <w:bCs/>
                <w:sz w:val="18"/>
                <w:szCs w:val="18"/>
              </w:rPr>
              <w:t xml:space="preserve">Dense: </w:t>
            </w:r>
            <w:r w:rsidRPr="006E02AA">
              <w:rPr>
                <w:rFonts w:cstheme="majorHAnsi"/>
                <w:sz w:val="18"/>
                <w:szCs w:val="18"/>
              </w:rPr>
              <w:t xml:space="preserve"> 3.2 (−2.8</w:t>
            </w:r>
            <w:r>
              <w:rPr>
                <w:rFonts w:cstheme="majorHAnsi"/>
                <w:sz w:val="18"/>
                <w:szCs w:val="18"/>
              </w:rPr>
              <w:t xml:space="preserve">, </w:t>
            </w:r>
            <w:r w:rsidRPr="006E02AA">
              <w:rPr>
                <w:rFonts w:cstheme="majorHAnsi"/>
                <w:sz w:val="18"/>
                <w:szCs w:val="18"/>
              </w:rPr>
              <w:t>9.2</w:t>
            </w:r>
            <w:r>
              <w:rPr>
                <w:rFonts w:cstheme="majorHAnsi"/>
                <w:sz w:val="18"/>
                <w:szCs w:val="18"/>
              </w:rPr>
              <w:t xml:space="preserve">; </w:t>
            </w:r>
            <w:r w:rsidRPr="006E02AA">
              <w:rPr>
                <w:rFonts w:cstheme="majorHAnsi"/>
                <w:i/>
                <w:iCs/>
                <w:sz w:val="18"/>
                <w:szCs w:val="18"/>
              </w:rPr>
              <w:t>p</w:t>
            </w:r>
            <w:r>
              <w:rPr>
                <w:rFonts w:cstheme="majorHAnsi"/>
                <w:i/>
                <w:iCs/>
                <w:sz w:val="18"/>
                <w:szCs w:val="18"/>
              </w:rPr>
              <w:t>=</w:t>
            </w:r>
            <w:r w:rsidRPr="006E02AA">
              <w:rPr>
                <w:rFonts w:cstheme="majorHAnsi"/>
                <w:sz w:val="18"/>
                <w:szCs w:val="18"/>
              </w:rPr>
              <w:t>.29</w:t>
            </w:r>
            <w:r>
              <w:rPr>
                <w:rFonts w:cstheme="majorHAnsi"/>
                <w:sz w:val="18"/>
                <w:szCs w:val="18"/>
              </w:rPr>
              <w:t>)</w:t>
            </w:r>
          </w:p>
        </w:tc>
      </w:tr>
      <w:tr w:rsidR="006E02AA" w:rsidRPr="006E02AA" w14:paraId="6E0221A2" w14:textId="77777777" w:rsidTr="00630B87">
        <w:tc>
          <w:tcPr>
            <w:tcW w:w="9061" w:type="dxa"/>
            <w:gridSpan w:val="6"/>
            <w:shd w:val="clear" w:color="auto" w:fill="E7FFBD" w:themeFill="background2" w:themeFillTint="33"/>
          </w:tcPr>
          <w:p w14:paraId="6C254CD9" w14:textId="77777777" w:rsidR="006E02AA" w:rsidRPr="006E02AA" w:rsidRDefault="006E02AA" w:rsidP="00630B87">
            <w:pPr>
              <w:jc w:val="center"/>
              <w:rPr>
                <w:sz w:val="18"/>
                <w:szCs w:val="18"/>
              </w:rPr>
            </w:pPr>
            <w:r w:rsidRPr="006E02AA">
              <w:rPr>
                <w:sz w:val="18"/>
                <w:szCs w:val="18"/>
              </w:rPr>
              <w:t>FFDM+DBT compared to FFDM alone</w:t>
            </w:r>
          </w:p>
        </w:tc>
      </w:tr>
      <w:tr w:rsidR="006E02AA" w:rsidRPr="006E02AA" w14:paraId="08A4ED49" w14:textId="77777777" w:rsidTr="00630B87">
        <w:tc>
          <w:tcPr>
            <w:tcW w:w="9061" w:type="dxa"/>
            <w:gridSpan w:val="6"/>
          </w:tcPr>
          <w:p w14:paraId="2C6A64AC" w14:textId="77777777" w:rsidR="006E02AA" w:rsidRPr="006E02AA" w:rsidRDefault="006E02AA" w:rsidP="00630B87">
            <w:pPr>
              <w:rPr>
                <w:sz w:val="18"/>
                <w:szCs w:val="18"/>
              </w:rPr>
            </w:pPr>
            <w:r w:rsidRPr="006E02AA">
              <w:rPr>
                <w:rFonts w:cstheme="majorHAnsi"/>
                <w:b/>
                <w:sz w:val="18"/>
                <w:szCs w:val="18"/>
              </w:rPr>
              <w:t>Prospective studies embedded in population-based screening programs</w:t>
            </w:r>
          </w:p>
        </w:tc>
      </w:tr>
      <w:tr w:rsidR="006E02AA" w:rsidRPr="006E02AA" w14:paraId="40EF6DFD" w14:textId="77777777" w:rsidTr="006E02AA">
        <w:tc>
          <w:tcPr>
            <w:tcW w:w="1151" w:type="dxa"/>
          </w:tcPr>
          <w:p w14:paraId="33826ECF" w14:textId="3A2FC8FC" w:rsidR="006E02AA" w:rsidRPr="006E02AA" w:rsidRDefault="006E02AA" w:rsidP="006E02AA">
            <w:pPr>
              <w:rPr>
                <w:rFonts w:cstheme="majorHAnsi"/>
                <w:bCs/>
                <w:sz w:val="18"/>
                <w:szCs w:val="18"/>
              </w:rPr>
            </w:pPr>
            <w:r w:rsidRPr="006E02AA">
              <w:rPr>
                <w:rFonts w:cstheme="majorHAnsi"/>
                <w:bCs/>
                <w:sz w:val="18"/>
                <w:szCs w:val="18"/>
              </w:rPr>
              <w:t xml:space="preserve">Zackrisson et al. (2018) Malmö </w:t>
            </w:r>
          </w:p>
        </w:tc>
        <w:tc>
          <w:tcPr>
            <w:tcW w:w="1582" w:type="dxa"/>
          </w:tcPr>
          <w:p w14:paraId="2DE1CA1A" w14:textId="5023DC47" w:rsidR="006E02AA" w:rsidRPr="006E02AA" w:rsidRDefault="006E02AA" w:rsidP="006E02AA">
            <w:pPr>
              <w:pStyle w:val="BodyText"/>
              <w:spacing w:before="0" w:after="0" w:line="240" w:lineRule="auto"/>
              <w:jc w:val="center"/>
              <w:rPr>
                <w:rFonts w:cstheme="majorHAnsi"/>
                <w:bCs/>
                <w:sz w:val="18"/>
                <w:szCs w:val="18"/>
              </w:rPr>
            </w:pPr>
            <w:r>
              <w:rPr>
                <w:rFonts w:cstheme="majorHAnsi"/>
                <w:bCs/>
                <w:sz w:val="18"/>
                <w:szCs w:val="18"/>
              </w:rPr>
              <w:t>NA</w:t>
            </w:r>
          </w:p>
        </w:tc>
        <w:tc>
          <w:tcPr>
            <w:tcW w:w="1582" w:type="dxa"/>
          </w:tcPr>
          <w:p w14:paraId="4A130530" w14:textId="792299C5" w:rsidR="006E02AA" w:rsidRPr="006E02AA" w:rsidRDefault="006E02AA" w:rsidP="006E02AA">
            <w:pPr>
              <w:jc w:val="center"/>
              <w:rPr>
                <w:sz w:val="18"/>
                <w:szCs w:val="18"/>
              </w:rPr>
            </w:pPr>
            <w:r>
              <w:rPr>
                <w:sz w:val="18"/>
                <w:szCs w:val="18"/>
              </w:rPr>
              <w:t>NA</w:t>
            </w:r>
          </w:p>
        </w:tc>
        <w:tc>
          <w:tcPr>
            <w:tcW w:w="1582" w:type="dxa"/>
          </w:tcPr>
          <w:p w14:paraId="4C0D0822" w14:textId="35D68FAB"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 25·9% (21·6</w:t>
            </w:r>
            <w:r w:rsidR="00176980">
              <w:rPr>
                <w:rFonts w:cstheme="majorHAnsi"/>
                <w:bCs/>
                <w:sz w:val="18"/>
                <w:szCs w:val="18"/>
              </w:rPr>
              <w:t xml:space="preserve">, </w:t>
            </w:r>
            <w:r w:rsidRPr="006E02AA">
              <w:rPr>
                <w:rFonts w:cstheme="majorHAnsi"/>
                <w:bCs/>
                <w:sz w:val="18"/>
                <w:szCs w:val="18"/>
              </w:rPr>
              <w:t>30·7)</w:t>
            </w:r>
          </w:p>
          <w:p w14:paraId="56BACFB0" w14:textId="6D4C72AD"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NP</w:t>
            </w:r>
            <w:r>
              <w:rPr>
                <w:rFonts w:cstheme="majorHAnsi"/>
                <w:bCs/>
                <w:sz w:val="18"/>
                <w:szCs w:val="18"/>
              </w:rPr>
              <w:t>V</w:t>
            </w:r>
            <w:r w:rsidRPr="006E02AA">
              <w:rPr>
                <w:rFonts w:cstheme="majorHAnsi"/>
                <w:bCs/>
                <w:sz w:val="18"/>
                <w:szCs w:val="18"/>
              </w:rPr>
              <w:t xml:space="preserve">: </w:t>
            </w:r>
            <w:r w:rsidRPr="006E02AA">
              <w:rPr>
                <w:sz w:val="18"/>
                <w:szCs w:val="18"/>
              </w:rPr>
              <w:t xml:space="preserve"> </w:t>
            </w:r>
            <w:r w:rsidRPr="006E02AA">
              <w:rPr>
                <w:rFonts w:cstheme="majorHAnsi"/>
                <w:bCs/>
                <w:sz w:val="18"/>
                <w:szCs w:val="18"/>
              </w:rPr>
              <w:t>99·6% (99·4</w:t>
            </w:r>
            <w:r w:rsidR="00176980">
              <w:rPr>
                <w:rFonts w:cstheme="majorHAnsi"/>
                <w:bCs/>
                <w:sz w:val="18"/>
                <w:szCs w:val="18"/>
              </w:rPr>
              <w:t xml:space="preserve">, </w:t>
            </w:r>
            <w:r w:rsidRPr="006E02AA">
              <w:rPr>
                <w:rFonts w:cstheme="majorHAnsi"/>
                <w:bCs/>
                <w:sz w:val="18"/>
                <w:szCs w:val="18"/>
              </w:rPr>
              <w:t>99·7)</w:t>
            </w:r>
          </w:p>
        </w:tc>
        <w:tc>
          <w:tcPr>
            <w:tcW w:w="1582" w:type="dxa"/>
          </w:tcPr>
          <w:p w14:paraId="3449FE72" w14:textId="5DDEFE2C" w:rsidR="006E02AA" w:rsidRPr="006E02AA" w:rsidRDefault="006E02AA" w:rsidP="006E02AA">
            <w:pPr>
              <w:pStyle w:val="BodyText"/>
              <w:spacing w:before="0" w:after="0" w:line="240" w:lineRule="auto"/>
              <w:jc w:val="left"/>
              <w:rPr>
                <w:rFonts w:cstheme="majorHAnsi"/>
                <w:bCs/>
                <w:sz w:val="18"/>
                <w:szCs w:val="18"/>
              </w:rPr>
            </w:pPr>
            <w:r w:rsidRPr="006E02AA">
              <w:rPr>
                <w:rFonts w:cstheme="majorHAnsi"/>
                <w:bCs/>
                <w:sz w:val="18"/>
                <w:szCs w:val="18"/>
              </w:rPr>
              <w:t>PPV</w:t>
            </w:r>
            <w:r w:rsidRPr="006E02AA">
              <w:rPr>
                <w:rFonts w:cstheme="majorHAnsi"/>
                <w:bCs/>
                <w:sz w:val="18"/>
                <w:szCs w:val="18"/>
                <w:vertAlign w:val="subscript"/>
              </w:rPr>
              <w:t>1</w:t>
            </w:r>
            <w:r w:rsidRPr="006E02AA">
              <w:rPr>
                <w:rFonts w:cstheme="majorHAnsi"/>
                <w:bCs/>
                <w:sz w:val="18"/>
                <w:szCs w:val="18"/>
              </w:rPr>
              <w:t xml:space="preserve"> : 24·1% (20·5</w:t>
            </w:r>
            <w:r w:rsidR="00176980">
              <w:rPr>
                <w:rFonts w:cstheme="majorHAnsi"/>
                <w:bCs/>
                <w:sz w:val="18"/>
                <w:szCs w:val="18"/>
              </w:rPr>
              <w:t xml:space="preserve">, </w:t>
            </w:r>
            <w:r w:rsidRPr="006E02AA">
              <w:rPr>
                <w:rFonts w:cstheme="majorHAnsi"/>
                <w:bCs/>
                <w:sz w:val="18"/>
                <w:szCs w:val="18"/>
              </w:rPr>
              <w:t>28·0)</w:t>
            </w:r>
          </w:p>
          <w:p w14:paraId="430C1D1D" w14:textId="57BB0726" w:rsidR="006E02AA" w:rsidRPr="006E02AA" w:rsidRDefault="006E02AA" w:rsidP="006E02AA">
            <w:pPr>
              <w:rPr>
                <w:sz w:val="18"/>
                <w:szCs w:val="18"/>
              </w:rPr>
            </w:pPr>
            <w:r w:rsidRPr="006E02AA">
              <w:rPr>
                <w:rFonts w:cstheme="majorHAnsi"/>
                <w:bCs/>
                <w:sz w:val="18"/>
                <w:szCs w:val="18"/>
              </w:rPr>
              <w:t>NP</w:t>
            </w:r>
            <w:r>
              <w:rPr>
                <w:rFonts w:cstheme="majorHAnsi"/>
                <w:bCs/>
                <w:sz w:val="18"/>
                <w:szCs w:val="18"/>
              </w:rPr>
              <w:t>V</w:t>
            </w:r>
            <w:r w:rsidRPr="006E02AA">
              <w:rPr>
                <w:rFonts w:cstheme="majorHAnsi"/>
                <w:bCs/>
                <w:sz w:val="18"/>
                <w:szCs w:val="18"/>
              </w:rPr>
              <w:t>:</w:t>
            </w:r>
            <w:r w:rsidRPr="006E02AA">
              <w:rPr>
                <w:sz w:val="18"/>
                <w:szCs w:val="18"/>
              </w:rPr>
              <w:t xml:space="preserve"> </w:t>
            </w:r>
            <w:r w:rsidRPr="006E02AA">
              <w:rPr>
                <w:rFonts w:cstheme="majorHAnsi"/>
                <w:bCs/>
                <w:sz w:val="18"/>
                <w:szCs w:val="18"/>
              </w:rPr>
              <w:t>99·8% (99·7</w:t>
            </w:r>
            <w:r w:rsidR="00176980">
              <w:rPr>
                <w:rFonts w:cstheme="majorHAnsi"/>
                <w:bCs/>
                <w:sz w:val="18"/>
                <w:szCs w:val="18"/>
              </w:rPr>
              <w:t xml:space="preserve">, </w:t>
            </w:r>
            <w:r w:rsidRPr="006E02AA">
              <w:rPr>
                <w:rFonts w:cstheme="majorHAnsi"/>
                <w:bCs/>
                <w:sz w:val="18"/>
                <w:szCs w:val="18"/>
              </w:rPr>
              <w:t>99·9)</w:t>
            </w:r>
          </w:p>
        </w:tc>
        <w:tc>
          <w:tcPr>
            <w:tcW w:w="1582" w:type="dxa"/>
          </w:tcPr>
          <w:p w14:paraId="57BE7731" w14:textId="16BEF1CC" w:rsidR="006E02AA" w:rsidRPr="006E02AA" w:rsidRDefault="006E02AA" w:rsidP="006E02AA">
            <w:pPr>
              <w:jc w:val="center"/>
              <w:rPr>
                <w:sz w:val="18"/>
                <w:szCs w:val="18"/>
              </w:rPr>
            </w:pPr>
            <w:r>
              <w:rPr>
                <w:sz w:val="18"/>
                <w:szCs w:val="18"/>
              </w:rPr>
              <w:t>NA</w:t>
            </w:r>
          </w:p>
        </w:tc>
      </w:tr>
    </w:tbl>
    <w:p w14:paraId="0BEF1C4B" w14:textId="60F7DB25" w:rsidR="001B1EC1" w:rsidRDefault="001B1EC1" w:rsidP="001B1EC1">
      <w:pPr>
        <w:pStyle w:val="NumberedHeading2"/>
      </w:pPr>
      <w:bookmarkStart w:id="409" w:name="_Toc43376346"/>
      <w:r>
        <w:t>Radiation dose and safety</w:t>
      </w:r>
      <w:bookmarkEnd w:id="409"/>
    </w:p>
    <w:p w14:paraId="27969942" w14:textId="69E5DFFE" w:rsidR="00161844" w:rsidRDefault="00161844" w:rsidP="00161844">
      <w:pPr>
        <w:pStyle w:val="BodyText"/>
      </w:pPr>
      <w:r>
        <w:t xml:space="preserve">DBT </w:t>
      </w:r>
      <w:r w:rsidRPr="00E44152">
        <w:t xml:space="preserve">and mammography are radiation-emitting procedures. </w:t>
      </w:r>
      <w:r>
        <w:t xml:space="preserve">Dose is cumulative. </w:t>
      </w:r>
      <w:r w:rsidRPr="00E44152">
        <w:t xml:space="preserve">The radiation dose required to gain an accurate image is calculated using breast characteristics such as thickness and glandular composition. Balancing safe radiation dose with </w:t>
      </w:r>
      <w:r>
        <w:t xml:space="preserve">sufficient radiation to acquire clear images </w:t>
      </w:r>
      <w:r w:rsidRPr="00E44152">
        <w:t xml:space="preserve">is a concern with all such procedures. </w:t>
      </w:r>
      <w:r>
        <w:t>A</w:t>
      </w:r>
      <w:r w:rsidRPr="00FA5477">
        <w:t xml:space="preserve">n important concern in deciding whether to implement DBT into population-based screening is whether the benefits of the technology </w:t>
      </w:r>
      <w:r>
        <w:t xml:space="preserve">(increased cancer detection, reduced recall rates, false positive recall rates and reduced mortality from breast cancer) </w:t>
      </w:r>
      <w:r w:rsidRPr="00FA5477">
        <w:t>outweigh the increased risk</w:t>
      </w:r>
      <w:r>
        <w:t xml:space="preserve"> from lifetime exposure to radiation</w:t>
      </w:r>
      <w:r w:rsidRPr="00FA5477">
        <w:t xml:space="preserve"> </w:t>
      </w:r>
      <w:r>
        <w:t>for women participating in screening</w:t>
      </w:r>
      <w:r w:rsidRPr="00FA5477">
        <w:t xml:space="preserve">. </w:t>
      </w:r>
    </w:p>
    <w:p w14:paraId="5782391D" w14:textId="77777777" w:rsidR="00161844" w:rsidRDefault="00161844" w:rsidP="00161844">
      <w:pPr>
        <w:pStyle w:val="CV-Heading"/>
      </w:pPr>
      <w:r>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60E2FF79" w14:textId="047D823D" w:rsidR="00161844" w:rsidRDefault="00161844" w:rsidP="00161844">
      <w:pPr>
        <w:pStyle w:val="BodyText"/>
      </w:pPr>
      <w:r w:rsidRPr="00E44152">
        <w:t xml:space="preserve">Radiation dose varies with </w:t>
      </w:r>
      <w:r>
        <w:t>the image acquisition process used (DBT+</w:t>
      </w:r>
      <w:r w:rsidR="00176980">
        <w:t>s2DM</w:t>
      </w:r>
      <w:r>
        <w:t xml:space="preserve">, FFDM alone or FFDM+DBT), </w:t>
      </w:r>
      <w:r w:rsidRPr="00E44152">
        <w:t xml:space="preserve">the </w:t>
      </w:r>
      <w:r>
        <w:t xml:space="preserve">number of and type of </w:t>
      </w:r>
      <w:r w:rsidRPr="00E44152">
        <w:t>view</w:t>
      </w:r>
      <w:r>
        <w:t xml:space="preserve">s, the use of automatic exposure control, positioning, breast size and composition, </w:t>
      </w:r>
      <w:r w:rsidRPr="00E44152">
        <w:t xml:space="preserve">and </w:t>
      </w:r>
      <w:r>
        <w:t xml:space="preserve">by DBT </w:t>
      </w:r>
      <w:r w:rsidRPr="00E44152">
        <w:t xml:space="preserve">system used. </w:t>
      </w:r>
      <w:r w:rsidRPr="00EE28B0">
        <w:t>Much of the published evidence about the sensitivity and specificity of DBT was based on dual acquisition protocols (i.e., FFDM+DBT</w:t>
      </w:r>
      <w:r>
        <w:t xml:space="preserve"> compared to FFDM alone or DBT+</w:t>
      </w:r>
      <w:r w:rsidR="00176980">
        <w:t>s2DM</w:t>
      </w:r>
      <w:r>
        <w:t xml:space="preserve"> compared to FFDM+DBT</w:t>
      </w:r>
      <w:r w:rsidRPr="00EE28B0">
        <w:t>). Using average breast thickness</w:t>
      </w:r>
      <w:r w:rsidR="00B714C8">
        <w:t xml:space="preserve"> and compression</w:t>
      </w:r>
      <w:r w:rsidRPr="00EE28B0">
        <w:t xml:space="preserve">, the radiation dose required to acquire acceptable images with FFDM+DBT is approximately double that of FFDM alone (2.98mGy compared to 1.49mGy). </w:t>
      </w:r>
      <w:r>
        <w:t>DBT+</w:t>
      </w:r>
      <w:r w:rsidR="00176980">
        <w:t>s2DM</w:t>
      </w:r>
      <w:r>
        <w:t xml:space="preserve"> usually reported a lower </w:t>
      </w:r>
      <w:r w:rsidR="001F37C5">
        <w:t>mean glandular dose (MGD)</w:t>
      </w:r>
      <w:r>
        <w:t xml:space="preserve"> compared to FFDM+DBT but it was still higher than FFDM alone. Having </w:t>
      </w:r>
      <w:r w:rsidRPr="00E44152">
        <w:t xml:space="preserve">FFDM+DBT as the </w:t>
      </w:r>
      <w:r>
        <w:t xml:space="preserve">preferred </w:t>
      </w:r>
      <w:r w:rsidRPr="00D86CAB">
        <w:t xml:space="preserve">screening </w:t>
      </w:r>
      <w:r>
        <w:t>strategy has</w:t>
      </w:r>
      <w:r w:rsidRPr="00E44152">
        <w:t xml:space="preserve"> implications for cumulative dose if separate acquisitions are used for </w:t>
      </w:r>
      <w:r>
        <w:t>2D and 3D images,</w:t>
      </w:r>
      <w:r w:rsidRPr="00E44152">
        <w:t xml:space="preserve"> if the screening interval is annual </w:t>
      </w:r>
      <w:r>
        <w:t xml:space="preserve">not </w:t>
      </w:r>
      <w:r w:rsidRPr="00E44152">
        <w:t>biennial</w:t>
      </w:r>
      <w:r>
        <w:t xml:space="preserve">, or if women participate in mammography-based screening from </w:t>
      </w:r>
      <w:r w:rsidR="00BC52D9">
        <w:t xml:space="preserve">aged </w:t>
      </w:r>
      <w:r>
        <w:t>40</w:t>
      </w:r>
      <w:r w:rsidRPr="00E44152">
        <w:t>.</w:t>
      </w:r>
    </w:p>
    <w:p w14:paraId="7F6FAC21" w14:textId="37D6AA90" w:rsidR="00161844" w:rsidRDefault="00161844" w:rsidP="00161844">
      <w:pPr>
        <w:pStyle w:val="BodyText"/>
      </w:pPr>
      <w:r>
        <w:lastRenderedPageBreak/>
        <w:t>For FFDM+DBT, t</w:t>
      </w:r>
      <w:r w:rsidRPr="00EE28B0">
        <w:t>his ‘do</w:t>
      </w:r>
      <w:r w:rsidRPr="00E44152">
        <w:t xml:space="preserve">uble dose’ is still within the dose limits set for </w:t>
      </w:r>
      <w:r>
        <w:t>overseas quality and safety standards but is higher than the per view dose limit set for the BSA program</w:t>
      </w:r>
      <w:r w:rsidRPr="00E44152">
        <w:t xml:space="preserve">. </w:t>
      </w:r>
      <w:r>
        <w:t>T</w:t>
      </w:r>
      <w:r w:rsidRPr="00E44152">
        <w:t xml:space="preserve">he </w:t>
      </w:r>
      <w:r>
        <w:t xml:space="preserve">radiation dose </w:t>
      </w:r>
      <w:r w:rsidRPr="00E44152">
        <w:t xml:space="preserve">for DBT </w:t>
      </w:r>
      <w:r>
        <w:t xml:space="preserve">alone </w:t>
      </w:r>
      <w:r w:rsidRPr="00E44152">
        <w:t xml:space="preserve">compared with FFDM </w:t>
      </w:r>
      <w:r>
        <w:t xml:space="preserve">was reported to be </w:t>
      </w:r>
      <w:r w:rsidRPr="00E44152">
        <w:t>lower</w:t>
      </w:r>
      <w:r>
        <w:t>: DBT</w:t>
      </w:r>
      <w:r>
        <w:rPr>
          <w:vertAlign w:val="subscript"/>
        </w:rPr>
        <w:t>MLO</w:t>
      </w:r>
      <w:r>
        <w:t xml:space="preserve"> has </w:t>
      </w:r>
      <w:r w:rsidRPr="009A11FA">
        <w:t>about 70</w:t>
      </w:r>
      <w:r w:rsidR="001F37C5">
        <w:t xml:space="preserve"> percent</w:t>
      </w:r>
      <w:r w:rsidRPr="009A11FA">
        <w:t xml:space="preserve"> of the</w:t>
      </w:r>
      <w:r w:rsidRPr="00E44152">
        <w:t xml:space="preserve"> </w:t>
      </w:r>
      <w:r>
        <w:t xml:space="preserve">MGD compared to </w:t>
      </w:r>
      <w:r w:rsidRPr="00E44152">
        <w:t>FFDM alone</w:t>
      </w:r>
      <w:r>
        <w:t>.</w:t>
      </w:r>
      <w:r w:rsidRPr="00E44152">
        <w:t xml:space="preserve"> </w:t>
      </w:r>
    </w:p>
    <w:p w14:paraId="7A2B72C2" w14:textId="16013B46" w:rsidR="00161844" w:rsidRDefault="00161844" w:rsidP="00161844">
      <w:pPr>
        <w:pStyle w:val="BodyText"/>
      </w:pPr>
      <w:r w:rsidRPr="009A11FA">
        <w:t xml:space="preserve">Use of </w:t>
      </w:r>
      <w:r w:rsidR="00176980">
        <w:t>s2DM</w:t>
      </w:r>
      <w:r w:rsidRPr="009A11FA">
        <w:t xml:space="preserve"> </w:t>
      </w:r>
      <w:r>
        <w:t>significantly reduces</w:t>
      </w:r>
      <w:r w:rsidRPr="009A11FA">
        <w:t xml:space="preserve"> the effective dose of combined FFDM+DBT because the 2D image is synthesised not acquired (meaning no additional radiation beyond that needed to acquire the DBT images), making it </w:t>
      </w:r>
      <w:r>
        <w:t xml:space="preserve">more </w:t>
      </w:r>
      <w:r w:rsidRPr="009A11FA">
        <w:t xml:space="preserve">comparable to FFDM alone but with the improved detection rates associated with DBT. Initial studies indicated that the quality of images reconstructed from </w:t>
      </w:r>
      <w:r w:rsidR="00176980">
        <w:t>s2DM</w:t>
      </w:r>
      <w:r w:rsidRPr="009A11FA">
        <w:t xml:space="preserve"> is acceptable, but further evidence was required to ensure that it can be used to accurately interpret microcalcifications and that it is at least is not inferior to FFDM.</w:t>
      </w:r>
    </w:p>
    <w:p w14:paraId="5C8B82FF" w14:textId="08C7A53C" w:rsidR="00DF1560" w:rsidRDefault="00DF1560" w:rsidP="00DF1560">
      <w:pPr>
        <w:pStyle w:val="BodyText"/>
        <w:rPr>
          <w:b/>
          <w:bCs/>
        </w:rPr>
      </w:pPr>
      <w:r w:rsidRPr="00A235D7">
        <w:rPr>
          <w:b/>
          <w:bCs/>
        </w:rPr>
        <w:t>GRADE assessment</w:t>
      </w:r>
      <w:r>
        <w:rPr>
          <w:b/>
          <w:bCs/>
        </w:rPr>
        <w:t xml:space="preserve">: overall recall rate: </w:t>
      </w:r>
      <w:r w:rsidR="00176980">
        <w:rPr>
          <w:b/>
          <w:bCs/>
        </w:rPr>
        <w:t>FFDM+DBT</w:t>
      </w:r>
      <w:r>
        <w:rPr>
          <w:b/>
          <w:bCs/>
        </w:rPr>
        <w:t xml:space="preserve"> compared to FFDM alone</w:t>
      </w:r>
    </w:p>
    <w:tbl>
      <w:tblPr>
        <w:tblStyle w:val="ACGreen-BasicTable"/>
        <w:tblW w:w="9209" w:type="dxa"/>
        <w:tblLook w:val="04A0" w:firstRow="1" w:lastRow="0" w:firstColumn="1" w:lastColumn="0" w:noHBand="0" w:noVBand="1"/>
        <w:tblDescription w:val="GRADE assessment: overall recall rate: FFDM+DBT comparted to FFDM alone.&#10;The participants studies includes 18,926 participants and 4 studies. &#10;The quality of evidence is low.&#10;The overall results are no systematic review or pooled analysis was available."/>
      </w:tblPr>
      <w:tblGrid>
        <w:gridCol w:w="1701"/>
        <w:gridCol w:w="1134"/>
        <w:gridCol w:w="6374"/>
      </w:tblGrid>
      <w:tr w:rsidR="00DF1560" w14:paraId="55F51FA8" w14:textId="77777777" w:rsidTr="005866B2">
        <w:trPr>
          <w:cnfStyle w:val="100000000000" w:firstRow="1" w:lastRow="0" w:firstColumn="0" w:lastColumn="0" w:oddVBand="0" w:evenVBand="0" w:oddHBand="0" w:evenHBand="0" w:firstRowFirstColumn="0" w:firstRowLastColumn="0" w:lastRowFirstColumn="0" w:lastRowLastColumn="0"/>
        </w:trPr>
        <w:tc>
          <w:tcPr>
            <w:tcW w:w="1701" w:type="dxa"/>
          </w:tcPr>
          <w:p w14:paraId="6F2D5E41" w14:textId="77777777" w:rsidR="00DF1560" w:rsidRPr="00BB08AB" w:rsidRDefault="00DF1560" w:rsidP="00285D7E">
            <w:pPr>
              <w:rPr>
                <w:rFonts w:cstheme="majorHAnsi"/>
                <w:b w:val="0"/>
                <w:sz w:val="18"/>
                <w:szCs w:val="18"/>
              </w:rPr>
            </w:pPr>
            <w:r w:rsidRPr="00BB08AB">
              <w:rPr>
                <w:rFonts w:cstheme="majorHAnsi"/>
                <w:sz w:val="18"/>
                <w:szCs w:val="18"/>
              </w:rPr>
              <w:t xml:space="preserve">Participants </w:t>
            </w:r>
          </w:p>
          <w:p w14:paraId="3C034BF3" w14:textId="0F00340B" w:rsidR="00DF1560" w:rsidRPr="00285D7E" w:rsidRDefault="00DF1560" w:rsidP="00285D7E">
            <w:pPr>
              <w:rPr>
                <w:rFonts w:cstheme="majorHAnsi"/>
                <w:b w:val="0"/>
                <w:sz w:val="18"/>
                <w:szCs w:val="18"/>
              </w:rPr>
            </w:pPr>
            <w:r w:rsidRPr="00BB08AB">
              <w:rPr>
                <w:rFonts w:cstheme="majorHAnsi"/>
                <w:sz w:val="18"/>
                <w:szCs w:val="18"/>
              </w:rPr>
              <w:t>Studies</w:t>
            </w:r>
          </w:p>
        </w:tc>
        <w:tc>
          <w:tcPr>
            <w:tcW w:w="1134" w:type="dxa"/>
          </w:tcPr>
          <w:p w14:paraId="65857541" w14:textId="77777777" w:rsidR="00DF1560" w:rsidRDefault="00DF1560" w:rsidP="00285D7E">
            <w:pPr>
              <w:pStyle w:val="BodyText"/>
              <w:spacing w:before="0" w:after="0"/>
              <w:jc w:val="left"/>
            </w:pPr>
            <w:r w:rsidRPr="00BB08AB">
              <w:rPr>
                <w:rFonts w:cstheme="majorHAnsi"/>
                <w:sz w:val="18"/>
                <w:szCs w:val="18"/>
              </w:rPr>
              <w:t xml:space="preserve">Quality of evidence </w:t>
            </w:r>
          </w:p>
        </w:tc>
        <w:tc>
          <w:tcPr>
            <w:tcW w:w="6374" w:type="dxa"/>
          </w:tcPr>
          <w:p w14:paraId="4BF01F7F" w14:textId="77777777" w:rsidR="00DF1560" w:rsidRDefault="00DF1560" w:rsidP="00285D7E">
            <w:pPr>
              <w:pStyle w:val="BodyText"/>
              <w:spacing w:before="0" w:after="0"/>
            </w:pPr>
            <w:r w:rsidRPr="00BB08AB">
              <w:rPr>
                <w:rFonts w:cstheme="majorHAnsi"/>
                <w:sz w:val="18"/>
                <w:szCs w:val="18"/>
              </w:rPr>
              <w:t xml:space="preserve">Overall results </w:t>
            </w:r>
          </w:p>
        </w:tc>
      </w:tr>
      <w:tr w:rsidR="00DF1560" w:rsidRPr="00BB08AB" w14:paraId="09EF79B2" w14:textId="77777777" w:rsidTr="005866B2">
        <w:tc>
          <w:tcPr>
            <w:tcW w:w="1701" w:type="dxa"/>
          </w:tcPr>
          <w:p w14:paraId="37CC45AD" w14:textId="0FA32FB1" w:rsidR="00DF1560" w:rsidRPr="00BB08AB" w:rsidRDefault="00DF1560" w:rsidP="005866B2">
            <w:pPr>
              <w:rPr>
                <w:rFonts w:cstheme="majorHAnsi"/>
                <w:sz w:val="18"/>
                <w:szCs w:val="18"/>
              </w:rPr>
            </w:pPr>
            <w:r>
              <w:rPr>
                <w:rFonts w:cstheme="majorHAnsi"/>
                <w:sz w:val="18"/>
                <w:szCs w:val="18"/>
              </w:rPr>
              <w:t xml:space="preserve">18,926 </w:t>
            </w:r>
            <w:r w:rsidRPr="00BB08AB">
              <w:rPr>
                <w:rFonts w:cstheme="majorHAnsi"/>
                <w:sz w:val="18"/>
                <w:szCs w:val="18"/>
              </w:rPr>
              <w:t>participants</w:t>
            </w:r>
          </w:p>
          <w:p w14:paraId="3299C8ED" w14:textId="7E3092BB" w:rsidR="00DF1560" w:rsidRPr="00BB08AB" w:rsidRDefault="00DF1560" w:rsidP="005866B2">
            <w:pPr>
              <w:rPr>
                <w:rFonts w:cstheme="majorHAnsi"/>
                <w:sz w:val="18"/>
                <w:szCs w:val="18"/>
              </w:rPr>
            </w:pPr>
            <w:r>
              <w:rPr>
                <w:rFonts w:cstheme="majorHAnsi"/>
                <w:sz w:val="18"/>
                <w:szCs w:val="18"/>
              </w:rPr>
              <w:t xml:space="preserve">4 </w:t>
            </w:r>
            <w:r w:rsidRPr="00BB08AB">
              <w:rPr>
                <w:rFonts w:cstheme="majorHAnsi"/>
                <w:sz w:val="18"/>
                <w:szCs w:val="18"/>
              </w:rPr>
              <w:t>studies</w:t>
            </w:r>
          </w:p>
        </w:tc>
        <w:tc>
          <w:tcPr>
            <w:tcW w:w="1134" w:type="dxa"/>
          </w:tcPr>
          <w:p w14:paraId="50BE0616" w14:textId="77777777" w:rsidR="00DF1560" w:rsidRPr="00BB08AB" w:rsidRDefault="00DF1560" w:rsidP="005866B2">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24FC599A" w14:textId="77777777" w:rsidR="00DF1560" w:rsidRPr="00BB08AB" w:rsidRDefault="00DF1560" w:rsidP="005866B2">
            <w:pPr>
              <w:rPr>
                <w:rFonts w:cstheme="majorHAnsi"/>
                <w:sz w:val="18"/>
                <w:szCs w:val="18"/>
              </w:rPr>
            </w:pPr>
            <w:r>
              <w:rPr>
                <w:rFonts w:cstheme="majorHAnsi"/>
                <w:sz w:val="18"/>
                <w:szCs w:val="18"/>
              </w:rPr>
              <w:t>L</w:t>
            </w:r>
            <w:r w:rsidRPr="00BB08AB">
              <w:rPr>
                <w:rFonts w:cstheme="majorHAnsi"/>
                <w:sz w:val="18"/>
                <w:szCs w:val="18"/>
              </w:rPr>
              <w:t>ow</w:t>
            </w:r>
          </w:p>
        </w:tc>
        <w:tc>
          <w:tcPr>
            <w:tcW w:w="6374" w:type="dxa"/>
          </w:tcPr>
          <w:p w14:paraId="00063A19" w14:textId="287A00C7" w:rsidR="00DF1560" w:rsidRPr="00BB08AB" w:rsidRDefault="00DF1560" w:rsidP="005866B2">
            <w:pPr>
              <w:jc w:val="both"/>
              <w:rPr>
                <w:rFonts w:cstheme="majorHAnsi"/>
                <w:sz w:val="18"/>
                <w:szCs w:val="18"/>
              </w:rPr>
            </w:pPr>
            <w:r w:rsidRPr="00BB08AB">
              <w:rPr>
                <w:rFonts w:cstheme="majorHAnsi"/>
                <w:sz w:val="18"/>
                <w:szCs w:val="18"/>
              </w:rPr>
              <w:t xml:space="preserve">No systematic review or pooled analysis was available. </w:t>
            </w:r>
          </w:p>
        </w:tc>
      </w:tr>
    </w:tbl>
    <w:p w14:paraId="431C6660" w14:textId="1905D029" w:rsidR="00DF1560" w:rsidRDefault="00DF1560" w:rsidP="00DF1560">
      <w:pPr>
        <w:pStyle w:val="BodyText"/>
        <w:rPr>
          <w:b/>
          <w:bCs/>
        </w:rPr>
      </w:pPr>
      <w:r w:rsidRPr="00A235D7">
        <w:rPr>
          <w:b/>
          <w:bCs/>
        </w:rPr>
        <w:t>GRADE assessment</w:t>
      </w:r>
      <w:r>
        <w:rPr>
          <w:b/>
          <w:bCs/>
        </w:rPr>
        <w:t>: overall recall rate: DBT+</w:t>
      </w:r>
      <w:r w:rsidR="00176980">
        <w:rPr>
          <w:b/>
          <w:bCs/>
        </w:rPr>
        <w:t>s2DM</w:t>
      </w:r>
      <w:r>
        <w:rPr>
          <w:b/>
          <w:bCs/>
        </w:rPr>
        <w:t xml:space="preserve"> compared to </w:t>
      </w:r>
      <w:r w:rsidR="00176980">
        <w:rPr>
          <w:b/>
          <w:bCs/>
        </w:rPr>
        <w:t>FFDM+DBT</w:t>
      </w:r>
      <w:r>
        <w:rPr>
          <w:b/>
          <w:bCs/>
        </w:rPr>
        <w:t xml:space="preserve"> or FFDM alone</w:t>
      </w:r>
    </w:p>
    <w:tbl>
      <w:tblPr>
        <w:tblStyle w:val="ACGreen-BasicTable"/>
        <w:tblW w:w="9209" w:type="dxa"/>
        <w:tblLook w:val="04A0" w:firstRow="1" w:lastRow="0" w:firstColumn="1" w:lastColumn="0" w:noHBand="0" w:noVBand="1"/>
        <w:tblDescription w:val="GRADE assessment: overall recall rate: DBT+s2DM compared to FFDM+DBT or FFDM alone.&#10;The participants studies included 53,198 participants and 5 studies.&#10;The quality of evidence was moderate.&#10;The overall results are no systematic review or pooled analysis was available but consistent findings across a range of study types (including manufacturer data) indicated that DBT+s2DM radiation dose is considerably less that that used to acquire FFDM images."/>
      </w:tblPr>
      <w:tblGrid>
        <w:gridCol w:w="1701"/>
        <w:gridCol w:w="1134"/>
        <w:gridCol w:w="6374"/>
      </w:tblGrid>
      <w:tr w:rsidR="00DF1560" w14:paraId="48422825" w14:textId="77777777" w:rsidTr="005866B2">
        <w:trPr>
          <w:cnfStyle w:val="100000000000" w:firstRow="1" w:lastRow="0" w:firstColumn="0" w:lastColumn="0" w:oddVBand="0" w:evenVBand="0" w:oddHBand="0" w:evenHBand="0" w:firstRowFirstColumn="0" w:firstRowLastColumn="0" w:lastRowFirstColumn="0" w:lastRowLastColumn="0"/>
        </w:trPr>
        <w:tc>
          <w:tcPr>
            <w:tcW w:w="1701" w:type="dxa"/>
          </w:tcPr>
          <w:p w14:paraId="339047A9" w14:textId="77777777" w:rsidR="00DF1560" w:rsidRPr="00BB08AB" w:rsidRDefault="00DF1560" w:rsidP="005866B2">
            <w:pPr>
              <w:rPr>
                <w:rFonts w:cstheme="majorHAnsi"/>
                <w:b w:val="0"/>
                <w:sz w:val="18"/>
                <w:szCs w:val="18"/>
              </w:rPr>
            </w:pPr>
            <w:r w:rsidRPr="00BB08AB">
              <w:rPr>
                <w:rFonts w:cstheme="majorHAnsi"/>
                <w:sz w:val="18"/>
                <w:szCs w:val="18"/>
              </w:rPr>
              <w:t xml:space="preserve">Participants </w:t>
            </w:r>
          </w:p>
          <w:p w14:paraId="1D1B3E8C" w14:textId="168C2231" w:rsidR="00DF1560" w:rsidRPr="00285D7E" w:rsidRDefault="00DF1560" w:rsidP="005866B2">
            <w:pPr>
              <w:rPr>
                <w:rFonts w:cstheme="majorHAnsi"/>
                <w:b w:val="0"/>
                <w:sz w:val="18"/>
                <w:szCs w:val="18"/>
              </w:rPr>
            </w:pPr>
            <w:r w:rsidRPr="00BB08AB">
              <w:rPr>
                <w:rFonts w:cstheme="majorHAnsi"/>
                <w:sz w:val="18"/>
                <w:szCs w:val="18"/>
              </w:rPr>
              <w:t>Studies</w:t>
            </w:r>
          </w:p>
        </w:tc>
        <w:tc>
          <w:tcPr>
            <w:tcW w:w="1134" w:type="dxa"/>
          </w:tcPr>
          <w:p w14:paraId="393B4A71" w14:textId="77777777" w:rsidR="00DF1560" w:rsidRPr="00BB08AB" w:rsidRDefault="00DF1560" w:rsidP="005866B2">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32A392C4" w14:textId="77777777" w:rsidR="00DF1560" w:rsidRPr="00BB08AB" w:rsidRDefault="00DF1560" w:rsidP="005866B2">
            <w:pPr>
              <w:pStyle w:val="BodyText"/>
              <w:rPr>
                <w:rFonts w:cstheme="majorHAnsi"/>
                <w:sz w:val="18"/>
                <w:szCs w:val="18"/>
              </w:rPr>
            </w:pPr>
            <w:r w:rsidRPr="00BB08AB">
              <w:rPr>
                <w:rFonts w:cstheme="majorHAnsi"/>
                <w:sz w:val="18"/>
                <w:szCs w:val="18"/>
              </w:rPr>
              <w:t xml:space="preserve">Overall results </w:t>
            </w:r>
          </w:p>
        </w:tc>
      </w:tr>
      <w:tr w:rsidR="00DF1560" w:rsidRPr="00BB08AB" w14:paraId="0F620CDF" w14:textId="77777777" w:rsidTr="005866B2">
        <w:tc>
          <w:tcPr>
            <w:tcW w:w="1701" w:type="dxa"/>
          </w:tcPr>
          <w:p w14:paraId="2D0ADD19" w14:textId="678B8E78" w:rsidR="00DF1560" w:rsidRPr="00BB08AB" w:rsidRDefault="00DF1560" w:rsidP="005866B2">
            <w:pPr>
              <w:rPr>
                <w:rFonts w:cstheme="majorHAnsi"/>
                <w:sz w:val="18"/>
                <w:szCs w:val="18"/>
              </w:rPr>
            </w:pPr>
            <w:r>
              <w:rPr>
                <w:rFonts w:cstheme="majorHAnsi"/>
                <w:sz w:val="18"/>
                <w:szCs w:val="18"/>
              </w:rPr>
              <w:t>53,198</w:t>
            </w:r>
            <w:r w:rsidRPr="00BB08AB">
              <w:rPr>
                <w:rFonts w:cstheme="majorHAnsi"/>
                <w:sz w:val="18"/>
                <w:szCs w:val="18"/>
              </w:rPr>
              <w:t xml:space="preserve"> participants</w:t>
            </w:r>
          </w:p>
          <w:p w14:paraId="14D0D0C4" w14:textId="599C7D00" w:rsidR="00DF1560" w:rsidRPr="00BB08AB" w:rsidRDefault="00DF1560" w:rsidP="005866B2">
            <w:pPr>
              <w:rPr>
                <w:rFonts w:cstheme="majorHAnsi"/>
                <w:sz w:val="18"/>
                <w:szCs w:val="18"/>
              </w:rPr>
            </w:pPr>
            <w:r>
              <w:rPr>
                <w:rFonts w:cstheme="majorHAnsi"/>
                <w:sz w:val="18"/>
                <w:szCs w:val="18"/>
              </w:rPr>
              <w:t xml:space="preserve">5 </w:t>
            </w:r>
            <w:r w:rsidRPr="00BB08AB">
              <w:rPr>
                <w:rFonts w:cstheme="majorHAnsi"/>
                <w:sz w:val="18"/>
                <w:szCs w:val="18"/>
              </w:rPr>
              <w:t>studies</w:t>
            </w:r>
          </w:p>
        </w:tc>
        <w:tc>
          <w:tcPr>
            <w:tcW w:w="1134" w:type="dxa"/>
          </w:tcPr>
          <w:p w14:paraId="29E5AA06" w14:textId="52816B5C" w:rsidR="00DF1560" w:rsidRPr="00BB08AB" w:rsidRDefault="00DF1560" w:rsidP="005866B2">
            <w:pPr>
              <w:rPr>
                <w:rFonts w:cstheme="majorHAnsi"/>
                <w:sz w:val="18"/>
                <w:szCs w:val="18"/>
              </w:rPr>
            </w:pPr>
            <w:r w:rsidRPr="00BB08AB">
              <w:rPr>
                <w:rFonts w:ascii="Cambria Math" w:hAnsi="Cambria Math" w:cs="Cambria Math"/>
                <w:sz w:val="18"/>
                <w:szCs w:val="18"/>
              </w:rPr>
              <w:t>⊕⊕⊕</w:t>
            </w:r>
            <w:r w:rsidRPr="00BB08AB">
              <w:rPr>
                <w:rFonts w:cstheme="majorHAnsi"/>
                <w:sz w:val="18"/>
                <w:szCs w:val="18"/>
              </w:rPr>
              <w:t xml:space="preserve"> </w:t>
            </w:r>
          </w:p>
          <w:p w14:paraId="6AB87235" w14:textId="0180C159" w:rsidR="00DF1560" w:rsidRPr="00BB08AB" w:rsidRDefault="00DF1560" w:rsidP="005866B2">
            <w:pPr>
              <w:rPr>
                <w:rFonts w:cstheme="majorHAnsi"/>
                <w:sz w:val="18"/>
                <w:szCs w:val="18"/>
              </w:rPr>
            </w:pPr>
            <w:r>
              <w:rPr>
                <w:rFonts w:cstheme="majorHAnsi"/>
                <w:sz w:val="18"/>
                <w:szCs w:val="18"/>
              </w:rPr>
              <w:t>Moderate</w:t>
            </w:r>
          </w:p>
        </w:tc>
        <w:tc>
          <w:tcPr>
            <w:tcW w:w="6374" w:type="dxa"/>
          </w:tcPr>
          <w:p w14:paraId="410246C7" w14:textId="6111E8EB" w:rsidR="00DF1560" w:rsidRPr="00BB08AB" w:rsidRDefault="00DF1560" w:rsidP="005866B2">
            <w:pPr>
              <w:jc w:val="both"/>
              <w:rPr>
                <w:rFonts w:cstheme="majorHAnsi"/>
                <w:sz w:val="18"/>
                <w:szCs w:val="18"/>
              </w:rPr>
            </w:pPr>
            <w:r w:rsidRPr="00BB08AB">
              <w:rPr>
                <w:rFonts w:cstheme="majorHAnsi"/>
                <w:sz w:val="18"/>
                <w:szCs w:val="18"/>
              </w:rPr>
              <w:t>No systematic review or pooled analysis was available</w:t>
            </w:r>
            <w:r>
              <w:rPr>
                <w:rFonts w:cstheme="majorHAnsi"/>
                <w:sz w:val="18"/>
                <w:szCs w:val="18"/>
              </w:rPr>
              <w:t xml:space="preserve"> but consistent findings across a range of study types (including manufacturer data) indicated that DBT+</w:t>
            </w:r>
            <w:r w:rsidR="00176980">
              <w:rPr>
                <w:rFonts w:cstheme="majorHAnsi"/>
                <w:sz w:val="18"/>
                <w:szCs w:val="18"/>
              </w:rPr>
              <w:t>s2DM</w:t>
            </w:r>
            <w:r>
              <w:rPr>
                <w:rFonts w:cstheme="majorHAnsi"/>
                <w:sz w:val="18"/>
                <w:szCs w:val="18"/>
              </w:rPr>
              <w:t xml:space="preserve"> radiation dose is considerably less than that used to acquire FFDM images</w:t>
            </w:r>
            <w:r w:rsidRPr="00BB08AB">
              <w:rPr>
                <w:rFonts w:cstheme="majorHAnsi"/>
                <w:sz w:val="18"/>
                <w:szCs w:val="18"/>
              </w:rPr>
              <w:t>.</w:t>
            </w:r>
          </w:p>
        </w:tc>
      </w:tr>
    </w:tbl>
    <w:p w14:paraId="3F9492EA" w14:textId="77777777" w:rsidR="00DF1560" w:rsidRPr="00641388" w:rsidRDefault="00DF1560" w:rsidP="00DF1560">
      <w:pPr>
        <w:pStyle w:val="BodyText"/>
      </w:pPr>
      <w:r w:rsidRPr="00A235D7">
        <w:rPr>
          <w:b/>
          <w:bCs/>
        </w:rPr>
        <w:t>GRADE assessment</w:t>
      </w:r>
      <w:r>
        <w:rPr>
          <w:b/>
          <w:bCs/>
        </w:rPr>
        <w:t>: overall recall rate: DBT</w:t>
      </w:r>
      <w:r>
        <w:rPr>
          <w:b/>
          <w:bCs/>
          <w:vertAlign w:val="subscript"/>
        </w:rPr>
        <w:t>MLO</w:t>
      </w:r>
      <w:r>
        <w:rPr>
          <w:b/>
          <w:bCs/>
        </w:rPr>
        <w:t xml:space="preserve"> compared to other imaging</w:t>
      </w:r>
    </w:p>
    <w:tbl>
      <w:tblPr>
        <w:tblStyle w:val="ACGreen-BasicTable"/>
        <w:tblW w:w="9209" w:type="dxa"/>
        <w:tblLook w:val="04A0" w:firstRow="1" w:lastRow="0" w:firstColumn="1" w:lastColumn="0" w:noHBand="0" w:noVBand="1"/>
        <w:tblDescription w:val="GRADE assessment: overall recall rate: DBTRMLO compared to other imaging.&#10;Within the participants studies there was no participants.&#10;The quality of evidence was not reported.&#10;The overall results state that no studies reported on PPV1-3."/>
      </w:tblPr>
      <w:tblGrid>
        <w:gridCol w:w="1701"/>
        <w:gridCol w:w="1134"/>
        <w:gridCol w:w="6374"/>
      </w:tblGrid>
      <w:tr w:rsidR="00DF1560" w14:paraId="003640CF" w14:textId="77777777" w:rsidTr="005866B2">
        <w:trPr>
          <w:cnfStyle w:val="100000000000" w:firstRow="1" w:lastRow="0" w:firstColumn="0" w:lastColumn="0" w:oddVBand="0" w:evenVBand="0" w:oddHBand="0" w:evenHBand="0" w:firstRowFirstColumn="0" w:firstRowLastColumn="0" w:lastRowFirstColumn="0" w:lastRowLastColumn="0"/>
        </w:trPr>
        <w:tc>
          <w:tcPr>
            <w:tcW w:w="1701" w:type="dxa"/>
          </w:tcPr>
          <w:p w14:paraId="41D4F4EC" w14:textId="77777777" w:rsidR="00DF1560" w:rsidRPr="00BB08AB" w:rsidRDefault="00DF1560" w:rsidP="005866B2">
            <w:pPr>
              <w:rPr>
                <w:rFonts w:cstheme="majorHAnsi"/>
                <w:b w:val="0"/>
                <w:sz w:val="18"/>
                <w:szCs w:val="18"/>
              </w:rPr>
            </w:pPr>
            <w:r w:rsidRPr="00BB08AB">
              <w:rPr>
                <w:rFonts w:cstheme="majorHAnsi"/>
                <w:sz w:val="18"/>
                <w:szCs w:val="18"/>
              </w:rPr>
              <w:t xml:space="preserve">Participants </w:t>
            </w:r>
          </w:p>
          <w:p w14:paraId="17FA6A25" w14:textId="7535C307" w:rsidR="00DF1560" w:rsidRPr="00285D7E" w:rsidRDefault="00DF1560" w:rsidP="005866B2">
            <w:pPr>
              <w:rPr>
                <w:rFonts w:cstheme="majorHAnsi"/>
                <w:b w:val="0"/>
                <w:sz w:val="18"/>
                <w:szCs w:val="18"/>
              </w:rPr>
            </w:pPr>
            <w:r w:rsidRPr="00BB08AB">
              <w:rPr>
                <w:rFonts w:cstheme="majorHAnsi"/>
                <w:sz w:val="18"/>
                <w:szCs w:val="18"/>
              </w:rPr>
              <w:t>Studies</w:t>
            </w:r>
          </w:p>
        </w:tc>
        <w:tc>
          <w:tcPr>
            <w:tcW w:w="1134" w:type="dxa"/>
          </w:tcPr>
          <w:p w14:paraId="7CC6DC0A" w14:textId="77777777" w:rsidR="00DF1560" w:rsidRPr="00BB08AB" w:rsidRDefault="00DF1560" w:rsidP="005866B2">
            <w:pPr>
              <w:rPr>
                <w:rFonts w:ascii="Cambria Math" w:hAnsi="Cambria Math" w:cs="Cambria Math"/>
                <w:sz w:val="18"/>
                <w:szCs w:val="18"/>
              </w:rPr>
            </w:pPr>
            <w:r w:rsidRPr="00BB08AB">
              <w:rPr>
                <w:rFonts w:cstheme="majorHAnsi"/>
                <w:sz w:val="18"/>
                <w:szCs w:val="18"/>
              </w:rPr>
              <w:t xml:space="preserve">Quality of evidence </w:t>
            </w:r>
          </w:p>
        </w:tc>
        <w:tc>
          <w:tcPr>
            <w:tcW w:w="6374" w:type="dxa"/>
          </w:tcPr>
          <w:p w14:paraId="73F45A39" w14:textId="77777777" w:rsidR="00DF1560" w:rsidRPr="00BB08AB" w:rsidRDefault="00DF1560" w:rsidP="005866B2">
            <w:pPr>
              <w:pStyle w:val="BodyText"/>
              <w:rPr>
                <w:rFonts w:cstheme="majorHAnsi"/>
                <w:sz w:val="18"/>
                <w:szCs w:val="18"/>
              </w:rPr>
            </w:pPr>
            <w:r w:rsidRPr="00BB08AB">
              <w:rPr>
                <w:rFonts w:cstheme="majorHAnsi"/>
                <w:sz w:val="18"/>
                <w:szCs w:val="18"/>
              </w:rPr>
              <w:t xml:space="preserve">Overall results </w:t>
            </w:r>
          </w:p>
        </w:tc>
      </w:tr>
      <w:tr w:rsidR="00DF1560" w:rsidRPr="00BB08AB" w14:paraId="66DDBE8E" w14:textId="77777777" w:rsidTr="005866B2">
        <w:tc>
          <w:tcPr>
            <w:tcW w:w="1701" w:type="dxa"/>
          </w:tcPr>
          <w:p w14:paraId="3C6101AB" w14:textId="77777777" w:rsidR="00DF1560" w:rsidRPr="00BB08AB" w:rsidRDefault="00DF1560" w:rsidP="005866B2">
            <w:pPr>
              <w:rPr>
                <w:rFonts w:cstheme="majorHAnsi"/>
                <w:sz w:val="18"/>
                <w:szCs w:val="18"/>
              </w:rPr>
            </w:pPr>
            <w:r>
              <w:rPr>
                <w:rFonts w:cstheme="majorHAnsi"/>
                <w:sz w:val="18"/>
                <w:szCs w:val="18"/>
              </w:rPr>
              <w:t>0</w:t>
            </w:r>
          </w:p>
        </w:tc>
        <w:tc>
          <w:tcPr>
            <w:tcW w:w="1134" w:type="dxa"/>
          </w:tcPr>
          <w:p w14:paraId="7089C700" w14:textId="77777777" w:rsidR="00DF1560" w:rsidRPr="00BB08AB" w:rsidRDefault="00DF1560" w:rsidP="005866B2">
            <w:pPr>
              <w:rPr>
                <w:rFonts w:cstheme="majorHAnsi"/>
                <w:sz w:val="18"/>
                <w:szCs w:val="18"/>
              </w:rPr>
            </w:pPr>
            <w:r>
              <w:rPr>
                <w:rFonts w:cstheme="majorHAnsi"/>
                <w:sz w:val="18"/>
                <w:szCs w:val="18"/>
              </w:rPr>
              <w:t>Not reported</w:t>
            </w:r>
          </w:p>
        </w:tc>
        <w:tc>
          <w:tcPr>
            <w:tcW w:w="6374" w:type="dxa"/>
          </w:tcPr>
          <w:p w14:paraId="70A436F8" w14:textId="77777777" w:rsidR="00DF1560" w:rsidRPr="00BB08AB" w:rsidRDefault="00DF1560" w:rsidP="005866B2">
            <w:pPr>
              <w:jc w:val="both"/>
              <w:rPr>
                <w:rFonts w:cstheme="majorHAnsi"/>
                <w:sz w:val="18"/>
                <w:szCs w:val="18"/>
              </w:rPr>
            </w:pPr>
            <w:r>
              <w:rPr>
                <w:rFonts w:cstheme="majorHAnsi"/>
                <w:sz w:val="18"/>
                <w:szCs w:val="18"/>
              </w:rPr>
              <w:t>No studies reported on PPV</w:t>
            </w:r>
            <w:r>
              <w:rPr>
                <w:rFonts w:cstheme="majorHAnsi"/>
                <w:sz w:val="18"/>
                <w:szCs w:val="18"/>
                <w:vertAlign w:val="subscript"/>
              </w:rPr>
              <w:t>1-3</w:t>
            </w:r>
            <w:r>
              <w:rPr>
                <w:rFonts w:cstheme="majorHAnsi"/>
                <w:sz w:val="18"/>
                <w:szCs w:val="18"/>
              </w:rPr>
              <w:t>.</w:t>
            </w:r>
          </w:p>
        </w:tc>
      </w:tr>
    </w:tbl>
    <w:p w14:paraId="6FDE7795" w14:textId="77777777" w:rsidR="00161844" w:rsidRPr="00867836" w:rsidRDefault="00161844" w:rsidP="00161844">
      <w:pPr>
        <w:pStyle w:val="CV-Heading"/>
      </w:pPr>
      <w:r>
        <w:t>Updated findings</w:t>
      </w:r>
    </w:p>
    <w:p w14:paraId="449E79C0" w14:textId="3FE131F7" w:rsidR="00161844" w:rsidRDefault="00333478" w:rsidP="00161844">
      <w:pPr>
        <w:pStyle w:val="BodyText"/>
      </w:pPr>
      <w:r w:rsidRPr="00E44152">
        <w:t>We want to know, based on current evidence,</w:t>
      </w:r>
      <w:r>
        <w:t xml:space="preserve"> what the MGD readings are when DBT is used in </w:t>
      </w:r>
      <w:r w:rsidR="00285D7E">
        <w:t>‘</w:t>
      </w:r>
      <w:r>
        <w:t>real</w:t>
      </w:r>
      <w:r w:rsidR="00285D7E">
        <w:t xml:space="preserve"> </w:t>
      </w:r>
      <w:r>
        <w:t>world</w:t>
      </w:r>
      <w:r w:rsidR="00285D7E">
        <w:t>’</w:t>
      </w:r>
      <w:r>
        <w:t xml:space="preserve"> screening scenarios. </w:t>
      </w:r>
      <w:r w:rsidR="00161844">
        <w:t xml:space="preserve">Literature published since 31 December 2017 reported on MGD </w:t>
      </w:r>
      <w:r w:rsidR="00B714C8">
        <w:t>using</w:t>
      </w:r>
      <w:r w:rsidR="00161844">
        <w:t xml:space="preserve"> a combination of approaches and systems and in a wider range of </w:t>
      </w:r>
      <w:r w:rsidR="00285D7E">
        <w:t>‘</w:t>
      </w:r>
      <w:r w:rsidR="00161844">
        <w:t>real</w:t>
      </w:r>
      <w:r w:rsidR="00285D7E">
        <w:t xml:space="preserve"> </w:t>
      </w:r>
      <w:r w:rsidR="00161844">
        <w:t>world</w:t>
      </w:r>
      <w:r w:rsidR="00285D7E">
        <w:t>’</w:t>
      </w:r>
      <w:r w:rsidR="00161844">
        <w:t xml:space="preserve"> settings compared to what was available in late 2017. </w:t>
      </w:r>
      <w:r w:rsidR="00B714C8">
        <w:t>More data on a range of d</w:t>
      </w:r>
      <w:r w:rsidR="00161844">
        <w:t xml:space="preserve">ifferent imaging protocols </w:t>
      </w:r>
      <w:r w:rsidR="00B714C8">
        <w:t xml:space="preserve">is available, especially for </w:t>
      </w:r>
      <w:r w:rsidR="00161844">
        <w:t>DBT+</w:t>
      </w:r>
      <w:r w:rsidR="00176980">
        <w:t>s2DM</w:t>
      </w:r>
      <w:r w:rsidR="00161844">
        <w:t xml:space="preserve"> compared to FFDM alone </w:t>
      </w:r>
      <w:r w:rsidR="00B714C8">
        <w:t>(</w:t>
      </w:r>
      <w:r w:rsidR="00161844">
        <w:t>rather than the dual acquisition of FFDM+DBT)</w:t>
      </w:r>
      <w:r w:rsidR="00B714C8">
        <w:t>.</w:t>
      </w:r>
      <w:r w:rsidR="00161844">
        <w:t xml:space="preserve"> A range of different imaging units were used in these studies including Hologic Selenia Dimensions, </w:t>
      </w:r>
      <w:r w:rsidR="00161844" w:rsidRPr="00574447">
        <w:t xml:space="preserve">Siemens Mammomat Inspiration </w:t>
      </w:r>
      <w:r w:rsidR="00161844">
        <w:t xml:space="preserve">and GE SenoClaire units. Findings from other studies that used other units may report different results. No systematic reviews assessing radiation dose for a range of different imaging modalities have been completed. Included studies are listed below. </w:t>
      </w:r>
      <w:r w:rsidR="00DC18A2">
        <w:t xml:space="preserve">Methodologies for most included studies are reported in </w:t>
      </w:r>
      <w:r w:rsidR="00DC18A2" w:rsidRPr="00DC18A2">
        <w:rPr>
          <w:i/>
          <w:iCs/>
        </w:rPr>
        <w:t>section 3.1.1</w:t>
      </w:r>
      <w:r w:rsidR="00DC18A2">
        <w:t xml:space="preserve">. </w:t>
      </w:r>
      <w:r w:rsidR="00161844">
        <w:rPr>
          <w:i/>
          <w:iCs/>
        </w:rPr>
        <w:t>Table</w:t>
      </w:r>
      <w:r w:rsidR="00BC52D9">
        <w:rPr>
          <w:i/>
          <w:iCs/>
        </w:rPr>
        <w:t>s</w:t>
      </w:r>
      <w:r w:rsidR="00161844">
        <w:rPr>
          <w:i/>
          <w:iCs/>
        </w:rPr>
        <w:t xml:space="preserve"> </w:t>
      </w:r>
      <w:r w:rsidR="00BC52D9">
        <w:rPr>
          <w:i/>
          <w:iCs/>
        </w:rPr>
        <w:t xml:space="preserve">20a-c </w:t>
      </w:r>
      <w:r w:rsidR="00161844">
        <w:t>includes a summary of all</w:t>
      </w:r>
      <w:r w:rsidR="00161844">
        <w:rPr>
          <w:i/>
          <w:iCs/>
        </w:rPr>
        <w:t xml:space="preserve"> </w:t>
      </w:r>
      <w:r w:rsidR="00161844">
        <w:t>study results.</w:t>
      </w:r>
    </w:p>
    <w:p w14:paraId="0EB1A6E0" w14:textId="77777777" w:rsidR="00161844" w:rsidRDefault="00161844" w:rsidP="00161844">
      <w:pPr>
        <w:pStyle w:val="Heading3"/>
        <w:ind w:firstLine="720"/>
      </w:pPr>
      <w:bookmarkStart w:id="410" w:name="_Toc27665761"/>
      <w:bookmarkStart w:id="411" w:name="_Toc27844549"/>
      <w:bookmarkStart w:id="412" w:name="_Toc27859679"/>
      <w:bookmarkStart w:id="413" w:name="_Toc27904796"/>
      <w:bookmarkStart w:id="414" w:name="_Toc43376347"/>
      <w:r>
        <w:t>Literature reviews</w:t>
      </w:r>
      <w:bookmarkEnd w:id="410"/>
      <w:bookmarkEnd w:id="411"/>
      <w:bookmarkEnd w:id="412"/>
      <w:bookmarkEnd w:id="413"/>
      <w:bookmarkEnd w:id="414"/>
    </w:p>
    <w:p w14:paraId="505B96F9" w14:textId="77777777" w:rsidR="00161844" w:rsidRPr="00C66F37" w:rsidRDefault="00161844" w:rsidP="00161844">
      <w:pPr>
        <w:pStyle w:val="BodyText"/>
        <w:ind w:firstLine="720"/>
      </w:pPr>
      <w:r>
        <w:t>One review: Rocha García &amp; Fernández, 2019</w:t>
      </w:r>
    </w:p>
    <w:p w14:paraId="64BB9FC1" w14:textId="204B85AB" w:rsidR="00161844" w:rsidRDefault="00161844" w:rsidP="00161844">
      <w:pPr>
        <w:pStyle w:val="Heading3"/>
        <w:ind w:left="720"/>
      </w:pPr>
      <w:bookmarkStart w:id="415" w:name="_Toc27665762"/>
      <w:bookmarkStart w:id="416" w:name="_Toc27844550"/>
      <w:bookmarkStart w:id="417" w:name="_Toc27859680"/>
      <w:bookmarkStart w:id="418" w:name="_Toc27904797"/>
      <w:bookmarkStart w:id="419" w:name="_Toc43376348"/>
      <w:r>
        <w:lastRenderedPageBreak/>
        <w:t>Randomized controlled trials</w:t>
      </w:r>
      <w:bookmarkEnd w:id="415"/>
      <w:bookmarkEnd w:id="416"/>
      <w:bookmarkEnd w:id="417"/>
      <w:bookmarkEnd w:id="418"/>
      <w:bookmarkEnd w:id="419"/>
      <w:r>
        <w:t xml:space="preserve"> </w:t>
      </w:r>
    </w:p>
    <w:p w14:paraId="2881380C" w14:textId="162D0087" w:rsidR="00B714C8" w:rsidRDefault="00B714C8" w:rsidP="00161844">
      <w:pPr>
        <w:pStyle w:val="BodyText"/>
        <w:ind w:firstLine="720"/>
      </w:pPr>
      <w:r>
        <w:t>One</w:t>
      </w:r>
      <w:r w:rsidR="00161844" w:rsidRPr="00266880">
        <w:t xml:space="preserve"> </w:t>
      </w:r>
      <w:r w:rsidR="00161844">
        <w:t>RCT</w:t>
      </w:r>
      <w:r w:rsidR="00F23A05">
        <w:t xml:space="preserve"> (one paper)</w:t>
      </w:r>
      <w:r w:rsidR="00161844" w:rsidRPr="00266880">
        <w:t>: Aase et al</w:t>
      </w:r>
      <w:r w:rsidR="00161844">
        <w:t xml:space="preserve">., </w:t>
      </w:r>
      <w:r w:rsidR="00161844" w:rsidRPr="00266880">
        <w:t>2019</w:t>
      </w:r>
    </w:p>
    <w:p w14:paraId="0CEC8C07" w14:textId="77FEFF8E" w:rsidR="00161844" w:rsidRPr="00266880" w:rsidRDefault="00B714C8" w:rsidP="00161844">
      <w:pPr>
        <w:pStyle w:val="BodyText"/>
        <w:ind w:firstLine="720"/>
      </w:pPr>
      <w:r>
        <w:t>One randomi</w:t>
      </w:r>
      <w:r w:rsidR="00285D7E">
        <w:t>z</w:t>
      </w:r>
      <w:r>
        <w:t xml:space="preserve">ed study embedded in population-based screening: </w:t>
      </w:r>
      <w:r w:rsidR="00161844" w:rsidRPr="00266880">
        <w:t>Pattacini et al., 2018</w:t>
      </w:r>
    </w:p>
    <w:p w14:paraId="69C4A502" w14:textId="77777777" w:rsidR="00161844" w:rsidRDefault="00161844" w:rsidP="00161844">
      <w:pPr>
        <w:pStyle w:val="Heading3"/>
        <w:ind w:left="720"/>
      </w:pPr>
      <w:bookmarkStart w:id="420" w:name="_Toc27665763"/>
      <w:bookmarkStart w:id="421" w:name="_Toc27844551"/>
      <w:bookmarkStart w:id="422" w:name="_Toc27859681"/>
      <w:bookmarkStart w:id="423" w:name="_Toc27904798"/>
      <w:bookmarkStart w:id="424" w:name="_Toc43376349"/>
      <w:r>
        <w:t>Prospective trials embedded in population screening programs</w:t>
      </w:r>
      <w:bookmarkEnd w:id="420"/>
      <w:bookmarkEnd w:id="421"/>
      <w:bookmarkEnd w:id="422"/>
      <w:bookmarkEnd w:id="423"/>
      <w:bookmarkEnd w:id="424"/>
    </w:p>
    <w:p w14:paraId="37FB2DF8" w14:textId="530BA7C3" w:rsidR="00161844" w:rsidRDefault="005866B2" w:rsidP="00161844">
      <w:pPr>
        <w:pStyle w:val="BodyText"/>
        <w:ind w:left="720"/>
      </w:pPr>
      <w:r>
        <w:t xml:space="preserve">Seven </w:t>
      </w:r>
      <w:r w:rsidR="00161844" w:rsidRPr="00266880">
        <w:t>studies</w:t>
      </w:r>
      <w:r>
        <w:t xml:space="preserve"> (eight papers)</w:t>
      </w:r>
      <w:r w:rsidR="00161844" w:rsidRPr="00266880">
        <w:t>: Houssami et al.</w:t>
      </w:r>
      <w:r w:rsidR="00161844">
        <w:t xml:space="preserve">, </w:t>
      </w:r>
      <w:r w:rsidR="00161844" w:rsidRPr="00266880">
        <w:t>2019</w:t>
      </w:r>
      <w:r w:rsidR="00161844">
        <w:t>;</w:t>
      </w:r>
      <w:r w:rsidR="00161844" w:rsidRPr="00266880">
        <w:t xml:space="preserve"> </w:t>
      </w:r>
      <w:r w:rsidR="006B26A1">
        <w:t xml:space="preserve">Skaane et al., 2019; </w:t>
      </w:r>
      <w:r w:rsidR="00161844" w:rsidRPr="00266880">
        <w:t>Bernardi et al</w:t>
      </w:r>
      <w:r w:rsidR="00161844">
        <w:t xml:space="preserve">., </w:t>
      </w:r>
      <w:r w:rsidR="00161844" w:rsidRPr="00266880">
        <w:t>2018</w:t>
      </w:r>
      <w:r w:rsidR="00161844">
        <w:t>;</w:t>
      </w:r>
      <w:r w:rsidR="00161844" w:rsidRPr="00266880">
        <w:t xml:space="preserve"> Caumo et al.</w:t>
      </w:r>
      <w:r w:rsidR="00161844">
        <w:t xml:space="preserve">, </w:t>
      </w:r>
      <w:r w:rsidR="00161844" w:rsidRPr="00266880">
        <w:t>2018</w:t>
      </w:r>
      <w:r w:rsidR="00161844">
        <w:t>;</w:t>
      </w:r>
      <w:r w:rsidR="00161844" w:rsidRPr="00266880">
        <w:t xml:space="preserve"> Gennaro et al.</w:t>
      </w:r>
      <w:r w:rsidR="00161844">
        <w:t>,</w:t>
      </w:r>
      <w:r w:rsidR="00161844" w:rsidRPr="00266880">
        <w:t xml:space="preserve"> 2018</w:t>
      </w:r>
      <w:r w:rsidR="00161844">
        <w:t xml:space="preserve">; </w:t>
      </w:r>
      <w:r w:rsidR="00E45420">
        <w:t>Østerås</w:t>
      </w:r>
      <w:r w:rsidR="00161844" w:rsidRPr="00266880">
        <w:t xml:space="preserve"> et al.</w:t>
      </w:r>
      <w:r w:rsidR="00161844">
        <w:t xml:space="preserve">, </w:t>
      </w:r>
      <w:r w:rsidR="00161844" w:rsidRPr="00266880">
        <w:t>2018</w:t>
      </w:r>
      <w:r w:rsidR="00161844">
        <w:t xml:space="preserve">; </w:t>
      </w:r>
      <w:r w:rsidR="00161844" w:rsidRPr="00266880">
        <w:t>Romero Martín et al.</w:t>
      </w:r>
      <w:r w:rsidR="00161844">
        <w:t xml:space="preserve">, </w:t>
      </w:r>
      <w:r w:rsidR="00161844" w:rsidRPr="00266880">
        <w:t>2018</w:t>
      </w:r>
      <w:r w:rsidR="006B604A">
        <w:t>;</w:t>
      </w:r>
      <w:r w:rsidR="00161844" w:rsidRPr="00266880">
        <w:t xml:space="preserve"> Zackrisson et al.</w:t>
      </w:r>
      <w:r w:rsidR="00161844">
        <w:t>,</w:t>
      </w:r>
      <w:r w:rsidR="00161844" w:rsidRPr="00266880">
        <w:t xml:space="preserve"> 2018 </w:t>
      </w:r>
    </w:p>
    <w:p w14:paraId="36996993" w14:textId="77777777" w:rsidR="00EC6F2F"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A235D7">
        <w:rPr>
          <w:b/>
          <w:bCs/>
        </w:rPr>
        <w:t>Summary of key findings published between 1 January 2018 and 31 December 2019</w:t>
      </w:r>
    </w:p>
    <w:p w14:paraId="3673FBFA" w14:textId="77777777" w:rsidR="00EC6F2F" w:rsidRPr="001F4766"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1F4766">
        <w:t xml:space="preserve">Radiation dose varies with the image </w:t>
      </w:r>
      <w:r>
        <w:t>technique</w:t>
      </w:r>
      <w:r w:rsidRPr="001F4766">
        <w:t xml:space="preserve"> process used (DBT+</w:t>
      </w:r>
      <w:r>
        <w:t>s2DM</w:t>
      </w:r>
      <w:r w:rsidRPr="001F4766">
        <w:t xml:space="preserve">, FFDM alone or FFDM+DBT), the number of and type of views, the use of automatic exposure control, positioning, breast size and composition, and by DBT system used. </w:t>
      </w:r>
      <w:r>
        <w:t>Most of the literature regarding MGD published since December 2017 reported on MGD for DBT+s2DM compared to FFDM alone, although some new data on dual acquisition (FFDM+DBT) was also reported.</w:t>
      </w:r>
    </w:p>
    <w:p w14:paraId="012FC999" w14:textId="1A967BEA" w:rsidR="00EC6F2F" w:rsidRPr="00266880"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1F4766">
        <w:t>Mixed results were presented on MGD</w:t>
      </w:r>
      <w:r>
        <w:t>, including within imaging protocols</w:t>
      </w:r>
      <w:r w:rsidRPr="001F4766">
        <w:t>. For DBT+</w:t>
      </w:r>
      <w:r>
        <w:t>s2DM</w:t>
      </w:r>
      <w:r w:rsidRPr="001F4766">
        <w:t xml:space="preserve"> compared to FFDM alone, most studies reported that MGD was higher when DBT+</w:t>
      </w:r>
      <w:r>
        <w:t>s2DM</w:t>
      </w:r>
      <w:r w:rsidRPr="001F4766">
        <w:t xml:space="preserve"> was used</w:t>
      </w:r>
      <w:r>
        <w:t xml:space="preserve"> although </w:t>
      </w:r>
      <w:r w:rsidRPr="001F4766">
        <w:t xml:space="preserve">the </w:t>
      </w:r>
      <w:r>
        <w:t>To-Be-1</w:t>
      </w:r>
      <w:r w:rsidRPr="001F4766">
        <w:t xml:space="preserve"> RCT, the only study to utilise GE SenoClaire units,  reported no significant difference in MGD between </w:t>
      </w:r>
      <w:r>
        <w:t>DBT+s2DM and FFDM alone</w:t>
      </w:r>
      <w:r w:rsidRPr="001F4766">
        <w:t>.</w:t>
      </w:r>
      <w:r>
        <w:t xml:space="preserve"> All the other studies reported increases with this DBT modality. Some increases were small (from about 30 percent more) but</w:t>
      </w:r>
      <w:r w:rsidRPr="001F4766">
        <w:t xml:space="preserve"> an increase in MGD of almost double </w:t>
      </w:r>
      <w:r>
        <w:t xml:space="preserve">was </w:t>
      </w:r>
      <w:r w:rsidRPr="001F4766">
        <w:t>reported in the Maroondah pilot</w:t>
      </w:r>
      <w:r>
        <w:t>. The reasons for these differences are not entirely clear</w:t>
      </w:r>
      <w:r w:rsidRPr="001F4766">
        <w:t xml:space="preserve"> although some differences may be due to imaging systems</w:t>
      </w:r>
      <w:r>
        <w:t xml:space="preserve"> or the use of automated dose (as opposed to radiologist setting)</w:t>
      </w:r>
      <w:r w:rsidRPr="001F4766">
        <w:t>.</w:t>
      </w:r>
      <w:r>
        <w:t xml:space="preserve"> ‘R</w:t>
      </w:r>
      <w:r w:rsidRPr="001F4766">
        <w:t>eal</w:t>
      </w:r>
      <w:r>
        <w:t xml:space="preserve"> </w:t>
      </w:r>
      <w:r w:rsidRPr="001F4766">
        <w:t>world</w:t>
      </w:r>
      <w:r>
        <w:t>’</w:t>
      </w:r>
      <w:r w:rsidRPr="001F4766">
        <w:t xml:space="preserve"> studies all reported a higher per-view MGD when DBT was used compared to FFDM alone (which is consistent with some of the previous technical evaluation findings</w:t>
      </w:r>
      <w:r>
        <w:t xml:space="preserve">). </w:t>
      </w:r>
      <w:r w:rsidRPr="001F4766">
        <w:t>Further investigation into the use of different imaging units (Hologic Selenia Dimensions, Siemens Mammomat Inspirations and GE SenoClaire units), software (Volpara Solutions and Quantra™) and protocols in relation to the impact on radiation dose is needed as some studies have started to suggest potential inaccuracies within breast density and radiation dose estimation that could be impacting research results and potentially women being screened.</w:t>
      </w:r>
    </w:p>
    <w:p w14:paraId="7B1D6744" w14:textId="47D9B3F4" w:rsidR="00161844" w:rsidRDefault="00161844" w:rsidP="00161844">
      <w:pPr>
        <w:pStyle w:val="Heading3"/>
      </w:pPr>
      <w:bookmarkStart w:id="425" w:name="_Toc27665764"/>
      <w:bookmarkStart w:id="426" w:name="_Toc27844552"/>
      <w:bookmarkStart w:id="427" w:name="_Toc27859682"/>
      <w:bookmarkStart w:id="428" w:name="_Toc27904799"/>
      <w:bookmarkStart w:id="429" w:name="_Toc43376350"/>
      <w:r>
        <w:t>DBT+</w:t>
      </w:r>
      <w:r w:rsidR="00176980">
        <w:t>s2DM</w:t>
      </w:r>
      <w:r>
        <w:t xml:space="preserve"> compared to FFDM</w:t>
      </w:r>
      <w:r w:rsidR="00433CCF">
        <w:t xml:space="preserve"> alone</w:t>
      </w:r>
      <w:bookmarkEnd w:id="425"/>
      <w:bookmarkEnd w:id="426"/>
      <w:bookmarkEnd w:id="427"/>
      <w:bookmarkEnd w:id="428"/>
      <w:bookmarkEnd w:id="429"/>
    </w:p>
    <w:p w14:paraId="320F93AA" w14:textId="6647EF8B" w:rsidR="00161844" w:rsidRPr="00C16704" w:rsidRDefault="00161844" w:rsidP="00161844">
      <w:pPr>
        <w:pStyle w:val="BodyText"/>
      </w:pPr>
      <w:r>
        <w:t>DBT+</w:t>
      </w:r>
      <w:r w:rsidR="00176980">
        <w:t>s2DM</w:t>
      </w:r>
      <w:r>
        <w:t xml:space="preserve"> has been developed as a mechanism to reduce the higher radiation doses associated with dual acquisition (FFDM+DBT). Instead of separately acquiring the 2D image (which is important for the depiction of certain radiological features like microcalcifications), </w:t>
      </w:r>
      <w:r w:rsidRPr="00E44152">
        <w:t>2D image</w:t>
      </w:r>
      <w:r>
        <w:t>s</w:t>
      </w:r>
      <w:r w:rsidRPr="00E44152">
        <w:t xml:space="preserve"> </w:t>
      </w:r>
      <w:r>
        <w:t xml:space="preserve">are </w:t>
      </w:r>
      <w:r w:rsidRPr="00E44152">
        <w:t>generated from the DBT</w:t>
      </w:r>
      <w:r>
        <w:t>-acquired</w:t>
      </w:r>
      <w:r w:rsidRPr="00E44152">
        <w:t xml:space="preserve"> data. </w:t>
      </w:r>
      <w:r>
        <w:t>In theory, e</w:t>
      </w:r>
      <w:r w:rsidRPr="00E44152">
        <w:t xml:space="preserve">liminating the </w:t>
      </w:r>
      <w:r>
        <w:t xml:space="preserve">need for </w:t>
      </w:r>
      <w:r w:rsidRPr="00E44152">
        <w:t xml:space="preserve">2D exposure shortens the acquisition and compression time and reduces the radiation dose for FFDM+DBT by about half (from </w:t>
      </w:r>
      <w:r>
        <w:t>3.3mGy</w:t>
      </w:r>
      <w:r w:rsidRPr="00E44152">
        <w:t xml:space="preserve"> to </w:t>
      </w:r>
      <w:r>
        <w:t>1.81</w:t>
      </w:r>
      <w:r w:rsidRPr="00E44152">
        <w:t>mGy</w:t>
      </w:r>
      <w:r w:rsidR="002E3588">
        <w:t xml:space="preserve"> per DBT image acquisition</w:t>
      </w:r>
      <w:r w:rsidRPr="00E44152">
        <w:t>).</w:t>
      </w:r>
      <w:r>
        <w:t xml:space="preserve"> Since December 2017, several studies have reported on the </w:t>
      </w:r>
      <w:r w:rsidR="00285D7E">
        <w:t>‘</w:t>
      </w:r>
      <w:r>
        <w:t>real</w:t>
      </w:r>
      <w:r w:rsidR="00285D7E">
        <w:t xml:space="preserve"> </w:t>
      </w:r>
      <w:r>
        <w:t>world</w:t>
      </w:r>
      <w:r w:rsidR="00285D7E">
        <w:t>’</w:t>
      </w:r>
      <w:r>
        <w:t xml:space="preserve"> MGD associated with DBT+</w:t>
      </w:r>
      <w:r w:rsidR="00176980">
        <w:t>s2DM</w:t>
      </w:r>
      <w:r>
        <w:t xml:space="preserve"> compare</w:t>
      </w:r>
      <w:r w:rsidR="006B604A">
        <w:t>d</w:t>
      </w:r>
      <w:r>
        <w:t xml:space="preserve"> to FFDM alone, with mixed results presented.</w:t>
      </w:r>
    </w:p>
    <w:p w14:paraId="1AA0B342" w14:textId="5581B569" w:rsidR="00161844" w:rsidRPr="00A10444" w:rsidRDefault="0019576D" w:rsidP="00161844">
      <w:pPr>
        <w:pStyle w:val="BodyText-GREEN"/>
        <w:rPr>
          <w:b/>
          <w:bCs/>
        </w:rPr>
      </w:pPr>
      <w:r>
        <w:rPr>
          <w:b/>
          <w:bCs/>
        </w:rPr>
        <w:t>RCT</w:t>
      </w:r>
    </w:p>
    <w:p w14:paraId="22099DEE" w14:textId="7A26ABD9" w:rsidR="00161844" w:rsidRDefault="00161844" w:rsidP="00161844">
      <w:pPr>
        <w:pStyle w:val="BodyText"/>
      </w:pPr>
      <w:r w:rsidRPr="00CD5B05">
        <w:lastRenderedPageBreak/>
        <w:t>In</w:t>
      </w:r>
      <w:r w:rsidR="000C5381">
        <w:t xml:space="preserve"> a</w:t>
      </w:r>
      <w:r w:rsidRPr="00CD5B05">
        <w:t xml:space="preserve"> </w:t>
      </w:r>
      <w:r w:rsidR="000C5381">
        <w:t xml:space="preserve">sub-study (interim analysis) of </w:t>
      </w:r>
      <w:r w:rsidRPr="00CD5B05">
        <w:t>the</w:t>
      </w:r>
      <w:r>
        <w:t xml:space="preserve"> </w:t>
      </w:r>
      <w:r w:rsidR="00815FC2">
        <w:t>To-Be-1</w:t>
      </w:r>
      <w:r w:rsidRPr="00CD5B05">
        <w:t xml:space="preserve"> RCT</w:t>
      </w:r>
      <w:r>
        <w:t xml:space="preserve"> (Norway)</w:t>
      </w:r>
      <w:r w:rsidRPr="00CD5B05">
        <w:t xml:space="preserve">, </w:t>
      </w:r>
      <w:r>
        <w:t xml:space="preserve">Aase et al. (2019) </w:t>
      </w:r>
      <w:r w:rsidR="000D7A56">
        <w:t xml:space="preserve">included </w:t>
      </w:r>
      <w:r>
        <w:t>data about radiation dose</w:t>
      </w:r>
      <w:r w:rsidR="00DF1560">
        <w:t xml:space="preserve"> for a subset of study participants (14,089/28,749 participants)</w:t>
      </w:r>
      <w:r w:rsidRPr="00BF7C5F">
        <w:t>.</w:t>
      </w:r>
      <w:r w:rsidR="00F85D68">
        <w:t xml:space="preserve"> About half of these women were in the experimental arm (DBT+</w:t>
      </w:r>
      <w:r w:rsidR="00176980">
        <w:t>s2DM</w:t>
      </w:r>
      <w:r w:rsidR="00F85D68">
        <w:t>), and half in the other arm</w:t>
      </w:r>
      <w:r w:rsidR="00C75467">
        <w:t xml:space="preserve"> </w:t>
      </w:r>
      <w:r w:rsidR="00F85D68">
        <w:t>(FFDM).</w:t>
      </w:r>
      <w:r>
        <w:t xml:space="preserve"> </w:t>
      </w:r>
      <w:r w:rsidRPr="00CD5B05">
        <w:t xml:space="preserve">DBT images </w:t>
      </w:r>
      <w:r>
        <w:t xml:space="preserve">(acquired using </w:t>
      </w:r>
      <w:bookmarkStart w:id="430" w:name="_Hlk27473127"/>
      <w:r>
        <w:t xml:space="preserve">GE SenoClaire units </w:t>
      </w:r>
      <w:bookmarkEnd w:id="430"/>
      <w:r>
        <w:t xml:space="preserve">with DBT enabled) </w:t>
      </w:r>
      <w:r w:rsidRPr="00CD5B05">
        <w:t xml:space="preserve">were captured with nine low-dose exposures over an angle of 25°, which were then reconstructed into 1mm </w:t>
      </w:r>
      <w:r>
        <w:t xml:space="preserve">slices </w:t>
      </w:r>
      <w:r w:rsidRPr="00CD5B05">
        <w:t xml:space="preserve">and 10mm </w:t>
      </w:r>
      <w:r>
        <w:t xml:space="preserve">slabs </w:t>
      </w:r>
      <w:r w:rsidRPr="00CD5B05">
        <w:t xml:space="preserve">as well as synthesised into </w:t>
      </w:r>
      <w:r w:rsidR="001C092E">
        <w:t xml:space="preserve">two-dimensional </w:t>
      </w:r>
      <w:r w:rsidRPr="00CD5B05">
        <w:t xml:space="preserve">images. </w:t>
      </w:r>
      <w:r>
        <w:t xml:space="preserve">MGD per exposure was calculated from the raw image data and the MGD per screening examination was calculated as the sum of the radiation doses reported by the software for both views and breasts divided by two. </w:t>
      </w:r>
      <w:r w:rsidR="00F85D68">
        <w:t>No information about breast compression thickness</w:t>
      </w:r>
      <w:r w:rsidR="00F85D68" w:rsidRPr="00CD5B05">
        <w:t xml:space="preserve"> </w:t>
      </w:r>
      <w:r w:rsidR="00F85D68">
        <w:t xml:space="preserve">was provided. </w:t>
      </w:r>
      <w:r w:rsidRPr="00CD5B05">
        <w:t xml:space="preserve">Aase </w:t>
      </w:r>
      <w:r>
        <w:t xml:space="preserve">et al. </w:t>
      </w:r>
      <w:r w:rsidRPr="00CD5B05">
        <w:t>reported no statistical</w:t>
      </w:r>
      <w:r>
        <w:t>ly significant</w:t>
      </w:r>
      <w:r w:rsidRPr="00CD5B05">
        <w:t xml:space="preserve"> difference between DBT+</w:t>
      </w:r>
      <w:r w:rsidR="00176980">
        <w:t>s2DM</w:t>
      </w:r>
      <w:r w:rsidRPr="00CD5B05">
        <w:t xml:space="preserve"> and FFDM in relation to MGD</w:t>
      </w:r>
      <w:r>
        <w:t xml:space="preserve">: </w:t>
      </w:r>
    </w:p>
    <w:p w14:paraId="65FC7AB7" w14:textId="396A4CAB" w:rsidR="00161844" w:rsidRPr="0092264B" w:rsidRDefault="00161844" w:rsidP="007E3481">
      <w:pPr>
        <w:pStyle w:val="List-BulletLvl1"/>
        <w:numPr>
          <w:ilvl w:val="0"/>
          <w:numId w:val="6"/>
        </w:numPr>
        <w:rPr>
          <w:rFonts w:cstheme="majorHAnsi"/>
          <w:bCs/>
          <w:sz w:val="18"/>
          <w:szCs w:val="18"/>
        </w:rPr>
      </w:pPr>
      <w:r>
        <w:t>DBT+</w:t>
      </w:r>
      <w:r w:rsidR="00176980">
        <w:t>s2DM</w:t>
      </w:r>
      <w:r>
        <w:t xml:space="preserve">: 2.96 mGy </w:t>
      </w:r>
    </w:p>
    <w:p w14:paraId="21FCB4B8" w14:textId="77777777" w:rsidR="00161844" w:rsidRPr="00574447" w:rsidRDefault="00161844" w:rsidP="007E3481">
      <w:pPr>
        <w:pStyle w:val="List-BulletLvl1"/>
        <w:numPr>
          <w:ilvl w:val="0"/>
          <w:numId w:val="6"/>
        </w:numPr>
        <w:rPr>
          <w:b/>
          <w:bCs/>
        </w:rPr>
      </w:pPr>
      <w:r>
        <w:t>FFDM: 2.95 mGy (</w:t>
      </w:r>
      <w:r w:rsidRPr="0092264B">
        <w:rPr>
          <w:i/>
          <w:iCs/>
        </w:rPr>
        <w:t>p</w:t>
      </w:r>
      <w:r>
        <w:t xml:space="preserve">=.433). </w:t>
      </w:r>
    </w:p>
    <w:p w14:paraId="76ADC272" w14:textId="39596921" w:rsidR="00161844" w:rsidRPr="00574447" w:rsidRDefault="00161844" w:rsidP="00161844">
      <w:pPr>
        <w:pStyle w:val="BodyText"/>
      </w:pPr>
      <w:r>
        <w:t xml:space="preserve">The </w:t>
      </w:r>
      <w:r w:rsidR="00815FC2">
        <w:t>To-Be-1</w:t>
      </w:r>
      <w:r>
        <w:t xml:space="preserve"> RCT was the only study to record using </w:t>
      </w:r>
      <w:r w:rsidRPr="00574447">
        <w:t xml:space="preserve">GE SenoClaire units </w:t>
      </w:r>
      <w:r>
        <w:t xml:space="preserve">for image acquisition, and one of two studies to report using </w:t>
      </w:r>
      <w:r w:rsidRPr="00BD6CC0">
        <w:t>Volpara Solutions</w:t>
      </w:r>
      <w:r>
        <w:t xml:space="preserve"> software to determine MGD. In relation to the data capture system, Aase et al. report</w:t>
      </w:r>
      <w:r w:rsidR="00A47AB9">
        <w:t>ed</w:t>
      </w:r>
      <w:r>
        <w:t xml:space="preserve"> that the </w:t>
      </w:r>
      <w:r w:rsidRPr="00574447">
        <w:t>manufacturer</w:t>
      </w:r>
      <w:r w:rsidR="00A47AB9">
        <w:t xml:space="preserve"> (GE)</w:t>
      </w:r>
      <w:r w:rsidRPr="00574447">
        <w:t xml:space="preserve"> stated that the target MGD for DBT using automatic exposure control was equivalent to the MGD per view for DM. </w:t>
      </w:r>
      <w:r>
        <w:t xml:space="preserve">Aase et al. </w:t>
      </w:r>
      <w:r w:rsidR="00A47AB9">
        <w:t xml:space="preserve">stated </w:t>
      </w:r>
      <w:r>
        <w:t>that the</w:t>
      </w:r>
      <w:r w:rsidRPr="00574447">
        <w:t xml:space="preserve"> absence of a difference between MGD with DBT</w:t>
      </w:r>
      <w:r w:rsidR="00A47AB9">
        <w:t>+</w:t>
      </w:r>
      <w:r w:rsidR="00176980">
        <w:t>s2DM</w:t>
      </w:r>
      <w:r w:rsidRPr="00574447">
        <w:t xml:space="preserve"> and </w:t>
      </w:r>
      <w:r>
        <w:t>FF</w:t>
      </w:r>
      <w:r w:rsidRPr="00574447">
        <w:t xml:space="preserve">DM </w:t>
      </w:r>
      <w:r w:rsidR="00A47AB9">
        <w:t xml:space="preserve">aligned </w:t>
      </w:r>
      <w:r w:rsidRPr="00574447">
        <w:t>with how the system is set to operate by the manufacturer.</w:t>
      </w:r>
      <w:r>
        <w:t xml:space="preserve"> Hofvind et al. (2019)</w:t>
      </w:r>
      <w:r w:rsidR="00A47AB9">
        <w:t xml:space="preserve">, reporting </w:t>
      </w:r>
      <w:r w:rsidR="000C5381">
        <w:t xml:space="preserve">the main analysis from this </w:t>
      </w:r>
      <w:r w:rsidR="00A47AB9">
        <w:t>RCT,</w:t>
      </w:r>
      <w:r>
        <w:t xml:space="preserve"> add</w:t>
      </w:r>
      <w:r w:rsidR="00A47AB9">
        <w:t xml:space="preserve">ed that </w:t>
      </w:r>
      <w:r>
        <w:t xml:space="preserve">the radiation dose measured for </w:t>
      </w:r>
      <w:r w:rsidR="00A47AB9">
        <w:t>DBT+</w:t>
      </w:r>
      <w:r w:rsidR="00176980">
        <w:t>s2DM</w:t>
      </w:r>
      <w:r w:rsidR="00A47AB9">
        <w:t xml:space="preserve"> </w:t>
      </w:r>
      <w:r>
        <w:t xml:space="preserve">in the </w:t>
      </w:r>
      <w:r w:rsidR="00815FC2">
        <w:t>To-Be-1</w:t>
      </w:r>
      <w:r>
        <w:t xml:space="preserve"> </w:t>
      </w:r>
      <w:r w:rsidR="00A47AB9">
        <w:t xml:space="preserve">trial </w:t>
      </w:r>
      <w:r>
        <w:t xml:space="preserve">was lower than that reported in other studies </w:t>
      </w:r>
      <w:r w:rsidR="00A47AB9">
        <w:t xml:space="preserve">and that this </w:t>
      </w:r>
      <w:r>
        <w:t>might have negatively affected the image quality; however, differences in vendor-specific technical implementatio</w:t>
      </w:r>
      <w:r w:rsidR="006B604A">
        <w:t>n</w:t>
      </w:r>
      <w:r>
        <w:t xml:space="preserve"> and the optimisation of mammography workstations can also affect image quality. These factors along with reader experience can also impact on CDR detection, and are factors to consider in reviewing the lack of </w:t>
      </w:r>
      <w:r w:rsidR="00A47AB9">
        <w:t xml:space="preserve">statistical </w:t>
      </w:r>
      <w:r>
        <w:t xml:space="preserve">difference in CDR </w:t>
      </w:r>
      <w:r w:rsidR="00A47AB9">
        <w:t xml:space="preserve">observed in </w:t>
      </w:r>
      <w:r>
        <w:t xml:space="preserve">the </w:t>
      </w:r>
      <w:r w:rsidR="00815FC2">
        <w:t>To-Be-1</w:t>
      </w:r>
      <w:r>
        <w:t xml:space="preserve"> RCT (</w:t>
      </w:r>
      <w:r w:rsidR="00A47AB9" w:rsidRPr="00A47AB9">
        <w:t>see</w:t>
      </w:r>
      <w:r w:rsidR="00A47AB9">
        <w:rPr>
          <w:i/>
          <w:iCs/>
        </w:rPr>
        <w:t xml:space="preserve"> section 3.1.1</w:t>
      </w:r>
      <w:r>
        <w:t xml:space="preserve">). </w:t>
      </w:r>
    </w:p>
    <w:p w14:paraId="030973D2" w14:textId="1EFA002E" w:rsidR="00161844" w:rsidRDefault="00161844" w:rsidP="00161844">
      <w:pPr>
        <w:pStyle w:val="BodyText-GREEN"/>
        <w:rPr>
          <w:b/>
          <w:bCs/>
        </w:rPr>
      </w:pPr>
      <w:r w:rsidRPr="00A10444">
        <w:rPr>
          <w:b/>
          <w:bCs/>
        </w:rPr>
        <w:t>Prospective trials embedded in population screening programs</w:t>
      </w:r>
    </w:p>
    <w:p w14:paraId="1CAD020D" w14:textId="62A4DD30" w:rsidR="00161844" w:rsidRPr="00A10444" w:rsidRDefault="00161844" w:rsidP="00161844">
      <w:pPr>
        <w:pStyle w:val="BodyText"/>
      </w:pPr>
      <w:r>
        <w:t>New data on MGD from the Maroondah</w:t>
      </w:r>
      <w:r w:rsidR="003E38A0">
        <w:t>, Cordoba</w:t>
      </w:r>
      <w:r>
        <w:t xml:space="preserve"> and Verona pilot evaluations and updated MGD data from STORM-2 were also reported</w:t>
      </w:r>
      <w:r w:rsidR="00A4574C">
        <w:t xml:space="preserve"> (methodologies described in </w:t>
      </w:r>
      <w:r w:rsidR="00A4574C">
        <w:rPr>
          <w:i/>
          <w:iCs/>
        </w:rPr>
        <w:t>section 3.1.1</w:t>
      </w:r>
      <w:r w:rsidR="00A4574C">
        <w:t>)</w:t>
      </w:r>
      <w:r>
        <w:t xml:space="preserve">. These </w:t>
      </w:r>
      <w:r w:rsidR="00285D7E">
        <w:t>‘</w:t>
      </w:r>
      <w:r>
        <w:t>real</w:t>
      </w:r>
      <w:r w:rsidR="00285D7E">
        <w:t xml:space="preserve"> </w:t>
      </w:r>
      <w:r>
        <w:t>world</w:t>
      </w:r>
      <w:r w:rsidR="00285D7E">
        <w:t>’</w:t>
      </w:r>
      <w:r>
        <w:t xml:space="preserve"> studies used Hologic Selenia Dimensions for DBT and FFDM alone imaging but sometimes used other units for FFDM imaging. All reported a higher per-view MGD when DBT was used compared to FFDM alone (which is consistent with previous technical evaluation findings). </w:t>
      </w:r>
    </w:p>
    <w:p w14:paraId="24313B51" w14:textId="17229A07" w:rsidR="00F85D68" w:rsidRDefault="00161844" w:rsidP="00161844">
      <w:pPr>
        <w:pStyle w:val="BodyText"/>
      </w:pPr>
      <w:r>
        <w:t xml:space="preserve">A sub-study of the </w:t>
      </w:r>
      <w:r w:rsidRPr="00BF7C5F">
        <w:t>STORM-2</w:t>
      </w:r>
      <w:r>
        <w:t xml:space="preserve"> trial was reported by </w:t>
      </w:r>
      <w:r w:rsidRPr="00BF7C5F">
        <w:t>Bernardi et al</w:t>
      </w:r>
      <w:r>
        <w:t>. (</w:t>
      </w:r>
      <w:r w:rsidRPr="00BF7C5F">
        <w:t>2018)</w:t>
      </w:r>
      <w:r>
        <w:t xml:space="preserve">. A single breast positioning was used to obtain each view (CC and MLO). </w:t>
      </w:r>
      <w:r w:rsidR="00F85D68">
        <w:t xml:space="preserve">No information about breast compression thickness was provided. </w:t>
      </w:r>
      <w:r>
        <w:t xml:space="preserve">The estimated MGD per view </w:t>
      </w:r>
      <w:r w:rsidR="00F85D68">
        <w:t xml:space="preserve">(all study participants) </w:t>
      </w:r>
      <w:r>
        <w:t>was higher for DBT (</w:t>
      </w:r>
      <w:r w:rsidRPr="007702BA">
        <w:t xml:space="preserve">1.87 </w:t>
      </w:r>
      <w:r>
        <w:t>mGy, SD 0.67) compared to FFDM (1.36 mGy, SD 0.51). For FFDM+DBT, dual acquisition</w:t>
      </w:r>
      <w:r w:rsidR="006B604A">
        <w:t xml:space="preserve"> reported an </w:t>
      </w:r>
      <w:r>
        <w:t xml:space="preserve">MGD per view </w:t>
      </w:r>
      <w:r w:rsidR="006B604A">
        <w:t xml:space="preserve">of </w:t>
      </w:r>
      <w:r w:rsidRPr="007702BA">
        <w:t>3.22 mGy (SD 1.16)</w:t>
      </w:r>
      <w:r>
        <w:t>. The DBT+</w:t>
      </w:r>
      <w:r w:rsidR="00176980">
        <w:t>s2DM</w:t>
      </w:r>
      <w:r>
        <w:t xml:space="preserve"> MGD reported by Bernardi et al. (2018) is similar to </w:t>
      </w:r>
      <w:r w:rsidR="000A117D">
        <w:t>Strudley et al.’s</w:t>
      </w:r>
      <w:r w:rsidR="004C5A14">
        <w:t xml:space="preserve"> 2014</w:t>
      </w:r>
      <w:r>
        <w:t xml:space="preserve"> practical evaluation data estimate (1.81 mGy). </w:t>
      </w:r>
    </w:p>
    <w:p w14:paraId="15430F1A" w14:textId="3EED4CCF" w:rsidR="00F85D68" w:rsidRDefault="00161844" w:rsidP="00161844">
      <w:pPr>
        <w:pStyle w:val="BodyText"/>
      </w:pPr>
      <w:r>
        <w:t>A slightly higher MGD was reported in the Verona evaluation pilot (Caumo et al., 2018). The Verona Screening program used Selenia Dimensions units. Screening examinations included two-view (CC and MLO) DBT+</w:t>
      </w:r>
      <w:r w:rsidR="00176980">
        <w:t>s2DM</w:t>
      </w:r>
      <w:r>
        <w:t xml:space="preserve"> of each breast compared to a historical cohort screened with FFDM. </w:t>
      </w:r>
      <w:r w:rsidR="00F85D68">
        <w:t>Using data from all participants, t</w:t>
      </w:r>
      <w:r>
        <w:t xml:space="preserve">he MGD for a single DBT view was </w:t>
      </w:r>
      <w:r w:rsidRPr="0069241F">
        <w:t>higher (2.09 mGy</w:t>
      </w:r>
      <w:r>
        <w:t xml:space="preserve"> per view</w:t>
      </w:r>
      <w:r w:rsidRPr="0069241F">
        <w:t>, SD 0.55, range 1.13–3.65 mGy) compared with single-view FFDM (1.48 mGy</w:t>
      </w:r>
      <w:r>
        <w:t xml:space="preserve"> per view</w:t>
      </w:r>
      <w:r w:rsidRPr="0069241F">
        <w:t>, SD 0.58, range 0.52</w:t>
      </w:r>
      <w:r w:rsidR="00176980">
        <w:t>-</w:t>
      </w:r>
      <w:r w:rsidRPr="0069241F">
        <w:t>3.13 mGy</w:t>
      </w:r>
      <w:r>
        <w:t xml:space="preserve"> per view</w:t>
      </w:r>
      <w:r w:rsidRPr="0069241F">
        <w:t>).</w:t>
      </w:r>
      <w:r w:rsidR="003E38A0">
        <w:t xml:space="preserve"> </w:t>
      </w:r>
      <w:r w:rsidR="00F85D68">
        <w:t xml:space="preserve">No information about breast compression thickness was provided. </w:t>
      </w:r>
    </w:p>
    <w:p w14:paraId="3434807F" w14:textId="5411BD7D" w:rsidR="00161844" w:rsidRDefault="003E38A0" w:rsidP="00161844">
      <w:pPr>
        <w:pStyle w:val="BodyText"/>
      </w:pPr>
      <w:r>
        <w:lastRenderedPageBreak/>
        <w:t>Results from the Cordoba pilot (Romero Martín et al., 2018) were similar</w:t>
      </w:r>
      <w:r w:rsidR="00F85D68">
        <w:t xml:space="preserve"> but MGD was much higher overall</w:t>
      </w:r>
      <w:r>
        <w:t xml:space="preserve"> (i.e., MGD for DBT+</w:t>
      </w:r>
      <w:r w:rsidR="00176980">
        <w:t>s2DM</w:t>
      </w:r>
      <w:r>
        <w:t xml:space="preserve"> was higher than for FFDM alone: 4.97 mGy compared to 3.27 mGy, breast compression thickness = 62.5mm).</w:t>
      </w:r>
      <w:r w:rsidR="00F85D68">
        <w:t xml:space="preserve"> This may be because of participant characteristics as Romero Martín et al. only reported MGD from a subset of 149 randomly selected participants (no participant characteristics were provided).</w:t>
      </w:r>
    </w:p>
    <w:p w14:paraId="5D325576" w14:textId="233092F6" w:rsidR="00161844" w:rsidRDefault="00161844" w:rsidP="00161844">
      <w:pPr>
        <w:pStyle w:val="BodyText"/>
      </w:pPr>
      <w:r>
        <w:t xml:space="preserve">In the Maroondah pilot study (Houssami et al., 2019), women </w:t>
      </w:r>
      <w:r w:rsidR="00855B71">
        <w:t xml:space="preserve">receiving </w:t>
      </w:r>
      <w:r>
        <w:t>DBT+</w:t>
      </w:r>
      <w:r w:rsidR="00176980">
        <w:t>s2DM</w:t>
      </w:r>
      <w:r>
        <w:t xml:space="preserve"> were screened with Hologic Selenia Dimensions 8000 unit. Women </w:t>
      </w:r>
      <w:r w:rsidR="00855B71">
        <w:t xml:space="preserve">receiving </w:t>
      </w:r>
      <w:r>
        <w:t xml:space="preserve">FFDM were screened with either Hologic Selenia Dimensions 8000 or Siemens Mammomat Inspiration. </w:t>
      </w:r>
      <w:r w:rsidR="00906091">
        <w:t>MGD r</w:t>
      </w:r>
      <w:r>
        <w:t xml:space="preserve">esults from the Maroondah pilot were higher than the </w:t>
      </w:r>
      <w:r w:rsidR="00815FC2">
        <w:t>To-Be-1</w:t>
      </w:r>
      <w:r>
        <w:t>, STORM-2 or Verona results</w:t>
      </w:r>
      <w:r w:rsidR="00906091">
        <w:t xml:space="preserve"> (acquisition </w:t>
      </w:r>
      <w:r>
        <w:t>was almost double the MGD compared to FFDM imaging</w:t>
      </w:r>
      <w:r w:rsidR="00906091">
        <w:t>)</w:t>
      </w:r>
      <w:r>
        <w:t xml:space="preserve">. The MGD for DBT views captured on the Hologic unit were 2.55 mGy per view compared </w:t>
      </w:r>
      <w:r w:rsidR="00906091">
        <w:t xml:space="preserve">to 1.32 mGy per </w:t>
      </w:r>
      <w:r>
        <w:t xml:space="preserve">FFDM view captured on the Siemens unit and </w:t>
      </w:r>
      <w:r w:rsidR="00906091">
        <w:t xml:space="preserve">1.42 mGy per view on the </w:t>
      </w:r>
      <w:r>
        <w:t xml:space="preserve">Hologic unit. </w:t>
      </w:r>
      <w:r w:rsidR="00906091">
        <w:t xml:space="preserve">Houssami et al. </w:t>
      </w:r>
      <w:r>
        <w:t>highlighted that</w:t>
      </w:r>
      <w:r w:rsidRPr="002C4119">
        <w:t xml:space="preserve"> data indicate</w:t>
      </w:r>
      <w:r w:rsidR="00906091">
        <w:t>d</w:t>
      </w:r>
      <w:r w:rsidRPr="002C4119">
        <w:t xml:space="preserve"> that the breasts imaged in 3D mode were, on </w:t>
      </w:r>
      <w:r w:rsidR="00906091">
        <w:t>a</w:t>
      </w:r>
      <w:r w:rsidRPr="002C4119">
        <w:t xml:space="preserve">verage, substantially thicker than those imaged in 2D </w:t>
      </w:r>
      <w:r w:rsidRPr="00AF3845">
        <w:t xml:space="preserve">mode. </w:t>
      </w:r>
      <w:r w:rsidR="00906091" w:rsidRPr="00AF3845">
        <w:t xml:space="preserve">A </w:t>
      </w:r>
      <w:r w:rsidRPr="00AF3845">
        <w:t xml:space="preserve">possible explanation might be that less compression was used </w:t>
      </w:r>
      <w:r w:rsidR="00906091" w:rsidRPr="00AF3845">
        <w:t>with DBT</w:t>
      </w:r>
      <w:r w:rsidRPr="00AF3845">
        <w:t>, but this is not supported by an examination of the compression data which is measured in Newtons (N)</w:t>
      </w:r>
      <w:r w:rsidR="00906091" w:rsidRPr="00AF3845">
        <w:t>.</w:t>
      </w:r>
      <w:r w:rsidRPr="00AF3845">
        <w:t xml:space="preserve"> </w:t>
      </w:r>
      <w:r w:rsidR="00906091" w:rsidRPr="00AF3845">
        <w:t>DBT+</w:t>
      </w:r>
      <w:r w:rsidR="00176980">
        <w:t>s2DM</w:t>
      </w:r>
      <w:r w:rsidR="00906091" w:rsidRPr="00AF3845">
        <w:t xml:space="preserve"> had a </w:t>
      </w:r>
      <w:r w:rsidRPr="00AF3845">
        <w:t xml:space="preserve">mean </w:t>
      </w:r>
      <w:r w:rsidR="00906091" w:rsidRPr="00AF3845">
        <w:t xml:space="preserve">of </w:t>
      </w:r>
      <w:r w:rsidRPr="00AF3845">
        <w:t>83 N [SD, 25 N]</w:t>
      </w:r>
      <w:r w:rsidR="00906091" w:rsidRPr="00AF3845">
        <w:t xml:space="preserve"> compared to </w:t>
      </w:r>
      <w:r w:rsidRPr="00AF3845">
        <w:t>82 N [SD, 22 N]</w:t>
      </w:r>
      <w:r w:rsidR="00906091" w:rsidRPr="00AF3845">
        <w:t xml:space="preserve"> for FFDM</w:t>
      </w:r>
      <w:r w:rsidRPr="00AF3845">
        <w:t xml:space="preserve">. The authors </w:t>
      </w:r>
      <w:r w:rsidR="00906091" w:rsidRPr="00AF3845">
        <w:t xml:space="preserve">thought it </w:t>
      </w:r>
      <w:r w:rsidRPr="00AF3845">
        <w:t xml:space="preserve">more likely that the accuracy of the compressed breast thickness indicated on the images and included in the Digital Imaging and Communications in Medicine (DICOM) header may </w:t>
      </w:r>
      <w:r w:rsidR="00AF3845" w:rsidRPr="00AF3845">
        <w:t>have</w:t>
      </w:r>
      <w:r w:rsidR="00AF3845">
        <w:t xml:space="preserve"> </w:t>
      </w:r>
      <w:r w:rsidRPr="002C4119">
        <w:t>differ</w:t>
      </w:r>
      <w:r w:rsidR="00AF3845">
        <w:t>ed</w:t>
      </w:r>
      <w:r w:rsidRPr="002C4119">
        <w:t xml:space="preserve"> between the two units. Measurement </w:t>
      </w:r>
      <w:r>
        <w:t xml:space="preserve">checks undertaken suggest that </w:t>
      </w:r>
      <w:r w:rsidRPr="002C4119">
        <w:t xml:space="preserve">the Hologic unit may overestimate thickness by as much as 3 mm, the Siemens unit by only 1 mm. This may partially explain the difference in thicknesses in the 2D and 3D data. </w:t>
      </w:r>
    </w:p>
    <w:p w14:paraId="6F057B16" w14:textId="4FCB8499" w:rsidR="00161844" w:rsidRDefault="00161844" w:rsidP="00161844">
      <w:pPr>
        <w:pStyle w:val="BodyText"/>
      </w:pPr>
      <w:r>
        <w:t xml:space="preserve">The significance of this finding is that it has </w:t>
      </w:r>
      <w:r w:rsidRPr="002C4119">
        <w:t>implications for estimat</w:t>
      </w:r>
      <w:r>
        <w:t>ing</w:t>
      </w:r>
      <w:r w:rsidRPr="002C4119">
        <w:t xml:space="preserve"> MGD for a particular image because the internal dose model assumes that the indicated breast thickness is the true thickness. Using the displayed MGD value as an indicator of relative dose may therefore be problematic when more than one machine is used. </w:t>
      </w:r>
      <w:r>
        <w:t xml:space="preserve">As </w:t>
      </w:r>
      <w:r w:rsidRPr="002C4119">
        <w:t xml:space="preserve">the Hologic </w:t>
      </w:r>
      <w:r w:rsidR="00AF3845">
        <w:t>DBT</w:t>
      </w:r>
      <w:r w:rsidRPr="002C4119">
        <w:t xml:space="preserve"> MGD values </w:t>
      </w:r>
      <w:r w:rsidR="00AF3845">
        <w:t>we</w:t>
      </w:r>
      <w:r w:rsidRPr="002C4119">
        <w:t xml:space="preserve">re higher than those of Siemens </w:t>
      </w:r>
      <w:r w:rsidR="00AF3845">
        <w:t xml:space="preserve">digital mammography </w:t>
      </w:r>
      <w:r w:rsidRPr="002C4119">
        <w:t>(mean ratio</w:t>
      </w:r>
      <w:r w:rsidR="00AF3845">
        <w:t>:</w:t>
      </w:r>
      <w:r w:rsidRPr="002C4119">
        <w:t xml:space="preserve"> 1.9)</w:t>
      </w:r>
      <w:r w:rsidR="00AF3845">
        <w:t>, Houssami et al.</w:t>
      </w:r>
      <w:r>
        <w:t xml:space="preserve"> suggest</w:t>
      </w:r>
      <w:r w:rsidR="00AF3845">
        <w:t xml:space="preserve">ed that </w:t>
      </w:r>
      <w:r>
        <w:t>the</w:t>
      </w:r>
      <w:r w:rsidR="00AF3845">
        <w:t>se</w:t>
      </w:r>
      <w:r>
        <w:t xml:space="preserve"> results be considered with caution due to the different image acquisition units employed in the study. </w:t>
      </w:r>
      <w:r w:rsidRPr="002C4119">
        <w:t xml:space="preserve">More research in this area is needed to determine if the </w:t>
      </w:r>
      <w:r>
        <w:t>differences seen in mGy between DBT</w:t>
      </w:r>
      <w:r w:rsidR="00AF3845">
        <w:t>+</w:t>
      </w:r>
      <w:r w:rsidR="00176980">
        <w:t>s2DM</w:t>
      </w:r>
      <w:r>
        <w:t xml:space="preserve"> and FFDM are in part related to the image </w:t>
      </w:r>
      <w:r w:rsidRPr="002C4119">
        <w:t>acquisition units</w:t>
      </w:r>
      <w:r>
        <w:t xml:space="preserve"> employed, compression levels, software or some other factor. </w:t>
      </w:r>
    </w:p>
    <w:p w14:paraId="404FF86C" w14:textId="77777777" w:rsidR="00161844" w:rsidRPr="000C0773" w:rsidRDefault="00161844" w:rsidP="00161844">
      <w:pPr>
        <w:pStyle w:val="Heading3-NOTinTOC"/>
      </w:pPr>
      <w:r>
        <w:t>FFDM+DBT compared to FFDM alone</w:t>
      </w:r>
    </w:p>
    <w:p w14:paraId="56FA23C5" w14:textId="776E7846" w:rsidR="00161844" w:rsidRDefault="00161844" w:rsidP="00161844">
      <w:pPr>
        <w:pStyle w:val="BodyText"/>
      </w:pPr>
      <w:r>
        <w:t>The following results are reported here for completeness, rather than reflecting current screening practices where DBT has been trialled or implemented.</w:t>
      </w:r>
      <w:r w:rsidR="004A4FD2">
        <w:t xml:space="preserve"> In these papers, per-view MGD for DBT was higher than for digital mammography.</w:t>
      </w:r>
    </w:p>
    <w:p w14:paraId="553B22EB" w14:textId="77777777" w:rsidR="00161844" w:rsidRPr="003F134D" w:rsidRDefault="00161844" w:rsidP="00161844">
      <w:pPr>
        <w:pStyle w:val="BodyText-GREEN"/>
        <w:rPr>
          <w:b/>
          <w:bCs/>
        </w:rPr>
      </w:pPr>
      <w:r>
        <w:rPr>
          <w:b/>
          <w:bCs/>
        </w:rPr>
        <w:t>L</w:t>
      </w:r>
      <w:r w:rsidRPr="003F134D">
        <w:rPr>
          <w:b/>
          <w:bCs/>
        </w:rPr>
        <w:t>iterature review</w:t>
      </w:r>
    </w:p>
    <w:p w14:paraId="58B76FDB" w14:textId="2DFA21B7" w:rsidR="00161844" w:rsidRDefault="00161844" w:rsidP="00161844">
      <w:pPr>
        <w:pStyle w:val="BodyText"/>
      </w:pPr>
      <w:r w:rsidRPr="00615516">
        <w:t>In their narrative literature review,</w:t>
      </w:r>
      <w:r>
        <w:t xml:space="preserve"> Rocha García &amp; Fernández (2019) compared the MGD between different modes of acquisition of FFDM+DBT and DBT alone (including looking at papers covered in </w:t>
      </w:r>
      <w:r w:rsidRPr="00AF2AC0">
        <w:rPr>
          <w:i/>
          <w:iCs/>
        </w:rPr>
        <w:t>Allen</w:t>
      </w:r>
      <w:r>
        <w:t xml:space="preserve"> </w:t>
      </w:r>
      <w:r w:rsidRPr="00AF2AC0">
        <w:rPr>
          <w:i/>
          <w:iCs/>
        </w:rPr>
        <w:t>+ Clarke</w:t>
      </w:r>
      <w:r>
        <w:t xml:space="preserve">’s previous literature reviews) as well as papers by Michell </w:t>
      </w:r>
      <w:r w:rsidRPr="00615516">
        <w:t>et</w:t>
      </w:r>
      <w:r>
        <w:t xml:space="preserve"> al. (2012) and Feng et al. (2012). Rocha García &amp; Fernández reported that use of DBT alone resulted in a 39</w:t>
      </w:r>
      <w:r w:rsidR="00176980">
        <w:t xml:space="preserve"> to </w:t>
      </w:r>
      <w:r>
        <w:t xml:space="preserve">48 percent radiation dose reduction compared to FFDM+DBT; however, caution is needed with these results as Michell et al.’s study included women recalled from a screening program (and </w:t>
      </w:r>
      <w:r>
        <w:lastRenderedPageBreak/>
        <w:t>therefore undergoing a different suite of imaging) and Feng et al.’s study used breast phantoms t</w:t>
      </w:r>
      <w:r w:rsidRPr="000D0FD2">
        <w:t xml:space="preserve">o </w:t>
      </w:r>
      <w:r>
        <w:t xml:space="preserve">investigate FFDM and DBT </w:t>
      </w:r>
      <w:r w:rsidRPr="000D0FD2">
        <w:t>radiation dose</w:t>
      </w:r>
      <w:r>
        <w:t xml:space="preserve">s. </w:t>
      </w:r>
    </w:p>
    <w:p w14:paraId="104B0046" w14:textId="77777777" w:rsidR="00161844" w:rsidRPr="00A10444" w:rsidRDefault="00161844" w:rsidP="00161844">
      <w:pPr>
        <w:pStyle w:val="BodyText-GREEN"/>
        <w:rPr>
          <w:b/>
          <w:bCs/>
        </w:rPr>
      </w:pPr>
      <w:r w:rsidRPr="00A10444">
        <w:rPr>
          <w:b/>
          <w:bCs/>
        </w:rPr>
        <w:t>Randomized controlled trial</w:t>
      </w:r>
    </w:p>
    <w:p w14:paraId="28563D7F" w14:textId="1496D20A" w:rsidR="00161844" w:rsidRDefault="00161844" w:rsidP="00161844">
      <w:pPr>
        <w:pStyle w:val="BodyText"/>
      </w:pPr>
      <w:r w:rsidRPr="00FC511C">
        <w:t>Pattacini et al.</w:t>
      </w:r>
      <w:r>
        <w:t xml:space="preserve"> (</w:t>
      </w:r>
      <w:r w:rsidRPr="00FC511C">
        <w:t>2018)</w:t>
      </w:r>
      <w:r>
        <w:t xml:space="preserve"> reported </w:t>
      </w:r>
      <w:r w:rsidRPr="00FC511C">
        <w:t xml:space="preserve">baseline data from </w:t>
      </w:r>
      <w:r>
        <w:t>the Reggio Emilia</w:t>
      </w:r>
      <w:r w:rsidRPr="00FC511C">
        <w:t xml:space="preserve"> </w:t>
      </w:r>
      <w:r>
        <w:t xml:space="preserve">RCT (methodology described in </w:t>
      </w:r>
      <w:r>
        <w:rPr>
          <w:i/>
          <w:iCs/>
        </w:rPr>
        <w:t>section 3.1.1</w:t>
      </w:r>
      <w:r>
        <w:t>)</w:t>
      </w:r>
      <w:r w:rsidRPr="00FC511C">
        <w:t xml:space="preserve">. </w:t>
      </w:r>
      <w:r w:rsidR="00F85D68">
        <w:t xml:space="preserve">Data on MGD was collected from all study </w:t>
      </w:r>
      <w:r w:rsidR="00BB7BBA">
        <w:t>participants and</w:t>
      </w:r>
      <w:r w:rsidR="00F85D68">
        <w:t xml:space="preserve"> was generally very high (more aligned to the Cordoba trial results than other studies). </w:t>
      </w:r>
      <w:r w:rsidRPr="00FC511C">
        <w:t>MGD results</w:t>
      </w:r>
      <w:r>
        <w:t xml:space="preserve"> </w:t>
      </w:r>
      <w:r w:rsidRPr="00FC511C">
        <w:t>for FFDM</w:t>
      </w:r>
      <w:r>
        <w:t xml:space="preserve"> were </w:t>
      </w:r>
      <w:r w:rsidRPr="00FC511C">
        <w:t>4.84</w:t>
      </w:r>
      <w:r>
        <w:t xml:space="preserve"> mGy</w:t>
      </w:r>
      <w:r w:rsidRPr="00FC511C">
        <w:t xml:space="preserve"> (IQR, 4.24–5.72) and for FFDM+ DBT = 6.40 (IQR, 5.68.–7.36). The dose in the experimental arm was 2.3 times higher than in the non-experimental arm.</w:t>
      </w:r>
      <w:r>
        <w:t xml:space="preserve"> The imaging unit used was GE Senographe Essential digital systems (GE Healthcare, </w:t>
      </w:r>
      <w:r w:rsidRPr="006F413F">
        <w:t>Buc, France</w:t>
      </w:r>
      <w:r>
        <w:t xml:space="preserve">). </w:t>
      </w:r>
      <w:r w:rsidR="00F85D68">
        <w:t>The authors make no comment on why the MGD values were so high.</w:t>
      </w:r>
    </w:p>
    <w:p w14:paraId="0F81F03B" w14:textId="77777777" w:rsidR="00161844" w:rsidRDefault="00161844" w:rsidP="00161844">
      <w:pPr>
        <w:pStyle w:val="BodyText-GREEN"/>
        <w:rPr>
          <w:b/>
          <w:bCs/>
        </w:rPr>
      </w:pPr>
      <w:r w:rsidRPr="00A10444">
        <w:rPr>
          <w:b/>
          <w:bCs/>
        </w:rPr>
        <w:t>Prospective trials embedded in population screening programs</w:t>
      </w:r>
    </w:p>
    <w:p w14:paraId="06E9B8AA" w14:textId="5DE729FD" w:rsidR="00161844" w:rsidRDefault="00161844" w:rsidP="00161844">
      <w:pPr>
        <w:pStyle w:val="BodyText"/>
      </w:pPr>
      <w:r>
        <w:t>In the OTS trial condu</w:t>
      </w:r>
      <w:r w:rsidRPr="00250617">
        <w:t>cted in Norway (Østerås et al</w:t>
      </w:r>
      <w:r>
        <w:t>.</w:t>
      </w:r>
      <w:r w:rsidRPr="00250617">
        <w:t>, 2018)</w:t>
      </w:r>
      <w:r w:rsidR="00A4574C" w:rsidRPr="00A4574C">
        <w:t xml:space="preserve"> </w:t>
      </w:r>
      <w:r w:rsidR="00A4574C">
        <w:t xml:space="preserve">(methodology described in </w:t>
      </w:r>
      <w:r w:rsidR="00A4574C">
        <w:rPr>
          <w:i/>
          <w:iCs/>
        </w:rPr>
        <w:t>section 3.1.1</w:t>
      </w:r>
      <w:r w:rsidR="00A4574C">
        <w:t>)</w:t>
      </w:r>
      <w:r>
        <w:t xml:space="preserve">, the authors analysed paired </w:t>
      </w:r>
      <w:r w:rsidRPr="000856BF">
        <w:t>same-compression</w:t>
      </w:r>
      <w:r>
        <w:t xml:space="preserve"> FFDM</w:t>
      </w:r>
      <w:r w:rsidRPr="000856BF">
        <w:t xml:space="preserve"> and DBT</w:t>
      </w:r>
      <w:r>
        <w:t xml:space="preserve"> </w:t>
      </w:r>
      <w:r w:rsidRPr="000856BF">
        <w:t xml:space="preserve">acquisitions </w:t>
      </w:r>
      <w:r>
        <w:t>(n=3,819)</w:t>
      </w:r>
      <w:r w:rsidR="00FB278F">
        <w:t xml:space="preserve">, </w:t>
      </w:r>
      <w:r w:rsidR="0019576D">
        <w:t xml:space="preserve">using the </w:t>
      </w:r>
      <w:r w:rsidRPr="00116739">
        <w:t>Dance model</w:t>
      </w:r>
      <w:r>
        <w:t xml:space="preserve"> </w:t>
      </w:r>
      <w:r w:rsidR="0019576D">
        <w:t xml:space="preserve">they </w:t>
      </w:r>
      <w:r>
        <w:t>determine</w:t>
      </w:r>
      <w:r w:rsidR="0019576D">
        <w:t>d</w:t>
      </w:r>
      <w:r>
        <w:t xml:space="preserve"> radiation dose and </w:t>
      </w:r>
      <w:r w:rsidRPr="00116739">
        <w:t xml:space="preserve">reported directly from the DICOM metadata. </w:t>
      </w:r>
      <w:r w:rsidRPr="00250617">
        <w:t>Østerås et al</w:t>
      </w:r>
      <w:r>
        <w:t>. reported the following results per view:</w:t>
      </w:r>
    </w:p>
    <w:p w14:paraId="4F5E1232" w14:textId="77777777" w:rsidR="00161844" w:rsidRDefault="00161844" w:rsidP="007E3481">
      <w:pPr>
        <w:pStyle w:val="List-BulletLvl1"/>
        <w:numPr>
          <w:ilvl w:val="0"/>
          <w:numId w:val="6"/>
        </w:numPr>
      </w:pPr>
      <w:r>
        <w:t>FF</w:t>
      </w:r>
      <w:r w:rsidRPr="00FC3D3B">
        <w:t>DM</w:t>
      </w:r>
      <w:r>
        <w:t xml:space="preserve"> MGD: </w:t>
      </w:r>
      <w:r w:rsidRPr="00FC3D3B">
        <w:t>1.72</w:t>
      </w:r>
      <w:r>
        <w:t xml:space="preserve"> mGy</w:t>
      </w:r>
    </w:p>
    <w:p w14:paraId="66ECEA18" w14:textId="77777777" w:rsidR="00161844" w:rsidRDefault="00161844" w:rsidP="007E3481">
      <w:pPr>
        <w:pStyle w:val="List-BulletLvl1"/>
        <w:numPr>
          <w:ilvl w:val="0"/>
          <w:numId w:val="6"/>
        </w:numPr>
      </w:pPr>
      <w:r w:rsidRPr="00FC3D3B">
        <w:t xml:space="preserve">DBT </w:t>
      </w:r>
      <w:r>
        <w:t>MGD: 2.09 mGy, and</w:t>
      </w:r>
    </w:p>
    <w:p w14:paraId="29DD8412" w14:textId="375DC39D" w:rsidR="00161844" w:rsidRDefault="00161844" w:rsidP="007E3481">
      <w:pPr>
        <w:pStyle w:val="List-BulletLvl1"/>
        <w:numPr>
          <w:ilvl w:val="0"/>
          <w:numId w:val="6"/>
        </w:numPr>
      </w:pPr>
      <w:r>
        <w:t xml:space="preserve">FFDM+DBT MGD: </w:t>
      </w:r>
      <w:r w:rsidRPr="00FC3D3B">
        <w:t>3.81 mGy</w:t>
      </w:r>
      <w:r w:rsidR="00753A03">
        <w:rPr>
          <w:rStyle w:val="FootnoteReference"/>
        </w:rPr>
        <w:footnoteReference w:id="29"/>
      </w:r>
      <w:r>
        <w:t>.</w:t>
      </w:r>
    </w:p>
    <w:p w14:paraId="6ECF5C27" w14:textId="039DB967" w:rsidR="00DF1560" w:rsidRDefault="00161844" w:rsidP="00161844">
      <w:pPr>
        <w:pStyle w:val="BodyText"/>
      </w:pPr>
      <w:r>
        <w:t>The m</w:t>
      </w:r>
      <w:r w:rsidRPr="00F53AC5">
        <w:t>ean compressed breast thickness</w:t>
      </w:r>
      <w:r>
        <w:t xml:space="preserve"> in this study was</w:t>
      </w:r>
      <w:r w:rsidRPr="00F53AC5">
        <w:t xml:space="preserve"> 53.4 mm (</w:t>
      </w:r>
      <w:r>
        <w:t>SD</w:t>
      </w:r>
      <w:r w:rsidRPr="00F53AC5">
        <w:t xml:space="preserve"> 12.9, range 14–101)</w:t>
      </w:r>
      <w:r>
        <w:t xml:space="preserve"> for all screens. The mean dose ratio between FFDM and DBT was </w:t>
      </w:r>
      <w:r w:rsidRPr="00E47A8D">
        <w:t>1.2</w:t>
      </w:r>
      <w:r>
        <w:t>4</w:t>
      </w:r>
      <w:r w:rsidR="00FB278F">
        <w:t xml:space="preserve"> mGy</w:t>
      </w:r>
      <w:r>
        <w:t>. D</w:t>
      </w:r>
      <w:r w:rsidRPr="00E47A8D">
        <w:t>enser</w:t>
      </w:r>
      <w:r w:rsidRPr="00FC3D3B">
        <w:t xml:space="preserve"> breasts </w:t>
      </w:r>
      <w:r>
        <w:t xml:space="preserve">(BIRADS categories 3 and 4) </w:t>
      </w:r>
      <w:r w:rsidRPr="00FC3D3B">
        <w:t xml:space="preserve">generally had a lower </w:t>
      </w:r>
      <w:r>
        <w:t xml:space="preserve">MGD (FFDM </w:t>
      </w:r>
      <w:r w:rsidRPr="000856BF">
        <w:t xml:space="preserve">mean </w:t>
      </w:r>
      <w:r w:rsidR="00855B71">
        <w:t>average glandular dose (</w:t>
      </w:r>
      <w:r w:rsidRPr="000856BF">
        <w:t>AGD</w:t>
      </w:r>
      <w:r w:rsidR="0019576D">
        <w:t>)</w:t>
      </w:r>
      <w:r w:rsidRPr="000856BF">
        <w:t xml:space="preserve"> was 1.73 </w:t>
      </w:r>
      <w:r>
        <w:t xml:space="preserve">compared with </w:t>
      </w:r>
      <w:r w:rsidRPr="000856BF">
        <w:t>1.79 mGy</w:t>
      </w:r>
      <w:r>
        <w:t xml:space="preserve"> </w:t>
      </w:r>
      <w:r w:rsidRPr="000856BF">
        <w:t>for DBT</w:t>
      </w:r>
      <w:r>
        <w:t xml:space="preserve">) </w:t>
      </w:r>
      <w:r w:rsidRPr="00FC3D3B">
        <w:t>than fatty breasts</w:t>
      </w:r>
      <w:r>
        <w:t xml:space="preserve"> (FFDM </w:t>
      </w:r>
      <w:r w:rsidRPr="000856BF">
        <w:t xml:space="preserve">mean AGD was 1.74 </w:t>
      </w:r>
      <w:r>
        <w:t xml:space="preserve">compared with </w:t>
      </w:r>
      <w:r w:rsidRPr="000856BF">
        <w:t>2.27 mGy for DBT</w:t>
      </w:r>
      <w:r>
        <w:t>,). Østerås et al. suggest</w:t>
      </w:r>
      <w:r w:rsidR="00FB278F">
        <w:t>ed</w:t>
      </w:r>
      <w:r>
        <w:t xml:space="preserve"> that as d</w:t>
      </w:r>
      <w:r w:rsidRPr="009731D6">
        <w:t>enser breasts generally had a lower DBT/</w:t>
      </w:r>
      <w:r>
        <w:t>FF</w:t>
      </w:r>
      <w:r w:rsidRPr="009731D6">
        <w:t>DM AGD ratio than fatty breasts,</w:t>
      </w:r>
      <w:r>
        <w:t xml:space="preserve"> this implie</w:t>
      </w:r>
      <w:r w:rsidR="00FB278F">
        <w:t>d</w:t>
      </w:r>
      <w:r>
        <w:t xml:space="preserve"> a lower ‘dose penalty’ for using DBT </w:t>
      </w:r>
      <w:r w:rsidRPr="009731D6">
        <w:t xml:space="preserve">on dense breasts </w:t>
      </w:r>
      <w:r>
        <w:t xml:space="preserve">compared to non-dense breasts. </w:t>
      </w:r>
    </w:p>
    <w:p w14:paraId="322068DA" w14:textId="455CA9EF" w:rsidR="00161844" w:rsidRDefault="00161844" w:rsidP="00161844">
      <w:pPr>
        <w:pStyle w:val="BodyText"/>
      </w:pPr>
      <w:r>
        <w:t>The study also undertook an investigation into differences in mean AGD between estimates based on measurements (air kerma and HVL) versus data derived from DICOM header data and found a difference of 3.8</w:t>
      </w:r>
      <w:r w:rsidR="002308C9">
        <w:t xml:space="preserve"> percent</w:t>
      </w:r>
      <w:r>
        <w:t>, but for one mammography unit as high as 7.9</w:t>
      </w:r>
      <w:r w:rsidR="002308C9">
        <w:t xml:space="preserve"> percent</w:t>
      </w:r>
      <w:r>
        <w:t>. Mean error of using the AGD value reported in the DICOM header was 10.7</w:t>
      </w:r>
      <w:r w:rsidR="002308C9">
        <w:t xml:space="preserve"> percent</w:t>
      </w:r>
      <w:r>
        <w:t xml:space="preserve"> and 13.3</w:t>
      </w:r>
      <w:r w:rsidR="002308C9">
        <w:t xml:space="preserve"> percent </w:t>
      </w:r>
      <w:r>
        <w:t xml:space="preserve">respectively. </w:t>
      </w:r>
      <w:r w:rsidR="002308C9">
        <w:t>T</w:t>
      </w:r>
      <w:r>
        <w:t>hey conclude</w:t>
      </w:r>
      <w:r w:rsidR="002308C9">
        <w:t>d</w:t>
      </w:r>
      <w:r>
        <w:t xml:space="preserve"> that measurement of breast density, radiation dose and beam quality can substantially affect AGD estimates. This provides a cautionary note for fu</w:t>
      </w:r>
      <w:r w:rsidR="002308C9">
        <w:t>r</w:t>
      </w:r>
      <w:r>
        <w:t xml:space="preserve">ther research </w:t>
      </w:r>
      <w:r w:rsidR="0066649C">
        <w:t>to consider this potential variation</w:t>
      </w:r>
      <w:r>
        <w:t>.</w:t>
      </w:r>
    </w:p>
    <w:p w14:paraId="383A321D" w14:textId="65CFBB97" w:rsidR="00DF1560" w:rsidRPr="00DF1560" w:rsidRDefault="00DF1560" w:rsidP="00161844">
      <w:pPr>
        <w:pStyle w:val="BodyText"/>
      </w:pPr>
      <w:r>
        <w:t>These figures differ slightly from those presented by Skaane et al. (2019) for the same trial, who noted that the average glandular dose for FFDM was 1.58mGy (</w:t>
      </w:r>
      <w:r>
        <w:rPr>
          <w:u w:val="single"/>
        </w:rPr>
        <w:t>+</w:t>
      </w:r>
      <w:r>
        <w:t>0.61 mGy) compared to 1.95 mGy (</w:t>
      </w:r>
      <w:r>
        <w:rPr>
          <w:u w:val="single"/>
        </w:rPr>
        <w:t>+</w:t>
      </w:r>
      <w:r>
        <w:t>0.58 mGy) for DBT alone, and 3.53 mGy (</w:t>
      </w:r>
      <w:r>
        <w:rPr>
          <w:u w:val="single"/>
        </w:rPr>
        <w:t>+</w:t>
      </w:r>
      <w:r>
        <w:t>0.84 mGy). This may be due to the different sub-sets of data used (i.e., Skaane et al. presented data for all study participants).</w:t>
      </w:r>
    </w:p>
    <w:p w14:paraId="20634385" w14:textId="77777777" w:rsidR="00161844" w:rsidRPr="000C0773" w:rsidRDefault="00161844" w:rsidP="00161844">
      <w:pPr>
        <w:pStyle w:val="Heading3-NOTinTOC"/>
      </w:pPr>
      <w:r>
        <w:lastRenderedPageBreak/>
        <w:t>DBT</w:t>
      </w:r>
      <w:r>
        <w:rPr>
          <w:vertAlign w:val="subscript"/>
        </w:rPr>
        <w:t>MLO</w:t>
      </w:r>
      <w:r>
        <w:t xml:space="preserve"> compared to other imaging combinations</w:t>
      </w:r>
    </w:p>
    <w:p w14:paraId="1B22145E" w14:textId="35BA277A" w:rsidR="00161844" w:rsidRPr="00F248D8" w:rsidRDefault="00161844" w:rsidP="00161844">
      <w:pPr>
        <w:pStyle w:val="BodyText"/>
      </w:pPr>
      <w:r>
        <w:t>Two studies reported on the MGD for single projections, with one study using a wide-angle, reduced compression reporting a lower MGD with DBT</w:t>
      </w:r>
      <w:r w:rsidRPr="00F248D8">
        <w:rPr>
          <w:vertAlign w:val="subscript"/>
        </w:rPr>
        <w:t>MLO</w:t>
      </w:r>
      <w:r>
        <w:rPr>
          <w:vertAlign w:val="subscript"/>
        </w:rPr>
        <w:t xml:space="preserve"> </w:t>
      </w:r>
      <w:r>
        <w:t>(the Malmö trial) and one reporting a higher MGD (results from a STORM-2 sub-study)</w:t>
      </w:r>
      <w:r w:rsidR="00A4574C">
        <w:t xml:space="preserve"> (methodologies described in </w:t>
      </w:r>
      <w:r w:rsidR="00A4574C">
        <w:rPr>
          <w:i/>
          <w:iCs/>
        </w:rPr>
        <w:t>section 3.1.1</w:t>
      </w:r>
      <w:r w:rsidR="00A4574C">
        <w:t>)</w:t>
      </w:r>
      <w:r>
        <w:t>.</w:t>
      </w:r>
    </w:p>
    <w:p w14:paraId="057425D4" w14:textId="77777777" w:rsidR="00161844" w:rsidRPr="0023374E" w:rsidRDefault="00161844" w:rsidP="00161844">
      <w:pPr>
        <w:pStyle w:val="BodyText"/>
        <w:rPr>
          <w:vertAlign w:val="subscript"/>
        </w:rPr>
      </w:pPr>
      <w:r w:rsidRPr="005B77F1">
        <w:t xml:space="preserve">The Malmö Breast Tomosynthesis Screening Trial </w:t>
      </w:r>
      <w:r>
        <w:t xml:space="preserve">compared </w:t>
      </w:r>
      <w:r w:rsidRPr="005B77F1">
        <w:t>wide-angled DBT</w:t>
      </w:r>
      <w:r w:rsidRPr="005B77F1">
        <w:rPr>
          <w:sz w:val="14"/>
          <w:szCs w:val="14"/>
        </w:rPr>
        <w:t>MLO</w:t>
      </w:r>
      <w:r w:rsidRPr="005B77F1">
        <w:t xml:space="preserve"> using Siemens Mammomat Inspirations</w:t>
      </w:r>
      <w:r>
        <w:t xml:space="preserve"> to FFDM and explored </w:t>
      </w:r>
      <w:r w:rsidRPr="005B77F1">
        <w:t xml:space="preserve">the value of adding </w:t>
      </w:r>
      <w:r>
        <w:t>DM</w:t>
      </w:r>
      <w:r>
        <w:rPr>
          <w:vertAlign w:val="subscript"/>
        </w:rPr>
        <w:t>CC</w:t>
      </w:r>
      <w:r>
        <w:t xml:space="preserve"> </w:t>
      </w:r>
      <w:r w:rsidRPr="005B77F1">
        <w:t>to DBT</w:t>
      </w:r>
      <w:r>
        <w:rPr>
          <w:vertAlign w:val="subscript"/>
        </w:rPr>
        <w:t>MLO</w:t>
      </w:r>
      <w:r w:rsidRPr="005B77F1">
        <w:t>. Zackrisson</w:t>
      </w:r>
      <w:r>
        <w:t xml:space="preserve"> et al. (2018) reported that t</w:t>
      </w:r>
      <w:r w:rsidRPr="005B77F1">
        <w:t>he MGD was lower in DBT</w:t>
      </w:r>
      <w:r>
        <w:rPr>
          <w:vertAlign w:val="subscript"/>
        </w:rPr>
        <w:t>MLO</w:t>
      </w:r>
      <w:r w:rsidRPr="005B77F1">
        <w:t xml:space="preserve"> (2·3 mGy</w:t>
      </w:r>
      <w:r>
        <w:t xml:space="preserve">, </w:t>
      </w:r>
      <w:r w:rsidRPr="005B77F1">
        <w:t>SD 0·7</w:t>
      </w:r>
      <w:r>
        <w:t>) compared with</w:t>
      </w:r>
      <w:r w:rsidRPr="005B77F1">
        <w:t xml:space="preserve"> </w:t>
      </w:r>
      <w:r>
        <w:t>FF</w:t>
      </w:r>
      <w:r w:rsidRPr="005B77F1">
        <w:t>DM</w:t>
      </w:r>
      <w:r>
        <w:t xml:space="preserve"> (</w:t>
      </w:r>
      <w:r w:rsidRPr="005B77F1">
        <w:t>2·7 mGy</w:t>
      </w:r>
      <w:r>
        <w:t xml:space="preserve">, SD </w:t>
      </w:r>
      <w:r w:rsidRPr="005B77F1">
        <w:t xml:space="preserve">0·8). The mean compression force </w:t>
      </w:r>
      <w:r>
        <w:t xml:space="preserve">for </w:t>
      </w:r>
      <w:r w:rsidRPr="005B77F1">
        <w:t>DBT</w:t>
      </w:r>
      <w:r>
        <w:rPr>
          <w:vertAlign w:val="subscript"/>
        </w:rPr>
        <w:t xml:space="preserve">MLO </w:t>
      </w:r>
      <w:r w:rsidRPr="005B77F1">
        <w:t xml:space="preserve">was </w:t>
      </w:r>
      <w:r>
        <w:t>lower (</w:t>
      </w:r>
      <w:r w:rsidRPr="005B77F1">
        <w:t>71 N</w:t>
      </w:r>
      <w:r>
        <w:t xml:space="preserve">; </w:t>
      </w:r>
      <w:r w:rsidRPr="005B77F1">
        <w:t xml:space="preserve">SD 21) </w:t>
      </w:r>
      <w:r>
        <w:t>compared to</w:t>
      </w:r>
      <w:r w:rsidRPr="005B77F1">
        <w:t xml:space="preserve"> </w:t>
      </w:r>
      <w:r>
        <w:t>FFDM (</w:t>
      </w:r>
      <w:r w:rsidRPr="005B77F1">
        <w:t>118N</w:t>
      </w:r>
      <w:r>
        <w:t xml:space="preserve">; SD </w:t>
      </w:r>
      <w:r w:rsidRPr="005B77F1">
        <w:t>24)</w:t>
      </w:r>
      <w:r>
        <w:t xml:space="preserve">, </w:t>
      </w:r>
      <w:r w:rsidRPr="005B77F1">
        <w:t>a mean reduction of 40</w:t>
      </w:r>
      <w:r>
        <w:t xml:space="preserve"> percent </w:t>
      </w:r>
      <w:r w:rsidRPr="005B77F1">
        <w:t xml:space="preserve">in the compression force. </w:t>
      </w:r>
      <w:r>
        <w:t>This study demonstrated that b</w:t>
      </w:r>
      <w:r w:rsidRPr="005B77F1">
        <w:t>reast cancer screening by use of DBT</w:t>
      </w:r>
      <w:r>
        <w:rPr>
          <w:vertAlign w:val="subscript"/>
        </w:rPr>
        <w:t>MLO</w:t>
      </w:r>
      <w:r>
        <w:t xml:space="preserve"> </w:t>
      </w:r>
      <w:r w:rsidRPr="005B77F1">
        <w:t xml:space="preserve">with a reduced compression force has higher sensitivity at a slightly lower specificity for breast cancer detection compared with </w:t>
      </w:r>
      <w:r>
        <w:t xml:space="preserve">FFDM </w:t>
      </w:r>
      <w:r w:rsidRPr="005B77F1">
        <w:t>and has the potential to reduce the radiation dose, participant discomfort and screen-reading burden</w:t>
      </w:r>
      <w:r>
        <w:t xml:space="preserve">. </w:t>
      </w:r>
    </w:p>
    <w:p w14:paraId="53DBFB06" w14:textId="5BC24670" w:rsidR="00161844" w:rsidRDefault="00161844" w:rsidP="00161844">
      <w:pPr>
        <w:pStyle w:val="BodyText"/>
        <w:rPr>
          <w:rFonts w:cs="WwmttcAdvTT3713a231"/>
          <w:color w:val="131413"/>
        </w:rPr>
      </w:pPr>
      <w:r>
        <w:t xml:space="preserve">Another STORM-2 sub-study was completed by </w:t>
      </w:r>
      <w:r w:rsidRPr="00A10800">
        <w:t>Gennaro et al. (2018)</w:t>
      </w:r>
      <w:r>
        <w:t xml:space="preserve">. We have </w:t>
      </w:r>
      <w:r w:rsidR="0066649C">
        <w:t xml:space="preserve">included this </w:t>
      </w:r>
      <w:r>
        <w:t>because it compared MGD for single projections (including DBT</w:t>
      </w:r>
      <w:r>
        <w:rPr>
          <w:vertAlign w:val="subscript"/>
        </w:rPr>
        <w:t>MLO</w:t>
      </w:r>
      <w:r>
        <w:t>). The authors</w:t>
      </w:r>
      <w:r w:rsidRPr="00A10800">
        <w:t xml:space="preserve"> </w:t>
      </w:r>
      <w:r>
        <w:t xml:space="preserve">used </w:t>
      </w:r>
      <w:r w:rsidRPr="00A10800">
        <w:t>a subset of 1208 randomly selected screening patients</w:t>
      </w:r>
      <w:r>
        <w:t xml:space="preserve">, which </w:t>
      </w:r>
      <w:r w:rsidRPr="00A10800">
        <w:t xml:space="preserve">resulted in 4768 paired CC and MLO views of DBT and FFDM images acquired using </w:t>
      </w:r>
      <w:r>
        <w:t xml:space="preserve">a </w:t>
      </w:r>
      <w:r w:rsidRPr="00A10800">
        <w:t xml:space="preserve">Selenia Dimensions system (Hologic) unit. </w:t>
      </w:r>
      <w:r>
        <w:t xml:space="preserve">Fifteen DBT </w:t>
      </w:r>
      <w:r w:rsidRPr="00A10800">
        <w:t xml:space="preserve">projections within 15° were captured using the automatic exposure mode. </w:t>
      </w:r>
      <w:r w:rsidRPr="00A10800">
        <w:rPr>
          <w:rFonts w:cs="WwmttcAdvTT3713a231"/>
          <w:color w:val="131413"/>
        </w:rPr>
        <w:t xml:space="preserve">The results indicated statistically significantly higher MGD for </w:t>
      </w:r>
      <w:r>
        <w:rPr>
          <w:rFonts w:cs="WwmttcAdvTT3713a231"/>
          <w:color w:val="131413"/>
        </w:rPr>
        <w:t>both DBT projections compared to DM projections:</w:t>
      </w:r>
    </w:p>
    <w:p w14:paraId="3939FA2F" w14:textId="44177279" w:rsidR="00161844" w:rsidRDefault="00161844" w:rsidP="007E3481">
      <w:pPr>
        <w:pStyle w:val="List-BulletLvl1"/>
        <w:numPr>
          <w:ilvl w:val="0"/>
          <w:numId w:val="6"/>
        </w:numPr>
      </w:pPr>
      <w:r w:rsidRPr="00E87BA3">
        <w:rPr>
          <w:rFonts w:cs="WwmttcAdvTT3713a231"/>
          <w:color w:val="131413"/>
        </w:rPr>
        <w:t>DBT</w:t>
      </w:r>
      <w:r w:rsidRPr="00E87BA3">
        <w:rPr>
          <w:rFonts w:cs="WwmttcAdvTT3713a231"/>
          <w:color w:val="131413"/>
          <w:vertAlign w:val="subscript"/>
        </w:rPr>
        <w:t>CC</w:t>
      </w:r>
      <w:r w:rsidRPr="00E87BA3">
        <w:rPr>
          <w:rFonts w:cs="WwmttcAdvTT3713a231"/>
          <w:color w:val="131413"/>
        </w:rPr>
        <w:t xml:space="preserve"> was 1.858 mGy; DM</w:t>
      </w:r>
      <w:r w:rsidRPr="00E87BA3">
        <w:rPr>
          <w:rFonts w:cs="WwmttcAdvTT3713a231"/>
          <w:color w:val="131413"/>
          <w:vertAlign w:val="subscript"/>
        </w:rPr>
        <w:t xml:space="preserve">CC </w:t>
      </w:r>
      <w:r w:rsidRPr="00E87BA3">
        <w:rPr>
          <w:rFonts w:cs="WwmttcAdvTT3713a231"/>
          <w:color w:val="131413"/>
        </w:rPr>
        <w:t xml:space="preserve">was 1.366 mGy </w:t>
      </w:r>
      <w:r>
        <w:rPr>
          <w:rFonts w:cs="WwmttcAdvTT3713a231"/>
          <w:color w:val="131413"/>
        </w:rPr>
        <w:t>(</w:t>
      </w:r>
      <w:r w:rsidRPr="00E87BA3">
        <w:rPr>
          <w:rFonts w:cs="WwmttcAdvTT3713a231"/>
          <w:i/>
          <w:iCs/>
          <w:color w:val="131413"/>
        </w:rPr>
        <w:t>p</w:t>
      </w:r>
      <w:r w:rsidRPr="00E87BA3">
        <w:rPr>
          <w:rFonts w:cs="WwmttcAdvTT3713a231"/>
          <w:color w:val="131413"/>
        </w:rPr>
        <w:t>&lt;.0001</w:t>
      </w:r>
      <w:r>
        <w:rPr>
          <w:rFonts w:cs="WwmttcAdvTT3713a231"/>
          <w:color w:val="131413"/>
        </w:rPr>
        <w:t>)</w:t>
      </w:r>
      <w:r w:rsidR="00BE25B4">
        <w:rPr>
          <w:rFonts w:cs="WwmttcAdvTT3713a231"/>
          <w:color w:val="131413"/>
        </w:rPr>
        <w:t>, and</w:t>
      </w:r>
    </w:p>
    <w:p w14:paraId="003FB139" w14:textId="77777777" w:rsidR="00161844" w:rsidRDefault="00161844" w:rsidP="007E3481">
      <w:pPr>
        <w:pStyle w:val="List-BulletLvl1"/>
        <w:numPr>
          <w:ilvl w:val="0"/>
          <w:numId w:val="6"/>
        </w:numPr>
      </w:pPr>
      <w:r>
        <w:t>DBT</w:t>
      </w:r>
      <w:r>
        <w:rPr>
          <w:vertAlign w:val="subscript"/>
        </w:rPr>
        <w:t>MLO</w:t>
      </w:r>
      <w:r>
        <w:t xml:space="preserve"> was 1.877 mGy; </w:t>
      </w:r>
      <w:r w:rsidRPr="00E87BA3">
        <w:rPr>
          <w:rFonts w:cs="WwmttcAdvTT3713a231"/>
          <w:color w:val="131413"/>
        </w:rPr>
        <w:t>DM</w:t>
      </w:r>
      <w:r>
        <w:rPr>
          <w:rFonts w:cs="WwmttcAdvTT3713a231"/>
          <w:color w:val="131413"/>
          <w:vertAlign w:val="subscript"/>
        </w:rPr>
        <w:t xml:space="preserve">MLO </w:t>
      </w:r>
      <w:r w:rsidRPr="00E87BA3">
        <w:rPr>
          <w:rFonts w:cs="WwmttcAdvTT3713a231"/>
          <w:color w:val="131413"/>
        </w:rPr>
        <w:t>was</w:t>
      </w:r>
      <w:r>
        <w:rPr>
          <w:rFonts w:cs="WwmttcAdvTT3713a231"/>
          <w:color w:val="131413"/>
          <w:vertAlign w:val="subscript"/>
        </w:rPr>
        <w:t xml:space="preserve"> </w:t>
      </w:r>
      <w:r w:rsidRPr="00A10800">
        <w:rPr>
          <w:rFonts w:cs="WwmttcAdvTT3713a231"/>
          <w:color w:val="131413"/>
        </w:rPr>
        <w:t>1.374 mGy</w:t>
      </w:r>
      <w:r>
        <w:rPr>
          <w:rFonts w:cs="WwmttcAdvTT3713a231"/>
          <w:color w:val="131413"/>
        </w:rPr>
        <w:t xml:space="preserve"> (</w:t>
      </w:r>
      <w:r w:rsidRPr="00E87BA3">
        <w:rPr>
          <w:rFonts w:cs="WwmttcAdvTT3713a231"/>
          <w:i/>
          <w:iCs/>
          <w:color w:val="131413"/>
        </w:rPr>
        <w:t>p</w:t>
      </w:r>
      <w:r w:rsidRPr="00A10800">
        <w:rPr>
          <w:rFonts w:cs="WwmttcAdvTT3713a231"/>
          <w:color w:val="131413"/>
        </w:rPr>
        <w:t>&lt;.0001</w:t>
      </w:r>
      <w:r>
        <w:rPr>
          <w:rFonts w:cs="WwmttcAdvTT3713a231"/>
          <w:color w:val="131413"/>
        </w:rPr>
        <w:t>).</w:t>
      </w:r>
    </w:p>
    <w:p w14:paraId="267E8A83" w14:textId="3C196303" w:rsidR="00161844" w:rsidRPr="003578AF" w:rsidRDefault="00161844" w:rsidP="00161844">
      <w:pPr>
        <w:pStyle w:val="BodyText"/>
        <w:rPr>
          <w:rFonts w:cs="WwmttcAdvTT3713a231"/>
          <w:color w:val="131413"/>
        </w:rPr>
      </w:pPr>
      <w:r w:rsidRPr="00A10800">
        <w:rPr>
          <w:rFonts w:cs="WwmttcAdvTT3713a231"/>
          <w:color w:val="131413"/>
        </w:rPr>
        <w:t xml:space="preserve">BlandAltman analysis showed that the average increase of DBT dose compared to FFDM was 38 </w:t>
      </w:r>
      <w:r>
        <w:rPr>
          <w:rFonts w:cs="WwmttcAdvTT3713a231"/>
          <w:color w:val="131413"/>
        </w:rPr>
        <w:t>percent (</w:t>
      </w:r>
      <w:r w:rsidRPr="00A10800">
        <w:rPr>
          <w:rFonts w:cs="WwmttcAdvTT3713a231"/>
          <w:color w:val="131413"/>
        </w:rPr>
        <w:t>0</w:t>
      </w:r>
      <w:r>
        <w:rPr>
          <w:rFonts w:cs="WwmttcAdvTT3713a231"/>
          <w:color w:val="131413"/>
        </w:rPr>
        <w:t>-</w:t>
      </w:r>
      <w:r w:rsidRPr="00A10800">
        <w:rPr>
          <w:rFonts w:cs="WwmttcAdvTT3713a231"/>
          <w:color w:val="131413"/>
        </w:rPr>
        <w:t>75</w:t>
      </w:r>
      <w:r>
        <w:rPr>
          <w:rFonts w:cs="WwmttcAdvTT3713a231"/>
          <w:color w:val="131413"/>
        </w:rPr>
        <w:t xml:space="preserve">). </w:t>
      </w:r>
      <w:r>
        <w:t>MGD increases with breast thickness, for both FFDM and DBT but decreases with lower breast density. For a given breast thickness or density, MGD is generally higher with DBT than with FFDM. MGD is higher for low</w:t>
      </w:r>
      <w:r w:rsidRPr="00A872C1">
        <w:t>er compression force and compression pressure, in both FFDM and DBT. Finally, MGD is proportional to both x-ray beamHVL and mAs level</w:t>
      </w:r>
      <w:r w:rsidR="0019576D">
        <w:t>; ho</w:t>
      </w:r>
      <w:r w:rsidRPr="00A872C1">
        <w:t>wever</w:t>
      </w:r>
      <w:r w:rsidR="0019576D">
        <w:t xml:space="preserve">, </w:t>
      </w:r>
      <w:r w:rsidRPr="00A872C1">
        <w:t xml:space="preserve">the automatic exposure control operates differently in FFDM and DBT; therefore, the MGD increase with mAs in FFDM is </w:t>
      </w:r>
      <w:r w:rsidRPr="00A872C1">
        <w:rPr>
          <w:rFonts w:cs="WwmttcAdvTT3713a231"/>
          <w:color w:val="131413"/>
        </w:rPr>
        <w:t>approximately linear, while dose increase is faster in DBT because it is carried out using more penetrating spectra (heavier filtration/ higher kVp).</w:t>
      </w:r>
    </w:p>
    <w:p w14:paraId="5F947CE9" w14:textId="77777777" w:rsidR="00161844" w:rsidRPr="00E22AD9" w:rsidRDefault="00161844" w:rsidP="00161844">
      <w:pPr>
        <w:sectPr w:rsidR="00161844" w:rsidRPr="00E22AD9" w:rsidSect="00BC52D9">
          <w:pgSz w:w="11907" w:h="16839" w:code="9"/>
          <w:pgMar w:top="1418" w:right="1418" w:bottom="1418" w:left="1418" w:header="964" w:footer="964" w:gutter="0"/>
          <w:cols w:space="708"/>
          <w:docGrid w:linePitch="360"/>
        </w:sectPr>
      </w:pPr>
    </w:p>
    <w:p w14:paraId="5E88DD25" w14:textId="0FE8E142" w:rsidR="00161844" w:rsidRDefault="00161844" w:rsidP="00161844">
      <w:pPr>
        <w:pStyle w:val="Caption"/>
        <w:keepNext/>
      </w:pPr>
      <w:r w:rsidRPr="00C93615">
        <w:lastRenderedPageBreak/>
        <w:t xml:space="preserve">Table </w:t>
      </w:r>
      <w:r w:rsidR="00BC52D9">
        <w:t>20</w:t>
      </w:r>
      <w:r w:rsidR="0060543D">
        <w:t>a</w:t>
      </w:r>
      <w:r w:rsidRPr="00C93615">
        <w:t xml:space="preserve">: </w:t>
      </w:r>
      <w:r>
        <w:t>DBT+</w:t>
      </w:r>
      <w:r w:rsidR="00176980">
        <w:t>s2DM</w:t>
      </w:r>
      <w:r w:rsidRPr="00C93615">
        <w:t xml:space="preserve"> compared to FFDM</w:t>
      </w:r>
      <w:r>
        <w:t>+DBT or FFDM</w:t>
      </w:r>
      <w:r w:rsidRPr="00C93615">
        <w:t xml:space="preserve"> alone</w:t>
      </w:r>
      <w:r>
        <w:t xml:space="preserve"> or DBT alone</w:t>
      </w:r>
      <w:r w:rsidRPr="00C93615">
        <w:t>: studies reporting on radiation dose (MGD per view, mG</w:t>
      </w:r>
      <w:r w:rsidR="002D12D1">
        <w:t>y</w:t>
      </w:r>
      <w:r w:rsidRPr="00C93615">
        <w:t>)</w:t>
      </w:r>
    </w:p>
    <w:tbl>
      <w:tblPr>
        <w:tblStyle w:val="ACGreen-BasicTable"/>
        <w:tblW w:w="5000" w:type="pct"/>
        <w:tblLook w:val="04A0" w:firstRow="1" w:lastRow="0" w:firstColumn="1" w:lastColumn="0" w:noHBand="0" w:noVBand="1"/>
        <w:tblDescription w:val="Table 20a: DBT +s2DM to FFDM+DBT or FFDM alone or DBT alone: studies reporting on radiation dose (MGD per view, mGy) includes studies from the following:&#10;For RCT, a study by Aase at al. (2019) To-Be-1 (sub-study) had a sample of 14,089 women randomised to BDT (n=7,155) or FFDM (n=7,119).&#10;The study type was Parallel group RCT using GE SenoClair, using Automatic Exposure Control (AEC), MGD determined using Volpara Solutions. &#10;The DBT+s2DM, MGD per view mGy (SD) was 2.96. &#10;The FFDM+DBT, MGD per view mGy (SD) was NA.&#10;The FFDM alone, MGD per view mGy (SD) was 2.95 (p=.433).&#10;The Additional Information was MGD = Sum of the radiation doses for both views and breasts divided by two.&#10;&#10;For the prospective trials embedded in population screening programs had the following studies:&#10;A study by Houssami et al. (2019) Maroondah had a sample of 10,146 women.&#10;For DBT+s2DM there were 4,993 women (5,018 exams).&#10;For FFDM alone there were 5,153 women (5,166 exams).&#10;The study type was Prospective pilot trial using Hologic Selenia Dimensions 8000 (+/- C- View™) or Siemens Mammomat Inspiration&#10;DBT – 4 views.&#10;DBT and FFDM images acquired with a single compression per view.&#10;The DBT+s2DM, MGD per view mGy (SD) were:&#10;3D Hologic unit&#10;&lt; 36 mm = 1.12 &#10;36–45mm = 1.34 &#10;46–55mm = 1.69 &#10;56–65mm = 2.21 &#10;66–75mm = 2.88 &#10;&gt;75mm = 3.67 &#10;All = 2.55&#10;&#10;The FFDM+DBT, MGD per view mGy (SD) was NA.&#10;The FFDM alone, MGD per view mGy (SD) were:&#10;2D Siemens unit &#10;&lt; 36 mm = 0.93 &#10;36–45mm = 1.01 &#10;46–55mm = 1.15 &#10;56–65mm = 1.30 &#10;66–75mm = 1.50 &#10;&gt;75mm = 1.92 &#10;All = 1.32&#10;The Additional Information included:&#10;Ratio&#10;&lt; 36 mm = 1.21&#10;36–45mm = 1.33 &#10;46–55mm = 1.47 &#10;56–65mm = 1.70 &#10;66–75mm = 1.91 &#10;&gt;75mm = 1.92 &#10;All = 1.92&#10;&#10;A study by Caumo et al. (2018) Verona had a sample of DBT+s2DM: 16,666 and FFDM: 14,423 women previously screened in the Verona program. &#10;The study type is Prospective pilot evaluation using Hologic Selenia Dimensions.&#10;The DBT+s2DM, MGD per view mGy (SD) was 2.09 (0.55).&#10;The FFDM+DBT, MGD per view mGy (SD) was NA.&#10;The FFDM alone, MGD per view mGy (SD) was 1.48 (SD 0.58).&#10;The Additional Information was NA.&#10;&#10;A study by Romero Martin et al. (2018) Cordoba included a sample of &#10;16,067 women in FFDM+DBT with s2DM images &#10;3,341 = prevalent &#10;12,727 = incident.&#10;The study type was a prospective transversal study using Hologic Dimensions system.&#10;The DBT+s2DM, MGD per view mGy (SD) was 4.97 (+1.28).&#10;The FFDM+DBT, MGD per view mGy (SD) was 8.24.&#10;The FFDM alone, MGD per view mGy (SD) was 3.27 (+0.83).&#10;The Additional Information was Mean CBT 62.5 mm (12.8).&#10;"/>
      </w:tblPr>
      <w:tblGrid>
        <w:gridCol w:w="1419"/>
        <w:gridCol w:w="2214"/>
        <w:gridCol w:w="2633"/>
        <w:gridCol w:w="1987"/>
        <w:gridCol w:w="1987"/>
        <w:gridCol w:w="1987"/>
        <w:gridCol w:w="1766"/>
      </w:tblGrid>
      <w:tr w:rsidR="00161844" w:rsidRPr="00D27BEA" w14:paraId="61C211FC" w14:textId="77777777" w:rsidTr="00805590">
        <w:trPr>
          <w:cnfStyle w:val="100000000000" w:firstRow="1" w:lastRow="0" w:firstColumn="0" w:lastColumn="0" w:oddVBand="0" w:evenVBand="0" w:oddHBand="0" w:evenHBand="0" w:firstRowFirstColumn="0" w:firstRowLastColumn="0" w:lastRowFirstColumn="0" w:lastRowLastColumn="0"/>
          <w:trHeight w:val="352"/>
        </w:trPr>
        <w:tc>
          <w:tcPr>
            <w:tcW w:w="507" w:type="pct"/>
          </w:tcPr>
          <w:p w14:paraId="4398C0DD" w14:textId="77777777" w:rsidR="00161844" w:rsidRPr="00D27BEA" w:rsidRDefault="00161844" w:rsidP="00805590">
            <w:pPr>
              <w:pStyle w:val="BodyText"/>
              <w:spacing w:before="0" w:after="0" w:line="240" w:lineRule="auto"/>
              <w:jc w:val="center"/>
              <w:rPr>
                <w:rFonts w:cstheme="majorHAnsi"/>
                <w:bCs/>
                <w:sz w:val="18"/>
                <w:szCs w:val="18"/>
              </w:rPr>
            </w:pPr>
            <w:bookmarkStart w:id="431" w:name="_Hlk26276494"/>
            <w:r w:rsidRPr="00D27BEA">
              <w:rPr>
                <w:rFonts w:cstheme="majorHAnsi"/>
                <w:bCs/>
                <w:sz w:val="18"/>
                <w:szCs w:val="18"/>
              </w:rPr>
              <w:t>Study</w:t>
            </w:r>
          </w:p>
        </w:tc>
        <w:tc>
          <w:tcPr>
            <w:tcW w:w="791" w:type="pct"/>
          </w:tcPr>
          <w:p w14:paraId="562BB1C1" w14:textId="77777777" w:rsidR="00161844" w:rsidRPr="00D27BEA" w:rsidRDefault="00161844" w:rsidP="00805590">
            <w:pPr>
              <w:pStyle w:val="BodyText"/>
              <w:spacing w:before="0" w:after="0" w:line="240" w:lineRule="auto"/>
              <w:jc w:val="center"/>
              <w:rPr>
                <w:rFonts w:cstheme="majorHAnsi"/>
                <w:bCs/>
                <w:sz w:val="18"/>
                <w:szCs w:val="18"/>
              </w:rPr>
            </w:pPr>
            <w:r w:rsidRPr="00D27BEA">
              <w:rPr>
                <w:rFonts w:cstheme="majorHAnsi"/>
                <w:bCs/>
                <w:sz w:val="18"/>
                <w:szCs w:val="18"/>
              </w:rPr>
              <w:t>Sample</w:t>
            </w:r>
          </w:p>
        </w:tc>
        <w:tc>
          <w:tcPr>
            <w:tcW w:w="941" w:type="pct"/>
          </w:tcPr>
          <w:p w14:paraId="654F204A" w14:textId="77777777" w:rsidR="00161844" w:rsidRPr="00D27BEA" w:rsidRDefault="00161844" w:rsidP="00805590">
            <w:pPr>
              <w:pStyle w:val="BodyText"/>
              <w:spacing w:before="0" w:after="0" w:line="240" w:lineRule="auto"/>
              <w:jc w:val="center"/>
              <w:rPr>
                <w:rFonts w:cstheme="majorHAnsi"/>
                <w:bCs/>
                <w:sz w:val="18"/>
                <w:szCs w:val="18"/>
              </w:rPr>
            </w:pPr>
            <w:r w:rsidRPr="00D27BEA">
              <w:rPr>
                <w:rFonts w:cstheme="majorHAnsi"/>
                <w:bCs/>
                <w:sz w:val="18"/>
                <w:szCs w:val="18"/>
              </w:rPr>
              <w:t>Study type</w:t>
            </w:r>
          </w:p>
        </w:tc>
        <w:tc>
          <w:tcPr>
            <w:tcW w:w="710" w:type="pct"/>
          </w:tcPr>
          <w:p w14:paraId="2796954B" w14:textId="612A8DAB" w:rsidR="00161844" w:rsidRPr="00D27BEA" w:rsidRDefault="007B3BBB" w:rsidP="00805590">
            <w:pPr>
              <w:pStyle w:val="BodyText"/>
              <w:spacing w:before="0" w:after="0" w:line="240" w:lineRule="auto"/>
              <w:jc w:val="center"/>
              <w:rPr>
                <w:rFonts w:cstheme="majorHAnsi"/>
                <w:bCs/>
                <w:sz w:val="18"/>
                <w:szCs w:val="18"/>
              </w:rPr>
            </w:pPr>
            <w:r>
              <w:rPr>
                <w:rFonts w:cstheme="majorHAnsi"/>
                <w:bCs/>
                <w:sz w:val="18"/>
                <w:szCs w:val="18"/>
              </w:rPr>
              <w:t>DBT+</w:t>
            </w:r>
            <w:r w:rsidR="00176980">
              <w:rPr>
                <w:rFonts w:cstheme="majorHAnsi"/>
                <w:bCs/>
                <w:sz w:val="18"/>
                <w:szCs w:val="18"/>
              </w:rPr>
              <w:t>s2DM</w:t>
            </w:r>
          </w:p>
          <w:p w14:paraId="56EA32FD" w14:textId="432596AC" w:rsidR="00161844" w:rsidRPr="005866B2" w:rsidRDefault="005866B2" w:rsidP="00805590">
            <w:pPr>
              <w:pStyle w:val="BodyText"/>
              <w:spacing w:before="0" w:after="0" w:line="240" w:lineRule="auto"/>
              <w:jc w:val="center"/>
              <w:rPr>
                <w:rFonts w:cstheme="majorHAnsi"/>
                <w:b w:val="0"/>
                <w:bCs/>
                <w:sz w:val="18"/>
                <w:szCs w:val="18"/>
              </w:rPr>
            </w:pPr>
            <w:r w:rsidRPr="005866B2">
              <w:rPr>
                <w:rFonts w:cstheme="majorHAnsi"/>
                <w:b w:val="0"/>
                <w:bCs/>
                <w:sz w:val="16"/>
                <w:szCs w:val="16"/>
              </w:rPr>
              <w:t>MGD per view mGy (SD)</w:t>
            </w:r>
          </w:p>
        </w:tc>
        <w:tc>
          <w:tcPr>
            <w:tcW w:w="710" w:type="pct"/>
          </w:tcPr>
          <w:p w14:paraId="71B2FE75" w14:textId="0FCEEA2D" w:rsidR="00161844" w:rsidRPr="00D27BEA" w:rsidRDefault="00176980" w:rsidP="00805590">
            <w:pPr>
              <w:pStyle w:val="BodyText"/>
              <w:spacing w:before="0" w:after="0" w:line="240" w:lineRule="auto"/>
              <w:jc w:val="center"/>
              <w:rPr>
                <w:rFonts w:cstheme="majorHAnsi"/>
                <w:bCs/>
                <w:sz w:val="18"/>
                <w:szCs w:val="18"/>
              </w:rPr>
            </w:pPr>
            <w:r>
              <w:rPr>
                <w:rFonts w:cstheme="majorHAnsi"/>
                <w:bCs/>
                <w:sz w:val="18"/>
                <w:szCs w:val="18"/>
              </w:rPr>
              <w:t>FFDM+DBT</w:t>
            </w:r>
          </w:p>
          <w:p w14:paraId="7AD8B394" w14:textId="175E599A" w:rsidR="00161844" w:rsidRPr="005866B2" w:rsidRDefault="005866B2" w:rsidP="00805590">
            <w:pPr>
              <w:pStyle w:val="BodyText"/>
              <w:spacing w:before="0" w:after="0" w:line="240" w:lineRule="auto"/>
              <w:jc w:val="center"/>
              <w:rPr>
                <w:rFonts w:cstheme="majorHAnsi"/>
                <w:b w:val="0"/>
                <w:bCs/>
                <w:sz w:val="18"/>
                <w:szCs w:val="18"/>
              </w:rPr>
            </w:pPr>
            <w:r w:rsidRPr="005866B2">
              <w:rPr>
                <w:rFonts w:cstheme="majorHAnsi"/>
                <w:b w:val="0"/>
                <w:bCs/>
                <w:sz w:val="16"/>
                <w:szCs w:val="16"/>
              </w:rPr>
              <w:t>MGD per view mGy (SD)</w:t>
            </w:r>
          </w:p>
        </w:tc>
        <w:tc>
          <w:tcPr>
            <w:tcW w:w="710" w:type="pct"/>
          </w:tcPr>
          <w:p w14:paraId="666E3651" w14:textId="77777777" w:rsidR="00161844" w:rsidRPr="00D27BEA" w:rsidRDefault="00161844" w:rsidP="00805590">
            <w:pPr>
              <w:pStyle w:val="BodyText"/>
              <w:spacing w:before="0" w:after="0" w:line="240" w:lineRule="auto"/>
              <w:jc w:val="center"/>
              <w:rPr>
                <w:rFonts w:cstheme="majorHAnsi"/>
                <w:bCs/>
                <w:sz w:val="18"/>
                <w:szCs w:val="18"/>
              </w:rPr>
            </w:pPr>
            <w:r>
              <w:rPr>
                <w:rFonts w:cstheme="majorHAnsi"/>
                <w:bCs/>
                <w:sz w:val="18"/>
                <w:szCs w:val="18"/>
              </w:rPr>
              <w:t>FFDM</w:t>
            </w:r>
            <w:r w:rsidRPr="00D27BEA">
              <w:rPr>
                <w:rFonts w:cstheme="majorHAnsi"/>
                <w:bCs/>
                <w:sz w:val="18"/>
                <w:szCs w:val="18"/>
              </w:rPr>
              <w:t xml:space="preserve"> alone</w:t>
            </w:r>
          </w:p>
          <w:p w14:paraId="2D269D84" w14:textId="0BC1BB8E" w:rsidR="00161844" w:rsidRPr="005866B2" w:rsidRDefault="005866B2" w:rsidP="00805590">
            <w:pPr>
              <w:pStyle w:val="BodyText"/>
              <w:spacing w:before="0" w:after="0" w:line="240" w:lineRule="auto"/>
              <w:jc w:val="center"/>
              <w:rPr>
                <w:rFonts w:cstheme="majorHAnsi"/>
                <w:b w:val="0"/>
                <w:bCs/>
                <w:sz w:val="18"/>
                <w:szCs w:val="18"/>
              </w:rPr>
            </w:pPr>
            <w:r w:rsidRPr="005866B2">
              <w:rPr>
                <w:rFonts w:cstheme="majorHAnsi"/>
                <w:b w:val="0"/>
                <w:bCs/>
                <w:sz w:val="16"/>
                <w:szCs w:val="16"/>
              </w:rPr>
              <w:t>MGD per view mGy (SD)</w:t>
            </w:r>
          </w:p>
        </w:tc>
        <w:tc>
          <w:tcPr>
            <w:tcW w:w="631" w:type="pct"/>
          </w:tcPr>
          <w:p w14:paraId="3D758D7F" w14:textId="77777777" w:rsidR="00161844" w:rsidRPr="00D27BEA" w:rsidRDefault="00161844" w:rsidP="00805590">
            <w:pPr>
              <w:pStyle w:val="BodyText"/>
              <w:spacing w:before="0" w:after="0" w:line="240" w:lineRule="auto"/>
              <w:jc w:val="center"/>
              <w:rPr>
                <w:rFonts w:cstheme="majorHAnsi"/>
                <w:bCs/>
                <w:sz w:val="18"/>
                <w:szCs w:val="18"/>
              </w:rPr>
            </w:pPr>
            <w:r w:rsidRPr="00D27BEA">
              <w:rPr>
                <w:rFonts w:cstheme="majorHAnsi"/>
                <w:bCs/>
                <w:sz w:val="18"/>
                <w:szCs w:val="18"/>
              </w:rPr>
              <w:t>Additional information</w:t>
            </w:r>
          </w:p>
        </w:tc>
      </w:tr>
      <w:tr w:rsidR="00161844" w:rsidRPr="00D27BEA" w14:paraId="36AAAA49" w14:textId="77777777" w:rsidTr="00805590">
        <w:trPr>
          <w:trHeight w:val="71"/>
        </w:trPr>
        <w:tc>
          <w:tcPr>
            <w:tcW w:w="5000" w:type="pct"/>
            <w:gridSpan w:val="7"/>
          </w:tcPr>
          <w:p w14:paraId="6D38CA02" w14:textId="77777777" w:rsidR="00161844" w:rsidRPr="00D27BEA" w:rsidRDefault="00161844" w:rsidP="00805590">
            <w:pPr>
              <w:pStyle w:val="BodyText"/>
              <w:spacing w:before="0" w:after="0" w:line="240" w:lineRule="auto"/>
              <w:jc w:val="left"/>
              <w:rPr>
                <w:rFonts w:cstheme="majorHAnsi"/>
                <w:b/>
                <w:bCs/>
                <w:color w:val="FFFFFF" w:themeColor="background1"/>
                <w:sz w:val="18"/>
                <w:szCs w:val="18"/>
              </w:rPr>
            </w:pPr>
            <w:r>
              <w:rPr>
                <w:rFonts w:cstheme="majorHAnsi"/>
                <w:b/>
                <w:bCs/>
                <w:sz w:val="18"/>
                <w:szCs w:val="18"/>
              </w:rPr>
              <w:t>RCT</w:t>
            </w:r>
          </w:p>
        </w:tc>
      </w:tr>
      <w:tr w:rsidR="00161844" w:rsidRPr="006F6D92" w14:paraId="4D9F4FFE" w14:textId="77777777" w:rsidTr="00805590">
        <w:trPr>
          <w:trHeight w:val="352"/>
        </w:trPr>
        <w:tc>
          <w:tcPr>
            <w:tcW w:w="507" w:type="pct"/>
          </w:tcPr>
          <w:p w14:paraId="4C537A3A" w14:textId="4F14EFA9" w:rsidR="00161844" w:rsidRDefault="00161844" w:rsidP="00805590">
            <w:pPr>
              <w:pStyle w:val="BodyText"/>
              <w:spacing w:before="0" w:after="0" w:line="240" w:lineRule="auto"/>
              <w:jc w:val="left"/>
              <w:rPr>
                <w:rFonts w:cstheme="majorHAnsi"/>
                <w:bCs/>
                <w:sz w:val="18"/>
                <w:szCs w:val="18"/>
              </w:rPr>
            </w:pPr>
            <w:bookmarkStart w:id="432" w:name="_Hlk27468092"/>
            <w:bookmarkStart w:id="433" w:name="_Hlk26269500"/>
            <w:r>
              <w:rPr>
                <w:rFonts w:cstheme="majorHAnsi"/>
                <w:bCs/>
                <w:sz w:val="18"/>
                <w:szCs w:val="18"/>
              </w:rPr>
              <w:t>Aase et al</w:t>
            </w:r>
            <w:r w:rsidR="00914E8B">
              <w:rPr>
                <w:rFonts w:cstheme="majorHAnsi"/>
                <w:bCs/>
                <w:sz w:val="18"/>
                <w:szCs w:val="18"/>
              </w:rPr>
              <w:t>.</w:t>
            </w:r>
            <w:r>
              <w:rPr>
                <w:rFonts w:cstheme="majorHAnsi"/>
                <w:bCs/>
                <w:sz w:val="18"/>
                <w:szCs w:val="18"/>
              </w:rPr>
              <w:t xml:space="preserve"> (2019)</w:t>
            </w:r>
          </w:p>
          <w:p w14:paraId="3984D664" w14:textId="2EA81A78" w:rsidR="00161844" w:rsidRDefault="00815FC2" w:rsidP="00805590">
            <w:pPr>
              <w:pStyle w:val="BodyText"/>
              <w:spacing w:before="0" w:after="0" w:line="240" w:lineRule="auto"/>
              <w:jc w:val="left"/>
              <w:rPr>
                <w:rFonts w:cstheme="majorHAnsi"/>
                <w:bCs/>
                <w:sz w:val="18"/>
                <w:szCs w:val="18"/>
              </w:rPr>
            </w:pPr>
            <w:r>
              <w:rPr>
                <w:rFonts w:cstheme="majorHAnsi"/>
                <w:bCs/>
                <w:sz w:val="18"/>
                <w:szCs w:val="18"/>
              </w:rPr>
              <w:t>To-Be-1</w:t>
            </w:r>
            <w:r w:rsidR="00161844">
              <w:rPr>
                <w:rFonts w:cstheme="majorHAnsi"/>
                <w:bCs/>
                <w:sz w:val="18"/>
                <w:szCs w:val="18"/>
              </w:rPr>
              <w:t xml:space="preserve"> </w:t>
            </w:r>
          </w:p>
          <w:p w14:paraId="24A10D9B" w14:textId="531CCA9D" w:rsidR="00161844" w:rsidRDefault="000C5381" w:rsidP="00805590">
            <w:pPr>
              <w:pStyle w:val="BodyText"/>
              <w:spacing w:before="0" w:after="0" w:line="240" w:lineRule="auto"/>
              <w:jc w:val="left"/>
              <w:rPr>
                <w:rFonts w:cstheme="majorHAnsi"/>
                <w:bCs/>
                <w:sz w:val="18"/>
                <w:szCs w:val="18"/>
              </w:rPr>
            </w:pPr>
            <w:r>
              <w:rPr>
                <w:rFonts w:cstheme="majorHAnsi"/>
                <w:bCs/>
                <w:sz w:val="18"/>
                <w:szCs w:val="18"/>
              </w:rPr>
              <w:t>(sub-study)</w:t>
            </w:r>
          </w:p>
          <w:p w14:paraId="38219392" w14:textId="75E31B73" w:rsidR="000C5381" w:rsidRPr="006F6D92" w:rsidRDefault="000C5381" w:rsidP="00805590">
            <w:pPr>
              <w:pStyle w:val="BodyText"/>
              <w:spacing w:before="0" w:after="0" w:line="240" w:lineRule="auto"/>
              <w:jc w:val="left"/>
              <w:rPr>
                <w:rFonts w:cstheme="majorHAnsi"/>
                <w:bCs/>
                <w:sz w:val="18"/>
                <w:szCs w:val="18"/>
              </w:rPr>
            </w:pPr>
          </w:p>
        </w:tc>
        <w:tc>
          <w:tcPr>
            <w:tcW w:w="791" w:type="pct"/>
          </w:tcPr>
          <w:p w14:paraId="7B270853" w14:textId="365B3E4B" w:rsidR="00161844" w:rsidRPr="006F6D92" w:rsidRDefault="00161844" w:rsidP="00805590">
            <w:pPr>
              <w:pStyle w:val="BodyText"/>
              <w:spacing w:before="0" w:after="0" w:line="240" w:lineRule="auto"/>
              <w:jc w:val="left"/>
              <w:rPr>
                <w:rFonts w:cstheme="majorHAnsi"/>
                <w:bCs/>
                <w:sz w:val="18"/>
                <w:szCs w:val="18"/>
              </w:rPr>
            </w:pPr>
            <w:bookmarkStart w:id="434" w:name="_Hlk26272477"/>
            <w:r w:rsidRPr="001C2FBE">
              <w:rPr>
                <w:rFonts w:cstheme="majorHAnsi"/>
                <w:bCs/>
                <w:sz w:val="18"/>
                <w:szCs w:val="18"/>
              </w:rPr>
              <w:t>14,</w:t>
            </w:r>
            <w:r w:rsidR="00F85D68">
              <w:rPr>
                <w:rFonts w:cstheme="majorHAnsi"/>
                <w:bCs/>
                <w:sz w:val="18"/>
                <w:szCs w:val="18"/>
              </w:rPr>
              <w:t>089</w:t>
            </w:r>
            <w:r>
              <w:rPr>
                <w:rFonts w:cstheme="majorHAnsi"/>
                <w:bCs/>
                <w:sz w:val="18"/>
                <w:szCs w:val="18"/>
              </w:rPr>
              <w:t xml:space="preserve"> women </w:t>
            </w:r>
            <w:r w:rsidRPr="001C2FBE">
              <w:rPr>
                <w:rFonts w:cstheme="majorHAnsi"/>
                <w:bCs/>
                <w:sz w:val="18"/>
                <w:szCs w:val="18"/>
              </w:rPr>
              <w:t>randomized to DBT (n=</w:t>
            </w:r>
            <w:r w:rsidR="00CE3204">
              <w:rPr>
                <w:rFonts w:cstheme="majorHAnsi"/>
                <w:bCs/>
                <w:sz w:val="18"/>
                <w:szCs w:val="18"/>
              </w:rPr>
              <w:t>7</w:t>
            </w:r>
            <w:r w:rsidRPr="001C2FBE">
              <w:rPr>
                <w:rFonts w:cstheme="majorHAnsi"/>
                <w:bCs/>
                <w:sz w:val="18"/>
                <w:szCs w:val="18"/>
              </w:rPr>
              <w:t xml:space="preserve">155) or </w:t>
            </w:r>
            <w:r>
              <w:rPr>
                <w:rFonts w:cstheme="majorHAnsi"/>
                <w:bCs/>
                <w:sz w:val="18"/>
                <w:szCs w:val="18"/>
              </w:rPr>
              <w:t>FF</w:t>
            </w:r>
            <w:r w:rsidRPr="001C2FBE">
              <w:rPr>
                <w:rFonts w:cstheme="majorHAnsi"/>
                <w:bCs/>
                <w:sz w:val="18"/>
                <w:szCs w:val="18"/>
              </w:rPr>
              <w:t>DM (n = 7119)</w:t>
            </w:r>
            <w:r>
              <w:rPr>
                <w:rFonts w:cstheme="majorHAnsi"/>
                <w:bCs/>
                <w:sz w:val="18"/>
                <w:szCs w:val="18"/>
              </w:rPr>
              <w:t xml:space="preserve"> </w:t>
            </w:r>
            <w:bookmarkEnd w:id="434"/>
          </w:p>
        </w:tc>
        <w:tc>
          <w:tcPr>
            <w:tcW w:w="941" w:type="pct"/>
          </w:tcPr>
          <w:p w14:paraId="23775283" w14:textId="77777777" w:rsidR="00161844" w:rsidRPr="006F6D92" w:rsidRDefault="00161844" w:rsidP="00805590">
            <w:pPr>
              <w:pStyle w:val="BodyText"/>
              <w:spacing w:before="0" w:after="0" w:line="240" w:lineRule="auto"/>
              <w:jc w:val="left"/>
              <w:rPr>
                <w:rFonts w:cstheme="majorHAnsi"/>
                <w:bCs/>
                <w:sz w:val="18"/>
                <w:szCs w:val="18"/>
              </w:rPr>
            </w:pPr>
            <w:r>
              <w:rPr>
                <w:rFonts w:cstheme="majorHAnsi"/>
                <w:bCs/>
                <w:sz w:val="18"/>
                <w:szCs w:val="18"/>
              </w:rPr>
              <w:t>P</w:t>
            </w:r>
            <w:r w:rsidRPr="00D66295">
              <w:rPr>
                <w:rFonts w:cstheme="majorHAnsi"/>
                <w:bCs/>
                <w:sz w:val="18"/>
                <w:szCs w:val="18"/>
              </w:rPr>
              <w:t>arallel group RCT</w:t>
            </w:r>
            <w:r>
              <w:rPr>
                <w:rFonts w:cstheme="majorHAnsi"/>
                <w:bCs/>
                <w:sz w:val="18"/>
                <w:szCs w:val="18"/>
              </w:rPr>
              <w:t xml:space="preserve"> using </w:t>
            </w:r>
            <w:bookmarkStart w:id="435" w:name="_Hlk27468115"/>
            <w:r w:rsidRPr="00086994">
              <w:rPr>
                <w:rFonts w:cstheme="majorHAnsi"/>
                <w:bCs/>
                <w:sz w:val="18"/>
                <w:szCs w:val="18"/>
              </w:rPr>
              <w:t>GE SenoClair</w:t>
            </w:r>
            <w:r>
              <w:rPr>
                <w:rFonts w:cstheme="majorHAnsi"/>
                <w:bCs/>
                <w:sz w:val="18"/>
                <w:szCs w:val="18"/>
              </w:rPr>
              <w:t>, using Automatic Exposure Control (</w:t>
            </w:r>
            <w:r>
              <w:rPr>
                <w:rFonts w:cstheme="majorHAnsi"/>
                <w:sz w:val="18"/>
                <w:szCs w:val="18"/>
              </w:rPr>
              <w:t>AEC)</w:t>
            </w:r>
            <w:bookmarkEnd w:id="435"/>
            <w:r>
              <w:rPr>
                <w:rFonts w:cstheme="majorHAnsi"/>
                <w:bCs/>
                <w:sz w:val="18"/>
                <w:szCs w:val="18"/>
              </w:rPr>
              <w:t xml:space="preserve">, MGD determined using </w:t>
            </w:r>
            <w:bookmarkStart w:id="436" w:name="_Hlk27473375"/>
            <w:r w:rsidRPr="004F2EAD">
              <w:rPr>
                <w:rFonts w:cstheme="majorHAnsi"/>
                <w:bCs/>
                <w:sz w:val="18"/>
                <w:szCs w:val="18"/>
              </w:rPr>
              <w:t>Volpara Solutions</w:t>
            </w:r>
            <w:r>
              <w:rPr>
                <w:rFonts w:cstheme="majorHAnsi"/>
                <w:bCs/>
                <w:sz w:val="18"/>
                <w:szCs w:val="18"/>
              </w:rPr>
              <w:t xml:space="preserve">. </w:t>
            </w:r>
            <w:bookmarkEnd w:id="436"/>
          </w:p>
        </w:tc>
        <w:tc>
          <w:tcPr>
            <w:tcW w:w="710" w:type="pct"/>
          </w:tcPr>
          <w:p w14:paraId="33A536E5" w14:textId="77777777" w:rsidR="00161844" w:rsidRPr="006F6D92" w:rsidRDefault="00161844" w:rsidP="00805590">
            <w:pPr>
              <w:pStyle w:val="BodyText"/>
              <w:spacing w:before="0" w:after="0" w:line="240" w:lineRule="auto"/>
              <w:jc w:val="left"/>
              <w:rPr>
                <w:rFonts w:cstheme="majorHAnsi"/>
                <w:bCs/>
                <w:sz w:val="18"/>
                <w:szCs w:val="18"/>
              </w:rPr>
            </w:pPr>
            <w:r w:rsidRPr="0012027E">
              <w:rPr>
                <w:rFonts w:cstheme="majorHAnsi"/>
                <w:bCs/>
                <w:sz w:val="18"/>
                <w:szCs w:val="18"/>
              </w:rPr>
              <w:t xml:space="preserve">2.96 </w:t>
            </w:r>
          </w:p>
        </w:tc>
        <w:tc>
          <w:tcPr>
            <w:tcW w:w="710" w:type="pct"/>
          </w:tcPr>
          <w:p w14:paraId="6437B7B8" w14:textId="540B3ADA" w:rsidR="00161844" w:rsidRPr="006F6D92" w:rsidRDefault="005866B2" w:rsidP="005866B2">
            <w:pPr>
              <w:pStyle w:val="BodyText"/>
              <w:spacing w:before="0" w:after="0" w:line="240" w:lineRule="auto"/>
              <w:jc w:val="center"/>
              <w:rPr>
                <w:rFonts w:cstheme="majorHAnsi"/>
                <w:bCs/>
                <w:sz w:val="18"/>
                <w:szCs w:val="18"/>
              </w:rPr>
            </w:pPr>
            <w:r>
              <w:rPr>
                <w:rFonts w:cstheme="majorHAnsi"/>
                <w:bCs/>
                <w:sz w:val="18"/>
                <w:szCs w:val="18"/>
              </w:rPr>
              <w:t>NA</w:t>
            </w:r>
          </w:p>
        </w:tc>
        <w:tc>
          <w:tcPr>
            <w:tcW w:w="710" w:type="pct"/>
          </w:tcPr>
          <w:p w14:paraId="48900774" w14:textId="229E84D9" w:rsidR="00161844" w:rsidRDefault="00161844" w:rsidP="00805590">
            <w:pPr>
              <w:pStyle w:val="BodyText"/>
              <w:spacing w:before="0" w:after="0" w:line="240" w:lineRule="auto"/>
              <w:jc w:val="left"/>
            </w:pPr>
            <w:r w:rsidRPr="0012027E">
              <w:rPr>
                <w:rFonts w:cstheme="majorHAnsi"/>
                <w:bCs/>
                <w:sz w:val="18"/>
                <w:szCs w:val="18"/>
              </w:rPr>
              <w:t>2.95 (</w:t>
            </w:r>
            <w:r w:rsidRPr="00914E8B">
              <w:rPr>
                <w:rFonts w:cstheme="majorHAnsi"/>
                <w:bCs/>
                <w:i/>
                <w:iCs/>
                <w:sz w:val="18"/>
                <w:szCs w:val="18"/>
              </w:rPr>
              <w:t>p</w:t>
            </w:r>
            <w:r w:rsidR="00914E8B">
              <w:rPr>
                <w:rFonts w:cstheme="majorHAnsi"/>
                <w:bCs/>
                <w:sz w:val="18"/>
                <w:szCs w:val="18"/>
              </w:rPr>
              <w:t>=</w:t>
            </w:r>
            <w:r w:rsidRPr="0012027E">
              <w:rPr>
                <w:rFonts w:cstheme="majorHAnsi"/>
                <w:bCs/>
                <w:sz w:val="18"/>
                <w:szCs w:val="18"/>
              </w:rPr>
              <w:t>.433)</w:t>
            </w:r>
            <w:r>
              <w:t xml:space="preserve"> </w:t>
            </w:r>
          </w:p>
          <w:p w14:paraId="587ABF69" w14:textId="77777777" w:rsidR="00161844" w:rsidRPr="006F6D92" w:rsidRDefault="00161844" w:rsidP="00805590">
            <w:pPr>
              <w:pStyle w:val="BodyText"/>
              <w:spacing w:before="0" w:after="0" w:line="240" w:lineRule="auto"/>
              <w:jc w:val="left"/>
              <w:rPr>
                <w:rFonts w:cstheme="majorHAnsi"/>
                <w:bCs/>
                <w:sz w:val="18"/>
                <w:szCs w:val="18"/>
              </w:rPr>
            </w:pPr>
          </w:p>
        </w:tc>
        <w:tc>
          <w:tcPr>
            <w:tcW w:w="631" w:type="pct"/>
          </w:tcPr>
          <w:p w14:paraId="780E09EA" w14:textId="77777777" w:rsidR="00161844" w:rsidRPr="006F6D92" w:rsidRDefault="00161844" w:rsidP="00805590">
            <w:pPr>
              <w:pStyle w:val="BodyText"/>
              <w:spacing w:before="0" w:after="0" w:line="240" w:lineRule="auto"/>
              <w:jc w:val="left"/>
              <w:rPr>
                <w:rFonts w:cstheme="majorHAnsi"/>
                <w:bCs/>
                <w:sz w:val="18"/>
                <w:szCs w:val="18"/>
              </w:rPr>
            </w:pPr>
            <w:r>
              <w:rPr>
                <w:rFonts w:cstheme="majorHAnsi"/>
                <w:bCs/>
                <w:sz w:val="18"/>
                <w:szCs w:val="18"/>
              </w:rPr>
              <w:t>MGD = S</w:t>
            </w:r>
            <w:r w:rsidRPr="00F807EF">
              <w:rPr>
                <w:rFonts w:cstheme="majorHAnsi"/>
                <w:bCs/>
                <w:sz w:val="18"/>
                <w:szCs w:val="18"/>
              </w:rPr>
              <w:t>um of</w:t>
            </w:r>
            <w:r>
              <w:rPr>
                <w:rFonts w:cstheme="majorHAnsi"/>
                <w:bCs/>
                <w:sz w:val="18"/>
                <w:szCs w:val="18"/>
              </w:rPr>
              <w:t xml:space="preserve"> </w:t>
            </w:r>
            <w:r w:rsidRPr="00F807EF">
              <w:rPr>
                <w:rFonts w:cstheme="majorHAnsi"/>
                <w:bCs/>
                <w:sz w:val="18"/>
                <w:szCs w:val="18"/>
              </w:rPr>
              <w:t xml:space="preserve">the radiation doses </w:t>
            </w:r>
            <w:r>
              <w:rPr>
                <w:rFonts w:cstheme="majorHAnsi"/>
                <w:bCs/>
                <w:sz w:val="18"/>
                <w:szCs w:val="18"/>
              </w:rPr>
              <w:t>f</w:t>
            </w:r>
            <w:r w:rsidRPr="00F807EF">
              <w:rPr>
                <w:rFonts w:cstheme="majorHAnsi"/>
                <w:bCs/>
                <w:sz w:val="18"/>
                <w:szCs w:val="18"/>
              </w:rPr>
              <w:t xml:space="preserve">or both views and breasts divided by two. </w:t>
            </w:r>
          </w:p>
        </w:tc>
      </w:tr>
      <w:bookmarkEnd w:id="432"/>
      <w:tr w:rsidR="00161844" w:rsidRPr="00D27BEA" w14:paraId="0A0AC65A" w14:textId="77777777" w:rsidTr="00805590">
        <w:trPr>
          <w:trHeight w:val="162"/>
        </w:trPr>
        <w:tc>
          <w:tcPr>
            <w:tcW w:w="5000" w:type="pct"/>
            <w:gridSpan w:val="7"/>
          </w:tcPr>
          <w:p w14:paraId="73CC9205" w14:textId="3733FBCB" w:rsidR="00161844" w:rsidRPr="00D27BEA" w:rsidRDefault="00161844" w:rsidP="00805590">
            <w:pPr>
              <w:pStyle w:val="BodyText"/>
              <w:spacing w:before="0" w:after="0" w:line="240" w:lineRule="auto"/>
              <w:jc w:val="left"/>
              <w:rPr>
                <w:rFonts w:cstheme="majorHAnsi"/>
                <w:b/>
                <w:bCs/>
                <w:color w:val="FFFFFF" w:themeColor="background1"/>
                <w:sz w:val="18"/>
                <w:szCs w:val="18"/>
              </w:rPr>
            </w:pPr>
            <w:r w:rsidRPr="00CC68B4">
              <w:rPr>
                <w:rFonts w:cstheme="majorHAnsi"/>
                <w:b/>
                <w:bCs/>
                <w:sz w:val="18"/>
                <w:szCs w:val="18"/>
              </w:rPr>
              <w:t>Prospective trials embedded in population screening programs</w:t>
            </w:r>
          </w:p>
        </w:tc>
      </w:tr>
      <w:tr w:rsidR="00161844" w:rsidRPr="00E44152" w14:paraId="6529A11E" w14:textId="77777777" w:rsidTr="00805590">
        <w:trPr>
          <w:trHeight w:val="1741"/>
        </w:trPr>
        <w:tc>
          <w:tcPr>
            <w:tcW w:w="507" w:type="pct"/>
          </w:tcPr>
          <w:p w14:paraId="5A6819F9" w14:textId="77777777" w:rsidR="00161844" w:rsidRDefault="00161844" w:rsidP="00805590">
            <w:pPr>
              <w:pStyle w:val="BodyText"/>
              <w:spacing w:before="0" w:after="0" w:line="240" w:lineRule="auto"/>
              <w:jc w:val="left"/>
              <w:rPr>
                <w:rFonts w:cstheme="majorHAnsi"/>
                <w:bCs/>
                <w:sz w:val="18"/>
                <w:szCs w:val="18"/>
              </w:rPr>
            </w:pPr>
            <w:r w:rsidRPr="003B0310">
              <w:rPr>
                <w:rFonts w:cstheme="majorHAnsi"/>
                <w:bCs/>
                <w:sz w:val="18"/>
                <w:szCs w:val="18"/>
              </w:rPr>
              <w:t>Houssami et al. (2019)</w:t>
            </w:r>
          </w:p>
          <w:p w14:paraId="66B956E5" w14:textId="77777777" w:rsidR="00161844" w:rsidRDefault="00161844" w:rsidP="00805590">
            <w:pPr>
              <w:pStyle w:val="BodyText"/>
              <w:spacing w:before="0" w:after="0" w:line="240" w:lineRule="auto"/>
              <w:jc w:val="left"/>
              <w:rPr>
                <w:rFonts w:cstheme="majorHAnsi"/>
                <w:b/>
                <w:color w:val="FFFFFF" w:themeColor="background1"/>
                <w:sz w:val="18"/>
                <w:szCs w:val="18"/>
              </w:rPr>
            </w:pPr>
            <w:r>
              <w:rPr>
                <w:rFonts w:cstheme="majorHAnsi"/>
                <w:bCs/>
                <w:sz w:val="18"/>
                <w:szCs w:val="18"/>
              </w:rPr>
              <w:t>Maroondah</w:t>
            </w:r>
          </w:p>
        </w:tc>
        <w:tc>
          <w:tcPr>
            <w:tcW w:w="791" w:type="pct"/>
          </w:tcPr>
          <w:p w14:paraId="6F478F8A" w14:textId="5D89E46D" w:rsidR="00161844" w:rsidRPr="003B0310" w:rsidRDefault="00161844" w:rsidP="00805590">
            <w:pPr>
              <w:pStyle w:val="BodyText"/>
              <w:spacing w:before="0" w:after="0" w:line="240" w:lineRule="auto"/>
              <w:jc w:val="left"/>
              <w:rPr>
                <w:rFonts w:cstheme="majorHAnsi"/>
                <w:bCs/>
                <w:sz w:val="18"/>
                <w:szCs w:val="18"/>
              </w:rPr>
            </w:pPr>
            <w:r w:rsidRPr="003B0310">
              <w:rPr>
                <w:rFonts w:cstheme="majorHAnsi"/>
                <w:bCs/>
                <w:sz w:val="18"/>
                <w:szCs w:val="18"/>
              </w:rPr>
              <w:t>10</w:t>
            </w:r>
            <w:r w:rsidR="00CE3204">
              <w:rPr>
                <w:rFonts w:cstheme="majorHAnsi"/>
                <w:bCs/>
                <w:sz w:val="18"/>
                <w:szCs w:val="18"/>
              </w:rPr>
              <w:t>,</w:t>
            </w:r>
            <w:r w:rsidRPr="003B0310">
              <w:rPr>
                <w:rFonts w:cstheme="majorHAnsi"/>
                <w:bCs/>
                <w:sz w:val="18"/>
                <w:szCs w:val="18"/>
              </w:rPr>
              <w:t xml:space="preserve">146 women </w:t>
            </w:r>
          </w:p>
          <w:p w14:paraId="275AA71B" w14:textId="16279318" w:rsidR="00161844" w:rsidRPr="003B0310" w:rsidRDefault="00161844" w:rsidP="00805590">
            <w:pPr>
              <w:pStyle w:val="BodyText"/>
              <w:spacing w:before="0" w:after="0" w:line="240" w:lineRule="auto"/>
              <w:jc w:val="left"/>
              <w:rPr>
                <w:rFonts w:cstheme="majorHAnsi"/>
                <w:bCs/>
                <w:sz w:val="18"/>
                <w:szCs w:val="18"/>
              </w:rPr>
            </w:pPr>
            <w:r w:rsidRPr="003B0310">
              <w:rPr>
                <w:rFonts w:cstheme="majorHAnsi"/>
                <w:bCs/>
                <w:sz w:val="18"/>
                <w:szCs w:val="18"/>
              </w:rPr>
              <w:t>DBT+</w:t>
            </w:r>
            <w:r w:rsidR="00176980">
              <w:rPr>
                <w:rFonts w:cstheme="majorHAnsi"/>
                <w:bCs/>
                <w:sz w:val="18"/>
                <w:szCs w:val="18"/>
              </w:rPr>
              <w:t>s2DM</w:t>
            </w:r>
            <w:r w:rsidRPr="003B0310">
              <w:rPr>
                <w:rFonts w:cstheme="majorHAnsi"/>
                <w:bCs/>
                <w:sz w:val="18"/>
                <w:szCs w:val="18"/>
              </w:rPr>
              <w:t xml:space="preserve">: 4993 women (5018 </w:t>
            </w:r>
            <w:r>
              <w:rPr>
                <w:rFonts w:cstheme="majorHAnsi"/>
                <w:bCs/>
                <w:sz w:val="18"/>
                <w:szCs w:val="18"/>
              </w:rPr>
              <w:t>exams</w:t>
            </w:r>
            <w:r w:rsidRPr="003B0310">
              <w:rPr>
                <w:rFonts w:cstheme="majorHAnsi"/>
                <w:bCs/>
                <w:sz w:val="18"/>
                <w:szCs w:val="18"/>
              </w:rPr>
              <w:t>)</w:t>
            </w:r>
          </w:p>
          <w:p w14:paraId="5BC987F4" w14:textId="77777777" w:rsidR="00161844" w:rsidRPr="00C75EDC" w:rsidRDefault="00161844" w:rsidP="00805590">
            <w:pPr>
              <w:pStyle w:val="BodyText"/>
              <w:spacing w:before="0" w:after="0" w:line="240" w:lineRule="auto"/>
              <w:jc w:val="left"/>
              <w:rPr>
                <w:rFonts w:cstheme="majorHAnsi"/>
                <w:b/>
                <w:color w:val="FFFFFF" w:themeColor="background1"/>
                <w:sz w:val="18"/>
                <w:szCs w:val="18"/>
              </w:rPr>
            </w:pPr>
            <w:r w:rsidRPr="003B0310">
              <w:rPr>
                <w:rFonts w:cstheme="majorHAnsi"/>
                <w:bCs/>
                <w:sz w:val="18"/>
                <w:szCs w:val="18"/>
              </w:rPr>
              <w:t xml:space="preserve">FFDM alone: 5153 women (5166 </w:t>
            </w:r>
            <w:r>
              <w:rPr>
                <w:rFonts w:cstheme="majorHAnsi"/>
                <w:bCs/>
                <w:sz w:val="18"/>
                <w:szCs w:val="18"/>
              </w:rPr>
              <w:t>exams</w:t>
            </w:r>
            <w:r w:rsidRPr="003B0310">
              <w:rPr>
                <w:rFonts w:cstheme="majorHAnsi"/>
                <w:bCs/>
                <w:sz w:val="18"/>
                <w:szCs w:val="18"/>
              </w:rPr>
              <w:t>)</w:t>
            </w:r>
          </w:p>
        </w:tc>
        <w:tc>
          <w:tcPr>
            <w:tcW w:w="941" w:type="pct"/>
          </w:tcPr>
          <w:p w14:paraId="5D7190FA" w14:textId="77777777" w:rsidR="00161844" w:rsidRDefault="00161844" w:rsidP="00805590">
            <w:pPr>
              <w:pStyle w:val="BodyText"/>
              <w:spacing w:before="0" w:after="0" w:line="240" w:lineRule="auto"/>
              <w:jc w:val="left"/>
              <w:rPr>
                <w:rFonts w:cstheme="majorHAnsi"/>
                <w:bCs/>
                <w:sz w:val="18"/>
                <w:szCs w:val="18"/>
              </w:rPr>
            </w:pPr>
            <w:r w:rsidRPr="003B0310">
              <w:rPr>
                <w:rFonts w:cstheme="majorHAnsi"/>
                <w:bCs/>
                <w:sz w:val="18"/>
                <w:szCs w:val="18"/>
              </w:rPr>
              <w:t xml:space="preserve">Prospective pilot trial </w:t>
            </w:r>
            <w:r>
              <w:rPr>
                <w:rFonts w:cstheme="majorHAnsi"/>
                <w:bCs/>
                <w:sz w:val="18"/>
                <w:szCs w:val="18"/>
              </w:rPr>
              <w:t>using</w:t>
            </w:r>
          </w:p>
          <w:p w14:paraId="68D3B1E4" w14:textId="77777777" w:rsidR="00161844" w:rsidRPr="009010F3" w:rsidRDefault="00161844" w:rsidP="00805590">
            <w:pPr>
              <w:pStyle w:val="BodyText"/>
              <w:spacing w:before="0" w:after="0" w:line="240" w:lineRule="auto"/>
              <w:jc w:val="left"/>
              <w:rPr>
                <w:rFonts w:cstheme="majorHAnsi"/>
                <w:bCs/>
                <w:sz w:val="18"/>
                <w:szCs w:val="18"/>
              </w:rPr>
            </w:pPr>
            <w:r>
              <w:rPr>
                <w:rFonts w:cstheme="majorHAnsi"/>
                <w:bCs/>
                <w:sz w:val="18"/>
                <w:szCs w:val="18"/>
              </w:rPr>
              <w:t>Hologic Selenia Dimensions 8000 (+/- C-</w:t>
            </w:r>
            <w:r w:rsidRPr="00230B8E">
              <w:rPr>
                <w:rFonts w:cstheme="majorHAnsi"/>
                <w:bCs/>
                <w:sz w:val="18"/>
                <w:szCs w:val="18"/>
              </w:rPr>
              <w:t xml:space="preserve"> View™</w:t>
            </w:r>
            <w:r>
              <w:rPr>
                <w:rFonts w:cstheme="majorHAnsi"/>
                <w:bCs/>
                <w:sz w:val="18"/>
                <w:szCs w:val="18"/>
              </w:rPr>
              <w:t xml:space="preserve">) or Siemens </w:t>
            </w:r>
            <w:r w:rsidRPr="009010F3">
              <w:rPr>
                <w:rFonts w:cstheme="majorHAnsi"/>
                <w:bCs/>
                <w:sz w:val="18"/>
                <w:szCs w:val="18"/>
              </w:rPr>
              <w:t>Mammomat Inspiration</w:t>
            </w:r>
          </w:p>
          <w:p w14:paraId="1C5C6753" w14:textId="77777777" w:rsidR="00161844" w:rsidRDefault="00161844" w:rsidP="00805590">
            <w:pPr>
              <w:pStyle w:val="BodyText"/>
              <w:spacing w:before="0" w:after="0" w:line="240" w:lineRule="auto"/>
              <w:jc w:val="left"/>
              <w:rPr>
                <w:rFonts w:cstheme="majorHAnsi"/>
                <w:bCs/>
                <w:sz w:val="18"/>
                <w:szCs w:val="18"/>
              </w:rPr>
            </w:pPr>
            <w:r w:rsidRPr="009010F3">
              <w:rPr>
                <w:rFonts w:cstheme="majorHAnsi"/>
                <w:bCs/>
                <w:sz w:val="18"/>
                <w:szCs w:val="18"/>
              </w:rPr>
              <w:t>DBT – 4 views</w:t>
            </w:r>
          </w:p>
          <w:p w14:paraId="1FF4996C" w14:textId="77777777" w:rsidR="00161844" w:rsidRPr="00C75EDC" w:rsidRDefault="00161844" w:rsidP="00805590">
            <w:pPr>
              <w:pStyle w:val="BodyText"/>
              <w:spacing w:before="0" w:after="0" w:line="240" w:lineRule="auto"/>
              <w:jc w:val="left"/>
              <w:rPr>
                <w:rFonts w:cstheme="majorHAnsi"/>
                <w:b/>
                <w:color w:val="FFFFFF" w:themeColor="background1"/>
                <w:sz w:val="18"/>
                <w:szCs w:val="18"/>
              </w:rPr>
            </w:pPr>
            <w:r>
              <w:rPr>
                <w:rFonts w:cstheme="majorHAnsi"/>
                <w:bCs/>
                <w:sz w:val="18"/>
                <w:szCs w:val="18"/>
              </w:rPr>
              <w:t>DBT and FFDM images acquired with a single compression per view.</w:t>
            </w:r>
          </w:p>
        </w:tc>
        <w:tc>
          <w:tcPr>
            <w:tcW w:w="710" w:type="pct"/>
          </w:tcPr>
          <w:p w14:paraId="05AE758B"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3D Hologic unit</w:t>
            </w:r>
          </w:p>
          <w:p w14:paraId="10DFF68B"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 xml:space="preserve">&lt; 36 mm = 1.12 </w:t>
            </w:r>
          </w:p>
          <w:p w14:paraId="7B01E9F1"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 xml:space="preserve">36–45mm = 1.34 </w:t>
            </w:r>
          </w:p>
          <w:p w14:paraId="1378AC47"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 xml:space="preserve">46–55mm = 1.69 </w:t>
            </w:r>
          </w:p>
          <w:p w14:paraId="1775DEA9"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 xml:space="preserve">56–65mm = 2.21 </w:t>
            </w:r>
          </w:p>
          <w:p w14:paraId="1FEBBC15"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 xml:space="preserve">66–75mm = 2.88 </w:t>
            </w:r>
          </w:p>
          <w:p w14:paraId="319B3E6E"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 xml:space="preserve">&gt;75mm = 3.67 </w:t>
            </w:r>
          </w:p>
          <w:p w14:paraId="2BB6E2C5" w14:textId="77777777" w:rsidR="00161844" w:rsidRPr="00BA3D1F"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All = 2.55</w:t>
            </w:r>
          </w:p>
        </w:tc>
        <w:tc>
          <w:tcPr>
            <w:tcW w:w="710" w:type="pct"/>
          </w:tcPr>
          <w:p w14:paraId="22266D1F" w14:textId="77E89394" w:rsidR="00161844" w:rsidRPr="00FE7036" w:rsidRDefault="005866B2" w:rsidP="005866B2">
            <w:pPr>
              <w:pStyle w:val="BodyText"/>
              <w:spacing w:before="0" w:after="0" w:line="240" w:lineRule="auto"/>
              <w:jc w:val="center"/>
              <w:rPr>
                <w:rFonts w:cstheme="majorHAnsi"/>
                <w:color w:val="FFFFFF" w:themeColor="background1"/>
                <w:sz w:val="18"/>
                <w:szCs w:val="18"/>
              </w:rPr>
            </w:pPr>
            <w:r>
              <w:rPr>
                <w:rFonts w:cstheme="majorHAnsi"/>
                <w:bCs/>
                <w:sz w:val="18"/>
                <w:szCs w:val="18"/>
              </w:rPr>
              <w:t>NA</w:t>
            </w:r>
          </w:p>
        </w:tc>
        <w:tc>
          <w:tcPr>
            <w:tcW w:w="710" w:type="pct"/>
          </w:tcPr>
          <w:p w14:paraId="3734F1AA"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 xml:space="preserve">2D Siemens unit </w:t>
            </w:r>
          </w:p>
          <w:p w14:paraId="0527D177"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 xml:space="preserve">&lt; 36 mm </w:t>
            </w:r>
            <w:r>
              <w:rPr>
                <w:rFonts w:asciiTheme="majorHAnsi" w:hAnsiTheme="majorHAnsi" w:cstheme="majorHAnsi"/>
                <w:sz w:val="18"/>
                <w:szCs w:val="18"/>
              </w:rPr>
              <w:t xml:space="preserve">= </w:t>
            </w:r>
            <w:r w:rsidRPr="00FE7036">
              <w:rPr>
                <w:rFonts w:asciiTheme="majorHAnsi" w:hAnsiTheme="majorHAnsi" w:cstheme="majorHAnsi"/>
                <w:sz w:val="18"/>
                <w:szCs w:val="18"/>
              </w:rPr>
              <w:t xml:space="preserve">0.93 </w:t>
            </w:r>
          </w:p>
          <w:p w14:paraId="639B7960" w14:textId="0E0D1C8B"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36–45mm</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 xml:space="preserve">1.01 </w:t>
            </w:r>
          </w:p>
          <w:p w14:paraId="5E8C4C16" w14:textId="280CB46C"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46–55mm</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 xml:space="preserve">1.15 </w:t>
            </w:r>
          </w:p>
          <w:p w14:paraId="474FDDA1" w14:textId="0A72685B"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56–65mm</w:t>
            </w:r>
            <w:r w:rsidR="00CE3204">
              <w:rPr>
                <w:rFonts w:asciiTheme="majorHAnsi" w:hAnsiTheme="majorHAnsi" w:cstheme="majorHAnsi"/>
                <w:sz w:val="18"/>
                <w:szCs w:val="18"/>
              </w:rPr>
              <w:t xml:space="preserve"> </w:t>
            </w:r>
            <w:r>
              <w:rPr>
                <w:rFonts w:asciiTheme="majorHAnsi" w:hAnsiTheme="majorHAnsi" w:cstheme="majorHAnsi"/>
                <w:sz w:val="18"/>
                <w:szCs w:val="18"/>
              </w:rPr>
              <w:t>=</w:t>
            </w:r>
            <w:r w:rsidRPr="00FE7036">
              <w:rPr>
                <w:rFonts w:asciiTheme="majorHAnsi" w:hAnsiTheme="majorHAnsi" w:cstheme="majorHAnsi"/>
                <w:sz w:val="18"/>
                <w:szCs w:val="18"/>
              </w:rPr>
              <w:t xml:space="preserve"> 1.30 </w:t>
            </w:r>
          </w:p>
          <w:p w14:paraId="5DF64A12" w14:textId="621A2BB8"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66–75mm</w:t>
            </w:r>
            <w:r w:rsidR="00CE3204">
              <w:rPr>
                <w:rFonts w:asciiTheme="majorHAnsi" w:hAnsiTheme="majorHAnsi" w:cstheme="majorHAnsi"/>
                <w:sz w:val="18"/>
                <w:szCs w:val="18"/>
              </w:rPr>
              <w:t xml:space="preserve"> </w:t>
            </w:r>
            <w:r>
              <w:rPr>
                <w:rFonts w:asciiTheme="majorHAnsi" w:hAnsiTheme="majorHAnsi" w:cstheme="majorHAnsi"/>
                <w:sz w:val="18"/>
                <w:szCs w:val="18"/>
              </w:rPr>
              <w:t>=</w:t>
            </w:r>
            <w:r w:rsidRPr="00FE7036">
              <w:rPr>
                <w:rFonts w:asciiTheme="majorHAnsi" w:hAnsiTheme="majorHAnsi" w:cstheme="majorHAnsi"/>
                <w:sz w:val="18"/>
                <w:szCs w:val="18"/>
              </w:rPr>
              <w:t xml:space="preserve"> 1.50 </w:t>
            </w:r>
          </w:p>
          <w:p w14:paraId="4C84738C" w14:textId="210C28AF"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&gt;75mm</w:t>
            </w:r>
            <w:r w:rsidR="00CE3204">
              <w:rPr>
                <w:rFonts w:asciiTheme="majorHAnsi" w:hAnsiTheme="majorHAnsi" w:cstheme="majorHAnsi"/>
                <w:sz w:val="18"/>
                <w:szCs w:val="18"/>
              </w:rPr>
              <w:t xml:space="preserve"> </w:t>
            </w:r>
            <w:r>
              <w:rPr>
                <w:rFonts w:asciiTheme="majorHAnsi" w:hAnsiTheme="majorHAnsi" w:cstheme="majorHAnsi"/>
                <w:sz w:val="18"/>
                <w:szCs w:val="18"/>
              </w:rPr>
              <w:t>=</w:t>
            </w:r>
            <w:r w:rsidRPr="00FE7036">
              <w:rPr>
                <w:rFonts w:asciiTheme="majorHAnsi" w:hAnsiTheme="majorHAnsi" w:cstheme="majorHAnsi"/>
                <w:sz w:val="18"/>
                <w:szCs w:val="18"/>
              </w:rPr>
              <w:t xml:space="preserve"> 1.92 </w:t>
            </w:r>
          </w:p>
          <w:p w14:paraId="1051A7FD" w14:textId="6A817832" w:rsidR="00161844" w:rsidRPr="00BA3D1F"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All</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1.32</w:t>
            </w:r>
          </w:p>
        </w:tc>
        <w:tc>
          <w:tcPr>
            <w:tcW w:w="631" w:type="pct"/>
          </w:tcPr>
          <w:p w14:paraId="27A65E7E"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Ratio</w:t>
            </w:r>
          </w:p>
          <w:p w14:paraId="3483C97D" w14:textId="03ECFFF8"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&lt; 36 mm</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1.21</w:t>
            </w:r>
          </w:p>
          <w:p w14:paraId="3ED57F5A" w14:textId="36246C7D"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36–45mm</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 xml:space="preserve">1.33 </w:t>
            </w:r>
          </w:p>
          <w:p w14:paraId="1F83695A" w14:textId="2E62D55F"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46–55</w:t>
            </w:r>
            <w:r>
              <w:rPr>
                <w:rFonts w:asciiTheme="majorHAnsi" w:hAnsiTheme="majorHAnsi" w:cstheme="majorHAnsi"/>
                <w:sz w:val="18"/>
                <w:szCs w:val="18"/>
              </w:rPr>
              <w:t>m</w:t>
            </w:r>
            <w:r w:rsidRPr="00FE7036">
              <w:rPr>
                <w:rFonts w:asciiTheme="majorHAnsi" w:hAnsiTheme="majorHAnsi" w:cstheme="majorHAnsi"/>
                <w:sz w:val="18"/>
                <w:szCs w:val="18"/>
              </w:rPr>
              <w:t>m</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 xml:space="preserve">1.47 </w:t>
            </w:r>
          </w:p>
          <w:p w14:paraId="0F6D6A61" w14:textId="20A06ED0"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56–65mm</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 xml:space="preserve">1.70 </w:t>
            </w:r>
          </w:p>
          <w:p w14:paraId="7396C60E" w14:textId="45C7D81C"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66–75mm</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 xml:space="preserve">1.91 </w:t>
            </w:r>
          </w:p>
          <w:p w14:paraId="7A38F77A" w14:textId="1EBA8D01"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&gt;75mm</w:t>
            </w:r>
            <w:r w:rsidR="00CE3204">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E7036">
              <w:rPr>
                <w:rFonts w:asciiTheme="majorHAnsi" w:hAnsiTheme="majorHAnsi" w:cstheme="majorHAnsi"/>
                <w:sz w:val="18"/>
                <w:szCs w:val="18"/>
              </w:rPr>
              <w:t xml:space="preserve">1.92 </w:t>
            </w:r>
          </w:p>
          <w:p w14:paraId="767AEED7" w14:textId="77777777" w:rsidR="00161844" w:rsidRPr="00FE7036" w:rsidRDefault="00161844" w:rsidP="00805590">
            <w:pPr>
              <w:pStyle w:val="Default"/>
              <w:rPr>
                <w:rFonts w:asciiTheme="majorHAnsi" w:hAnsiTheme="majorHAnsi" w:cstheme="majorHAnsi"/>
                <w:sz w:val="18"/>
                <w:szCs w:val="18"/>
              </w:rPr>
            </w:pPr>
            <w:r w:rsidRPr="00FE7036">
              <w:rPr>
                <w:rFonts w:asciiTheme="majorHAnsi" w:hAnsiTheme="majorHAnsi" w:cstheme="majorHAnsi"/>
                <w:sz w:val="18"/>
                <w:szCs w:val="18"/>
              </w:rPr>
              <w:t>All</w:t>
            </w:r>
            <w:r>
              <w:rPr>
                <w:rFonts w:asciiTheme="majorHAnsi" w:hAnsiTheme="majorHAnsi" w:cstheme="majorHAnsi"/>
                <w:sz w:val="18"/>
                <w:szCs w:val="18"/>
              </w:rPr>
              <w:t xml:space="preserve"> = </w:t>
            </w:r>
            <w:r w:rsidRPr="00FE7036">
              <w:rPr>
                <w:rFonts w:asciiTheme="majorHAnsi" w:hAnsiTheme="majorHAnsi" w:cstheme="majorHAnsi"/>
                <w:sz w:val="18"/>
                <w:szCs w:val="18"/>
              </w:rPr>
              <w:t>1.92</w:t>
            </w:r>
          </w:p>
        </w:tc>
      </w:tr>
      <w:tr w:rsidR="00161844" w:rsidRPr="006F6D92" w14:paraId="3B5E3644" w14:textId="77777777" w:rsidTr="00805590">
        <w:trPr>
          <w:trHeight w:val="352"/>
        </w:trPr>
        <w:tc>
          <w:tcPr>
            <w:tcW w:w="507" w:type="pct"/>
          </w:tcPr>
          <w:p w14:paraId="13DCAB61" w14:textId="77777777" w:rsidR="00161844"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Caumo et al. (2018)</w:t>
            </w:r>
          </w:p>
          <w:p w14:paraId="13A761B6" w14:textId="77777777" w:rsidR="00161844" w:rsidRPr="006F6D92" w:rsidRDefault="00161844" w:rsidP="00805590">
            <w:pPr>
              <w:pStyle w:val="BodyText"/>
              <w:spacing w:before="0" w:after="0" w:line="240" w:lineRule="auto"/>
              <w:jc w:val="left"/>
              <w:rPr>
                <w:rFonts w:cstheme="majorHAnsi"/>
                <w:bCs/>
                <w:sz w:val="18"/>
                <w:szCs w:val="18"/>
              </w:rPr>
            </w:pPr>
            <w:r>
              <w:rPr>
                <w:rFonts w:cstheme="majorHAnsi"/>
                <w:bCs/>
                <w:sz w:val="18"/>
                <w:szCs w:val="18"/>
              </w:rPr>
              <w:t>Verona</w:t>
            </w:r>
          </w:p>
        </w:tc>
        <w:tc>
          <w:tcPr>
            <w:tcW w:w="791" w:type="pct"/>
          </w:tcPr>
          <w:p w14:paraId="175C42CF" w14:textId="252653BC" w:rsidR="00161844" w:rsidRPr="006F6D92"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DBT+</w:t>
            </w:r>
            <w:r w:rsidR="00176980">
              <w:rPr>
                <w:rFonts w:cstheme="majorHAnsi"/>
                <w:bCs/>
                <w:sz w:val="18"/>
                <w:szCs w:val="18"/>
              </w:rPr>
              <w:t>s2DM</w:t>
            </w:r>
            <w:r w:rsidRPr="006F6D92">
              <w:rPr>
                <w:rFonts w:cstheme="majorHAnsi"/>
                <w:bCs/>
                <w:sz w:val="18"/>
                <w:szCs w:val="18"/>
              </w:rPr>
              <w:t xml:space="preserve">: 16,666 </w:t>
            </w:r>
            <w:r>
              <w:rPr>
                <w:rFonts w:cstheme="majorHAnsi"/>
                <w:bCs/>
                <w:sz w:val="18"/>
                <w:szCs w:val="18"/>
              </w:rPr>
              <w:t xml:space="preserve">and </w:t>
            </w:r>
            <w:r w:rsidRPr="006F6D92">
              <w:rPr>
                <w:rFonts w:cstheme="majorHAnsi"/>
                <w:bCs/>
                <w:sz w:val="18"/>
                <w:szCs w:val="18"/>
              </w:rPr>
              <w:t>FFDM: 14,423 women previously screened in the Verona program</w:t>
            </w:r>
          </w:p>
        </w:tc>
        <w:tc>
          <w:tcPr>
            <w:tcW w:w="941" w:type="pct"/>
          </w:tcPr>
          <w:p w14:paraId="497BC1CF" w14:textId="77777777" w:rsidR="00161844" w:rsidRPr="006F6D92"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Prospective pilot evaluation</w:t>
            </w:r>
            <w:r>
              <w:rPr>
                <w:rFonts w:cstheme="majorHAnsi"/>
                <w:bCs/>
                <w:sz w:val="18"/>
                <w:szCs w:val="18"/>
              </w:rPr>
              <w:t xml:space="preserve"> using Hologic Selenia Dimensions</w:t>
            </w:r>
          </w:p>
        </w:tc>
        <w:tc>
          <w:tcPr>
            <w:tcW w:w="710" w:type="pct"/>
          </w:tcPr>
          <w:p w14:paraId="2BC70E66" w14:textId="77777777" w:rsidR="00161844" w:rsidRPr="006F6D92" w:rsidRDefault="00161844" w:rsidP="00805590">
            <w:pPr>
              <w:pStyle w:val="BodyText"/>
              <w:spacing w:before="0" w:after="0" w:line="240" w:lineRule="auto"/>
              <w:jc w:val="left"/>
              <w:rPr>
                <w:rFonts w:cstheme="majorHAnsi"/>
                <w:bCs/>
                <w:sz w:val="18"/>
                <w:szCs w:val="18"/>
              </w:rPr>
            </w:pPr>
            <w:r w:rsidRPr="0044759B">
              <w:rPr>
                <w:rFonts w:cstheme="majorHAnsi"/>
                <w:bCs/>
                <w:sz w:val="18"/>
                <w:szCs w:val="18"/>
              </w:rPr>
              <w:t xml:space="preserve">2.09 </w:t>
            </w:r>
            <w:r>
              <w:rPr>
                <w:rFonts w:cstheme="majorHAnsi"/>
                <w:bCs/>
                <w:sz w:val="18"/>
                <w:szCs w:val="18"/>
              </w:rPr>
              <w:t>(</w:t>
            </w:r>
            <w:r w:rsidRPr="0044759B">
              <w:rPr>
                <w:rFonts w:cstheme="majorHAnsi"/>
                <w:bCs/>
                <w:sz w:val="18"/>
                <w:szCs w:val="18"/>
              </w:rPr>
              <w:t>0.55</w:t>
            </w:r>
            <w:r>
              <w:rPr>
                <w:rFonts w:cstheme="majorHAnsi"/>
                <w:bCs/>
                <w:sz w:val="18"/>
                <w:szCs w:val="18"/>
              </w:rPr>
              <w:t>)</w:t>
            </w:r>
          </w:p>
        </w:tc>
        <w:tc>
          <w:tcPr>
            <w:tcW w:w="710" w:type="pct"/>
          </w:tcPr>
          <w:p w14:paraId="0E801DA0" w14:textId="307283BC" w:rsidR="00161844" w:rsidRPr="006F6D92" w:rsidRDefault="005866B2" w:rsidP="005866B2">
            <w:pPr>
              <w:pStyle w:val="BodyText"/>
              <w:spacing w:before="0" w:after="0" w:line="240" w:lineRule="auto"/>
              <w:jc w:val="center"/>
              <w:rPr>
                <w:rFonts w:cstheme="majorHAnsi"/>
                <w:bCs/>
                <w:sz w:val="18"/>
                <w:szCs w:val="18"/>
              </w:rPr>
            </w:pPr>
            <w:r>
              <w:rPr>
                <w:rFonts w:cstheme="majorHAnsi"/>
                <w:bCs/>
                <w:sz w:val="18"/>
                <w:szCs w:val="18"/>
              </w:rPr>
              <w:t>NA</w:t>
            </w:r>
          </w:p>
        </w:tc>
        <w:tc>
          <w:tcPr>
            <w:tcW w:w="710" w:type="pct"/>
          </w:tcPr>
          <w:p w14:paraId="63FD29F0" w14:textId="77777777" w:rsidR="00161844" w:rsidRPr="006F6D92" w:rsidRDefault="00161844" w:rsidP="00805590">
            <w:pPr>
              <w:pStyle w:val="BodyText"/>
              <w:spacing w:before="0" w:after="0" w:line="240" w:lineRule="auto"/>
              <w:jc w:val="left"/>
              <w:rPr>
                <w:rFonts w:cstheme="majorHAnsi"/>
                <w:bCs/>
                <w:sz w:val="18"/>
                <w:szCs w:val="18"/>
              </w:rPr>
            </w:pPr>
            <w:r w:rsidRPr="0044759B">
              <w:rPr>
                <w:rFonts w:cstheme="majorHAnsi"/>
                <w:bCs/>
                <w:sz w:val="18"/>
                <w:szCs w:val="18"/>
              </w:rPr>
              <w:t xml:space="preserve">1.48 </w:t>
            </w:r>
            <w:r>
              <w:rPr>
                <w:rFonts w:cstheme="majorHAnsi"/>
                <w:bCs/>
                <w:sz w:val="18"/>
                <w:szCs w:val="18"/>
              </w:rPr>
              <w:t xml:space="preserve">(SD </w:t>
            </w:r>
            <w:r w:rsidRPr="0044759B">
              <w:rPr>
                <w:rFonts w:cstheme="majorHAnsi"/>
                <w:bCs/>
                <w:sz w:val="18"/>
                <w:szCs w:val="18"/>
              </w:rPr>
              <w:t>0.58</w:t>
            </w:r>
            <w:r>
              <w:rPr>
                <w:rFonts w:cstheme="majorHAnsi"/>
                <w:bCs/>
                <w:sz w:val="18"/>
                <w:szCs w:val="18"/>
              </w:rPr>
              <w:t>)</w:t>
            </w:r>
            <w:r w:rsidRPr="0044759B">
              <w:rPr>
                <w:rFonts w:cstheme="majorHAnsi"/>
                <w:bCs/>
                <w:sz w:val="18"/>
                <w:szCs w:val="18"/>
              </w:rPr>
              <w:t xml:space="preserve"> </w:t>
            </w:r>
          </w:p>
        </w:tc>
        <w:tc>
          <w:tcPr>
            <w:tcW w:w="631" w:type="pct"/>
          </w:tcPr>
          <w:p w14:paraId="023EB97A" w14:textId="34349D96" w:rsidR="00161844" w:rsidRPr="005866B2" w:rsidRDefault="005866B2" w:rsidP="005866B2">
            <w:pPr>
              <w:pStyle w:val="BodyText"/>
              <w:spacing w:before="0" w:after="0" w:line="240" w:lineRule="auto"/>
              <w:jc w:val="center"/>
              <w:rPr>
                <w:rFonts w:cstheme="majorHAnsi"/>
                <w:b/>
                <w:sz w:val="18"/>
                <w:szCs w:val="18"/>
              </w:rPr>
            </w:pPr>
            <w:r>
              <w:rPr>
                <w:rFonts w:cstheme="majorHAnsi"/>
                <w:bCs/>
                <w:sz w:val="18"/>
                <w:szCs w:val="18"/>
              </w:rPr>
              <w:t>NA</w:t>
            </w:r>
          </w:p>
        </w:tc>
      </w:tr>
      <w:bookmarkEnd w:id="433"/>
      <w:tr w:rsidR="00161844" w:rsidRPr="006F6D92" w14:paraId="783FE097" w14:textId="77777777" w:rsidTr="00805590">
        <w:trPr>
          <w:trHeight w:val="352"/>
        </w:trPr>
        <w:tc>
          <w:tcPr>
            <w:tcW w:w="507" w:type="pct"/>
          </w:tcPr>
          <w:p w14:paraId="2854AA58" w14:textId="77777777" w:rsidR="00161844"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Romero Martín et al. (2018)</w:t>
            </w:r>
            <w:r>
              <w:rPr>
                <w:rFonts w:cstheme="majorHAnsi"/>
                <w:bCs/>
                <w:sz w:val="18"/>
                <w:szCs w:val="18"/>
              </w:rPr>
              <w:t xml:space="preserve"> </w:t>
            </w:r>
          </w:p>
          <w:p w14:paraId="5317C211" w14:textId="77777777" w:rsidR="00161844" w:rsidRPr="006F6D92"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Cordoba</w:t>
            </w:r>
          </w:p>
        </w:tc>
        <w:tc>
          <w:tcPr>
            <w:tcW w:w="791" w:type="pct"/>
          </w:tcPr>
          <w:p w14:paraId="517CE6AF" w14:textId="6FD75071" w:rsidR="00161844"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 xml:space="preserve">16,067 </w:t>
            </w:r>
            <w:r>
              <w:rPr>
                <w:rFonts w:cstheme="majorHAnsi"/>
                <w:bCs/>
                <w:sz w:val="18"/>
                <w:szCs w:val="18"/>
              </w:rPr>
              <w:t>women</w:t>
            </w:r>
            <w:r w:rsidRPr="006F6D92">
              <w:rPr>
                <w:rFonts w:cstheme="majorHAnsi"/>
                <w:bCs/>
                <w:sz w:val="18"/>
                <w:szCs w:val="18"/>
              </w:rPr>
              <w:t xml:space="preserve"> in FFDM+DBT with </w:t>
            </w:r>
            <w:r w:rsidR="00176980">
              <w:rPr>
                <w:rFonts w:cstheme="majorHAnsi"/>
                <w:bCs/>
                <w:sz w:val="18"/>
                <w:szCs w:val="18"/>
              </w:rPr>
              <w:t>s2DM</w:t>
            </w:r>
            <w:r w:rsidRPr="006F6D92">
              <w:rPr>
                <w:rFonts w:cstheme="majorHAnsi"/>
                <w:bCs/>
                <w:sz w:val="18"/>
                <w:szCs w:val="18"/>
              </w:rPr>
              <w:t xml:space="preserve"> images </w:t>
            </w:r>
          </w:p>
          <w:p w14:paraId="3FAA9F9E" w14:textId="77777777" w:rsidR="00161844"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3341</w:t>
            </w:r>
            <w:r>
              <w:rPr>
                <w:rFonts w:cstheme="majorHAnsi"/>
                <w:bCs/>
                <w:sz w:val="18"/>
                <w:szCs w:val="18"/>
              </w:rPr>
              <w:t xml:space="preserve"> =</w:t>
            </w:r>
            <w:r w:rsidRPr="006F6D92">
              <w:rPr>
                <w:rFonts w:cstheme="majorHAnsi"/>
                <w:bCs/>
                <w:sz w:val="18"/>
                <w:szCs w:val="18"/>
              </w:rPr>
              <w:t xml:space="preserve"> prevalen</w:t>
            </w:r>
            <w:r>
              <w:rPr>
                <w:rFonts w:cstheme="majorHAnsi"/>
                <w:bCs/>
                <w:sz w:val="18"/>
                <w:szCs w:val="18"/>
              </w:rPr>
              <w:t>t</w:t>
            </w:r>
            <w:r w:rsidRPr="006F6D92">
              <w:rPr>
                <w:rFonts w:cstheme="majorHAnsi"/>
                <w:bCs/>
                <w:sz w:val="18"/>
                <w:szCs w:val="18"/>
              </w:rPr>
              <w:t xml:space="preserve"> </w:t>
            </w:r>
          </w:p>
          <w:p w14:paraId="0FBA3449" w14:textId="75C0293D" w:rsidR="00161844" w:rsidRPr="006F6D92"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12</w:t>
            </w:r>
            <w:r w:rsidR="00CE3204">
              <w:rPr>
                <w:rFonts w:cstheme="majorHAnsi"/>
                <w:bCs/>
                <w:sz w:val="18"/>
                <w:szCs w:val="18"/>
              </w:rPr>
              <w:t>,</w:t>
            </w:r>
            <w:r w:rsidRPr="006F6D92">
              <w:rPr>
                <w:rFonts w:cstheme="majorHAnsi"/>
                <w:bCs/>
                <w:sz w:val="18"/>
                <w:szCs w:val="18"/>
              </w:rPr>
              <w:t>727</w:t>
            </w:r>
            <w:r>
              <w:rPr>
                <w:rFonts w:cstheme="majorHAnsi"/>
                <w:bCs/>
                <w:sz w:val="18"/>
                <w:szCs w:val="18"/>
              </w:rPr>
              <w:t xml:space="preserve"> =</w:t>
            </w:r>
            <w:r w:rsidRPr="006F6D92">
              <w:rPr>
                <w:rFonts w:cstheme="majorHAnsi"/>
                <w:bCs/>
                <w:sz w:val="18"/>
                <w:szCs w:val="18"/>
              </w:rPr>
              <w:t xml:space="preserve"> incident </w:t>
            </w:r>
          </w:p>
        </w:tc>
        <w:tc>
          <w:tcPr>
            <w:tcW w:w="941" w:type="pct"/>
          </w:tcPr>
          <w:p w14:paraId="75749DB9" w14:textId="77777777" w:rsidR="00161844" w:rsidRPr="006F6D92" w:rsidRDefault="00161844" w:rsidP="00805590">
            <w:pPr>
              <w:pStyle w:val="BodyText"/>
              <w:spacing w:before="0" w:after="0" w:line="240" w:lineRule="auto"/>
              <w:jc w:val="left"/>
              <w:rPr>
                <w:rFonts w:cstheme="majorHAnsi"/>
                <w:bCs/>
                <w:sz w:val="18"/>
                <w:szCs w:val="18"/>
              </w:rPr>
            </w:pPr>
            <w:r w:rsidRPr="006F6D92">
              <w:rPr>
                <w:rFonts w:cstheme="majorHAnsi"/>
                <w:bCs/>
                <w:sz w:val="18"/>
                <w:szCs w:val="18"/>
              </w:rPr>
              <w:t>Prospective transversal study using Hologic Dimensions system</w:t>
            </w:r>
          </w:p>
        </w:tc>
        <w:tc>
          <w:tcPr>
            <w:tcW w:w="710" w:type="pct"/>
          </w:tcPr>
          <w:p w14:paraId="15D3ADCF" w14:textId="77777777" w:rsidR="00161844" w:rsidRPr="006F6D92" w:rsidRDefault="00161844" w:rsidP="00805590">
            <w:pPr>
              <w:pStyle w:val="BodyText"/>
              <w:spacing w:before="0" w:after="0" w:line="240" w:lineRule="auto"/>
              <w:jc w:val="left"/>
              <w:rPr>
                <w:rFonts w:cstheme="majorHAnsi"/>
                <w:bCs/>
                <w:sz w:val="18"/>
                <w:szCs w:val="18"/>
              </w:rPr>
            </w:pPr>
            <w:r>
              <w:rPr>
                <w:rFonts w:cstheme="majorHAnsi"/>
                <w:bCs/>
                <w:sz w:val="18"/>
                <w:szCs w:val="18"/>
              </w:rPr>
              <w:t xml:space="preserve"> </w:t>
            </w:r>
            <w:r w:rsidRPr="004274DF">
              <w:rPr>
                <w:rFonts w:cstheme="majorHAnsi"/>
                <w:bCs/>
                <w:sz w:val="18"/>
                <w:szCs w:val="18"/>
              </w:rPr>
              <w:t xml:space="preserve">4.97 </w:t>
            </w:r>
            <w:r>
              <w:rPr>
                <w:rFonts w:cstheme="majorHAnsi"/>
                <w:bCs/>
                <w:sz w:val="18"/>
                <w:szCs w:val="18"/>
              </w:rPr>
              <w:t>(</w:t>
            </w:r>
            <w:r>
              <w:rPr>
                <w:rFonts w:cstheme="majorHAnsi"/>
                <w:bCs/>
                <w:sz w:val="18"/>
                <w:szCs w:val="18"/>
                <w:u w:val="single"/>
              </w:rPr>
              <w:t>+</w:t>
            </w:r>
            <w:r w:rsidRPr="004274DF">
              <w:rPr>
                <w:rFonts w:cstheme="majorHAnsi"/>
                <w:bCs/>
                <w:sz w:val="18"/>
                <w:szCs w:val="18"/>
              </w:rPr>
              <w:t>1.28</w:t>
            </w:r>
            <w:r>
              <w:rPr>
                <w:rFonts w:cstheme="majorHAnsi"/>
                <w:bCs/>
                <w:sz w:val="18"/>
                <w:szCs w:val="18"/>
              </w:rPr>
              <w:t>)</w:t>
            </w:r>
          </w:p>
        </w:tc>
        <w:tc>
          <w:tcPr>
            <w:tcW w:w="710" w:type="pct"/>
          </w:tcPr>
          <w:p w14:paraId="74BF8B61" w14:textId="77777777" w:rsidR="00161844" w:rsidRPr="006F6D92" w:rsidRDefault="00161844" w:rsidP="00805590">
            <w:pPr>
              <w:pStyle w:val="BodyText"/>
              <w:spacing w:before="0" w:after="0" w:line="240" w:lineRule="auto"/>
              <w:jc w:val="left"/>
              <w:rPr>
                <w:rFonts w:cstheme="majorHAnsi"/>
                <w:bCs/>
                <w:sz w:val="18"/>
                <w:szCs w:val="18"/>
              </w:rPr>
            </w:pPr>
            <w:r w:rsidRPr="00C30180">
              <w:rPr>
                <w:rFonts w:cstheme="majorHAnsi"/>
                <w:bCs/>
                <w:sz w:val="18"/>
                <w:szCs w:val="18"/>
              </w:rPr>
              <w:t>8.24</w:t>
            </w:r>
          </w:p>
        </w:tc>
        <w:tc>
          <w:tcPr>
            <w:tcW w:w="710" w:type="pct"/>
          </w:tcPr>
          <w:p w14:paraId="7352F661" w14:textId="77777777" w:rsidR="00161844" w:rsidRPr="006F6D92" w:rsidRDefault="00161844" w:rsidP="00805590">
            <w:pPr>
              <w:pStyle w:val="BodyText"/>
              <w:spacing w:before="0" w:after="0" w:line="240" w:lineRule="auto"/>
              <w:jc w:val="left"/>
              <w:rPr>
                <w:rFonts w:cstheme="majorHAnsi"/>
                <w:bCs/>
                <w:sz w:val="18"/>
                <w:szCs w:val="18"/>
              </w:rPr>
            </w:pPr>
            <w:r w:rsidRPr="004274DF">
              <w:rPr>
                <w:rFonts w:cstheme="majorHAnsi"/>
                <w:bCs/>
                <w:sz w:val="18"/>
                <w:szCs w:val="18"/>
              </w:rPr>
              <w:t xml:space="preserve">3.27 </w:t>
            </w:r>
            <w:r>
              <w:rPr>
                <w:rFonts w:cstheme="majorHAnsi"/>
                <w:bCs/>
                <w:sz w:val="18"/>
                <w:szCs w:val="18"/>
              </w:rPr>
              <w:t>(</w:t>
            </w:r>
            <w:r>
              <w:rPr>
                <w:rFonts w:cstheme="majorHAnsi"/>
                <w:bCs/>
                <w:sz w:val="18"/>
                <w:szCs w:val="18"/>
                <w:u w:val="single"/>
              </w:rPr>
              <w:t>+</w:t>
            </w:r>
            <w:r w:rsidRPr="004274DF">
              <w:rPr>
                <w:rFonts w:cstheme="majorHAnsi"/>
                <w:bCs/>
                <w:sz w:val="18"/>
                <w:szCs w:val="18"/>
              </w:rPr>
              <w:t>0.83</w:t>
            </w:r>
            <w:r>
              <w:rPr>
                <w:rFonts w:cstheme="majorHAnsi"/>
                <w:bCs/>
                <w:sz w:val="18"/>
                <w:szCs w:val="18"/>
              </w:rPr>
              <w:t>)</w:t>
            </w:r>
          </w:p>
        </w:tc>
        <w:tc>
          <w:tcPr>
            <w:tcW w:w="631" w:type="pct"/>
          </w:tcPr>
          <w:p w14:paraId="50C2E80A" w14:textId="77777777" w:rsidR="00161844" w:rsidRDefault="00161844" w:rsidP="00805590">
            <w:pPr>
              <w:pStyle w:val="BodyText"/>
              <w:spacing w:before="0" w:after="0" w:line="240" w:lineRule="auto"/>
              <w:jc w:val="left"/>
              <w:rPr>
                <w:rFonts w:cstheme="majorHAnsi"/>
                <w:bCs/>
                <w:sz w:val="18"/>
                <w:szCs w:val="18"/>
              </w:rPr>
            </w:pPr>
            <w:r>
              <w:rPr>
                <w:rFonts w:cstheme="majorHAnsi"/>
                <w:bCs/>
                <w:sz w:val="18"/>
                <w:szCs w:val="18"/>
              </w:rPr>
              <w:t>Mean CBT</w:t>
            </w:r>
            <w:r w:rsidRPr="006F6D92">
              <w:rPr>
                <w:rFonts w:cstheme="majorHAnsi"/>
                <w:bCs/>
                <w:sz w:val="18"/>
                <w:szCs w:val="18"/>
              </w:rPr>
              <w:t xml:space="preserve"> 62.5 mm </w:t>
            </w:r>
            <w:r>
              <w:rPr>
                <w:rFonts w:cstheme="majorHAnsi"/>
                <w:bCs/>
                <w:sz w:val="18"/>
                <w:szCs w:val="18"/>
              </w:rPr>
              <w:t>(</w:t>
            </w:r>
            <w:r w:rsidRPr="006F6D92">
              <w:rPr>
                <w:rFonts w:cstheme="majorHAnsi"/>
                <w:bCs/>
                <w:sz w:val="18"/>
                <w:szCs w:val="18"/>
              </w:rPr>
              <w:t>12.8</w:t>
            </w:r>
            <w:r>
              <w:rPr>
                <w:rFonts w:cstheme="majorHAnsi"/>
                <w:bCs/>
                <w:sz w:val="18"/>
                <w:szCs w:val="18"/>
              </w:rPr>
              <w:t>)</w:t>
            </w:r>
            <w:r w:rsidRPr="006F6D92">
              <w:rPr>
                <w:rFonts w:cstheme="majorHAnsi"/>
                <w:bCs/>
                <w:sz w:val="18"/>
                <w:szCs w:val="18"/>
              </w:rPr>
              <w:t xml:space="preserve"> </w:t>
            </w:r>
          </w:p>
          <w:p w14:paraId="604CAAC3" w14:textId="77777777" w:rsidR="00161844" w:rsidRPr="006F6D92" w:rsidRDefault="00161844" w:rsidP="00805590">
            <w:pPr>
              <w:pStyle w:val="BodyText"/>
              <w:spacing w:before="0" w:after="0" w:line="240" w:lineRule="auto"/>
              <w:rPr>
                <w:rFonts w:cstheme="majorHAnsi"/>
                <w:bCs/>
                <w:sz w:val="18"/>
                <w:szCs w:val="18"/>
              </w:rPr>
            </w:pPr>
          </w:p>
        </w:tc>
      </w:tr>
      <w:bookmarkEnd w:id="431"/>
    </w:tbl>
    <w:p w14:paraId="4597F452" w14:textId="77777777" w:rsidR="00161844" w:rsidRDefault="00161844" w:rsidP="00161844">
      <w:pPr>
        <w:pStyle w:val="Caption"/>
        <w:rPr>
          <w:b w:val="0"/>
          <w:color w:val="auto"/>
        </w:rPr>
        <w:sectPr w:rsidR="00161844" w:rsidSect="007A16CF">
          <w:pgSz w:w="16839" w:h="11907" w:orient="landscape" w:code="9"/>
          <w:pgMar w:top="1418" w:right="1418" w:bottom="1418" w:left="1418" w:header="964" w:footer="964" w:gutter="0"/>
          <w:cols w:space="708"/>
          <w:docGrid w:linePitch="360"/>
        </w:sectPr>
      </w:pPr>
    </w:p>
    <w:p w14:paraId="7184C42E" w14:textId="6583744C" w:rsidR="00161844" w:rsidRDefault="00161844" w:rsidP="00161844">
      <w:pPr>
        <w:pStyle w:val="Caption"/>
      </w:pPr>
      <w:r>
        <w:lastRenderedPageBreak/>
        <w:t xml:space="preserve">Table </w:t>
      </w:r>
      <w:r w:rsidR="00BC52D9">
        <w:t>20</w:t>
      </w:r>
      <w:r w:rsidR="0060543D">
        <w:t>b</w:t>
      </w:r>
      <w:r>
        <w:t xml:space="preserve">: </w:t>
      </w:r>
      <w:r w:rsidR="007B3BBB">
        <w:t xml:space="preserve">FFDM+DBT </w:t>
      </w:r>
      <w:r>
        <w:t>compared to FFDM alone: studies reporting on radiation dose (MGD per view, mG</w:t>
      </w:r>
      <w:r w:rsidR="00300998">
        <w:t>y</w:t>
      </w:r>
      <w:r>
        <w:t>)</w:t>
      </w:r>
    </w:p>
    <w:tbl>
      <w:tblPr>
        <w:tblW w:w="5000" w:type="pct"/>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Description w:val="The Random Control trial included the Study from Pattacini et al. (2018), Reggio Emilia. The Sample size consisted of Women aged 45-74 years attending for incident screening (women aged 45-49y screened annually; women aged &gt;50 screened biennially). Women with family history were excluded. The FFDM included 9783 women (mean age 56.3y) and the FFDM+DBT included 9777 women (mean age 56.3y). The Study type consisted of Baseline data from a prospective randomized controlled trial using a test and treat methodology using GE Senographe Essential systems. (No AEC information available). The FFDM+DBT MGD per view mGy (SD) reported 6.40 (IQR, 5.68, 7.36). The FFDM alone with MGD per view mGy (SD) reported 4.84 (IQR, 4.24, 5.72). The DBT alone MGD per view mGy (SD) was not applicable. Additional information included the dose in the experimental arm was 2.3 times higher than 49 women who had problems completing DBT because of compression discomfort. &#10;&#10;The Prospective trials embedded in population screening programs consist of 3 studies.&#10;&#10;The first includes the Bernardi et al. (2018) STORM with a sample size of 9672 women. The study type is a Prospective trial with paired data using Selenia® Dimensions Unit operated in COMBO© mode; Hologic and using C-View™. The FFDM+DBT MGD per view mGy (SD) recorded 1.87 (0.67) with the FFDM alone MGD per view mGy (SD)  reporting 3.22. The DBT alone MGD per view mGy (SD) reported 1.36 (0.51) and additional information was not applicable. &#10;&#10;The second study is conducted by Østerås et al. (2018) OTS. The sample size is of 3819 women with a mean age of 58.8 with a range of 50–70 years resulting in 15276 paired DM and DBT views. CC and MLO views were acquired of both breasts in a combo mode (DM plus DBT acquisition during the same compression). The study type was a Cohort study drawn from OTS using Hologic Selenia Dimensions units, using automatic exposure control setting. The FFDM+DBT MGD per view mGy (SD) recorded for all at 3.84, for Non-dense at 4.01, and Dense at 3.51 with a  p&lt;.001. The FFDM alone MGD per view mGy (SD)  fo All was at 1.74, Non-dense at 1.74, and Dense at 1.73 with a p value =.13. The DBT alone MGD per view mGy (SD) for All was at 2.10, Non-dense at 2.27, and Dense at 1.79 with a p value &lt;.001. The additional information included DBT/FFDM ratio for All with 1.24, Fatty at 1.33, and Dense at 1.08 with a p alue &lt;.001.&#10;&#10;The third study involved Skaane et al. (2019) OTS, with a sample size of 24,301 women screened in the Norway BreastScreen program. The study type was a Fully paired trial using Hologic units. The FFDM+DBT MGD per view mGy (SD) was 3.53 (0.84) and the FFDM alone MGD per view mGy (SD) was 1.58 (0.61). The DBT alone MGD per view mGy (SD) was 1.95 (0.58) and the additional information was not applicable.&#10;"/>
      </w:tblPr>
      <w:tblGrid>
        <w:gridCol w:w="1912"/>
        <w:gridCol w:w="2517"/>
        <w:gridCol w:w="2141"/>
        <w:gridCol w:w="1855"/>
        <w:gridCol w:w="1855"/>
        <w:gridCol w:w="1855"/>
        <w:gridCol w:w="1858"/>
      </w:tblGrid>
      <w:tr w:rsidR="00161844" w:rsidRPr="00E44152" w14:paraId="6043DDFA" w14:textId="77777777" w:rsidTr="00805590">
        <w:trPr>
          <w:trHeight w:val="287"/>
          <w:tblHeader/>
        </w:trPr>
        <w:tc>
          <w:tcPr>
            <w:tcW w:w="683" w:type="pct"/>
            <w:shd w:val="clear" w:color="auto" w:fill="77B800" w:themeFill="background2"/>
          </w:tcPr>
          <w:p w14:paraId="0D67031D" w14:textId="77777777" w:rsidR="00161844" w:rsidRPr="00D86DE8" w:rsidRDefault="00161844" w:rsidP="00805590">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b/>
                <w:color w:val="FFFFFF" w:themeColor="background1"/>
                <w:sz w:val="18"/>
                <w:szCs w:val="18"/>
              </w:rPr>
              <w:t>Study</w:t>
            </w:r>
          </w:p>
        </w:tc>
        <w:tc>
          <w:tcPr>
            <w:tcW w:w="899" w:type="pct"/>
            <w:shd w:val="clear" w:color="auto" w:fill="77B800" w:themeFill="background2"/>
          </w:tcPr>
          <w:p w14:paraId="43EF2050" w14:textId="77777777" w:rsidR="00161844" w:rsidRPr="00C75EDC"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Sample</w:t>
            </w:r>
          </w:p>
        </w:tc>
        <w:tc>
          <w:tcPr>
            <w:tcW w:w="765" w:type="pct"/>
            <w:shd w:val="clear" w:color="auto" w:fill="77B800" w:themeFill="background2"/>
          </w:tcPr>
          <w:p w14:paraId="47B7806B" w14:textId="77777777" w:rsidR="00161844" w:rsidRPr="00C75EDC"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Study type</w:t>
            </w:r>
          </w:p>
        </w:tc>
        <w:tc>
          <w:tcPr>
            <w:tcW w:w="663" w:type="pct"/>
            <w:shd w:val="clear" w:color="auto" w:fill="77B800" w:themeFill="background2"/>
          </w:tcPr>
          <w:p w14:paraId="161D0078" w14:textId="77777777" w:rsidR="005866B2" w:rsidRDefault="007B3BBB" w:rsidP="00805590">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 xml:space="preserve">FFDM+DBT </w:t>
            </w:r>
          </w:p>
          <w:p w14:paraId="65C65D2A" w14:textId="71A7A626" w:rsidR="00161844" w:rsidRPr="00D86DE8"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sidRPr="005866B2">
              <w:rPr>
                <w:rFonts w:asciiTheme="majorHAnsi" w:hAnsiTheme="majorHAnsi" w:cstheme="majorHAnsi"/>
                <w:color w:val="FFFFFF" w:themeColor="background1"/>
                <w:sz w:val="16"/>
                <w:szCs w:val="16"/>
              </w:rPr>
              <w:t>MGD per view mGy (SD)</w:t>
            </w:r>
          </w:p>
        </w:tc>
        <w:tc>
          <w:tcPr>
            <w:tcW w:w="663" w:type="pct"/>
            <w:shd w:val="clear" w:color="auto" w:fill="77B800" w:themeFill="background2"/>
          </w:tcPr>
          <w:p w14:paraId="26297702" w14:textId="77777777" w:rsidR="00161844" w:rsidRDefault="00161844" w:rsidP="00805590">
            <w:pPr>
              <w:pStyle w:val="BodyText"/>
              <w:spacing w:before="0" w:after="0" w:line="240" w:lineRule="auto"/>
              <w:jc w:val="center"/>
              <w:rPr>
                <w:rFonts w:asciiTheme="majorHAnsi" w:hAnsiTheme="majorHAnsi" w:cstheme="majorHAnsi"/>
                <w:color w:val="FFFFFF" w:themeColor="background1"/>
                <w:sz w:val="18"/>
                <w:szCs w:val="18"/>
              </w:rPr>
            </w:pPr>
            <w:r w:rsidRPr="00E44152">
              <w:rPr>
                <w:rFonts w:asciiTheme="majorHAnsi" w:hAnsiTheme="majorHAnsi" w:cstheme="majorHAnsi"/>
                <w:b/>
                <w:color w:val="FFFFFF" w:themeColor="background1"/>
                <w:sz w:val="18"/>
                <w:szCs w:val="18"/>
              </w:rPr>
              <w:t>FFDM alone</w:t>
            </w:r>
            <w:r>
              <w:rPr>
                <w:rFonts w:asciiTheme="majorHAnsi" w:hAnsiTheme="majorHAnsi" w:cstheme="majorHAnsi"/>
                <w:b/>
                <w:color w:val="FFFFFF" w:themeColor="background1"/>
                <w:sz w:val="18"/>
                <w:szCs w:val="18"/>
              </w:rPr>
              <w:t xml:space="preserve"> </w:t>
            </w:r>
          </w:p>
          <w:p w14:paraId="05F0FB5D" w14:textId="1FC745FF" w:rsidR="005866B2" w:rsidRPr="00D86DE8" w:rsidRDefault="005866B2" w:rsidP="00805590">
            <w:pPr>
              <w:pStyle w:val="BodyText"/>
              <w:spacing w:before="0" w:after="0" w:line="240" w:lineRule="auto"/>
              <w:jc w:val="center"/>
              <w:rPr>
                <w:rFonts w:asciiTheme="majorHAnsi" w:hAnsiTheme="majorHAnsi" w:cstheme="majorHAnsi"/>
                <w:b/>
                <w:color w:val="FFFFFF" w:themeColor="background1"/>
                <w:sz w:val="18"/>
                <w:szCs w:val="18"/>
              </w:rPr>
            </w:pPr>
            <w:r w:rsidRPr="005866B2">
              <w:rPr>
                <w:rFonts w:asciiTheme="majorHAnsi" w:hAnsiTheme="majorHAnsi" w:cstheme="majorHAnsi"/>
                <w:color w:val="FFFFFF" w:themeColor="background1"/>
                <w:sz w:val="16"/>
                <w:szCs w:val="16"/>
              </w:rPr>
              <w:t>MGD per view mGy (SD)</w:t>
            </w:r>
          </w:p>
        </w:tc>
        <w:tc>
          <w:tcPr>
            <w:tcW w:w="663" w:type="pct"/>
            <w:shd w:val="clear" w:color="auto" w:fill="77B800" w:themeFill="background2"/>
          </w:tcPr>
          <w:p w14:paraId="175EFCF6" w14:textId="77777777" w:rsidR="00161844"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DBT alone</w:t>
            </w:r>
          </w:p>
          <w:p w14:paraId="08E7CFDE" w14:textId="321B20D1" w:rsidR="005866B2" w:rsidRDefault="005866B2" w:rsidP="00805590">
            <w:pPr>
              <w:pStyle w:val="BodyText"/>
              <w:spacing w:before="0" w:after="0" w:line="240" w:lineRule="auto"/>
              <w:jc w:val="center"/>
              <w:rPr>
                <w:rFonts w:asciiTheme="majorHAnsi" w:hAnsiTheme="majorHAnsi" w:cstheme="majorHAnsi"/>
                <w:b/>
                <w:color w:val="FFFFFF" w:themeColor="background1"/>
                <w:sz w:val="18"/>
                <w:szCs w:val="18"/>
              </w:rPr>
            </w:pPr>
            <w:r w:rsidRPr="005866B2">
              <w:rPr>
                <w:rFonts w:asciiTheme="majorHAnsi" w:hAnsiTheme="majorHAnsi" w:cstheme="majorHAnsi"/>
                <w:color w:val="FFFFFF" w:themeColor="background1"/>
                <w:sz w:val="16"/>
                <w:szCs w:val="16"/>
              </w:rPr>
              <w:t>MGD per view mGy (SD)</w:t>
            </w:r>
          </w:p>
        </w:tc>
        <w:tc>
          <w:tcPr>
            <w:tcW w:w="663" w:type="pct"/>
            <w:shd w:val="clear" w:color="auto" w:fill="77B800" w:themeFill="background2"/>
          </w:tcPr>
          <w:p w14:paraId="401E2A27" w14:textId="77777777" w:rsidR="00161844" w:rsidRPr="00E44152"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Additional information</w:t>
            </w:r>
          </w:p>
        </w:tc>
      </w:tr>
      <w:tr w:rsidR="00914E8B" w:rsidRPr="00914E8B" w14:paraId="694756FE" w14:textId="77777777" w:rsidTr="005866B2">
        <w:trPr>
          <w:trHeight w:val="287"/>
          <w:tblHeader/>
        </w:trPr>
        <w:tc>
          <w:tcPr>
            <w:tcW w:w="5000" w:type="pct"/>
            <w:gridSpan w:val="7"/>
            <w:shd w:val="clear" w:color="auto" w:fill="FFFFFF" w:themeFill="background1"/>
          </w:tcPr>
          <w:p w14:paraId="218E4059" w14:textId="5A30CA82" w:rsidR="00914E8B" w:rsidRPr="00914E8B" w:rsidRDefault="00914E8B" w:rsidP="005866B2">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
                <w:bCs/>
                <w:sz w:val="18"/>
                <w:szCs w:val="18"/>
              </w:rPr>
              <w:t>RCT</w:t>
            </w:r>
          </w:p>
        </w:tc>
      </w:tr>
      <w:tr w:rsidR="00161844" w:rsidRPr="00E44152" w14:paraId="1C4C9F8F" w14:textId="77777777" w:rsidTr="00914E8B">
        <w:trPr>
          <w:trHeight w:val="287"/>
          <w:tblHeader/>
        </w:trPr>
        <w:tc>
          <w:tcPr>
            <w:tcW w:w="683" w:type="pct"/>
            <w:shd w:val="clear" w:color="auto" w:fill="FFFFFF" w:themeFill="background1"/>
          </w:tcPr>
          <w:p w14:paraId="3A247407" w14:textId="77777777" w:rsidR="00161844"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Pattacini et al. (2018)</w:t>
            </w:r>
          </w:p>
          <w:p w14:paraId="2383FBD9" w14:textId="77777777" w:rsidR="00161844" w:rsidRDefault="00161844" w:rsidP="00805590">
            <w:pPr>
              <w:pStyle w:val="BodyText"/>
              <w:spacing w:before="0" w:after="0" w:line="240" w:lineRule="auto"/>
              <w:jc w:val="left"/>
              <w:rPr>
                <w:rFonts w:asciiTheme="majorHAnsi" w:hAnsiTheme="majorHAnsi" w:cstheme="majorHAnsi"/>
                <w:b/>
                <w:color w:val="FFFFFF" w:themeColor="background1"/>
                <w:sz w:val="18"/>
                <w:szCs w:val="18"/>
              </w:rPr>
            </w:pPr>
            <w:r>
              <w:rPr>
                <w:rFonts w:asciiTheme="majorHAnsi" w:hAnsiTheme="majorHAnsi" w:cstheme="majorHAnsi"/>
                <w:bCs/>
                <w:sz w:val="18"/>
                <w:szCs w:val="18"/>
              </w:rPr>
              <w:t xml:space="preserve">Reggio Emilia </w:t>
            </w:r>
          </w:p>
        </w:tc>
        <w:tc>
          <w:tcPr>
            <w:tcW w:w="899" w:type="pct"/>
            <w:shd w:val="clear" w:color="auto" w:fill="FFFFFF" w:themeFill="background1"/>
          </w:tcPr>
          <w:p w14:paraId="19617C5E" w14:textId="5392ADDF" w:rsidR="00161844"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Women aged 45</w:t>
            </w:r>
            <w:r w:rsidR="00285D7E">
              <w:rPr>
                <w:rFonts w:asciiTheme="majorHAnsi" w:hAnsiTheme="majorHAnsi" w:cstheme="majorHAnsi"/>
                <w:bCs/>
                <w:sz w:val="18"/>
                <w:szCs w:val="18"/>
              </w:rPr>
              <w:t>-7</w:t>
            </w:r>
            <w:r>
              <w:rPr>
                <w:rFonts w:asciiTheme="majorHAnsi" w:hAnsiTheme="majorHAnsi" w:cstheme="majorHAnsi"/>
                <w:bCs/>
                <w:sz w:val="18"/>
                <w:szCs w:val="18"/>
              </w:rPr>
              <w:t>4</w:t>
            </w:r>
            <w:r w:rsidR="00285D7E">
              <w:rPr>
                <w:rFonts w:asciiTheme="majorHAnsi" w:hAnsiTheme="majorHAnsi" w:cstheme="majorHAnsi"/>
                <w:bCs/>
                <w:sz w:val="18"/>
                <w:szCs w:val="18"/>
              </w:rPr>
              <w:t>y</w:t>
            </w:r>
            <w:r>
              <w:rPr>
                <w:rFonts w:asciiTheme="majorHAnsi" w:hAnsiTheme="majorHAnsi" w:cstheme="majorHAnsi"/>
                <w:bCs/>
                <w:sz w:val="18"/>
                <w:szCs w:val="18"/>
              </w:rPr>
              <w:t xml:space="preserve"> attending for incident screening (women aged 45-49</w:t>
            </w:r>
            <w:r w:rsidR="00285D7E">
              <w:rPr>
                <w:rFonts w:asciiTheme="majorHAnsi" w:hAnsiTheme="majorHAnsi" w:cstheme="majorHAnsi"/>
                <w:bCs/>
                <w:sz w:val="18"/>
                <w:szCs w:val="18"/>
              </w:rPr>
              <w:t>y</w:t>
            </w:r>
            <w:r>
              <w:rPr>
                <w:rFonts w:asciiTheme="majorHAnsi" w:hAnsiTheme="majorHAnsi" w:cstheme="majorHAnsi"/>
                <w:bCs/>
                <w:sz w:val="18"/>
                <w:szCs w:val="18"/>
              </w:rPr>
              <w:t xml:space="preserve"> screened annually; women aged </w:t>
            </w:r>
            <w:r w:rsidRPr="001169BA">
              <w:rPr>
                <w:rFonts w:asciiTheme="majorHAnsi" w:hAnsiTheme="majorHAnsi" w:cstheme="majorHAnsi"/>
                <w:bCs/>
                <w:sz w:val="18"/>
                <w:szCs w:val="18"/>
                <w:u w:val="single"/>
              </w:rPr>
              <w:t>&gt;</w:t>
            </w:r>
            <w:r>
              <w:rPr>
                <w:rFonts w:asciiTheme="majorHAnsi" w:hAnsiTheme="majorHAnsi" w:cstheme="majorHAnsi"/>
                <w:bCs/>
                <w:sz w:val="18"/>
                <w:szCs w:val="18"/>
              </w:rPr>
              <w:t>50 screened biennially). Women with family history were excluded.</w:t>
            </w:r>
          </w:p>
          <w:p w14:paraId="4BECCF08" w14:textId="77777777" w:rsidR="00161844"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 9783 women (mean age 56.3y)</w:t>
            </w:r>
          </w:p>
          <w:p w14:paraId="56CF382D" w14:textId="77777777" w:rsidR="00161844" w:rsidRPr="00590BAC"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FFDM+DBT: 9777 women (mean age 56.3y)</w:t>
            </w:r>
          </w:p>
        </w:tc>
        <w:tc>
          <w:tcPr>
            <w:tcW w:w="765" w:type="pct"/>
            <w:shd w:val="clear" w:color="auto" w:fill="FFFFFF" w:themeFill="background1"/>
          </w:tcPr>
          <w:p w14:paraId="66AB011E" w14:textId="77777777" w:rsidR="00161844" w:rsidRPr="00590BAC" w:rsidRDefault="00161844" w:rsidP="00805590">
            <w:pPr>
              <w:pStyle w:val="BodyText"/>
              <w:spacing w:before="0" w:after="0" w:line="240" w:lineRule="auto"/>
              <w:jc w:val="left"/>
              <w:rPr>
                <w:rFonts w:asciiTheme="majorHAnsi" w:hAnsiTheme="majorHAnsi" w:cstheme="majorHAnsi"/>
                <w:bCs/>
              </w:rPr>
            </w:pPr>
            <w:r>
              <w:rPr>
                <w:rFonts w:asciiTheme="majorHAnsi" w:hAnsiTheme="majorHAnsi" w:cstheme="majorHAnsi"/>
                <w:sz w:val="18"/>
                <w:szCs w:val="18"/>
              </w:rPr>
              <w:t>Baseline data from a prospective randomized controlled trial using a test and treat methodology using GE Senographe Essential systems. (No AEC information available)</w:t>
            </w:r>
          </w:p>
        </w:tc>
        <w:tc>
          <w:tcPr>
            <w:tcW w:w="663" w:type="pct"/>
            <w:shd w:val="clear" w:color="auto" w:fill="FFFFFF" w:themeFill="background1"/>
          </w:tcPr>
          <w:p w14:paraId="4956D5E2" w14:textId="10F0AC53" w:rsidR="00161844" w:rsidRPr="002669A5"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FFDM+DBT = </w:t>
            </w:r>
            <w:r w:rsidRPr="002669A5">
              <w:rPr>
                <w:rFonts w:asciiTheme="majorHAnsi" w:hAnsiTheme="majorHAnsi" w:cstheme="majorHAnsi"/>
                <w:bCs/>
                <w:sz w:val="18"/>
                <w:szCs w:val="18"/>
              </w:rPr>
              <w:t>6.40</w:t>
            </w:r>
            <w:r>
              <w:rPr>
                <w:rFonts w:asciiTheme="majorHAnsi" w:hAnsiTheme="majorHAnsi" w:cstheme="majorHAnsi"/>
                <w:bCs/>
                <w:sz w:val="18"/>
                <w:szCs w:val="18"/>
              </w:rPr>
              <w:t xml:space="preserve"> </w:t>
            </w:r>
            <w:r w:rsidRPr="002669A5">
              <w:rPr>
                <w:rFonts w:asciiTheme="majorHAnsi" w:hAnsiTheme="majorHAnsi" w:cstheme="majorHAnsi"/>
                <w:bCs/>
                <w:sz w:val="18"/>
                <w:szCs w:val="18"/>
              </w:rPr>
              <w:t>(IQR,</w:t>
            </w:r>
            <w:r>
              <w:rPr>
                <w:rFonts w:asciiTheme="majorHAnsi" w:hAnsiTheme="majorHAnsi" w:cstheme="majorHAnsi"/>
                <w:bCs/>
                <w:sz w:val="18"/>
                <w:szCs w:val="18"/>
              </w:rPr>
              <w:t xml:space="preserve"> </w:t>
            </w:r>
            <w:r w:rsidRPr="002669A5">
              <w:rPr>
                <w:rFonts w:asciiTheme="majorHAnsi" w:hAnsiTheme="majorHAnsi" w:cstheme="majorHAnsi"/>
                <w:bCs/>
                <w:sz w:val="18"/>
                <w:szCs w:val="18"/>
              </w:rPr>
              <w:t>5.68</w:t>
            </w:r>
            <w:r w:rsidR="00914E8B">
              <w:rPr>
                <w:rFonts w:asciiTheme="majorHAnsi" w:hAnsiTheme="majorHAnsi" w:cstheme="majorHAnsi"/>
                <w:bCs/>
                <w:sz w:val="18"/>
                <w:szCs w:val="18"/>
              </w:rPr>
              <w:t xml:space="preserve">, </w:t>
            </w:r>
            <w:r w:rsidRPr="002669A5">
              <w:rPr>
                <w:rFonts w:asciiTheme="majorHAnsi" w:hAnsiTheme="majorHAnsi" w:cstheme="majorHAnsi"/>
                <w:bCs/>
                <w:sz w:val="18"/>
                <w:szCs w:val="18"/>
              </w:rPr>
              <w:t>7.36)</w:t>
            </w:r>
          </w:p>
        </w:tc>
        <w:tc>
          <w:tcPr>
            <w:tcW w:w="663" w:type="pct"/>
            <w:shd w:val="clear" w:color="auto" w:fill="FFFFFF" w:themeFill="background1"/>
          </w:tcPr>
          <w:p w14:paraId="23580DDA" w14:textId="67FB0D1B" w:rsidR="00161844"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FFDM</w:t>
            </w:r>
            <w:r w:rsidR="00CE3204">
              <w:rPr>
                <w:rFonts w:asciiTheme="majorHAnsi" w:hAnsiTheme="majorHAnsi" w:cstheme="majorHAnsi"/>
                <w:bCs/>
                <w:sz w:val="18"/>
                <w:szCs w:val="18"/>
              </w:rPr>
              <w:t xml:space="preserve"> </w:t>
            </w:r>
            <w:r>
              <w:rPr>
                <w:rFonts w:asciiTheme="majorHAnsi" w:hAnsiTheme="majorHAnsi" w:cstheme="majorHAnsi"/>
                <w:bCs/>
                <w:sz w:val="18"/>
                <w:szCs w:val="18"/>
              </w:rPr>
              <w:t xml:space="preserve">= </w:t>
            </w:r>
            <w:r w:rsidRPr="002669A5">
              <w:rPr>
                <w:rFonts w:asciiTheme="majorHAnsi" w:hAnsiTheme="majorHAnsi" w:cstheme="majorHAnsi"/>
                <w:bCs/>
                <w:sz w:val="18"/>
                <w:szCs w:val="18"/>
              </w:rPr>
              <w:t>4.84</w:t>
            </w:r>
          </w:p>
          <w:p w14:paraId="04183A5E" w14:textId="41DA11F1" w:rsidR="00161844" w:rsidRPr="002669A5" w:rsidRDefault="00161844" w:rsidP="00805590">
            <w:pPr>
              <w:pStyle w:val="BodyText"/>
              <w:spacing w:before="0" w:after="0" w:line="240" w:lineRule="auto"/>
              <w:jc w:val="left"/>
              <w:rPr>
                <w:rFonts w:asciiTheme="majorHAnsi" w:hAnsiTheme="majorHAnsi" w:cstheme="majorHAnsi"/>
                <w:bCs/>
                <w:sz w:val="18"/>
                <w:szCs w:val="18"/>
              </w:rPr>
            </w:pPr>
            <w:r w:rsidRPr="002669A5">
              <w:rPr>
                <w:rFonts w:asciiTheme="majorHAnsi" w:hAnsiTheme="majorHAnsi" w:cstheme="majorHAnsi"/>
                <w:bCs/>
                <w:sz w:val="18"/>
                <w:szCs w:val="18"/>
              </w:rPr>
              <w:t>(IQR, 4.24</w:t>
            </w:r>
            <w:r w:rsidR="00914E8B">
              <w:rPr>
                <w:rFonts w:asciiTheme="majorHAnsi" w:hAnsiTheme="majorHAnsi" w:cstheme="majorHAnsi"/>
                <w:bCs/>
                <w:sz w:val="18"/>
                <w:szCs w:val="18"/>
              </w:rPr>
              <w:t xml:space="preserve">, </w:t>
            </w:r>
            <w:r w:rsidRPr="002669A5">
              <w:rPr>
                <w:rFonts w:asciiTheme="majorHAnsi" w:hAnsiTheme="majorHAnsi" w:cstheme="majorHAnsi"/>
                <w:bCs/>
                <w:sz w:val="18"/>
                <w:szCs w:val="18"/>
              </w:rPr>
              <w:t>5.72)</w:t>
            </w:r>
          </w:p>
        </w:tc>
        <w:tc>
          <w:tcPr>
            <w:tcW w:w="663" w:type="pct"/>
            <w:shd w:val="clear" w:color="auto" w:fill="FFFFFF" w:themeFill="background1"/>
          </w:tcPr>
          <w:p w14:paraId="3083D748" w14:textId="618E589C" w:rsidR="00161844" w:rsidRPr="005866B2" w:rsidRDefault="005866B2" w:rsidP="005866B2">
            <w:pPr>
              <w:pStyle w:val="BodyText"/>
              <w:spacing w:before="0" w:after="0" w:line="240" w:lineRule="auto"/>
              <w:jc w:val="center"/>
              <w:rPr>
                <w:rFonts w:asciiTheme="majorHAnsi" w:hAnsiTheme="majorHAnsi" w:cstheme="majorHAnsi"/>
                <w:bCs/>
                <w:sz w:val="18"/>
                <w:szCs w:val="18"/>
              </w:rPr>
            </w:pPr>
            <w:r w:rsidRPr="005866B2">
              <w:rPr>
                <w:rFonts w:asciiTheme="majorHAnsi" w:hAnsiTheme="majorHAnsi" w:cstheme="majorHAnsi"/>
                <w:bCs/>
                <w:sz w:val="18"/>
                <w:szCs w:val="18"/>
              </w:rPr>
              <w:t>NA</w:t>
            </w:r>
          </w:p>
        </w:tc>
        <w:tc>
          <w:tcPr>
            <w:tcW w:w="664" w:type="pct"/>
            <w:shd w:val="clear" w:color="auto" w:fill="FFFFFF" w:themeFill="background1"/>
          </w:tcPr>
          <w:p w14:paraId="4CE6A24C" w14:textId="77777777" w:rsidR="00161844" w:rsidRPr="002669A5"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T</w:t>
            </w:r>
            <w:r w:rsidRPr="002669A5">
              <w:rPr>
                <w:rFonts w:asciiTheme="majorHAnsi" w:hAnsiTheme="majorHAnsi" w:cstheme="majorHAnsi"/>
                <w:bCs/>
                <w:sz w:val="18"/>
                <w:szCs w:val="18"/>
              </w:rPr>
              <w:t>he dose in the experimental</w:t>
            </w:r>
          </w:p>
          <w:p w14:paraId="46ED1FD7" w14:textId="77777777" w:rsidR="00161844" w:rsidRDefault="00161844" w:rsidP="00805590">
            <w:pPr>
              <w:pStyle w:val="BodyText"/>
              <w:spacing w:before="0" w:after="0" w:line="240" w:lineRule="auto"/>
              <w:jc w:val="left"/>
              <w:rPr>
                <w:rFonts w:asciiTheme="majorHAnsi" w:hAnsiTheme="majorHAnsi" w:cstheme="majorHAnsi"/>
                <w:bCs/>
                <w:sz w:val="18"/>
                <w:szCs w:val="18"/>
              </w:rPr>
            </w:pPr>
            <w:r w:rsidRPr="002669A5">
              <w:rPr>
                <w:rFonts w:asciiTheme="majorHAnsi" w:hAnsiTheme="majorHAnsi" w:cstheme="majorHAnsi"/>
                <w:bCs/>
                <w:sz w:val="18"/>
                <w:szCs w:val="18"/>
              </w:rPr>
              <w:t>arm was 2.3 times higher than</w:t>
            </w:r>
            <w:r>
              <w:rPr>
                <w:rFonts w:asciiTheme="majorHAnsi" w:hAnsiTheme="majorHAnsi" w:cstheme="majorHAnsi"/>
                <w:bCs/>
                <w:sz w:val="18"/>
                <w:szCs w:val="18"/>
              </w:rPr>
              <w:t>.</w:t>
            </w:r>
          </w:p>
          <w:p w14:paraId="11EB59F8" w14:textId="77777777" w:rsidR="00161844" w:rsidRDefault="00161844" w:rsidP="00805590">
            <w:pPr>
              <w:pStyle w:val="BodyText"/>
              <w:spacing w:before="0" w:after="0" w:line="240" w:lineRule="auto"/>
              <w:jc w:val="left"/>
              <w:rPr>
                <w:rFonts w:asciiTheme="majorHAnsi" w:hAnsiTheme="majorHAnsi" w:cstheme="majorHAnsi"/>
                <w:bCs/>
                <w:sz w:val="18"/>
                <w:szCs w:val="18"/>
              </w:rPr>
            </w:pPr>
          </w:p>
          <w:p w14:paraId="0CE730ED" w14:textId="65E1BF46" w:rsidR="00161844" w:rsidRPr="002669A5" w:rsidRDefault="00161844" w:rsidP="00805590">
            <w:pPr>
              <w:pStyle w:val="BodyText"/>
              <w:spacing w:before="0" w:after="0" w:line="240" w:lineRule="auto"/>
              <w:jc w:val="left"/>
              <w:rPr>
                <w:rFonts w:asciiTheme="majorHAnsi" w:hAnsiTheme="majorHAnsi" w:cstheme="majorHAnsi"/>
                <w:bCs/>
                <w:sz w:val="18"/>
                <w:szCs w:val="18"/>
              </w:rPr>
            </w:pPr>
            <w:r w:rsidRPr="005B6DA6">
              <w:rPr>
                <w:rFonts w:asciiTheme="majorHAnsi" w:hAnsiTheme="majorHAnsi" w:cstheme="majorHAnsi"/>
                <w:bCs/>
                <w:sz w:val="18"/>
                <w:szCs w:val="18"/>
              </w:rPr>
              <w:t>49 women who had problems completing DBT</w:t>
            </w:r>
            <w:r>
              <w:rPr>
                <w:rFonts w:asciiTheme="majorHAnsi" w:hAnsiTheme="majorHAnsi" w:cstheme="majorHAnsi"/>
                <w:bCs/>
                <w:sz w:val="18"/>
                <w:szCs w:val="18"/>
              </w:rPr>
              <w:t xml:space="preserve"> </w:t>
            </w:r>
            <w:r w:rsidRPr="005B6DA6">
              <w:rPr>
                <w:rFonts w:asciiTheme="majorHAnsi" w:hAnsiTheme="majorHAnsi" w:cstheme="majorHAnsi"/>
                <w:bCs/>
                <w:sz w:val="18"/>
                <w:szCs w:val="18"/>
              </w:rPr>
              <w:t>because of compression discomfort</w:t>
            </w:r>
            <w:r>
              <w:rPr>
                <w:rFonts w:asciiTheme="majorHAnsi" w:hAnsiTheme="majorHAnsi" w:cstheme="majorHAnsi"/>
                <w:bCs/>
                <w:sz w:val="18"/>
                <w:szCs w:val="18"/>
              </w:rPr>
              <w:t xml:space="preserve">. </w:t>
            </w:r>
          </w:p>
        </w:tc>
      </w:tr>
      <w:tr w:rsidR="00914E8B" w:rsidRPr="00914E8B" w14:paraId="51D6361D" w14:textId="77777777" w:rsidTr="00914E8B">
        <w:trPr>
          <w:trHeight w:val="287"/>
          <w:tblHeader/>
        </w:trPr>
        <w:tc>
          <w:tcPr>
            <w:tcW w:w="5000" w:type="pct"/>
            <w:gridSpan w:val="7"/>
            <w:shd w:val="clear" w:color="auto" w:fill="FFFFFF" w:themeFill="background1"/>
          </w:tcPr>
          <w:p w14:paraId="72C6DB41" w14:textId="529CD903" w:rsidR="00914E8B" w:rsidRPr="00914E8B" w:rsidRDefault="00914E8B" w:rsidP="00805590">
            <w:pPr>
              <w:pStyle w:val="BodyText"/>
              <w:spacing w:before="0" w:after="0" w:line="240" w:lineRule="auto"/>
              <w:jc w:val="left"/>
              <w:rPr>
                <w:rFonts w:asciiTheme="majorHAnsi" w:hAnsiTheme="majorHAnsi" w:cstheme="majorHAnsi"/>
                <w:bCs/>
                <w:sz w:val="18"/>
                <w:szCs w:val="18"/>
              </w:rPr>
            </w:pPr>
            <w:r w:rsidRPr="00914E8B">
              <w:rPr>
                <w:rFonts w:asciiTheme="majorHAnsi" w:hAnsiTheme="majorHAnsi" w:cstheme="majorHAnsi"/>
                <w:b/>
                <w:bCs/>
                <w:sz w:val="18"/>
                <w:szCs w:val="18"/>
              </w:rPr>
              <w:t>Prospective trials embedded in population screening programs</w:t>
            </w:r>
          </w:p>
        </w:tc>
      </w:tr>
      <w:tr w:rsidR="00914E8B" w:rsidRPr="00914E8B" w14:paraId="4E5DF678" w14:textId="77777777" w:rsidTr="00914E8B">
        <w:trPr>
          <w:trHeight w:val="287"/>
          <w:tblHeader/>
        </w:trPr>
        <w:tc>
          <w:tcPr>
            <w:tcW w:w="683" w:type="pct"/>
            <w:shd w:val="clear" w:color="auto" w:fill="FFFFFF" w:themeFill="background1"/>
          </w:tcPr>
          <w:p w14:paraId="60DB28A9" w14:textId="509E5014" w:rsidR="00914E8B" w:rsidRPr="00914E8B" w:rsidRDefault="00914E8B" w:rsidP="00914E8B">
            <w:pPr>
              <w:pStyle w:val="BodyText"/>
              <w:spacing w:before="0" w:after="0" w:line="240" w:lineRule="auto"/>
              <w:jc w:val="left"/>
              <w:rPr>
                <w:rFonts w:asciiTheme="majorHAnsi" w:hAnsiTheme="majorHAnsi" w:cstheme="majorHAnsi"/>
                <w:bCs/>
                <w:sz w:val="18"/>
                <w:szCs w:val="18"/>
              </w:rPr>
            </w:pPr>
            <w:r w:rsidRPr="00914E8B">
              <w:rPr>
                <w:rFonts w:asciiTheme="majorHAnsi" w:hAnsiTheme="majorHAnsi" w:cstheme="majorHAnsi"/>
                <w:bCs/>
                <w:sz w:val="18"/>
                <w:szCs w:val="18"/>
              </w:rPr>
              <w:t>Bernardi et al. (2018) STORM</w:t>
            </w:r>
          </w:p>
        </w:tc>
        <w:tc>
          <w:tcPr>
            <w:tcW w:w="899" w:type="pct"/>
            <w:shd w:val="clear" w:color="auto" w:fill="FFFFFF" w:themeFill="background1"/>
          </w:tcPr>
          <w:p w14:paraId="52B3B2FC" w14:textId="789CD70D" w:rsidR="00914E8B" w:rsidRPr="00914E8B" w:rsidRDefault="00914E8B" w:rsidP="00914E8B">
            <w:pPr>
              <w:pStyle w:val="BodyText"/>
              <w:spacing w:before="0" w:after="0" w:line="240" w:lineRule="auto"/>
              <w:jc w:val="left"/>
              <w:rPr>
                <w:rFonts w:asciiTheme="majorHAnsi" w:hAnsiTheme="majorHAnsi" w:cstheme="majorHAnsi"/>
                <w:bCs/>
                <w:sz w:val="18"/>
                <w:szCs w:val="18"/>
              </w:rPr>
            </w:pPr>
            <w:r w:rsidRPr="00914E8B">
              <w:rPr>
                <w:rFonts w:asciiTheme="majorHAnsi" w:hAnsiTheme="majorHAnsi" w:cstheme="majorHAnsi"/>
                <w:bCs/>
                <w:sz w:val="18"/>
                <w:szCs w:val="18"/>
              </w:rPr>
              <w:t>9672 women</w:t>
            </w:r>
          </w:p>
        </w:tc>
        <w:tc>
          <w:tcPr>
            <w:tcW w:w="765" w:type="pct"/>
            <w:shd w:val="clear" w:color="auto" w:fill="FFFFFF" w:themeFill="background1"/>
          </w:tcPr>
          <w:p w14:paraId="52E65459" w14:textId="07A4509E" w:rsidR="00914E8B" w:rsidRPr="00914E8B" w:rsidRDefault="00914E8B" w:rsidP="00914E8B">
            <w:pPr>
              <w:pStyle w:val="BodyText"/>
              <w:spacing w:before="0" w:after="0" w:line="240" w:lineRule="auto"/>
              <w:jc w:val="left"/>
              <w:rPr>
                <w:rFonts w:asciiTheme="majorHAnsi" w:hAnsiTheme="majorHAnsi" w:cstheme="majorHAnsi"/>
                <w:sz w:val="18"/>
                <w:szCs w:val="18"/>
              </w:rPr>
            </w:pPr>
            <w:r w:rsidRPr="00914E8B">
              <w:rPr>
                <w:rFonts w:asciiTheme="majorHAnsi" w:hAnsiTheme="majorHAnsi" w:cstheme="majorHAnsi"/>
                <w:bCs/>
                <w:sz w:val="18"/>
                <w:szCs w:val="18"/>
              </w:rPr>
              <w:t>Prospective trial with paired data using Selenia® Dimensions Unit operated in COMBO© mode; Hologic and using C-View™</w:t>
            </w:r>
          </w:p>
        </w:tc>
        <w:tc>
          <w:tcPr>
            <w:tcW w:w="663" w:type="pct"/>
            <w:shd w:val="clear" w:color="auto" w:fill="FFFFFF" w:themeFill="background1"/>
          </w:tcPr>
          <w:p w14:paraId="693EBC43" w14:textId="4F0078D2" w:rsidR="00914E8B" w:rsidRPr="00914E8B" w:rsidRDefault="00914E8B" w:rsidP="00914E8B">
            <w:pPr>
              <w:pStyle w:val="BodyText"/>
              <w:spacing w:before="0" w:after="0" w:line="240" w:lineRule="auto"/>
              <w:jc w:val="left"/>
              <w:rPr>
                <w:rFonts w:asciiTheme="majorHAnsi" w:hAnsiTheme="majorHAnsi" w:cstheme="majorHAnsi"/>
                <w:b/>
                <w:sz w:val="18"/>
                <w:szCs w:val="18"/>
              </w:rPr>
            </w:pPr>
            <w:r w:rsidRPr="00914E8B">
              <w:rPr>
                <w:rFonts w:asciiTheme="majorHAnsi" w:hAnsiTheme="majorHAnsi" w:cstheme="majorHAnsi"/>
                <w:bCs/>
                <w:sz w:val="18"/>
                <w:szCs w:val="18"/>
              </w:rPr>
              <w:t xml:space="preserve">1.87 (0.67) </w:t>
            </w:r>
          </w:p>
        </w:tc>
        <w:tc>
          <w:tcPr>
            <w:tcW w:w="663" w:type="pct"/>
            <w:shd w:val="clear" w:color="auto" w:fill="FFFFFF" w:themeFill="background1"/>
          </w:tcPr>
          <w:p w14:paraId="26C93FB1" w14:textId="6027FCA2" w:rsidR="00914E8B" w:rsidRPr="00914E8B" w:rsidRDefault="00914E8B" w:rsidP="00914E8B">
            <w:pPr>
              <w:pStyle w:val="BodyText"/>
              <w:spacing w:before="0" w:after="0" w:line="240" w:lineRule="auto"/>
              <w:jc w:val="left"/>
              <w:rPr>
                <w:rFonts w:asciiTheme="majorHAnsi" w:hAnsiTheme="majorHAnsi" w:cstheme="majorHAnsi"/>
                <w:bCs/>
                <w:sz w:val="18"/>
                <w:szCs w:val="18"/>
              </w:rPr>
            </w:pPr>
            <w:r w:rsidRPr="00914E8B">
              <w:rPr>
                <w:rFonts w:asciiTheme="majorHAnsi" w:hAnsiTheme="majorHAnsi" w:cstheme="majorHAnsi"/>
                <w:bCs/>
                <w:sz w:val="18"/>
                <w:szCs w:val="18"/>
              </w:rPr>
              <w:t xml:space="preserve">3.22  </w:t>
            </w:r>
          </w:p>
        </w:tc>
        <w:tc>
          <w:tcPr>
            <w:tcW w:w="663" w:type="pct"/>
            <w:shd w:val="clear" w:color="auto" w:fill="FFFFFF" w:themeFill="background1"/>
          </w:tcPr>
          <w:p w14:paraId="119D2B9E" w14:textId="7913C5B7" w:rsidR="00914E8B" w:rsidRPr="00914E8B" w:rsidRDefault="00914E8B" w:rsidP="00914E8B">
            <w:pPr>
              <w:pStyle w:val="BodyText"/>
              <w:spacing w:before="0" w:after="0" w:line="240" w:lineRule="auto"/>
              <w:jc w:val="left"/>
              <w:rPr>
                <w:rFonts w:asciiTheme="majorHAnsi" w:hAnsiTheme="majorHAnsi" w:cstheme="majorHAnsi"/>
                <w:bCs/>
                <w:sz w:val="18"/>
                <w:szCs w:val="18"/>
              </w:rPr>
            </w:pPr>
            <w:r w:rsidRPr="00914E8B">
              <w:rPr>
                <w:rFonts w:asciiTheme="majorHAnsi" w:hAnsiTheme="majorHAnsi" w:cstheme="majorHAnsi"/>
                <w:bCs/>
                <w:sz w:val="18"/>
                <w:szCs w:val="18"/>
              </w:rPr>
              <w:t xml:space="preserve">1.36 (0.51) </w:t>
            </w:r>
          </w:p>
        </w:tc>
        <w:tc>
          <w:tcPr>
            <w:tcW w:w="664" w:type="pct"/>
            <w:shd w:val="clear" w:color="auto" w:fill="FFFFFF" w:themeFill="background1"/>
          </w:tcPr>
          <w:p w14:paraId="559EF65B" w14:textId="38A6B3D9" w:rsidR="00914E8B" w:rsidRPr="00914E8B" w:rsidRDefault="005866B2" w:rsidP="005866B2">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NA</w:t>
            </w:r>
          </w:p>
        </w:tc>
      </w:tr>
      <w:tr w:rsidR="00914E8B" w:rsidRPr="00E44152" w14:paraId="5647E7AA" w14:textId="77777777" w:rsidTr="00914E8B">
        <w:trPr>
          <w:trHeight w:val="287"/>
          <w:tblHeader/>
        </w:trPr>
        <w:tc>
          <w:tcPr>
            <w:tcW w:w="683" w:type="pct"/>
            <w:shd w:val="clear" w:color="auto" w:fill="FFFFFF" w:themeFill="background1"/>
          </w:tcPr>
          <w:p w14:paraId="67DAD3C6" w14:textId="5E908BDE"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Østerås et al.</w:t>
            </w:r>
            <w:r w:rsidRPr="003D0AE8">
              <w:rPr>
                <w:rFonts w:asciiTheme="majorHAnsi" w:hAnsiTheme="majorHAnsi" w:cstheme="majorHAnsi"/>
                <w:bCs/>
                <w:sz w:val="18"/>
                <w:szCs w:val="18"/>
              </w:rPr>
              <w:t xml:space="preserve"> (201</w:t>
            </w:r>
            <w:r>
              <w:rPr>
                <w:rFonts w:asciiTheme="majorHAnsi" w:hAnsiTheme="majorHAnsi" w:cstheme="majorHAnsi"/>
                <w:bCs/>
                <w:sz w:val="18"/>
                <w:szCs w:val="18"/>
              </w:rPr>
              <w:t>8</w:t>
            </w:r>
            <w:r w:rsidRPr="003D0AE8">
              <w:rPr>
                <w:rFonts w:asciiTheme="majorHAnsi" w:hAnsiTheme="majorHAnsi" w:cstheme="majorHAnsi"/>
                <w:bCs/>
                <w:sz w:val="18"/>
                <w:szCs w:val="18"/>
              </w:rPr>
              <w:t>)</w:t>
            </w:r>
          </w:p>
          <w:p w14:paraId="50FB3E4D" w14:textId="77777777" w:rsidR="00914E8B" w:rsidRPr="00D45B2C" w:rsidRDefault="00914E8B" w:rsidP="00914E8B">
            <w:pPr>
              <w:pStyle w:val="BodyText"/>
              <w:spacing w:before="0" w:after="0" w:line="240" w:lineRule="auto"/>
              <w:rPr>
                <w:rFonts w:asciiTheme="majorHAnsi" w:hAnsiTheme="majorHAnsi" w:cstheme="majorHAnsi"/>
                <w:bCs/>
                <w:sz w:val="18"/>
                <w:szCs w:val="18"/>
              </w:rPr>
            </w:pPr>
            <w:r>
              <w:rPr>
                <w:rFonts w:asciiTheme="majorHAnsi" w:hAnsiTheme="majorHAnsi" w:cstheme="majorHAnsi"/>
                <w:bCs/>
                <w:sz w:val="18"/>
                <w:szCs w:val="18"/>
              </w:rPr>
              <w:t>OTS</w:t>
            </w:r>
          </w:p>
        </w:tc>
        <w:tc>
          <w:tcPr>
            <w:tcW w:w="899" w:type="pct"/>
            <w:shd w:val="clear" w:color="auto" w:fill="FFFFFF" w:themeFill="background1"/>
          </w:tcPr>
          <w:p w14:paraId="5191F4FA" w14:textId="77777777" w:rsidR="00914E8B" w:rsidRDefault="00914E8B" w:rsidP="00914E8B">
            <w:pPr>
              <w:pStyle w:val="BodyText"/>
              <w:spacing w:before="0" w:after="0" w:line="240" w:lineRule="auto"/>
              <w:jc w:val="left"/>
              <w:rPr>
                <w:rFonts w:asciiTheme="majorHAnsi" w:hAnsiTheme="majorHAnsi" w:cstheme="majorHAnsi"/>
                <w:bCs/>
                <w:sz w:val="18"/>
                <w:szCs w:val="18"/>
              </w:rPr>
            </w:pPr>
            <w:r w:rsidRPr="003D0AE8">
              <w:rPr>
                <w:rFonts w:asciiTheme="majorHAnsi" w:hAnsiTheme="majorHAnsi" w:cstheme="majorHAnsi"/>
                <w:bCs/>
                <w:sz w:val="18"/>
                <w:szCs w:val="18"/>
              </w:rPr>
              <w:t xml:space="preserve">3819 women </w:t>
            </w:r>
            <w:r w:rsidRPr="000F4CEB">
              <w:rPr>
                <w:rFonts w:asciiTheme="majorHAnsi" w:hAnsiTheme="majorHAnsi" w:cstheme="majorHAnsi"/>
                <w:bCs/>
                <w:sz w:val="18"/>
                <w:szCs w:val="18"/>
              </w:rPr>
              <w:t xml:space="preserve">mean age of 58.8 with a range of 50–70 years </w:t>
            </w:r>
            <w:r w:rsidRPr="003D0AE8">
              <w:rPr>
                <w:rFonts w:asciiTheme="majorHAnsi" w:hAnsiTheme="majorHAnsi" w:cstheme="majorHAnsi"/>
                <w:bCs/>
                <w:sz w:val="18"/>
                <w:szCs w:val="18"/>
              </w:rPr>
              <w:t>resulting in 15276 paired DM and DBT views.</w:t>
            </w:r>
            <w:r>
              <w:rPr>
                <w:rFonts w:asciiTheme="majorHAnsi" w:hAnsiTheme="majorHAnsi" w:cstheme="majorHAnsi"/>
                <w:bCs/>
                <w:sz w:val="18"/>
                <w:szCs w:val="18"/>
              </w:rPr>
              <w:t xml:space="preserve"> </w:t>
            </w:r>
            <w:r w:rsidRPr="000F4CEB">
              <w:rPr>
                <w:rFonts w:asciiTheme="majorHAnsi" w:hAnsiTheme="majorHAnsi" w:cstheme="majorHAnsi"/>
                <w:bCs/>
                <w:sz w:val="18"/>
                <w:szCs w:val="18"/>
              </w:rPr>
              <w:t>CC and MLO views were acquired of both breasts in a combo mode (DM plus DBT acquisition during the same compression).</w:t>
            </w:r>
          </w:p>
        </w:tc>
        <w:tc>
          <w:tcPr>
            <w:tcW w:w="765" w:type="pct"/>
            <w:shd w:val="clear" w:color="auto" w:fill="FFFFFF" w:themeFill="background1"/>
          </w:tcPr>
          <w:p w14:paraId="6B243B7D" w14:textId="3D4B7A4A" w:rsidR="00914E8B" w:rsidRPr="00D45B2C" w:rsidRDefault="00914E8B" w:rsidP="00914E8B">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 xml:space="preserve">Cohort study drawn from OTS using </w:t>
            </w:r>
            <w:r w:rsidRPr="004351A0">
              <w:rPr>
                <w:rFonts w:asciiTheme="majorHAnsi" w:hAnsiTheme="majorHAnsi" w:cstheme="majorHAnsi"/>
                <w:sz w:val="18"/>
                <w:szCs w:val="18"/>
              </w:rPr>
              <w:t>Hologic Selenia Dimensions units</w:t>
            </w:r>
            <w:r>
              <w:rPr>
                <w:rFonts w:asciiTheme="majorHAnsi" w:hAnsiTheme="majorHAnsi" w:cstheme="majorHAnsi"/>
                <w:sz w:val="18"/>
                <w:szCs w:val="18"/>
              </w:rPr>
              <w:t xml:space="preserve">, using </w:t>
            </w:r>
            <w:r w:rsidRPr="00CA59C9">
              <w:rPr>
                <w:rFonts w:asciiTheme="majorHAnsi" w:hAnsiTheme="majorHAnsi" w:cstheme="majorHAnsi"/>
                <w:sz w:val="18"/>
                <w:szCs w:val="18"/>
              </w:rPr>
              <w:t>automatic exposure control setting</w:t>
            </w:r>
          </w:p>
        </w:tc>
        <w:tc>
          <w:tcPr>
            <w:tcW w:w="663" w:type="pct"/>
            <w:shd w:val="clear" w:color="auto" w:fill="FFFFFF" w:themeFill="background1"/>
          </w:tcPr>
          <w:p w14:paraId="0D2FB4A7" w14:textId="26055E35"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All: 3.84</w:t>
            </w:r>
          </w:p>
          <w:p w14:paraId="7A3210E1" w14:textId="7532B2E1"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Non-dense: </w:t>
            </w:r>
            <w:r w:rsidRPr="0004320A">
              <w:rPr>
                <w:rFonts w:asciiTheme="majorHAnsi" w:hAnsiTheme="majorHAnsi" w:cstheme="majorHAnsi"/>
                <w:bCs/>
                <w:sz w:val="18"/>
                <w:szCs w:val="18"/>
              </w:rPr>
              <w:t xml:space="preserve">4.01 </w:t>
            </w:r>
          </w:p>
          <w:p w14:paraId="6DBE7A00" w14:textId="6804AD6C"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Dense: </w:t>
            </w:r>
            <w:r w:rsidRPr="0004320A">
              <w:rPr>
                <w:rFonts w:asciiTheme="majorHAnsi" w:hAnsiTheme="majorHAnsi" w:cstheme="majorHAnsi"/>
                <w:bCs/>
                <w:sz w:val="18"/>
                <w:szCs w:val="18"/>
              </w:rPr>
              <w:t xml:space="preserve">3.51 </w:t>
            </w:r>
          </w:p>
          <w:p w14:paraId="3F5B525A" w14:textId="35A0DEA2" w:rsidR="00914E8B" w:rsidRDefault="00914E8B" w:rsidP="00914E8B">
            <w:pPr>
              <w:pStyle w:val="BodyText"/>
              <w:spacing w:before="0" w:after="0" w:line="240" w:lineRule="auto"/>
              <w:jc w:val="left"/>
              <w:rPr>
                <w:rFonts w:asciiTheme="majorHAnsi" w:hAnsiTheme="majorHAnsi" w:cstheme="majorHAnsi"/>
                <w:bCs/>
                <w:sz w:val="18"/>
                <w:szCs w:val="18"/>
              </w:rPr>
            </w:pPr>
            <w:r w:rsidRPr="0004320A">
              <w:rPr>
                <w:rFonts w:asciiTheme="majorHAnsi" w:hAnsiTheme="majorHAnsi" w:cstheme="majorHAnsi"/>
                <w:bCs/>
                <w:sz w:val="18"/>
                <w:szCs w:val="18"/>
              </w:rPr>
              <w:t xml:space="preserve"> (</w:t>
            </w:r>
            <w:r w:rsidRPr="00300998">
              <w:rPr>
                <w:rFonts w:asciiTheme="majorHAnsi" w:hAnsiTheme="majorHAnsi" w:cstheme="majorHAnsi"/>
                <w:bCs/>
                <w:i/>
                <w:iCs/>
                <w:sz w:val="18"/>
                <w:szCs w:val="18"/>
              </w:rPr>
              <w:t>p</w:t>
            </w:r>
            <w:r w:rsidRPr="0004320A">
              <w:rPr>
                <w:rFonts w:asciiTheme="majorHAnsi" w:hAnsiTheme="majorHAnsi" w:cstheme="majorHAnsi"/>
                <w:bCs/>
                <w:sz w:val="18"/>
                <w:szCs w:val="18"/>
              </w:rPr>
              <w:t>&lt;.001).</w:t>
            </w:r>
          </w:p>
        </w:tc>
        <w:tc>
          <w:tcPr>
            <w:tcW w:w="663" w:type="pct"/>
            <w:shd w:val="clear" w:color="auto" w:fill="FFFFFF" w:themeFill="background1"/>
          </w:tcPr>
          <w:p w14:paraId="35942F5B" w14:textId="3516DED8"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All: 1.74</w:t>
            </w:r>
          </w:p>
          <w:p w14:paraId="10E980EA" w14:textId="3C4AF4A8" w:rsidR="00914E8B" w:rsidRPr="00300998"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Non-dense:</w:t>
            </w:r>
            <w:r w:rsidRPr="00300998">
              <w:rPr>
                <w:rFonts w:asciiTheme="majorHAnsi" w:hAnsiTheme="majorHAnsi" w:cstheme="majorHAnsi"/>
                <w:bCs/>
                <w:sz w:val="18"/>
                <w:szCs w:val="18"/>
              </w:rPr>
              <w:t xml:space="preserve"> 1.74 </w:t>
            </w:r>
          </w:p>
          <w:p w14:paraId="69035617" w14:textId="77777777" w:rsidR="00914E8B" w:rsidRDefault="00914E8B" w:rsidP="00914E8B">
            <w:pPr>
              <w:pStyle w:val="BodyText"/>
              <w:spacing w:before="0" w:after="0" w:line="240" w:lineRule="auto"/>
              <w:jc w:val="left"/>
              <w:rPr>
                <w:rFonts w:asciiTheme="majorHAnsi" w:hAnsiTheme="majorHAnsi" w:cstheme="majorHAnsi"/>
                <w:bCs/>
                <w:sz w:val="18"/>
                <w:szCs w:val="18"/>
              </w:rPr>
            </w:pPr>
            <w:r w:rsidRPr="00300998">
              <w:rPr>
                <w:rFonts w:asciiTheme="majorHAnsi" w:hAnsiTheme="majorHAnsi" w:cstheme="majorHAnsi"/>
                <w:bCs/>
                <w:sz w:val="18"/>
                <w:szCs w:val="18"/>
              </w:rPr>
              <w:t>Dense: 1.73</w:t>
            </w:r>
          </w:p>
          <w:p w14:paraId="400A9C54" w14:textId="25DF40C7" w:rsidR="00914E8B" w:rsidRPr="002669A5" w:rsidRDefault="00914E8B" w:rsidP="00914E8B">
            <w:pPr>
              <w:pStyle w:val="BodyText"/>
              <w:spacing w:before="0" w:after="0" w:line="240" w:lineRule="auto"/>
              <w:jc w:val="left"/>
              <w:rPr>
                <w:rFonts w:asciiTheme="majorHAnsi" w:hAnsiTheme="majorHAnsi" w:cstheme="majorHAnsi"/>
                <w:bCs/>
                <w:sz w:val="18"/>
                <w:szCs w:val="18"/>
              </w:rPr>
            </w:pPr>
            <w:r w:rsidRPr="0004320A">
              <w:rPr>
                <w:rFonts w:asciiTheme="majorHAnsi" w:hAnsiTheme="majorHAnsi" w:cstheme="majorHAnsi"/>
                <w:bCs/>
                <w:sz w:val="18"/>
                <w:szCs w:val="18"/>
              </w:rPr>
              <w:t>(</w:t>
            </w:r>
            <w:r w:rsidRPr="00300998">
              <w:rPr>
                <w:rFonts w:asciiTheme="majorHAnsi" w:hAnsiTheme="majorHAnsi" w:cstheme="majorHAnsi"/>
                <w:bCs/>
                <w:i/>
                <w:iCs/>
                <w:sz w:val="18"/>
                <w:szCs w:val="18"/>
              </w:rPr>
              <w:t>p</w:t>
            </w:r>
            <w:r w:rsidRPr="0004320A">
              <w:rPr>
                <w:rFonts w:asciiTheme="majorHAnsi" w:hAnsiTheme="majorHAnsi" w:cstheme="majorHAnsi"/>
                <w:bCs/>
                <w:sz w:val="18"/>
                <w:szCs w:val="18"/>
              </w:rPr>
              <w:t>=.13)</w:t>
            </w:r>
          </w:p>
        </w:tc>
        <w:tc>
          <w:tcPr>
            <w:tcW w:w="663" w:type="pct"/>
            <w:shd w:val="clear" w:color="auto" w:fill="FFFFFF" w:themeFill="background1"/>
          </w:tcPr>
          <w:p w14:paraId="3A0011AC" w14:textId="50BAFC7F"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All: 2.10</w:t>
            </w:r>
          </w:p>
          <w:p w14:paraId="2FB2CFB9" w14:textId="55F00BE0"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Non-dense: </w:t>
            </w:r>
            <w:r w:rsidRPr="0004320A">
              <w:rPr>
                <w:rFonts w:asciiTheme="majorHAnsi" w:hAnsiTheme="majorHAnsi" w:cstheme="majorHAnsi"/>
                <w:bCs/>
                <w:sz w:val="18"/>
                <w:szCs w:val="18"/>
              </w:rPr>
              <w:t>2.27</w:t>
            </w:r>
          </w:p>
          <w:p w14:paraId="79D7B6AF" w14:textId="0768C28A"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Dense; </w:t>
            </w:r>
            <w:r w:rsidRPr="0004320A">
              <w:rPr>
                <w:rFonts w:asciiTheme="majorHAnsi" w:hAnsiTheme="majorHAnsi" w:cstheme="majorHAnsi"/>
                <w:bCs/>
                <w:sz w:val="18"/>
                <w:szCs w:val="18"/>
              </w:rPr>
              <w:t xml:space="preserve">1.79 </w:t>
            </w:r>
          </w:p>
          <w:p w14:paraId="6388468B" w14:textId="22C7B788" w:rsidR="00914E8B" w:rsidRPr="002669A5" w:rsidRDefault="00914E8B" w:rsidP="00914E8B">
            <w:pPr>
              <w:pStyle w:val="BodyText"/>
              <w:spacing w:before="0" w:after="0" w:line="240" w:lineRule="auto"/>
              <w:jc w:val="left"/>
              <w:rPr>
                <w:rFonts w:asciiTheme="majorHAnsi" w:hAnsiTheme="majorHAnsi" w:cstheme="majorHAnsi"/>
                <w:bCs/>
                <w:sz w:val="18"/>
                <w:szCs w:val="18"/>
              </w:rPr>
            </w:pPr>
            <w:r w:rsidRPr="0004320A">
              <w:rPr>
                <w:rFonts w:asciiTheme="majorHAnsi" w:hAnsiTheme="majorHAnsi" w:cstheme="majorHAnsi"/>
                <w:bCs/>
                <w:sz w:val="18"/>
                <w:szCs w:val="18"/>
              </w:rPr>
              <w:t xml:space="preserve"> (</w:t>
            </w:r>
            <w:r w:rsidRPr="00300998">
              <w:rPr>
                <w:rFonts w:asciiTheme="majorHAnsi" w:hAnsiTheme="majorHAnsi" w:cstheme="majorHAnsi"/>
                <w:bCs/>
                <w:i/>
                <w:iCs/>
                <w:sz w:val="18"/>
                <w:szCs w:val="18"/>
              </w:rPr>
              <w:t>p</w:t>
            </w:r>
            <w:r w:rsidRPr="0004320A">
              <w:rPr>
                <w:rFonts w:asciiTheme="majorHAnsi" w:hAnsiTheme="majorHAnsi" w:cstheme="majorHAnsi"/>
                <w:bCs/>
                <w:sz w:val="18"/>
                <w:szCs w:val="18"/>
              </w:rPr>
              <w:t>&lt;.001).</w:t>
            </w:r>
          </w:p>
        </w:tc>
        <w:tc>
          <w:tcPr>
            <w:tcW w:w="664" w:type="pct"/>
            <w:shd w:val="clear" w:color="auto" w:fill="FFFFFF" w:themeFill="background1"/>
          </w:tcPr>
          <w:p w14:paraId="7E071CC8" w14:textId="77777777" w:rsidR="00914E8B" w:rsidRDefault="00914E8B" w:rsidP="00914E8B">
            <w:pPr>
              <w:pStyle w:val="BodyText"/>
              <w:spacing w:before="0" w:after="0" w:line="240" w:lineRule="auto"/>
              <w:jc w:val="left"/>
              <w:rPr>
                <w:rFonts w:asciiTheme="majorHAnsi" w:hAnsiTheme="majorHAnsi" w:cstheme="majorHAnsi"/>
                <w:bCs/>
                <w:sz w:val="18"/>
                <w:szCs w:val="18"/>
              </w:rPr>
            </w:pPr>
            <w:r w:rsidRPr="0004320A">
              <w:rPr>
                <w:rFonts w:asciiTheme="majorHAnsi" w:hAnsiTheme="majorHAnsi" w:cstheme="majorHAnsi"/>
                <w:bCs/>
                <w:sz w:val="18"/>
                <w:szCs w:val="18"/>
              </w:rPr>
              <w:t>DBT/</w:t>
            </w:r>
            <w:r>
              <w:rPr>
                <w:rFonts w:asciiTheme="majorHAnsi" w:hAnsiTheme="majorHAnsi" w:cstheme="majorHAnsi"/>
                <w:bCs/>
                <w:sz w:val="18"/>
                <w:szCs w:val="18"/>
              </w:rPr>
              <w:t>FFDM ratio</w:t>
            </w:r>
          </w:p>
          <w:p w14:paraId="71E82023" w14:textId="4F78749D"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All: 1.24</w:t>
            </w:r>
          </w:p>
          <w:p w14:paraId="7125C5BD" w14:textId="21310314"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Fatty: </w:t>
            </w:r>
            <w:r w:rsidRPr="0004320A">
              <w:rPr>
                <w:rFonts w:asciiTheme="majorHAnsi" w:hAnsiTheme="majorHAnsi" w:cstheme="majorHAnsi"/>
                <w:bCs/>
                <w:sz w:val="18"/>
                <w:szCs w:val="18"/>
              </w:rPr>
              <w:t xml:space="preserve">1.33 </w:t>
            </w:r>
          </w:p>
          <w:p w14:paraId="511FDA92" w14:textId="793EAFA8" w:rsidR="00914E8B" w:rsidRDefault="00914E8B"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Dense: </w:t>
            </w:r>
            <w:r w:rsidRPr="0004320A">
              <w:rPr>
                <w:rFonts w:asciiTheme="majorHAnsi" w:hAnsiTheme="majorHAnsi" w:cstheme="majorHAnsi"/>
                <w:bCs/>
                <w:sz w:val="18"/>
                <w:szCs w:val="18"/>
              </w:rPr>
              <w:t xml:space="preserve">1.08 </w:t>
            </w:r>
          </w:p>
          <w:p w14:paraId="4E10F711" w14:textId="73F46A5E" w:rsidR="00914E8B" w:rsidRDefault="00914E8B" w:rsidP="00914E8B">
            <w:pPr>
              <w:pStyle w:val="BodyText"/>
              <w:spacing w:before="0" w:after="0" w:line="240" w:lineRule="auto"/>
              <w:jc w:val="left"/>
              <w:rPr>
                <w:rFonts w:asciiTheme="majorHAnsi" w:hAnsiTheme="majorHAnsi" w:cstheme="majorHAnsi"/>
                <w:bCs/>
                <w:sz w:val="18"/>
                <w:szCs w:val="18"/>
              </w:rPr>
            </w:pPr>
            <w:r w:rsidRPr="0004320A">
              <w:rPr>
                <w:rFonts w:asciiTheme="majorHAnsi" w:hAnsiTheme="majorHAnsi" w:cstheme="majorHAnsi"/>
                <w:bCs/>
                <w:sz w:val="18"/>
                <w:szCs w:val="18"/>
              </w:rPr>
              <w:t>(</w:t>
            </w:r>
            <w:r w:rsidRPr="00300998">
              <w:rPr>
                <w:rFonts w:asciiTheme="majorHAnsi" w:hAnsiTheme="majorHAnsi" w:cstheme="majorHAnsi"/>
                <w:bCs/>
                <w:i/>
                <w:iCs/>
                <w:sz w:val="18"/>
                <w:szCs w:val="18"/>
              </w:rPr>
              <w:t>p</w:t>
            </w:r>
            <w:r w:rsidRPr="0004320A">
              <w:rPr>
                <w:rFonts w:asciiTheme="majorHAnsi" w:hAnsiTheme="majorHAnsi" w:cstheme="majorHAnsi"/>
                <w:bCs/>
                <w:sz w:val="18"/>
                <w:szCs w:val="18"/>
              </w:rPr>
              <w:t>&lt;.001).</w:t>
            </w:r>
          </w:p>
          <w:p w14:paraId="7BE333D2" w14:textId="77777777" w:rsidR="00914E8B" w:rsidRPr="002669A5" w:rsidRDefault="00914E8B" w:rsidP="00914E8B">
            <w:pPr>
              <w:pStyle w:val="BodyText"/>
              <w:spacing w:before="0" w:after="0" w:line="240" w:lineRule="auto"/>
              <w:jc w:val="left"/>
              <w:rPr>
                <w:rFonts w:asciiTheme="majorHAnsi" w:hAnsiTheme="majorHAnsi" w:cstheme="majorHAnsi"/>
                <w:bCs/>
                <w:sz w:val="18"/>
                <w:szCs w:val="18"/>
              </w:rPr>
            </w:pPr>
          </w:p>
        </w:tc>
      </w:tr>
      <w:tr w:rsidR="005866B2" w:rsidRPr="00E44152" w14:paraId="02E599D7" w14:textId="77777777" w:rsidTr="00914E8B">
        <w:trPr>
          <w:trHeight w:val="287"/>
          <w:tblHeader/>
        </w:trPr>
        <w:tc>
          <w:tcPr>
            <w:tcW w:w="683" w:type="pct"/>
            <w:shd w:val="clear" w:color="auto" w:fill="FFFFFF" w:themeFill="background1"/>
          </w:tcPr>
          <w:p w14:paraId="7E976F59" w14:textId="77777777" w:rsidR="005866B2" w:rsidRDefault="005866B2"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Skaane et al. (2019)</w:t>
            </w:r>
          </w:p>
          <w:p w14:paraId="5DB4FA2B" w14:textId="0F65CA40" w:rsidR="005866B2" w:rsidRDefault="005866B2"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OTS</w:t>
            </w:r>
          </w:p>
        </w:tc>
        <w:tc>
          <w:tcPr>
            <w:tcW w:w="899" w:type="pct"/>
            <w:shd w:val="clear" w:color="auto" w:fill="FFFFFF" w:themeFill="background1"/>
          </w:tcPr>
          <w:p w14:paraId="02EE2D6D" w14:textId="0AC3FE1A" w:rsidR="005866B2" w:rsidRPr="003D0AE8" w:rsidRDefault="005866B2"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24,301 women screened in the Norway BreastScreen program</w:t>
            </w:r>
          </w:p>
        </w:tc>
        <w:tc>
          <w:tcPr>
            <w:tcW w:w="765" w:type="pct"/>
            <w:shd w:val="clear" w:color="auto" w:fill="FFFFFF" w:themeFill="background1"/>
          </w:tcPr>
          <w:p w14:paraId="06514DFF" w14:textId="3923BAFF" w:rsidR="005866B2" w:rsidRDefault="005866B2" w:rsidP="00914E8B">
            <w:pPr>
              <w:pStyle w:val="BodyText"/>
              <w:spacing w:before="0" w:after="0" w:line="240" w:lineRule="auto"/>
              <w:jc w:val="left"/>
              <w:rPr>
                <w:rFonts w:asciiTheme="majorHAnsi" w:hAnsiTheme="majorHAnsi" w:cstheme="majorHAnsi"/>
                <w:sz w:val="18"/>
                <w:szCs w:val="18"/>
              </w:rPr>
            </w:pPr>
            <w:r>
              <w:rPr>
                <w:rFonts w:asciiTheme="majorHAnsi" w:hAnsiTheme="majorHAnsi" w:cstheme="majorHAnsi"/>
                <w:sz w:val="18"/>
                <w:szCs w:val="18"/>
              </w:rPr>
              <w:t>Fully paired trial using Hologic units</w:t>
            </w:r>
          </w:p>
        </w:tc>
        <w:tc>
          <w:tcPr>
            <w:tcW w:w="663" w:type="pct"/>
            <w:shd w:val="clear" w:color="auto" w:fill="FFFFFF" w:themeFill="background1"/>
          </w:tcPr>
          <w:p w14:paraId="7829E73C" w14:textId="22565163" w:rsidR="005866B2" w:rsidRDefault="005866B2"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3.53 (0.84)</w:t>
            </w:r>
          </w:p>
        </w:tc>
        <w:tc>
          <w:tcPr>
            <w:tcW w:w="663" w:type="pct"/>
            <w:shd w:val="clear" w:color="auto" w:fill="FFFFFF" w:themeFill="background1"/>
          </w:tcPr>
          <w:p w14:paraId="7A98D116" w14:textId="4C49AA87" w:rsidR="005866B2" w:rsidRDefault="005866B2"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1.58 (0.61)</w:t>
            </w:r>
          </w:p>
        </w:tc>
        <w:tc>
          <w:tcPr>
            <w:tcW w:w="663" w:type="pct"/>
            <w:shd w:val="clear" w:color="auto" w:fill="FFFFFF" w:themeFill="background1"/>
          </w:tcPr>
          <w:p w14:paraId="539A2410" w14:textId="78CF9C74" w:rsidR="005866B2" w:rsidRPr="0004320A" w:rsidRDefault="005866B2" w:rsidP="00914E8B">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1.95 (0.58)</w:t>
            </w:r>
          </w:p>
        </w:tc>
        <w:tc>
          <w:tcPr>
            <w:tcW w:w="664" w:type="pct"/>
            <w:shd w:val="clear" w:color="auto" w:fill="FFFFFF" w:themeFill="background1"/>
          </w:tcPr>
          <w:p w14:paraId="5B666961" w14:textId="7CDD17B6" w:rsidR="005866B2" w:rsidRPr="0004320A" w:rsidRDefault="005866B2" w:rsidP="005866B2">
            <w:pPr>
              <w:pStyle w:val="BodyText"/>
              <w:spacing w:before="0" w:after="0" w:line="240" w:lineRule="auto"/>
              <w:jc w:val="center"/>
              <w:rPr>
                <w:rFonts w:asciiTheme="majorHAnsi" w:hAnsiTheme="majorHAnsi" w:cstheme="majorHAnsi"/>
                <w:bCs/>
                <w:sz w:val="18"/>
                <w:szCs w:val="18"/>
              </w:rPr>
            </w:pPr>
            <w:r>
              <w:rPr>
                <w:rFonts w:asciiTheme="majorHAnsi" w:hAnsiTheme="majorHAnsi" w:cstheme="majorHAnsi"/>
                <w:bCs/>
                <w:sz w:val="18"/>
                <w:szCs w:val="18"/>
              </w:rPr>
              <w:t>NA</w:t>
            </w:r>
          </w:p>
        </w:tc>
      </w:tr>
    </w:tbl>
    <w:p w14:paraId="55898371" w14:textId="62DB9FEB" w:rsidR="00161844" w:rsidRDefault="0060543D" w:rsidP="00161844">
      <w:pPr>
        <w:pStyle w:val="Caption"/>
      </w:pPr>
      <w:r>
        <w:lastRenderedPageBreak/>
        <w:t>T</w:t>
      </w:r>
      <w:r w:rsidR="00161844">
        <w:t xml:space="preserve">able </w:t>
      </w:r>
      <w:r w:rsidR="00BC52D9">
        <w:t>20</w:t>
      </w:r>
      <w:r>
        <w:t>c</w:t>
      </w:r>
      <w:r w:rsidR="00161844">
        <w:t>: DBT</w:t>
      </w:r>
      <w:r w:rsidR="00161844">
        <w:rPr>
          <w:vertAlign w:val="subscript"/>
        </w:rPr>
        <w:t xml:space="preserve">MLO </w:t>
      </w:r>
      <w:r w:rsidR="00161844">
        <w:t>compared to other imaging combinations: studies reporting on radiation dose (MGD per view, mG</w:t>
      </w:r>
      <w:r w:rsidR="005764C2">
        <w:t>y</w:t>
      </w:r>
      <w:r w:rsidR="00161844">
        <w:t>)</w:t>
      </w:r>
    </w:p>
    <w:tbl>
      <w:tblPr>
        <w:tblW w:w="5000" w:type="pct"/>
        <w:tblInd w:w="-14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bottom w:w="57" w:type="dxa"/>
        </w:tblCellMar>
        <w:tblLook w:val="04A0" w:firstRow="1" w:lastRow="0" w:firstColumn="1" w:lastColumn="0" w:noHBand="0" w:noVBand="1"/>
        <w:tblDescription w:val="The table is of Prospective trials embedded in population screening programs.&#10;&#10;The first Study involves Gennaro et al. (2018) STORM-2. The sample type is of a subset of 1208 screening patients was randomly taken from the STORM-2 trial population (4,768 paired views of DBT and FFDM images). The study type is a prospective RCT using paired data using Selenia Dimensions system (Hologic); for the DBT mode, 15 projections were acquired within 15° Automatic exposure mode. MGD determined using Volpara v. 1.5.2.0. The DBTMLO /cc &#10;MGD per view in mGy (SD) for CC was 1.858 and the MLO was 1.877. The FFDM alone MGD per view in mGy (SD) for CC was 1.366  with a p value of .0001 and MLO at 1.374 with a p value &lt;.0001. The additional information included the FFDM and DBT images were acquired in COMBO mode, i.e. with the same breast positioning and compression pressure.&#10;MGD is higher for lower compression force and compression pressure , in both FFDM and DBT.&#10;&#10;The second study was Zackrisson et al. (2018) Malmö trial, who had a sample size of 14,848 women aged 40-76 years (mean age = 57 years) presenting for screening in Malmö, Sweden. The study type was a prospective paired trial where women underwent FFDM and wide-angled one-view DBTMLO using Siemens Mammomat Inspirations. The DBTMLO /cc MGD per view in mGy (SD) for MLO was 2·3 (0·7) and the FFDM alone MGD per view in mGy (SD) for MLO was 2·7 (0·8). The additional information was not applicable. &#10;"/>
      </w:tblPr>
      <w:tblGrid>
        <w:gridCol w:w="1679"/>
        <w:gridCol w:w="17"/>
        <w:gridCol w:w="2362"/>
        <w:gridCol w:w="42"/>
        <w:gridCol w:w="2197"/>
        <w:gridCol w:w="64"/>
        <w:gridCol w:w="1755"/>
        <w:gridCol w:w="84"/>
        <w:gridCol w:w="1735"/>
        <w:gridCol w:w="104"/>
        <w:gridCol w:w="3954"/>
      </w:tblGrid>
      <w:tr w:rsidR="00161844" w:rsidRPr="00E44152" w14:paraId="4D6A9CE8" w14:textId="77777777" w:rsidTr="005764C2">
        <w:trPr>
          <w:trHeight w:val="1003"/>
          <w:tblHeader/>
        </w:trPr>
        <w:tc>
          <w:tcPr>
            <w:tcW w:w="600" w:type="pct"/>
            <w:shd w:val="clear" w:color="auto" w:fill="77B800" w:themeFill="background2"/>
          </w:tcPr>
          <w:p w14:paraId="1784727A" w14:textId="77777777" w:rsidR="00161844" w:rsidRDefault="00161844" w:rsidP="00805590">
            <w:pPr>
              <w:pStyle w:val="BodyText"/>
              <w:spacing w:before="0" w:after="0" w:line="240" w:lineRule="auto"/>
              <w:jc w:val="center"/>
              <w:rPr>
                <w:rFonts w:asciiTheme="majorHAnsi" w:hAnsiTheme="majorHAnsi" w:cstheme="majorHAnsi"/>
                <w:color w:val="FFFFFF" w:themeColor="background1"/>
                <w:sz w:val="18"/>
                <w:szCs w:val="18"/>
              </w:rPr>
            </w:pPr>
            <w:r>
              <w:rPr>
                <w:rFonts w:asciiTheme="majorHAnsi" w:hAnsiTheme="majorHAnsi" w:cstheme="majorHAnsi"/>
                <w:b/>
                <w:color w:val="FFFFFF" w:themeColor="background1"/>
                <w:sz w:val="18"/>
                <w:szCs w:val="18"/>
              </w:rPr>
              <w:t>Study</w:t>
            </w:r>
          </w:p>
          <w:p w14:paraId="4F285F6D" w14:textId="77777777" w:rsidR="00161844" w:rsidRPr="00C22ADE" w:rsidRDefault="00161844" w:rsidP="00805590">
            <w:pPr>
              <w:jc w:val="center"/>
            </w:pPr>
          </w:p>
        </w:tc>
        <w:tc>
          <w:tcPr>
            <w:tcW w:w="850" w:type="pct"/>
            <w:gridSpan w:val="2"/>
            <w:shd w:val="clear" w:color="auto" w:fill="77B800" w:themeFill="background2"/>
          </w:tcPr>
          <w:p w14:paraId="5AE1BFC6" w14:textId="77777777" w:rsidR="00161844" w:rsidRPr="00C75EDC"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Sample</w:t>
            </w:r>
          </w:p>
        </w:tc>
        <w:tc>
          <w:tcPr>
            <w:tcW w:w="800" w:type="pct"/>
            <w:gridSpan w:val="2"/>
            <w:shd w:val="clear" w:color="auto" w:fill="77B800" w:themeFill="background2"/>
          </w:tcPr>
          <w:p w14:paraId="2186ED57" w14:textId="77777777" w:rsidR="00161844" w:rsidRPr="00C75EDC"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sidRPr="00C75EDC">
              <w:rPr>
                <w:rFonts w:asciiTheme="majorHAnsi" w:hAnsiTheme="majorHAnsi" w:cstheme="majorHAnsi"/>
                <w:b/>
                <w:color w:val="FFFFFF" w:themeColor="background1"/>
                <w:sz w:val="18"/>
                <w:szCs w:val="18"/>
              </w:rPr>
              <w:t>Study type</w:t>
            </w:r>
          </w:p>
        </w:tc>
        <w:tc>
          <w:tcPr>
            <w:tcW w:w="650" w:type="pct"/>
            <w:gridSpan w:val="2"/>
            <w:shd w:val="clear" w:color="auto" w:fill="77B800" w:themeFill="background2"/>
          </w:tcPr>
          <w:p w14:paraId="504BF759" w14:textId="77777777" w:rsidR="00161844" w:rsidRDefault="00161844" w:rsidP="00805590">
            <w:pPr>
              <w:pStyle w:val="BodyText"/>
              <w:spacing w:before="0" w:after="0" w:line="240" w:lineRule="auto"/>
              <w:jc w:val="center"/>
              <w:rPr>
                <w:rFonts w:asciiTheme="majorHAnsi" w:hAnsiTheme="majorHAnsi" w:cstheme="majorHAnsi"/>
                <w:b/>
                <w:color w:val="FFFFFF" w:themeColor="background1"/>
                <w:sz w:val="18"/>
                <w:szCs w:val="18"/>
                <w:vertAlign w:val="subscript"/>
              </w:rPr>
            </w:pPr>
            <w:r>
              <w:rPr>
                <w:rFonts w:asciiTheme="majorHAnsi" w:hAnsiTheme="majorHAnsi" w:cstheme="majorHAnsi"/>
                <w:b/>
                <w:color w:val="FFFFFF" w:themeColor="background1"/>
                <w:sz w:val="18"/>
                <w:szCs w:val="18"/>
              </w:rPr>
              <w:t>DBT</w:t>
            </w:r>
            <w:r>
              <w:rPr>
                <w:rFonts w:asciiTheme="majorHAnsi" w:hAnsiTheme="majorHAnsi" w:cstheme="majorHAnsi"/>
                <w:b/>
                <w:color w:val="FFFFFF" w:themeColor="background1"/>
                <w:sz w:val="18"/>
                <w:szCs w:val="18"/>
                <w:vertAlign w:val="subscript"/>
              </w:rPr>
              <w:t xml:space="preserve">MLO /cc </w:t>
            </w:r>
          </w:p>
          <w:p w14:paraId="0D5CFBE2" w14:textId="77777777" w:rsidR="00161844" w:rsidRPr="00D86DE8" w:rsidRDefault="00161844" w:rsidP="00805590">
            <w:pPr>
              <w:pStyle w:val="BodyText"/>
              <w:spacing w:before="0" w:after="0" w:line="240" w:lineRule="auto"/>
              <w:jc w:val="center"/>
              <w:rPr>
                <w:rFonts w:asciiTheme="majorHAnsi" w:hAnsiTheme="majorHAnsi" w:cstheme="majorHAnsi"/>
                <w:color w:val="FFFFFF" w:themeColor="background1"/>
                <w:sz w:val="18"/>
                <w:szCs w:val="18"/>
                <w:vertAlign w:val="subscript"/>
              </w:rPr>
            </w:pPr>
            <w:r w:rsidRPr="00AC23E4">
              <w:rPr>
                <w:rFonts w:asciiTheme="majorHAnsi" w:hAnsiTheme="majorHAnsi" w:cstheme="majorHAnsi"/>
                <w:color w:val="FFFFFF" w:themeColor="background1"/>
                <w:sz w:val="18"/>
                <w:szCs w:val="18"/>
              </w:rPr>
              <w:t>MGD per view in mGy (SD)</w:t>
            </w:r>
          </w:p>
        </w:tc>
        <w:tc>
          <w:tcPr>
            <w:tcW w:w="650" w:type="pct"/>
            <w:gridSpan w:val="2"/>
            <w:shd w:val="clear" w:color="auto" w:fill="77B800" w:themeFill="background2"/>
          </w:tcPr>
          <w:p w14:paraId="4337CBD1" w14:textId="77777777" w:rsidR="00161844"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sidRPr="00E44152">
              <w:rPr>
                <w:rFonts w:asciiTheme="majorHAnsi" w:hAnsiTheme="majorHAnsi" w:cstheme="majorHAnsi"/>
                <w:b/>
                <w:color w:val="FFFFFF" w:themeColor="background1"/>
                <w:sz w:val="18"/>
                <w:szCs w:val="18"/>
              </w:rPr>
              <w:t>FFDM alone</w:t>
            </w:r>
          </w:p>
          <w:p w14:paraId="4E92EC0A" w14:textId="77777777" w:rsidR="00161844" w:rsidRPr="00D86DE8"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sidRPr="00AC23E4">
              <w:rPr>
                <w:rFonts w:asciiTheme="majorHAnsi" w:hAnsiTheme="majorHAnsi" w:cstheme="majorHAnsi"/>
                <w:color w:val="FFFFFF" w:themeColor="background1"/>
                <w:sz w:val="18"/>
                <w:szCs w:val="18"/>
              </w:rPr>
              <w:t>MGD per view in mGy (SD)</w:t>
            </w:r>
          </w:p>
        </w:tc>
        <w:tc>
          <w:tcPr>
            <w:tcW w:w="1450" w:type="pct"/>
            <w:gridSpan w:val="2"/>
            <w:shd w:val="clear" w:color="auto" w:fill="77B800" w:themeFill="background2"/>
          </w:tcPr>
          <w:p w14:paraId="757610AC" w14:textId="77777777" w:rsidR="00161844" w:rsidRPr="00E44152" w:rsidRDefault="00161844" w:rsidP="00805590">
            <w:pPr>
              <w:pStyle w:val="BodyText"/>
              <w:spacing w:before="0" w:after="0" w:line="240" w:lineRule="auto"/>
              <w:jc w:val="center"/>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Additional information</w:t>
            </w:r>
          </w:p>
        </w:tc>
      </w:tr>
      <w:tr w:rsidR="0060543D" w:rsidRPr="00E44152" w14:paraId="038E6386" w14:textId="77777777" w:rsidTr="005866B2">
        <w:trPr>
          <w:trHeight w:val="94"/>
          <w:tblHeader/>
        </w:trPr>
        <w:tc>
          <w:tcPr>
            <w:tcW w:w="5000" w:type="pct"/>
            <w:gridSpan w:val="11"/>
            <w:shd w:val="clear" w:color="auto" w:fill="FFFFFF" w:themeFill="background1"/>
          </w:tcPr>
          <w:p w14:paraId="15053351" w14:textId="77777777" w:rsidR="0060543D" w:rsidRPr="00323440" w:rsidRDefault="0060543D" w:rsidP="005866B2">
            <w:pPr>
              <w:pStyle w:val="BodyText"/>
              <w:spacing w:before="0" w:after="0" w:line="240" w:lineRule="auto"/>
              <w:jc w:val="left"/>
              <w:rPr>
                <w:rFonts w:asciiTheme="majorHAnsi" w:hAnsiTheme="majorHAnsi" w:cstheme="majorHAnsi"/>
                <w:bCs/>
                <w:sz w:val="18"/>
                <w:szCs w:val="18"/>
              </w:rPr>
            </w:pPr>
            <w:r w:rsidRPr="00914E8B">
              <w:rPr>
                <w:rFonts w:asciiTheme="majorHAnsi" w:hAnsiTheme="majorHAnsi" w:cstheme="majorHAnsi"/>
                <w:b/>
                <w:bCs/>
                <w:sz w:val="18"/>
                <w:szCs w:val="18"/>
              </w:rPr>
              <w:t>Prospective trials embedded in population screening programs</w:t>
            </w:r>
          </w:p>
        </w:tc>
      </w:tr>
      <w:tr w:rsidR="00161844" w:rsidRPr="00E44152" w14:paraId="3CC923C6" w14:textId="77777777" w:rsidTr="0060543D">
        <w:trPr>
          <w:trHeight w:val="1003"/>
          <w:tblHeader/>
        </w:trPr>
        <w:tc>
          <w:tcPr>
            <w:tcW w:w="606" w:type="pct"/>
            <w:gridSpan w:val="2"/>
            <w:shd w:val="clear" w:color="auto" w:fill="FFFFFF" w:themeFill="background1"/>
          </w:tcPr>
          <w:p w14:paraId="535D270B" w14:textId="77777777" w:rsidR="0060543D" w:rsidRDefault="00161844" w:rsidP="00805590">
            <w:pPr>
              <w:pStyle w:val="BodyText"/>
              <w:spacing w:before="0" w:after="0" w:line="240" w:lineRule="auto"/>
              <w:jc w:val="left"/>
              <w:rPr>
                <w:rFonts w:asciiTheme="majorHAnsi" w:hAnsiTheme="majorHAnsi" w:cstheme="majorHAnsi"/>
                <w:bCs/>
                <w:sz w:val="18"/>
                <w:szCs w:val="18"/>
              </w:rPr>
            </w:pPr>
            <w:r w:rsidRPr="00FD6245">
              <w:rPr>
                <w:rFonts w:asciiTheme="majorHAnsi" w:hAnsiTheme="majorHAnsi" w:cstheme="majorHAnsi"/>
                <w:bCs/>
                <w:sz w:val="18"/>
                <w:szCs w:val="18"/>
              </w:rPr>
              <w:t>Gennaro et al. (201</w:t>
            </w:r>
            <w:r>
              <w:rPr>
                <w:rFonts w:asciiTheme="majorHAnsi" w:hAnsiTheme="majorHAnsi" w:cstheme="majorHAnsi"/>
                <w:bCs/>
                <w:sz w:val="18"/>
                <w:szCs w:val="18"/>
              </w:rPr>
              <w:t>8</w:t>
            </w:r>
            <w:r w:rsidRPr="00FD6245">
              <w:rPr>
                <w:rFonts w:asciiTheme="majorHAnsi" w:hAnsiTheme="majorHAnsi" w:cstheme="majorHAnsi"/>
                <w:bCs/>
                <w:sz w:val="18"/>
                <w:szCs w:val="18"/>
              </w:rPr>
              <w:t>)</w:t>
            </w:r>
            <w:r>
              <w:rPr>
                <w:rFonts w:asciiTheme="majorHAnsi" w:hAnsiTheme="majorHAnsi" w:cstheme="majorHAnsi"/>
                <w:bCs/>
                <w:sz w:val="18"/>
                <w:szCs w:val="18"/>
              </w:rPr>
              <w:t xml:space="preserve"> </w:t>
            </w:r>
          </w:p>
          <w:p w14:paraId="005681A7" w14:textId="58F53E20" w:rsidR="00161844" w:rsidRPr="00FD6245"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STORM-2 </w:t>
            </w:r>
          </w:p>
        </w:tc>
        <w:tc>
          <w:tcPr>
            <w:tcW w:w="859" w:type="pct"/>
            <w:gridSpan w:val="2"/>
            <w:shd w:val="clear" w:color="auto" w:fill="FFFFFF" w:themeFill="background1"/>
          </w:tcPr>
          <w:p w14:paraId="11B8987F" w14:textId="6EE47C93" w:rsidR="00161844" w:rsidRPr="00FD6245" w:rsidRDefault="00161844" w:rsidP="00805590">
            <w:pPr>
              <w:pStyle w:val="BodyText"/>
              <w:spacing w:before="0" w:after="0" w:line="240" w:lineRule="auto"/>
              <w:jc w:val="left"/>
              <w:rPr>
                <w:rFonts w:asciiTheme="majorHAnsi" w:hAnsiTheme="majorHAnsi" w:cstheme="majorHAnsi"/>
                <w:bCs/>
                <w:sz w:val="18"/>
                <w:szCs w:val="18"/>
              </w:rPr>
            </w:pPr>
            <w:r w:rsidRPr="00FD6245">
              <w:rPr>
                <w:rFonts w:asciiTheme="majorHAnsi" w:hAnsiTheme="majorHAnsi" w:cstheme="majorHAnsi"/>
                <w:bCs/>
                <w:sz w:val="18"/>
                <w:szCs w:val="18"/>
              </w:rPr>
              <w:t xml:space="preserve">A subset of 1208 </w:t>
            </w:r>
            <w:r>
              <w:rPr>
                <w:rFonts w:asciiTheme="majorHAnsi" w:hAnsiTheme="majorHAnsi" w:cstheme="majorHAnsi"/>
                <w:bCs/>
                <w:sz w:val="18"/>
                <w:szCs w:val="18"/>
              </w:rPr>
              <w:t xml:space="preserve">screening </w:t>
            </w:r>
            <w:r w:rsidRPr="00FD6245">
              <w:rPr>
                <w:rFonts w:asciiTheme="majorHAnsi" w:hAnsiTheme="majorHAnsi" w:cstheme="majorHAnsi"/>
                <w:bCs/>
                <w:sz w:val="18"/>
                <w:szCs w:val="18"/>
              </w:rPr>
              <w:t xml:space="preserve">patients was randomly taken from the STORM-2 trial population </w:t>
            </w:r>
            <w:r w:rsidR="0060543D">
              <w:rPr>
                <w:rFonts w:asciiTheme="majorHAnsi" w:hAnsiTheme="majorHAnsi" w:cstheme="majorHAnsi"/>
                <w:bCs/>
                <w:sz w:val="18"/>
                <w:szCs w:val="18"/>
              </w:rPr>
              <w:t>(</w:t>
            </w:r>
            <w:r w:rsidRPr="00FD6245">
              <w:rPr>
                <w:rFonts w:asciiTheme="majorHAnsi" w:hAnsiTheme="majorHAnsi" w:cstheme="majorHAnsi"/>
                <w:bCs/>
                <w:sz w:val="18"/>
                <w:szCs w:val="18"/>
              </w:rPr>
              <w:t>4,768 paired views of DBT and FFDM images</w:t>
            </w:r>
            <w:r w:rsidR="0060543D">
              <w:rPr>
                <w:rFonts w:asciiTheme="majorHAnsi" w:hAnsiTheme="majorHAnsi" w:cstheme="majorHAnsi"/>
                <w:bCs/>
                <w:sz w:val="18"/>
                <w:szCs w:val="18"/>
              </w:rPr>
              <w:t>)</w:t>
            </w:r>
          </w:p>
        </w:tc>
        <w:tc>
          <w:tcPr>
            <w:tcW w:w="808" w:type="pct"/>
            <w:gridSpan w:val="2"/>
            <w:shd w:val="clear" w:color="auto" w:fill="FFFFFF" w:themeFill="background1"/>
          </w:tcPr>
          <w:p w14:paraId="45E80A53" w14:textId="3534860F" w:rsidR="00161844" w:rsidRPr="00FD6245" w:rsidRDefault="00161844" w:rsidP="0060543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Prospective RCT using paired data using </w:t>
            </w:r>
            <w:r w:rsidRPr="00FD6245">
              <w:rPr>
                <w:rFonts w:asciiTheme="majorHAnsi" w:hAnsiTheme="majorHAnsi" w:cstheme="majorHAnsi"/>
                <w:bCs/>
                <w:sz w:val="18"/>
                <w:szCs w:val="18"/>
              </w:rPr>
              <w:t>Selenia Dimensions system (Hologic)</w:t>
            </w:r>
            <w:r w:rsidR="0060543D">
              <w:rPr>
                <w:rFonts w:asciiTheme="majorHAnsi" w:hAnsiTheme="majorHAnsi" w:cstheme="majorHAnsi"/>
                <w:bCs/>
                <w:sz w:val="18"/>
                <w:szCs w:val="18"/>
              </w:rPr>
              <w:t>; f</w:t>
            </w:r>
            <w:r>
              <w:rPr>
                <w:rFonts w:asciiTheme="majorHAnsi" w:hAnsiTheme="majorHAnsi" w:cstheme="majorHAnsi"/>
                <w:bCs/>
                <w:sz w:val="18"/>
                <w:szCs w:val="18"/>
              </w:rPr>
              <w:t xml:space="preserve">or the </w:t>
            </w:r>
            <w:r w:rsidRPr="00FD6245">
              <w:rPr>
                <w:rFonts w:asciiTheme="majorHAnsi" w:hAnsiTheme="majorHAnsi" w:cstheme="majorHAnsi"/>
                <w:bCs/>
                <w:sz w:val="18"/>
                <w:szCs w:val="18"/>
              </w:rPr>
              <w:t xml:space="preserve">DBT mode, 15 projections </w:t>
            </w:r>
            <w:r>
              <w:rPr>
                <w:rFonts w:asciiTheme="majorHAnsi" w:hAnsiTheme="majorHAnsi" w:cstheme="majorHAnsi"/>
                <w:bCs/>
                <w:sz w:val="18"/>
                <w:szCs w:val="18"/>
              </w:rPr>
              <w:t>were</w:t>
            </w:r>
            <w:r w:rsidRPr="00FD6245">
              <w:rPr>
                <w:rFonts w:asciiTheme="majorHAnsi" w:hAnsiTheme="majorHAnsi" w:cstheme="majorHAnsi"/>
                <w:bCs/>
                <w:sz w:val="18"/>
                <w:szCs w:val="18"/>
              </w:rPr>
              <w:t xml:space="preserve"> acquired within 15° Automatic exposure mode. MGD determined using Volpara v. 1.5.2.0</w:t>
            </w:r>
            <w:r>
              <w:rPr>
                <w:rFonts w:asciiTheme="majorHAnsi" w:hAnsiTheme="majorHAnsi" w:cstheme="majorHAnsi"/>
                <w:bCs/>
                <w:sz w:val="18"/>
                <w:szCs w:val="18"/>
              </w:rPr>
              <w:t>.</w:t>
            </w:r>
          </w:p>
        </w:tc>
        <w:tc>
          <w:tcPr>
            <w:tcW w:w="657" w:type="pct"/>
            <w:gridSpan w:val="2"/>
            <w:shd w:val="clear" w:color="auto" w:fill="FFFFFF" w:themeFill="background1"/>
          </w:tcPr>
          <w:p w14:paraId="71E0EA31" w14:textId="77777777" w:rsidR="00161844" w:rsidRPr="00FA3820" w:rsidRDefault="00161844" w:rsidP="00805590">
            <w:pPr>
              <w:pStyle w:val="BodyText"/>
              <w:spacing w:before="0" w:after="0" w:line="240" w:lineRule="auto"/>
              <w:jc w:val="left"/>
              <w:rPr>
                <w:rFonts w:asciiTheme="majorHAnsi" w:hAnsiTheme="majorHAnsi" w:cstheme="majorHAnsi"/>
                <w:bCs/>
                <w:sz w:val="18"/>
                <w:szCs w:val="18"/>
              </w:rPr>
            </w:pPr>
            <w:r w:rsidRPr="00FA3820">
              <w:rPr>
                <w:rFonts w:asciiTheme="majorHAnsi" w:hAnsiTheme="majorHAnsi" w:cstheme="majorHAnsi"/>
                <w:bCs/>
                <w:sz w:val="18"/>
                <w:szCs w:val="18"/>
              </w:rPr>
              <w:t xml:space="preserve">CC =1.858 </w:t>
            </w:r>
          </w:p>
          <w:p w14:paraId="6328826F" w14:textId="356C686F" w:rsidR="00161844" w:rsidRPr="00FA3820" w:rsidRDefault="00161844" w:rsidP="00805590">
            <w:pPr>
              <w:pStyle w:val="BodyText"/>
              <w:spacing w:before="0" w:after="0" w:line="240" w:lineRule="auto"/>
              <w:jc w:val="left"/>
              <w:rPr>
                <w:rFonts w:asciiTheme="majorHAnsi" w:hAnsiTheme="majorHAnsi" w:cstheme="majorHAnsi"/>
                <w:bCs/>
                <w:sz w:val="18"/>
                <w:szCs w:val="18"/>
              </w:rPr>
            </w:pPr>
            <w:r w:rsidRPr="00FA3820">
              <w:rPr>
                <w:rFonts w:asciiTheme="majorHAnsi" w:hAnsiTheme="majorHAnsi" w:cstheme="majorHAnsi"/>
                <w:bCs/>
                <w:sz w:val="18"/>
                <w:szCs w:val="18"/>
              </w:rPr>
              <w:t xml:space="preserve">MLO = 1.877 </w:t>
            </w:r>
          </w:p>
        </w:tc>
        <w:tc>
          <w:tcPr>
            <w:tcW w:w="657" w:type="pct"/>
            <w:gridSpan w:val="2"/>
            <w:shd w:val="clear" w:color="auto" w:fill="FFFFFF" w:themeFill="background1"/>
          </w:tcPr>
          <w:p w14:paraId="651621D7" w14:textId="2B2521D9" w:rsidR="0060543D" w:rsidRPr="00FA3820" w:rsidRDefault="00161844" w:rsidP="0060543D">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CC = 1.366</w:t>
            </w:r>
            <w:r w:rsidR="0060543D">
              <w:rPr>
                <w:rFonts w:asciiTheme="majorHAnsi" w:hAnsiTheme="majorHAnsi" w:cstheme="majorHAnsi"/>
                <w:bCs/>
                <w:sz w:val="18"/>
                <w:szCs w:val="18"/>
              </w:rPr>
              <w:t xml:space="preserve"> (</w:t>
            </w:r>
            <w:r w:rsidR="0060543D" w:rsidRPr="0060543D">
              <w:rPr>
                <w:rFonts w:asciiTheme="majorHAnsi" w:hAnsiTheme="majorHAnsi" w:cstheme="majorHAnsi"/>
                <w:bCs/>
                <w:i/>
                <w:iCs/>
                <w:sz w:val="18"/>
                <w:szCs w:val="18"/>
              </w:rPr>
              <w:t>p</w:t>
            </w:r>
            <w:r w:rsidR="0060543D">
              <w:rPr>
                <w:rFonts w:asciiTheme="majorHAnsi" w:hAnsiTheme="majorHAnsi" w:cstheme="majorHAnsi"/>
                <w:bCs/>
                <w:i/>
                <w:iCs/>
                <w:sz w:val="18"/>
                <w:szCs w:val="18"/>
              </w:rPr>
              <w:t>=</w:t>
            </w:r>
            <w:r w:rsidR="0060543D" w:rsidRPr="00FA3820">
              <w:rPr>
                <w:rFonts w:asciiTheme="majorHAnsi" w:hAnsiTheme="majorHAnsi" w:cstheme="majorHAnsi"/>
                <w:bCs/>
                <w:sz w:val="18"/>
                <w:szCs w:val="18"/>
              </w:rPr>
              <w:t>.0001</w:t>
            </w:r>
            <w:r w:rsidR="0060543D">
              <w:rPr>
                <w:rFonts w:asciiTheme="majorHAnsi" w:hAnsiTheme="majorHAnsi" w:cstheme="majorHAnsi"/>
                <w:bCs/>
                <w:sz w:val="18"/>
                <w:szCs w:val="18"/>
              </w:rPr>
              <w:t>)</w:t>
            </w:r>
            <w:r w:rsidR="0060543D" w:rsidRPr="00FA3820">
              <w:rPr>
                <w:rFonts w:asciiTheme="majorHAnsi" w:hAnsiTheme="majorHAnsi" w:cstheme="majorHAnsi"/>
                <w:bCs/>
                <w:sz w:val="18"/>
                <w:szCs w:val="18"/>
              </w:rPr>
              <w:t xml:space="preserve"> </w:t>
            </w:r>
          </w:p>
          <w:p w14:paraId="5523DB4E" w14:textId="66A6E17B" w:rsidR="00161844" w:rsidRPr="00F807EF"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MLO = </w:t>
            </w:r>
            <w:r w:rsidRPr="00371AAA">
              <w:rPr>
                <w:rFonts w:asciiTheme="majorHAnsi" w:hAnsiTheme="majorHAnsi" w:cstheme="majorHAnsi"/>
                <w:bCs/>
                <w:sz w:val="18"/>
                <w:szCs w:val="18"/>
              </w:rPr>
              <w:t>1.374</w:t>
            </w:r>
            <w:r w:rsidR="0060543D">
              <w:rPr>
                <w:rFonts w:asciiTheme="majorHAnsi" w:hAnsiTheme="majorHAnsi" w:cstheme="majorHAnsi"/>
                <w:bCs/>
                <w:sz w:val="18"/>
                <w:szCs w:val="18"/>
              </w:rPr>
              <w:t xml:space="preserve"> (</w:t>
            </w:r>
            <w:r w:rsidR="0060543D" w:rsidRPr="00CE3204">
              <w:rPr>
                <w:rFonts w:asciiTheme="majorHAnsi" w:hAnsiTheme="majorHAnsi" w:cstheme="majorHAnsi"/>
                <w:bCs/>
                <w:i/>
                <w:iCs/>
                <w:sz w:val="18"/>
                <w:szCs w:val="18"/>
              </w:rPr>
              <w:t>p</w:t>
            </w:r>
            <w:r w:rsidR="0060543D" w:rsidRPr="00FA3820">
              <w:rPr>
                <w:rFonts w:asciiTheme="majorHAnsi" w:hAnsiTheme="majorHAnsi" w:cstheme="majorHAnsi"/>
                <w:bCs/>
                <w:sz w:val="18"/>
                <w:szCs w:val="18"/>
              </w:rPr>
              <w:t>&lt;.0001)</w:t>
            </w:r>
          </w:p>
        </w:tc>
        <w:tc>
          <w:tcPr>
            <w:tcW w:w="1413" w:type="pct"/>
            <w:shd w:val="clear" w:color="auto" w:fill="FFFFFF" w:themeFill="background1"/>
          </w:tcPr>
          <w:p w14:paraId="5BA12310" w14:textId="77777777" w:rsidR="00161844" w:rsidRDefault="00161844" w:rsidP="00805590">
            <w:pPr>
              <w:pStyle w:val="BodyText"/>
              <w:spacing w:before="0" w:after="0" w:line="240" w:lineRule="auto"/>
              <w:jc w:val="left"/>
              <w:rPr>
                <w:rFonts w:asciiTheme="majorHAnsi" w:hAnsiTheme="majorHAnsi" w:cstheme="majorHAnsi"/>
                <w:bCs/>
                <w:sz w:val="18"/>
                <w:szCs w:val="18"/>
              </w:rPr>
            </w:pPr>
            <w:r w:rsidRPr="00323440">
              <w:rPr>
                <w:rFonts w:asciiTheme="majorHAnsi" w:hAnsiTheme="majorHAnsi" w:cstheme="majorHAnsi"/>
                <w:bCs/>
                <w:sz w:val="18"/>
                <w:szCs w:val="18"/>
              </w:rPr>
              <w:t>FFDM and DBT images were acquired in COMBO mode, i.e. with the same breast positioning and compression pressure.</w:t>
            </w:r>
          </w:p>
          <w:p w14:paraId="4FCB13F3" w14:textId="77777777" w:rsidR="00161844"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MGD</w:t>
            </w:r>
            <w:r w:rsidRPr="005B6DA6">
              <w:rPr>
                <w:rFonts w:asciiTheme="majorHAnsi" w:hAnsiTheme="majorHAnsi" w:cstheme="majorHAnsi"/>
                <w:bCs/>
                <w:sz w:val="18"/>
                <w:szCs w:val="18"/>
              </w:rPr>
              <w:t xml:space="preserve"> is higher for lower compression force and compression pressure</w:t>
            </w:r>
            <w:r>
              <w:rPr>
                <w:rStyle w:val="FootnoteReference"/>
                <w:rFonts w:asciiTheme="majorHAnsi" w:hAnsiTheme="majorHAnsi" w:cstheme="majorHAnsi"/>
                <w:bCs/>
                <w:sz w:val="18"/>
                <w:szCs w:val="18"/>
              </w:rPr>
              <w:footnoteReference w:id="30"/>
            </w:r>
            <w:r w:rsidRPr="005B6DA6">
              <w:rPr>
                <w:rFonts w:asciiTheme="majorHAnsi" w:hAnsiTheme="majorHAnsi" w:cstheme="majorHAnsi"/>
                <w:bCs/>
                <w:sz w:val="18"/>
                <w:szCs w:val="18"/>
              </w:rPr>
              <w:t>, in both FFDM and DBT.</w:t>
            </w:r>
          </w:p>
        </w:tc>
      </w:tr>
      <w:tr w:rsidR="00161844" w:rsidRPr="00E44152" w14:paraId="0BBEC668" w14:textId="77777777" w:rsidTr="0060543D">
        <w:trPr>
          <w:trHeight w:val="1003"/>
          <w:tblHeader/>
        </w:trPr>
        <w:tc>
          <w:tcPr>
            <w:tcW w:w="606" w:type="pct"/>
            <w:gridSpan w:val="2"/>
            <w:shd w:val="clear" w:color="auto" w:fill="FFFFFF" w:themeFill="background1"/>
          </w:tcPr>
          <w:p w14:paraId="69A120C2" w14:textId="77777777" w:rsidR="0060543D"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Zackrisson et al. (2018) </w:t>
            </w:r>
          </w:p>
          <w:p w14:paraId="0B6E3C3F" w14:textId="37AFAD89" w:rsidR="00161844" w:rsidRDefault="00161844" w:rsidP="00805590">
            <w:pPr>
              <w:pStyle w:val="BodyText"/>
              <w:spacing w:before="0" w:after="0" w:line="240" w:lineRule="auto"/>
              <w:jc w:val="left"/>
              <w:rPr>
                <w:rFonts w:asciiTheme="majorHAnsi" w:hAnsiTheme="majorHAnsi" w:cstheme="majorHAnsi"/>
                <w:b/>
                <w:color w:val="FFFFFF" w:themeColor="background1"/>
                <w:sz w:val="18"/>
                <w:szCs w:val="18"/>
              </w:rPr>
            </w:pPr>
            <w:r>
              <w:rPr>
                <w:rFonts w:asciiTheme="majorHAnsi" w:hAnsiTheme="majorHAnsi" w:cstheme="majorHAnsi"/>
                <w:bCs/>
                <w:sz w:val="18"/>
                <w:szCs w:val="18"/>
              </w:rPr>
              <w:t>Malmö trial</w:t>
            </w:r>
          </w:p>
        </w:tc>
        <w:tc>
          <w:tcPr>
            <w:tcW w:w="859" w:type="pct"/>
            <w:gridSpan w:val="2"/>
            <w:shd w:val="clear" w:color="auto" w:fill="FFFFFF" w:themeFill="background1"/>
          </w:tcPr>
          <w:p w14:paraId="1F0A0425" w14:textId="657290F6" w:rsidR="00161844" w:rsidRPr="00EB4604" w:rsidRDefault="00161844" w:rsidP="00805590">
            <w:pPr>
              <w:pStyle w:val="BodyText"/>
              <w:spacing w:before="0" w:after="0" w:line="240" w:lineRule="auto"/>
              <w:jc w:val="left"/>
              <w:rPr>
                <w:rFonts w:asciiTheme="majorHAnsi" w:hAnsiTheme="majorHAnsi" w:cstheme="majorHAnsi"/>
                <w:b/>
                <w:color w:val="FFFFFF" w:themeColor="background1"/>
                <w:sz w:val="18"/>
                <w:szCs w:val="18"/>
              </w:rPr>
            </w:pPr>
            <w:r w:rsidRPr="00EB4604">
              <w:rPr>
                <w:rFonts w:asciiTheme="majorHAnsi" w:hAnsiTheme="majorHAnsi" w:cstheme="majorHAnsi"/>
                <w:bCs/>
                <w:sz w:val="18"/>
                <w:szCs w:val="18"/>
              </w:rPr>
              <w:t xml:space="preserve">14,848 women aged 40-76 years (mean age = 57 years) presenting for screening in Malmö, Sweden </w:t>
            </w:r>
          </w:p>
        </w:tc>
        <w:tc>
          <w:tcPr>
            <w:tcW w:w="808" w:type="pct"/>
            <w:gridSpan w:val="2"/>
            <w:shd w:val="clear" w:color="auto" w:fill="FFFFFF" w:themeFill="background1"/>
          </w:tcPr>
          <w:p w14:paraId="5E4DCF50" w14:textId="77777777" w:rsidR="00161844" w:rsidRPr="001C2FBE" w:rsidRDefault="00161844" w:rsidP="00805590">
            <w:pPr>
              <w:pStyle w:val="BodyText"/>
              <w:spacing w:before="0" w:after="0" w:line="240" w:lineRule="auto"/>
              <w:jc w:val="left"/>
              <w:rPr>
                <w:rFonts w:asciiTheme="majorHAnsi" w:hAnsiTheme="majorHAnsi" w:cstheme="majorHAnsi"/>
                <w:bCs/>
                <w:sz w:val="18"/>
                <w:szCs w:val="18"/>
              </w:rPr>
            </w:pPr>
            <w:r w:rsidRPr="001C2FBE">
              <w:rPr>
                <w:rFonts w:asciiTheme="majorHAnsi" w:hAnsiTheme="majorHAnsi" w:cstheme="majorHAnsi"/>
                <w:bCs/>
                <w:sz w:val="18"/>
                <w:szCs w:val="18"/>
              </w:rPr>
              <w:t>Prospective paired trial where women underwent FFDM and wide-angled one-view DBT</w:t>
            </w:r>
            <w:r w:rsidRPr="001C2FBE">
              <w:rPr>
                <w:rFonts w:asciiTheme="majorHAnsi" w:hAnsiTheme="majorHAnsi" w:cstheme="majorHAnsi"/>
                <w:bCs/>
                <w:sz w:val="18"/>
                <w:szCs w:val="18"/>
                <w:vertAlign w:val="subscript"/>
              </w:rPr>
              <w:t xml:space="preserve">MLO </w:t>
            </w:r>
            <w:r w:rsidRPr="001C2FBE">
              <w:rPr>
                <w:rFonts w:asciiTheme="majorHAnsi" w:hAnsiTheme="majorHAnsi" w:cstheme="majorHAnsi"/>
                <w:bCs/>
                <w:sz w:val="18"/>
                <w:szCs w:val="18"/>
              </w:rPr>
              <w:t>using Siemens Mammomat Inspirations</w:t>
            </w:r>
            <w:r>
              <w:rPr>
                <w:rFonts w:asciiTheme="majorHAnsi" w:hAnsiTheme="majorHAnsi" w:cstheme="majorHAnsi"/>
                <w:bCs/>
                <w:sz w:val="18"/>
                <w:szCs w:val="18"/>
              </w:rPr>
              <w:t xml:space="preserve">. </w:t>
            </w:r>
          </w:p>
        </w:tc>
        <w:tc>
          <w:tcPr>
            <w:tcW w:w="657" w:type="pct"/>
            <w:gridSpan w:val="2"/>
            <w:shd w:val="clear" w:color="auto" w:fill="FFFFFF" w:themeFill="background1"/>
          </w:tcPr>
          <w:p w14:paraId="6A172207" w14:textId="77777777" w:rsidR="00161844" w:rsidRPr="001C2FBE"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MLO</w:t>
            </w:r>
            <w:r w:rsidRPr="001C2FBE">
              <w:rPr>
                <w:rFonts w:asciiTheme="majorHAnsi" w:hAnsiTheme="majorHAnsi" w:cstheme="majorHAnsi"/>
                <w:bCs/>
                <w:sz w:val="18"/>
                <w:szCs w:val="18"/>
              </w:rPr>
              <w:t xml:space="preserve"> = 2·3</w:t>
            </w:r>
            <w:r>
              <w:rPr>
                <w:rFonts w:asciiTheme="majorHAnsi" w:hAnsiTheme="majorHAnsi" w:cstheme="majorHAnsi"/>
                <w:bCs/>
                <w:sz w:val="18"/>
                <w:szCs w:val="18"/>
              </w:rPr>
              <w:t xml:space="preserve"> (</w:t>
            </w:r>
            <w:r w:rsidRPr="001C2FBE">
              <w:rPr>
                <w:rFonts w:asciiTheme="majorHAnsi" w:hAnsiTheme="majorHAnsi" w:cstheme="majorHAnsi"/>
                <w:bCs/>
                <w:sz w:val="18"/>
                <w:szCs w:val="18"/>
              </w:rPr>
              <w:t>0·7</w:t>
            </w:r>
            <w:r>
              <w:rPr>
                <w:rFonts w:asciiTheme="majorHAnsi" w:hAnsiTheme="majorHAnsi" w:cstheme="majorHAnsi"/>
                <w:bCs/>
                <w:sz w:val="18"/>
                <w:szCs w:val="18"/>
              </w:rPr>
              <w:t>)</w:t>
            </w:r>
          </w:p>
        </w:tc>
        <w:tc>
          <w:tcPr>
            <w:tcW w:w="657" w:type="pct"/>
            <w:gridSpan w:val="2"/>
            <w:shd w:val="clear" w:color="auto" w:fill="FFFFFF" w:themeFill="background1"/>
          </w:tcPr>
          <w:p w14:paraId="14814AF3" w14:textId="77777777" w:rsidR="00161844" w:rsidRPr="002669A5" w:rsidRDefault="00161844"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 xml:space="preserve">MLO = </w:t>
            </w:r>
            <w:r w:rsidRPr="001C2FBE">
              <w:rPr>
                <w:rFonts w:asciiTheme="majorHAnsi" w:hAnsiTheme="majorHAnsi" w:cstheme="majorHAnsi"/>
                <w:bCs/>
                <w:sz w:val="18"/>
                <w:szCs w:val="18"/>
              </w:rPr>
              <w:t xml:space="preserve">2·7 </w:t>
            </w:r>
            <w:r>
              <w:rPr>
                <w:rFonts w:asciiTheme="majorHAnsi" w:hAnsiTheme="majorHAnsi" w:cstheme="majorHAnsi"/>
                <w:bCs/>
                <w:sz w:val="18"/>
                <w:szCs w:val="18"/>
              </w:rPr>
              <w:t>(</w:t>
            </w:r>
            <w:r w:rsidRPr="001C2FBE">
              <w:rPr>
                <w:rFonts w:asciiTheme="majorHAnsi" w:hAnsiTheme="majorHAnsi" w:cstheme="majorHAnsi"/>
                <w:bCs/>
                <w:sz w:val="18"/>
                <w:szCs w:val="18"/>
              </w:rPr>
              <w:t>0·8</w:t>
            </w:r>
            <w:r>
              <w:rPr>
                <w:rFonts w:asciiTheme="majorHAnsi" w:hAnsiTheme="majorHAnsi" w:cstheme="majorHAnsi"/>
                <w:bCs/>
                <w:sz w:val="18"/>
                <w:szCs w:val="18"/>
              </w:rPr>
              <w:t>)</w:t>
            </w:r>
          </w:p>
        </w:tc>
        <w:tc>
          <w:tcPr>
            <w:tcW w:w="1413" w:type="pct"/>
            <w:shd w:val="clear" w:color="auto" w:fill="FFFFFF" w:themeFill="background1"/>
          </w:tcPr>
          <w:p w14:paraId="3F250F0A" w14:textId="60AAAD5C" w:rsidR="00161844" w:rsidRDefault="005866B2" w:rsidP="00805590">
            <w:pPr>
              <w:pStyle w:val="BodyText"/>
              <w:spacing w:before="0" w:after="0" w:line="240" w:lineRule="auto"/>
              <w:jc w:val="left"/>
              <w:rPr>
                <w:rFonts w:asciiTheme="majorHAnsi" w:hAnsiTheme="majorHAnsi" w:cstheme="majorHAnsi"/>
                <w:bCs/>
                <w:sz w:val="18"/>
                <w:szCs w:val="18"/>
              </w:rPr>
            </w:pPr>
            <w:r>
              <w:rPr>
                <w:rFonts w:asciiTheme="majorHAnsi" w:hAnsiTheme="majorHAnsi" w:cstheme="majorHAnsi"/>
                <w:bCs/>
                <w:sz w:val="18"/>
                <w:szCs w:val="18"/>
              </w:rPr>
              <w:t>NA</w:t>
            </w:r>
          </w:p>
        </w:tc>
      </w:tr>
    </w:tbl>
    <w:p w14:paraId="763510B7" w14:textId="404EDBE9" w:rsidR="00161844" w:rsidRDefault="00161844">
      <w:pPr>
        <w:rPr>
          <w:rFonts w:asciiTheme="majorHAnsi" w:hAnsiTheme="majorHAnsi"/>
          <w:b/>
          <w:caps/>
          <w:color w:val="36424A" w:themeColor="text2"/>
          <w:sz w:val="28"/>
        </w:rPr>
      </w:pPr>
    </w:p>
    <w:p w14:paraId="261CC21A" w14:textId="77777777" w:rsidR="00DC2E66" w:rsidRDefault="00DC2E66" w:rsidP="00D51893">
      <w:pPr>
        <w:pStyle w:val="NumberedHeading1"/>
        <w:sectPr w:rsidR="00DC2E66" w:rsidSect="007A16CF">
          <w:footerReference w:type="even" r:id="rId26"/>
          <w:footerReference w:type="default" r:id="rId27"/>
          <w:pgSz w:w="16839" w:h="11907" w:orient="landscape" w:code="9"/>
          <w:pgMar w:top="1418" w:right="1418" w:bottom="1418" w:left="1418" w:header="964" w:footer="964" w:gutter="0"/>
          <w:cols w:space="708"/>
          <w:docGrid w:linePitch="360"/>
        </w:sectPr>
      </w:pPr>
    </w:p>
    <w:p w14:paraId="6C7498F1" w14:textId="5C438A48" w:rsidR="00D51893" w:rsidRDefault="00D51893" w:rsidP="00D51893">
      <w:pPr>
        <w:pStyle w:val="NumberedHeading1"/>
      </w:pPr>
      <w:bookmarkStart w:id="437" w:name="_Toc43376351"/>
      <w:r>
        <w:lastRenderedPageBreak/>
        <w:t>Implementation of dbt as a screening tool</w:t>
      </w:r>
      <w:bookmarkEnd w:id="437"/>
    </w:p>
    <w:p w14:paraId="091116DE" w14:textId="0634F20F" w:rsidR="004C2A51" w:rsidRDefault="004C2A51" w:rsidP="00810019">
      <w:pPr>
        <w:pStyle w:val="BodyText"/>
        <w:tabs>
          <w:tab w:val="center" w:pos="4513"/>
        </w:tabs>
      </w:pPr>
      <w:r>
        <w:t>Much of the published literature focuse</w:t>
      </w:r>
      <w:r w:rsidR="0019576D">
        <w:t>s</w:t>
      </w:r>
      <w:r>
        <w:t xml:space="preserve"> on DBT’s sensitivity, specificity and safety with the studies</w:t>
      </w:r>
      <w:r w:rsidR="005866B2">
        <w:t xml:space="preserve"> reporting</w:t>
      </w:r>
      <w:r>
        <w:t xml:space="preserve"> on the nature of the association between DBT (either alone, as an adjunct to FFDM, or with </w:t>
      </w:r>
      <w:r w:rsidR="00176980">
        <w:t>s2DM</w:t>
      </w:r>
      <w:r>
        <w:t xml:space="preserve">) and specific clinical outcomes and </w:t>
      </w:r>
      <w:r w:rsidR="00810019">
        <w:t xml:space="preserve">short-term </w:t>
      </w:r>
      <w:r>
        <w:t xml:space="preserve">performance metrics. There is growing confidence that as a screening strategy DBT could enhance a screening program </w:t>
      </w:r>
      <w:r w:rsidR="00810019">
        <w:t xml:space="preserve">with several programs moving to pilot DBT as the screening test (eg, the Trento and Verona screening programs). </w:t>
      </w:r>
      <w:r>
        <w:t>Another key area of research to consider is implementation</w:t>
      </w:r>
      <w:r w:rsidR="005866B2">
        <w:t xml:space="preserve">. Data from the studies that have implemented DBT are now reporting on the </w:t>
      </w:r>
      <w:r>
        <w:t>issues need to be considered to ensure the maximum benefits accrue to women and health practitioners. Key issues to consider are:</w:t>
      </w:r>
    </w:p>
    <w:p w14:paraId="6FA6E856" w14:textId="4ED1FAB5" w:rsidR="004C2A51" w:rsidRDefault="005866B2" w:rsidP="007E3481">
      <w:pPr>
        <w:pStyle w:val="List-BulletLvl1"/>
        <w:numPr>
          <w:ilvl w:val="0"/>
          <w:numId w:val="6"/>
        </w:numPr>
      </w:pPr>
      <w:r>
        <w:t>i</w:t>
      </w:r>
      <w:r w:rsidR="004C2A51">
        <w:t>mage acquisition</w:t>
      </w:r>
    </w:p>
    <w:p w14:paraId="712C1317" w14:textId="565BF466" w:rsidR="004C2A51" w:rsidRDefault="005866B2" w:rsidP="007E3481">
      <w:pPr>
        <w:pStyle w:val="List-BulletLvl1"/>
        <w:numPr>
          <w:ilvl w:val="0"/>
          <w:numId w:val="6"/>
        </w:numPr>
      </w:pPr>
      <w:r>
        <w:t>r</w:t>
      </w:r>
      <w:r w:rsidR="004C2A51">
        <w:t xml:space="preserve">eader performance: experience and accuracy </w:t>
      </w:r>
    </w:p>
    <w:p w14:paraId="724524BB" w14:textId="5F4B6B0B" w:rsidR="004C2A51" w:rsidRDefault="005866B2" w:rsidP="007E3481">
      <w:pPr>
        <w:pStyle w:val="List-BulletLvl1"/>
        <w:numPr>
          <w:ilvl w:val="0"/>
          <w:numId w:val="6"/>
        </w:numPr>
      </w:pPr>
      <w:r>
        <w:t>i</w:t>
      </w:r>
      <w:r w:rsidR="004C2A51">
        <w:t>nterpretation time requirements</w:t>
      </w:r>
      <w:r w:rsidR="00E94448">
        <w:t xml:space="preserve">, </w:t>
      </w:r>
      <w:r w:rsidR="004C2A51">
        <w:t>and</w:t>
      </w:r>
    </w:p>
    <w:p w14:paraId="619F0694" w14:textId="6C641F32" w:rsidR="004C2A51" w:rsidRDefault="005866B2" w:rsidP="007E3481">
      <w:pPr>
        <w:pStyle w:val="List-BulletLvl1"/>
        <w:numPr>
          <w:ilvl w:val="0"/>
          <w:numId w:val="6"/>
        </w:numPr>
      </w:pPr>
      <w:r>
        <w:t>c</w:t>
      </w:r>
      <w:r w:rsidR="004C2A51">
        <w:t>ost.</w:t>
      </w:r>
    </w:p>
    <w:p w14:paraId="31B2E164" w14:textId="394C2525" w:rsidR="00D51893" w:rsidRDefault="00D51893" w:rsidP="00D51893">
      <w:pPr>
        <w:pStyle w:val="NumberedHeading2"/>
      </w:pPr>
      <w:bookmarkStart w:id="438" w:name="_Toc43376352"/>
      <w:r>
        <w:t>Image acquisition</w:t>
      </w:r>
      <w:bookmarkEnd w:id="438"/>
    </w:p>
    <w:p w14:paraId="571F7594" w14:textId="77777777" w:rsidR="005866B2" w:rsidRDefault="005866B2" w:rsidP="005866B2">
      <w:pPr>
        <w:pStyle w:val="BodyText"/>
      </w:pPr>
      <w:r w:rsidRPr="00BE6D01">
        <w:t>An increase in image acquisition time could increase the discomfort felt by women when participating in breast screening</w:t>
      </w:r>
      <w:r>
        <w:t>. A</w:t>
      </w:r>
      <w:r w:rsidRPr="00BE6D01">
        <w:t xml:space="preserve">dditionally, an increase in time could impact </w:t>
      </w:r>
      <w:r>
        <w:t xml:space="preserve">high-throughput clinic </w:t>
      </w:r>
      <w:r w:rsidRPr="00BE6D01">
        <w:t xml:space="preserve">workflow. </w:t>
      </w:r>
    </w:p>
    <w:p w14:paraId="6A4D8F51" w14:textId="6448C7A2" w:rsidR="00810019" w:rsidRDefault="00810019" w:rsidP="00810019">
      <w:pPr>
        <w:pStyle w:val="CV-Heading"/>
      </w:pPr>
      <w:r>
        <w:t xml:space="preserve">Key findings from </w:t>
      </w:r>
      <w:r>
        <w:rPr>
          <w:i/>
          <w:iCs/>
        </w:rPr>
        <w:t>Allen + Clarke</w:t>
      </w:r>
      <w:r w:rsidRPr="00B63265">
        <w:t>’s</w:t>
      </w:r>
      <w:r w:rsidRPr="00E44152">
        <w:t xml:space="preserve"> </w:t>
      </w:r>
      <w:r>
        <w:t>2018 literature reviews on tomosynthesis in screening and the assessment of screen-detected abnormalities</w:t>
      </w:r>
    </w:p>
    <w:p w14:paraId="724710C3" w14:textId="419F34CC" w:rsidR="00C60847" w:rsidRDefault="00810019" w:rsidP="00810019">
      <w:pPr>
        <w:pStyle w:val="BodyText"/>
      </w:pPr>
      <w:r>
        <w:t xml:space="preserve">Reports from practical evaluations noted that, for DBT imaging, each view is </w:t>
      </w:r>
      <w:r w:rsidRPr="00E44152">
        <w:t xml:space="preserve">obtained during the same breast compression as standard digital mammographic projections. </w:t>
      </w:r>
      <w:r>
        <w:t xml:space="preserve">There is no need for the woman to be repositioned during the examination (except for the repositioning already associated with moving from acquiring the CC image </w:t>
      </w:r>
      <w:r w:rsidR="00E94448">
        <w:t xml:space="preserve">to </w:t>
      </w:r>
      <w:r>
        <w:t xml:space="preserve">the MLO image). </w:t>
      </w:r>
      <w:r w:rsidRPr="00E44152">
        <w:t>Therefore</w:t>
      </w:r>
      <w:r>
        <w:t>,</w:t>
      </w:r>
      <w:r w:rsidRPr="00E44152">
        <w:t xml:space="preserve"> </w:t>
      </w:r>
      <w:r>
        <w:t>use of DBT</w:t>
      </w:r>
      <w:r w:rsidRPr="00E44152">
        <w:t xml:space="preserve"> is usually associated with </w:t>
      </w:r>
      <w:r>
        <w:t xml:space="preserve">only a small amount of </w:t>
      </w:r>
      <w:r w:rsidRPr="00E44152">
        <w:t xml:space="preserve">extra time investment for </w:t>
      </w:r>
      <w:r>
        <w:t>women</w:t>
      </w:r>
      <w:r w:rsidRPr="00E44152">
        <w:t xml:space="preserve"> and </w:t>
      </w:r>
      <w:r w:rsidR="005866B2">
        <w:t>radiographers</w:t>
      </w:r>
      <w:r>
        <w:t>. In the STORM trial, image acquisition was defined from a sub-set of 20 screening examinations</w:t>
      </w:r>
      <w:r w:rsidR="00E94448">
        <w:t xml:space="preserve"> (</w:t>
      </w:r>
      <w:r>
        <w:t>from the start of the first-view breast positioning to compression release at the last view</w:t>
      </w:r>
      <w:r w:rsidR="00E94448">
        <w:t>)</w:t>
      </w:r>
      <w:r>
        <w:t>. It took longer to acquire im</w:t>
      </w:r>
      <w:r w:rsidRPr="00984052">
        <w:t>a</w:t>
      </w:r>
      <w:r>
        <w:t xml:space="preserve">ges with FFDM+DBT </w:t>
      </w:r>
      <w:r w:rsidR="00C60847">
        <w:t>compared to FFDM alone:</w:t>
      </w:r>
    </w:p>
    <w:p w14:paraId="156CEAEC" w14:textId="26FC249C" w:rsidR="00C60847" w:rsidRDefault="00C60847" w:rsidP="00C60847">
      <w:pPr>
        <w:pStyle w:val="List-BulletLvl1"/>
      </w:pPr>
      <w:r>
        <w:t xml:space="preserve">FFDM+DBT: </w:t>
      </w:r>
      <w:r w:rsidR="00810019">
        <w:t xml:space="preserve">4 </w:t>
      </w:r>
      <w:r w:rsidR="008B4003">
        <w:t>min</w:t>
      </w:r>
      <w:r w:rsidR="00810019">
        <w:t xml:space="preserve"> 3 </w:t>
      </w:r>
      <w:r w:rsidR="008B4003">
        <w:t>sec</w:t>
      </w:r>
      <w:r>
        <w:t xml:space="preserve"> (</w:t>
      </w:r>
      <w:r w:rsidR="00810019">
        <w:t xml:space="preserve">range </w:t>
      </w:r>
      <w:r>
        <w:t xml:space="preserve">= </w:t>
      </w:r>
      <w:r w:rsidR="00810019">
        <w:t xml:space="preserve">3 </w:t>
      </w:r>
      <w:r w:rsidR="008B4003">
        <w:t>min</w:t>
      </w:r>
      <w:r w:rsidR="00810019">
        <w:t xml:space="preserve"> 53 </w:t>
      </w:r>
      <w:r w:rsidR="008B4003">
        <w:t>sec</w:t>
      </w:r>
      <w:r w:rsidR="00810019">
        <w:t xml:space="preserve"> to 4 </w:t>
      </w:r>
      <w:r w:rsidR="008B4003">
        <w:t>min</w:t>
      </w:r>
      <w:r w:rsidR="00810019">
        <w:t xml:space="preserve"> 18 </w:t>
      </w:r>
      <w:r w:rsidR="008B4003">
        <w:t>sec</w:t>
      </w:r>
      <w:r w:rsidR="00810019">
        <w:t>)</w:t>
      </w:r>
      <w:r>
        <w:t>, and</w:t>
      </w:r>
    </w:p>
    <w:p w14:paraId="543D8B86" w14:textId="080F77B1" w:rsidR="00C60847" w:rsidRDefault="00810019" w:rsidP="00C60847">
      <w:pPr>
        <w:pStyle w:val="List-BulletLvl1"/>
      </w:pPr>
      <w:r>
        <w:t>FFDM alone</w:t>
      </w:r>
      <w:r w:rsidR="00C60847">
        <w:t xml:space="preserve">: </w:t>
      </w:r>
      <w:r>
        <w:t xml:space="preserve">3 </w:t>
      </w:r>
      <w:r w:rsidR="008B4003">
        <w:t>min</w:t>
      </w:r>
      <w:r>
        <w:t xml:space="preserve"> 13 </w:t>
      </w:r>
      <w:r w:rsidR="008B4003">
        <w:t>sec</w:t>
      </w:r>
      <w:r w:rsidR="00C60847">
        <w:t xml:space="preserve"> (</w:t>
      </w:r>
      <w:r>
        <w:t xml:space="preserve">range 3 </w:t>
      </w:r>
      <w:r w:rsidR="008B4003">
        <w:t>min</w:t>
      </w:r>
      <w:r>
        <w:t xml:space="preserve"> 0 </w:t>
      </w:r>
      <w:r w:rsidR="008B4003">
        <w:t>sec</w:t>
      </w:r>
      <w:r>
        <w:t xml:space="preserve"> to 3 </w:t>
      </w:r>
      <w:r w:rsidR="008B4003">
        <w:t>min</w:t>
      </w:r>
      <w:r>
        <w:t xml:space="preserve"> 26 </w:t>
      </w:r>
      <w:r w:rsidR="008B4003">
        <w:t>sec</w:t>
      </w:r>
      <w:r>
        <w:t xml:space="preserve">). </w:t>
      </w:r>
    </w:p>
    <w:p w14:paraId="3C801342" w14:textId="34EE8977" w:rsidR="00810019" w:rsidRDefault="00810019" w:rsidP="00C60847">
      <w:pPr>
        <w:pStyle w:val="BodyText"/>
      </w:pPr>
      <w:r>
        <w:t xml:space="preserve">Reporting on the OTS trial, </w:t>
      </w:r>
      <w:r w:rsidRPr="00E44152">
        <w:t>Skaane</w:t>
      </w:r>
      <w:r>
        <w:t xml:space="preserve"> et al. (2013) obtained two views (CC and MLO) of each breast with FFDM and DBT with single breast compression per view. DBT images required about 10 additional </w:t>
      </w:r>
      <w:r w:rsidR="008B4003">
        <w:t>sec</w:t>
      </w:r>
      <w:r>
        <w:t xml:space="preserve"> per view to obtain (an additional 40</w:t>
      </w:r>
      <w:r w:rsidR="00C60847">
        <w:t xml:space="preserve"> </w:t>
      </w:r>
      <w:r w:rsidR="008B4003">
        <w:t>sec</w:t>
      </w:r>
      <w:r>
        <w:t xml:space="preserve"> overall with the use of DBT as an adjunct screen; 3 </w:t>
      </w:r>
      <w:r w:rsidR="008B4003">
        <w:t>min</w:t>
      </w:r>
      <w:r>
        <w:t xml:space="preserve"> 55 </w:t>
      </w:r>
      <w:r w:rsidR="008B4003">
        <w:t>sec</w:t>
      </w:r>
      <w:r>
        <w:t>).</w:t>
      </w:r>
    </w:p>
    <w:p w14:paraId="186F95FC" w14:textId="77777777" w:rsidR="00810019" w:rsidRDefault="00810019" w:rsidP="00810019">
      <w:pPr>
        <w:pStyle w:val="CV-Heading"/>
      </w:pPr>
      <w:r>
        <w:t>Updated findings</w:t>
      </w:r>
    </w:p>
    <w:p w14:paraId="0BD99135" w14:textId="37FB4F33" w:rsidR="00810019" w:rsidRDefault="00810019" w:rsidP="00810019">
      <w:pPr>
        <w:pStyle w:val="BodyText"/>
      </w:pPr>
      <w:r w:rsidRPr="00201607">
        <w:t xml:space="preserve">Literature published since 31 December 2017 </w:t>
      </w:r>
      <w:r>
        <w:t>on image acquisition time is limited</w:t>
      </w:r>
      <w:r w:rsidR="005866B2">
        <w:t xml:space="preserve"> (only  results from the To-Be-1 RCT)</w:t>
      </w:r>
      <w:r w:rsidR="00C60847">
        <w:t xml:space="preserve">. The methodology for the </w:t>
      </w:r>
      <w:r w:rsidR="00815FC2">
        <w:t>To-Be-1</w:t>
      </w:r>
      <w:r w:rsidR="00C60847">
        <w:t xml:space="preserve"> trial is described in </w:t>
      </w:r>
      <w:r w:rsidR="00C60847">
        <w:rPr>
          <w:i/>
          <w:iCs/>
        </w:rPr>
        <w:t xml:space="preserve">section 3.1.1. </w:t>
      </w:r>
      <w:r w:rsidR="00C60847" w:rsidRPr="00C60847">
        <w:t>No</w:t>
      </w:r>
      <w:r w:rsidR="00C60847">
        <w:t xml:space="preserve"> data on image acquisition was reported from the Maroondah pilot</w:t>
      </w:r>
      <w:r w:rsidR="005866B2">
        <w:t xml:space="preserve"> (Houssami et al., 2019)</w:t>
      </w:r>
      <w:r w:rsidR="00C60847">
        <w:t xml:space="preserve">. We </w:t>
      </w:r>
      <w:r w:rsidR="00C60847">
        <w:lastRenderedPageBreak/>
        <w:t>are mindful that many of the other pilot evaluations may have</w:t>
      </w:r>
      <w:r w:rsidR="00CE3204">
        <w:t xml:space="preserve"> </w:t>
      </w:r>
      <w:r w:rsidR="00C60847">
        <w:t>recorded information about image acquisition but not yet reported on this or on the impact on workflow that an additional time to acquire images might have. This may be an area where further research is published in the future, or it may be covered in some of the other studies currently underway</w:t>
      </w:r>
      <w:r w:rsidR="005866B2">
        <w:t xml:space="preserve"> (see </w:t>
      </w:r>
      <w:r w:rsidR="005866B2">
        <w:rPr>
          <w:i/>
          <w:iCs/>
        </w:rPr>
        <w:t>section 1.5</w:t>
      </w:r>
      <w:r w:rsidR="005866B2">
        <w:t>)</w:t>
      </w:r>
      <w:r w:rsidR="00C60847">
        <w:t xml:space="preserve">. No systematic reviews assessing image acquisition for a range of different imaging modalities have been completed. Included studies are listed below. </w:t>
      </w:r>
    </w:p>
    <w:p w14:paraId="34A45B9F" w14:textId="5E99602E" w:rsidR="00810019" w:rsidRDefault="00C60847" w:rsidP="00C60847">
      <w:pPr>
        <w:pStyle w:val="Heading3"/>
        <w:ind w:firstLine="720"/>
      </w:pPr>
      <w:bookmarkStart w:id="439" w:name="_Toc27859685"/>
      <w:bookmarkStart w:id="440" w:name="_Toc27904802"/>
      <w:bookmarkStart w:id="441" w:name="_Toc43376353"/>
      <w:r>
        <w:t>L</w:t>
      </w:r>
      <w:r w:rsidR="00810019">
        <w:t>iterature review</w:t>
      </w:r>
      <w:bookmarkEnd w:id="439"/>
      <w:bookmarkEnd w:id="440"/>
      <w:bookmarkEnd w:id="441"/>
    </w:p>
    <w:p w14:paraId="205BB389" w14:textId="0254E728" w:rsidR="00810019" w:rsidRPr="00416A38" w:rsidRDefault="00810019" w:rsidP="00810019">
      <w:pPr>
        <w:pStyle w:val="BodyText"/>
        <w:ind w:firstLine="720"/>
      </w:pPr>
      <w:r>
        <w:t xml:space="preserve">One </w:t>
      </w:r>
      <w:r w:rsidR="00C60847">
        <w:t>narrative literature review</w:t>
      </w:r>
      <w:r>
        <w:t xml:space="preserve">: </w:t>
      </w:r>
      <w:r w:rsidRPr="00416A38">
        <w:t xml:space="preserve">Rocha </w:t>
      </w:r>
      <w:r w:rsidR="00C60847">
        <w:t xml:space="preserve">García &amp; Fernández, </w:t>
      </w:r>
      <w:r w:rsidRPr="00416A38">
        <w:t>2019</w:t>
      </w:r>
    </w:p>
    <w:p w14:paraId="79036143" w14:textId="0E34907F" w:rsidR="00810019" w:rsidRDefault="00810019" w:rsidP="00810019">
      <w:pPr>
        <w:pStyle w:val="Heading3"/>
        <w:ind w:left="720"/>
      </w:pPr>
      <w:bookmarkStart w:id="442" w:name="_Toc27859686"/>
      <w:bookmarkStart w:id="443" w:name="_Toc27904803"/>
      <w:bookmarkStart w:id="444" w:name="_Toc43376354"/>
      <w:r>
        <w:t>Randomized controlled trial</w:t>
      </w:r>
      <w:bookmarkEnd w:id="442"/>
      <w:bookmarkEnd w:id="443"/>
      <w:bookmarkEnd w:id="444"/>
    </w:p>
    <w:p w14:paraId="11B74705" w14:textId="6184639B" w:rsidR="00810019" w:rsidRDefault="005866B2" w:rsidP="00810019">
      <w:pPr>
        <w:ind w:firstLine="720"/>
        <w:jc w:val="both"/>
      </w:pPr>
      <w:bookmarkStart w:id="445" w:name="_Hlk25589330"/>
      <w:r>
        <w:t>One RCT (two papers)</w:t>
      </w:r>
      <w:r w:rsidR="00810019">
        <w:t xml:space="preserve">: Aase et al., 2019; </w:t>
      </w:r>
      <w:bookmarkEnd w:id="445"/>
      <w:r w:rsidR="00810019">
        <w:t>Moger et al., 2019</w:t>
      </w:r>
    </w:p>
    <w:p w14:paraId="5A69C06C" w14:textId="77777777" w:rsidR="00EC6F2F"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201607">
        <w:rPr>
          <w:b/>
          <w:bCs/>
        </w:rPr>
        <w:t>Summary of key findings published between 1 January 2018 and 31 December 2019</w:t>
      </w:r>
    </w:p>
    <w:p w14:paraId="2EEE1EC8" w14:textId="2607C93A" w:rsidR="00EC6F2F" w:rsidRPr="000C0773" w:rsidRDefault="00EC6F2F" w:rsidP="00EC6F2F">
      <w:pPr>
        <w:pBdr>
          <w:top w:val="single" w:sz="4" w:space="1" w:color="auto"/>
          <w:left w:val="single" w:sz="4" w:space="4" w:color="auto"/>
          <w:bottom w:val="single" w:sz="4" w:space="1" w:color="auto"/>
          <w:right w:val="single" w:sz="4" w:space="4" w:color="auto"/>
        </w:pBdr>
        <w:shd w:val="clear" w:color="auto" w:fill="E7FFBD" w:themeFill="background2" w:themeFillTint="33"/>
        <w:jc w:val="both"/>
      </w:pPr>
      <w:r w:rsidRPr="00BE6D01">
        <w:t>An increase in image acquisition time could increase the discomfort felt by women when participating in breast screening</w:t>
      </w:r>
      <w:r>
        <w:t>. A</w:t>
      </w:r>
      <w:r w:rsidRPr="00BE6D01">
        <w:t xml:space="preserve">dditionally, an increase in time could impact </w:t>
      </w:r>
      <w:r>
        <w:t xml:space="preserve">high-throughput clinic </w:t>
      </w:r>
      <w:r w:rsidRPr="00BE6D01">
        <w:t xml:space="preserve">workflow. </w:t>
      </w:r>
      <w:r>
        <w:t xml:space="preserve">Currently available literature is surprisingly sparse, and certainly insufficient to determine the impact of DBT on image acquisition time. Only </w:t>
      </w:r>
      <w:r w:rsidRPr="003078CB">
        <w:t>one primary study</w:t>
      </w:r>
      <w:r>
        <w:t xml:space="preserve"> (the To-Be-1 RCT) </w:t>
      </w:r>
      <w:r w:rsidRPr="003078CB">
        <w:t xml:space="preserve">reported </w:t>
      </w:r>
      <w:r>
        <w:t xml:space="preserve">findings </w:t>
      </w:r>
      <w:r w:rsidRPr="003078CB">
        <w:t>on image acquisition time</w:t>
      </w:r>
      <w:r>
        <w:t xml:space="preserve">. Results from this RCT were based on the time the woman entered the exam room until the time she left. Results reported from the To-Be-1 RCT stated that DBT+s2DM took 54 sec longer than FFDM (DBT+s2DM imaging took </w:t>
      </w:r>
      <w:r w:rsidRPr="003078CB">
        <w:t xml:space="preserve">5 </w:t>
      </w:r>
      <w:r>
        <w:t xml:space="preserve">min </w:t>
      </w:r>
      <w:r w:rsidRPr="003078CB">
        <w:t xml:space="preserve">24 </w:t>
      </w:r>
      <w:r>
        <w:t>sec compared to four min 19 sec with FFDM). While the definition of image acquisition differed to other previous studies (being the time in the exam room, rather than the machine settings), the trend appears to remain the same: DBT image acquisition takes longer than FFDM. One explanation presented by the To-Be-1 RCT is that additional time for DBT may have been impacted by explaining to the woman the new technology. We do not know if the actual image acquisition time was much longer (one second is not much more, as reported in other studies). There is also a suggestion that newer machines have the potential to reduce the difference in DBT capture time (observed in early commentary from Moger et al. (2019) in relation to the extension the To-Be-1 RCT (To-Be-2). The Maroondah pilot in Australia may also provide more insight into these issues in the future but it has not yet reported any data on image acquisition.</w:t>
      </w:r>
    </w:p>
    <w:p w14:paraId="4D417058" w14:textId="341D45AD" w:rsidR="00810019" w:rsidRPr="000C0773" w:rsidRDefault="00810019" w:rsidP="00810019">
      <w:pPr>
        <w:pStyle w:val="Heading3-NOTinTOC"/>
      </w:pPr>
      <w:r>
        <w:t>DBT+</w:t>
      </w:r>
      <w:r w:rsidR="00176980">
        <w:t>s2DM</w:t>
      </w:r>
      <w:r>
        <w:t xml:space="preserve"> compared to </w:t>
      </w:r>
      <w:r w:rsidR="00176980">
        <w:t>FFDM+DBT</w:t>
      </w:r>
      <w:r>
        <w:t xml:space="preserve"> and/or FFDM alone</w:t>
      </w:r>
    </w:p>
    <w:p w14:paraId="627FB3BD" w14:textId="77777777" w:rsidR="00810019" w:rsidRPr="00C60847" w:rsidRDefault="00810019" w:rsidP="00C60847">
      <w:pPr>
        <w:pStyle w:val="BodyText-GREEN"/>
        <w:rPr>
          <w:b/>
          <w:bCs/>
        </w:rPr>
      </w:pPr>
      <w:r w:rsidRPr="00C60847">
        <w:rPr>
          <w:b/>
          <w:bCs/>
        </w:rPr>
        <w:t>Literature review</w:t>
      </w:r>
    </w:p>
    <w:p w14:paraId="1BB3073D" w14:textId="1816F104" w:rsidR="00C60847" w:rsidRDefault="00810019" w:rsidP="006D457E">
      <w:pPr>
        <w:pStyle w:val="BodyText"/>
        <w:rPr>
          <w:b/>
          <w:bCs/>
        </w:rPr>
      </w:pPr>
      <w:r>
        <w:t xml:space="preserve">Rocha </w:t>
      </w:r>
      <w:r w:rsidR="00C60847">
        <w:t>García &amp; Fernández</w:t>
      </w:r>
      <w:r w:rsidR="00C60847" w:rsidRPr="00416A38">
        <w:t xml:space="preserve"> </w:t>
      </w:r>
      <w:r w:rsidRPr="00416A38">
        <w:t>(2019)</w:t>
      </w:r>
      <w:r w:rsidRPr="000C0FDB">
        <w:t xml:space="preserve"> </w:t>
      </w:r>
      <w:r>
        <w:t>report</w:t>
      </w:r>
      <w:r w:rsidR="00CE3204">
        <w:t>ed</w:t>
      </w:r>
      <w:r>
        <w:t xml:space="preserve"> on an earl</w:t>
      </w:r>
      <w:r w:rsidR="00CE3204">
        <w:t>ier</w:t>
      </w:r>
      <w:r>
        <w:t xml:space="preserve"> Bernardi et al. (2012) study</w:t>
      </w:r>
      <w:r w:rsidR="005866B2">
        <w:t>,</w:t>
      </w:r>
      <w:r>
        <w:t xml:space="preserve"> </w:t>
      </w:r>
      <w:r w:rsidR="00CE3204">
        <w:t>which stated</w:t>
      </w:r>
      <w:r>
        <w:t xml:space="preserve"> that image acquisition takes </w:t>
      </w:r>
      <w:r w:rsidRPr="000C0FDB">
        <w:t>approximately</w:t>
      </w:r>
      <w:r>
        <w:t xml:space="preserve"> </w:t>
      </w:r>
      <w:r w:rsidR="00C60847">
        <w:t xml:space="preserve">four </w:t>
      </w:r>
      <w:r w:rsidR="008B4003">
        <w:t>sec</w:t>
      </w:r>
      <w:r w:rsidRPr="000C0FDB">
        <w:t xml:space="preserve"> per projection</w:t>
      </w:r>
      <w:r>
        <w:t xml:space="preserve"> for FFDM</w:t>
      </w:r>
      <w:r w:rsidRPr="000C0FDB">
        <w:t xml:space="preserve">, while a dual acquisition of </w:t>
      </w:r>
      <w:r>
        <w:t xml:space="preserve">DBT </w:t>
      </w:r>
      <w:r w:rsidRPr="000C0FDB">
        <w:t>and DM takes 26</w:t>
      </w:r>
      <w:r w:rsidR="00C60847">
        <w:t xml:space="preserve"> percent</w:t>
      </w:r>
      <w:r w:rsidRPr="000C0FDB">
        <w:t xml:space="preserve"> longer</w:t>
      </w:r>
      <w:r>
        <w:t xml:space="preserve"> (approximately </w:t>
      </w:r>
      <w:r w:rsidR="00C60847">
        <w:t xml:space="preserve">five </w:t>
      </w:r>
      <w:r w:rsidR="008B4003">
        <w:t>sec</w:t>
      </w:r>
      <w:r w:rsidR="002B6770">
        <w:t>onds</w:t>
      </w:r>
      <w:r>
        <w:t xml:space="preserve"> per projection)</w:t>
      </w:r>
      <w:r w:rsidR="005866B2">
        <w:t>; however, this used a different measure from the To-Be-1 RCT (just the machine use time, not the women’s time in an examination room).</w:t>
      </w:r>
      <w:r>
        <w:t xml:space="preserve"> </w:t>
      </w:r>
    </w:p>
    <w:p w14:paraId="4074C242" w14:textId="3952FFEB" w:rsidR="00810019" w:rsidRPr="00C60847" w:rsidRDefault="007E3481" w:rsidP="00C60847">
      <w:pPr>
        <w:pStyle w:val="BodyText-GREEN"/>
        <w:rPr>
          <w:b/>
          <w:bCs/>
        </w:rPr>
      </w:pPr>
      <w:r>
        <w:rPr>
          <w:b/>
          <w:bCs/>
        </w:rPr>
        <w:t>RCT</w:t>
      </w:r>
    </w:p>
    <w:p w14:paraId="77131473" w14:textId="77777777" w:rsidR="000C5381" w:rsidRDefault="00810019" w:rsidP="00C60847">
      <w:pPr>
        <w:pStyle w:val="BodyText"/>
      </w:pPr>
      <w:r w:rsidRPr="00C60847">
        <w:t xml:space="preserve">Reporting on </w:t>
      </w:r>
      <w:r w:rsidR="000C5381">
        <w:t xml:space="preserve">a sub-study (interim analysis) for </w:t>
      </w:r>
      <w:r w:rsidRPr="00C60847">
        <w:t xml:space="preserve">the first year of the </w:t>
      </w:r>
      <w:r w:rsidR="00815FC2">
        <w:t>To-Be-1</w:t>
      </w:r>
      <w:r w:rsidRPr="00C60847">
        <w:t xml:space="preserve"> RCT, Aase et al. (2019), defined ‘examination time’ as the time spent from when the woman entered the examination room until she left. This was manually registered using a stopwatch</w:t>
      </w:r>
      <w:r w:rsidR="00C60847">
        <w:t xml:space="preserve"> for</w:t>
      </w:r>
      <w:r w:rsidRPr="00C60847">
        <w:t xml:space="preserve"> randomly selected women screened with DBT+</w:t>
      </w:r>
      <w:r w:rsidR="00176980">
        <w:t>s2DM</w:t>
      </w:r>
      <w:r w:rsidRPr="00C60847">
        <w:t xml:space="preserve"> (n=438) and FFDM (n=535)</w:t>
      </w:r>
      <w:r w:rsidR="00C60847">
        <w:t xml:space="preserve"> </w:t>
      </w:r>
      <w:r w:rsidRPr="00C60847">
        <w:t xml:space="preserve">during March 2017. Two </w:t>
      </w:r>
      <w:r w:rsidRPr="00C60847">
        <w:lastRenderedPageBreak/>
        <w:t xml:space="preserve">views (CC and MLO) were obtained of each breast with single breast compression per view. Women spent an average time of </w:t>
      </w:r>
      <w:r w:rsidR="00C60847">
        <w:t xml:space="preserve">five </w:t>
      </w:r>
      <w:r w:rsidR="008B4003">
        <w:t>min</w:t>
      </w:r>
      <w:r w:rsidR="00C60847">
        <w:t xml:space="preserve"> </w:t>
      </w:r>
      <w:r w:rsidRPr="00C60847">
        <w:t xml:space="preserve">24 </w:t>
      </w:r>
      <w:r w:rsidR="008B4003">
        <w:t>sec</w:t>
      </w:r>
      <w:r w:rsidRPr="00C60847">
        <w:t xml:space="preserve"> (median</w:t>
      </w:r>
      <w:r w:rsidR="00C60847">
        <w:t xml:space="preserve"> =</w:t>
      </w:r>
      <w:r w:rsidRPr="00C60847">
        <w:t xml:space="preserve"> 5</w:t>
      </w:r>
      <w:r w:rsidR="00C60847">
        <w:t xml:space="preserve"> </w:t>
      </w:r>
      <w:r w:rsidR="008B4003">
        <w:t>min</w:t>
      </w:r>
      <w:r w:rsidR="00C60847">
        <w:t xml:space="preserve"> </w:t>
      </w:r>
      <w:r w:rsidRPr="00C60847">
        <w:t>13</w:t>
      </w:r>
      <w:r w:rsidR="00C60847">
        <w:t xml:space="preserve"> </w:t>
      </w:r>
      <w:r w:rsidR="008B4003">
        <w:t>sec</w:t>
      </w:r>
      <w:r w:rsidRPr="00C60847">
        <w:t>) for DBT and 4</w:t>
      </w:r>
      <w:r w:rsidR="00C60847">
        <w:t xml:space="preserve"> </w:t>
      </w:r>
      <w:r w:rsidR="008B4003">
        <w:t>min</w:t>
      </w:r>
      <w:r w:rsidR="00C60847">
        <w:t xml:space="preserve"> </w:t>
      </w:r>
      <w:r w:rsidRPr="00C60847">
        <w:t xml:space="preserve">19 </w:t>
      </w:r>
      <w:r w:rsidR="008B4003">
        <w:t>sec</w:t>
      </w:r>
      <w:r w:rsidR="00C60847">
        <w:t xml:space="preserve"> </w:t>
      </w:r>
      <w:r w:rsidRPr="00C60847">
        <w:t>(median</w:t>
      </w:r>
      <w:r w:rsidR="00C60847">
        <w:t xml:space="preserve"> = </w:t>
      </w:r>
      <w:r w:rsidRPr="00C60847">
        <w:t>4</w:t>
      </w:r>
      <w:r w:rsidR="00C60847">
        <w:t xml:space="preserve"> </w:t>
      </w:r>
      <w:r w:rsidR="008B4003">
        <w:t>min</w:t>
      </w:r>
      <w:r w:rsidR="00C60847">
        <w:t xml:space="preserve"> 7 </w:t>
      </w:r>
      <w:r w:rsidR="008B4003">
        <w:t>sec</w:t>
      </w:r>
      <w:r w:rsidRPr="00C60847">
        <w:t>) for FFDM in the screening examination room (</w:t>
      </w:r>
      <w:r w:rsidRPr="00C60847">
        <w:rPr>
          <w:i/>
          <w:iCs/>
        </w:rPr>
        <w:t>p</w:t>
      </w:r>
      <w:r w:rsidRPr="00C60847">
        <w:t xml:space="preserve">&lt;.01). </w:t>
      </w:r>
    </w:p>
    <w:p w14:paraId="17A30CBA" w14:textId="7EF98859" w:rsidR="00C60847" w:rsidRDefault="000C5381" w:rsidP="00C60847">
      <w:pPr>
        <w:pStyle w:val="BodyText"/>
      </w:pPr>
      <w:r>
        <w:t xml:space="preserve">In the main analysis of this RCT, </w:t>
      </w:r>
      <w:r w:rsidR="00810019" w:rsidRPr="00C60847">
        <w:t xml:space="preserve">Hofvind et al. (2019) proposed that the increased examination time was mainly due to additional time spent on explaining to the women how the x-ray machine would move and to make the x-ray tube ready for exposure. </w:t>
      </w:r>
      <w:r w:rsidR="005866B2">
        <w:t xml:space="preserve">No information about the actual machine acquisition time was reported in any of the papers on the To-Be-1 data published to date. </w:t>
      </w:r>
      <w:r w:rsidR="00810019" w:rsidRPr="00C60847">
        <w:t xml:space="preserve">This extra time is expected to be reduced or resolved in subsequent screening rounds. </w:t>
      </w:r>
    </w:p>
    <w:p w14:paraId="04F12093" w14:textId="2707D500" w:rsidR="00810019" w:rsidRDefault="00810019" w:rsidP="00810019">
      <w:pPr>
        <w:pStyle w:val="BodyText"/>
      </w:pPr>
      <w:r w:rsidRPr="00C60847">
        <w:t>Moger et al</w:t>
      </w:r>
      <w:r w:rsidR="00C60847">
        <w:t>.</w:t>
      </w:r>
      <w:r w:rsidRPr="00C60847">
        <w:t xml:space="preserve"> (2019) </w:t>
      </w:r>
      <w:r w:rsidR="00C60847">
        <w:t xml:space="preserve">discussed </w:t>
      </w:r>
      <w:r w:rsidRPr="00C60847">
        <w:t xml:space="preserve">preliminary results from </w:t>
      </w:r>
      <w:r w:rsidR="00815FC2">
        <w:t>To-Be-</w:t>
      </w:r>
      <w:r w:rsidRPr="00C60847">
        <w:t>2 study (the five</w:t>
      </w:r>
      <w:r w:rsidR="005866B2">
        <w:t>-</w:t>
      </w:r>
      <w:r w:rsidRPr="00C60847">
        <w:t>year follow</w:t>
      </w:r>
      <w:r w:rsidR="005866B2">
        <w:t>-</w:t>
      </w:r>
      <w:r w:rsidRPr="00C60847">
        <w:t xml:space="preserve">up study to </w:t>
      </w:r>
      <w:r w:rsidR="00815FC2">
        <w:t>To-Be-1</w:t>
      </w:r>
      <w:r w:rsidRPr="00C60847">
        <w:t>) where women are being screened with the newer GE Senographe Pristina machine</w:t>
      </w:r>
      <w:r w:rsidR="00C60847">
        <w:t>. The</w:t>
      </w:r>
      <w:r w:rsidR="002B6770">
        <w:t xml:space="preserve"> authors</w:t>
      </w:r>
      <w:r w:rsidR="00C60847">
        <w:t xml:space="preserve"> </w:t>
      </w:r>
      <w:r w:rsidRPr="00C60847">
        <w:t xml:space="preserve">indicated </w:t>
      </w:r>
      <w:r w:rsidR="005866B2">
        <w:t xml:space="preserve">potential for shorter </w:t>
      </w:r>
      <w:r w:rsidRPr="00C60847">
        <w:t xml:space="preserve">examination times for DBT compared to FFDM than the </w:t>
      </w:r>
      <w:r w:rsidR="00BB7BBA">
        <w:t>one-minute</w:t>
      </w:r>
      <w:r w:rsidRPr="00C60847">
        <w:t xml:space="preserve"> </w:t>
      </w:r>
      <w:r w:rsidR="005866B2">
        <w:t xml:space="preserve">increase </w:t>
      </w:r>
      <w:r w:rsidRPr="00C60847">
        <w:t xml:space="preserve">observed in the </w:t>
      </w:r>
      <w:r w:rsidR="00C60847">
        <w:t>first RCT</w:t>
      </w:r>
      <w:r w:rsidR="005866B2">
        <w:t>, which would align time in the examination room to that seen when FFDM is used. This has significant implications for clinic workflow</w:t>
      </w:r>
      <w:r w:rsidR="00C60847">
        <w:t>; however, further information is needed to confirm this change</w:t>
      </w:r>
      <w:r w:rsidRPr="00C60847">
        <w:t>.</w:t>
      </w:r>
    </w:p>
    <w:p w14:paraId="108505F7" w14:textId="5A42849C" w:rsidR="00AF6DF3" w:rsidRDefault="00AF6DF3" w:rsidP="00004A45">
      <w:pPr>
        <w:pStyle w:val="NumberedHeading2"/>
      </w:pPr>
      <w:bookmarkStart w:id="446" w:name="_Toc43376355"/>
      <w:bookmarkStart w:id="447" w:name="_Toc27555186"/>
      <w:r>
        <w:t>Reader performance</w:t>
      </w:r>
      <w:bookmarkEnd w:id="446"/>
    </w:p>
    <w:p w14:paraId="7269A602" w14:textId="458F7A2C" w:rsidR="007E3481" w:rsidRPr="007E3481" w:rsidRDefault="007E3481" w:rsidP="007E3481">
      <w:pPr>
        <w:pStyle w:val="BodyText"/>
      </w:pPr>
      <w:r w:rsidRPr="007E3481">
        <w:t xml:space="preserve">Reader performance is a critical component of any population-based breast screening program. The ability of those who are responsible for accurately interpreting breast screen images (primarily radiologists) to determine true positive (sensitivity) and true negative (specificity) impacts </w:t>
      </w:r>
      <w:r w:rsidR="00FB2B27">
        <w:t xml:space="preserve">for the </w:t>
      </w:r>
      <w:r w:rsidRPr="007E3481">
        <w:t xml:space="preserve">individual woman, the screening unit and the population-based screening program. </w:t>
      </w:r>
      <w:bookmarkStart w:id="448" w:name="_Hlk27639410"/>
    </w:p>
    <w:bookmarkEnd w:id="448"/>
    <w:p w14:paraId="5A127DDB" w14:textId="77777777" w:rsidR="007E3481" w:rsidRPr="007E3481" w:rsidRDefault="007E3481" w:rsidP="007E3481">
      <w:pPr>
        <w:pStyle w:val="CV-Heading"/>
      </w:pPr>
      <w:r w:rsidRPr="007E3481">
        <w:t xml:space="preserve">Key findings from </w:t>
      </w:r>
      <w:r w:rsidRPr="007E3481">
        <w:rPr>
          <w:i/>
          <w:iCs/>
        </w:rPr>
        <w:t>Allen + Clarke</w:t>
      </w:r>
      <w:r w:rsidRPr="007E3481">
        <w:t>’s 2018 literature reviews on tomosynthesis in screening and the assessment of screen-detected abnormalities</w:t>
      </w:r>
    </w:p>
    <w:p w14:paraId="12732064" w14:textId="1E19DD86" w:rsidR="007E3481" w:rsidRPr="007E3481" w:rsidRDefault="007E3481" w:rsidP="007E3481">
      <w:pPr>
        <w:pStyle w:val="BodyText"/>
      </w:pPr>
      <w:r w:rsidRPr="007E3481">
        <w:t>Few studies reported stratified reader sensitivity and specificity data in relation to experience levels and read</w:t>
      </w:r>
      <w:r>
        <w:t>ing</w:t>
      </w:r>
      <w:r w:rsidRPr="007E3481">
        <w:t xml:space="preserve"> strategy. Most studies involved readers with a range of experience in breast screening and radiology in general. Consistent evidence (mostly based on small numbers of cases and readers but including a large sub-study from the TOMMY trial) indicated that less experienced readers improved more when using either FFDM+DBT or DBT</w:t>
      </w:r>
      <w:r w:rsidRPr="007E3481">
        <w:rPr>
          <w:vertAlign w:val="subscript"/>
        </w:rPr>
        <w:t>MLO/CC</w:t>
      </w:r>
      <w:r w:rsidRPr="007E3481">
        <w:t xml:space="preserve"> compared to FFDM, but improvements were noted for everyone once a learning curve had been passed. It is unclear whether this improvement reflect</w:t>
      </w:r>
      <w:r>
        <w:t>ed</w:t>
      </w:r>
      <w:r w:rsidRPr="007E3481">
        <w:t xml:space="preserve"> the development of less experienced practitioners’ competence, or whether DBT is ‘easier’ to read without as much experience in breast cancer imaging.</w:t>
      </w:r>
    </w:p>
    <w:p w14:paraId="65AE4A08" w14:textId="506ED214" w:rsidR="007E3481" w:rsidRPr="007E3481" w:rsidRDefault="007E3481" w:rsidP="007E3481">
      <w:pPr>
        <w:pStyle w:val="BodyText"/>
      </w:pPr>
      <w:r w:rsidRPr="007E3481">
        <w:t>Inter-observer agreement is an important measure of the overall accuracy of data collected to detect and evaluate breast lesions. Based on smaller retrospective observer studies in a range of diagnostic groups, evidence suggest</w:t>
      </w:r>
      <w:r>
        <w:t>ed</w:t>
      </w:r>
      <w:r w:rsidRPr="007E3481">
        <w:t xml:space="preserve"> an increase in inter-observer agreement for BIRADS classification with the use of DBT compared to DM. This increase in agreement was observed in the following DBT reading protocols: FFDM+DBT compared to FFDM alone, DBT alone compared to FFDM alone, or </w:t>
      </w:r>
      <w:r w:rsidR="00176980">
        <w:t>s2DM</w:t>
      </w:r>
      <w:r w:rsidRPr="007E3481">
        <w:t>. Inter-observer agreement (as measured by kappa statistic) with DBT imaging increased in all studies that reported it, with the use of DBT increasing overall agreement from moderate to good or excellent. Reported increases were usually about 25</w:t>
      </w:r>
      <w:r>
        <w:t xml:space="preserve"> percent</w:t>
      </w:r>
      <w:r w:rsidRPr="007E3481">
        <w:t xml:space="preserve">. </w:t>
      </w:r>
      <w:r w:rsidR="00176980">
        <w:t>FFDM+DBT</w:t>
      </w:r>
      <w:r w:rsidRPr="007E3481">
        <w:t xml:space="preserve"> appears to be a more reliable test for BIRADS agreement with kappa statistics exceeding 0.8 with much lower rates reported for FFDM (ranging from 0.58 to 0.87). The use of </w:t>
      </w:r>
      <w:r w:rsidR="00176980">
        <w:t>s2DM</w:t>
      </w:r>
      <w:r w:rsidRPr="007E3481">
        <w:t xml:space="preserve"> compared to FFDM also appears to improve inter-observer agreement, suggesting that </w:t>
      </w:r>
      <w:r w:rsidRPr="007E3481">
        <w:lastRenderedPageBreak/>
        <w:t>lesion conspicuity is greater with the reduction in ‘noise’ available with the 3D reconstruction algorithm.</w:t>
      </w:r>
    </w:p>
    <w:p w14:paraId="6A5B0D77" w14:textId="77777777" w:rsidR="007E3481" w:rsidRPr="007E3481" w:rsidRDefault="007E3481" w:rsidP="007E3481">
      <w:pPr>
        <w:pStyle w:val="CV-Heading"/>
      </w:pPr>
      <w:r w:rsidRPr="007E3481">
        <w:t>Updated findings</w:t>
      </w:r>
    </w:p>
    <w:p w14:paraId="7780FF6D" w14:textId="70F2EA85" w:rsidR="007E3481" w:rsidRDefault="00CF74FD" w:rsidP="007E3481">
      <w:pPr>
        <w:pStyle w:val="BodyText"/>
      </w:pPr>
      <w:r>
        <w:t xml:space="preserve">A small amount of </w:t>
      </w:r>
      <w:r w:rsidR="0019576D">
        <w:t>l</w:t>
      </w:r>
      <w:r w:rsidR="007E3481" w:rsidRPr="007E3481">
        <w:t xml:space="preserve">iterature published since 31 December 2017 reported results for reader performance including results from a number of studies embedded in population-based screening programs. The findings cover stratified reader sensitivity and specificity data in relation different imaging methods and experience in addition to consideration of factors that help or hinder reader performance such as training in DBT interpretation, availability of prior DBT images and technologies. </w:t>
      </w:r>
      <w:r w:rsidR="007E3481">
        <w:t xml:space="preserve">No systematic reviews assessing image acquisition for a range of different imaging modalities have been completed. Included studies are listed below. </w:t>
      </w:r>
    </w:p>
    <w:p w14:paraId="71C39B02" w14:textId="77777777" w:rsidR="007E3481" w:rsidRPr="007E3481" w:rsidRDefault="007E3481" w:rsidP="007E3481">
      <w:pPr>
        <w:pStyle w:val="Heading3"/>
      </w:pPr>
      <w:r w:rsidRPr="007E3481">
        <w:tab/>
      </w:r>
      <w:bookmarkStart w:id="449" w:name="_Toc27859688"/>
      <w:bookmarkStart w:id="450" w:name="_Toc27904805"/>
      <w:bookmarkStart w:id="451" w:name="_Toc43376356"/>
      <w:r w:rsidRPr="007E3481">
        <w:t>Literature reviews</w:t>
      </w:r>
      <w:bookmarkEnd w:id="449"/>
      <w:bookmarkEnd w:id="450"/>
      <w:bookmarkEnd w:id="451"/>
    </w:p>
    <w:p w14:paraId="781E9076" w14:textId="15AA7D09" w:rsidR="007E3481" w:rsidRPr="007E3481" w:rsidRDefault="007E3481" w:rsidP="007E3481">
      <w:pPr>
        <w:pStyle w:val="BodyText"/>
        <w:ind w:firstLine="720"/>
      </w:pPr>
      <w:r w:rsidRPr="007E3481">
        <w:t xml:space="preserve">Two </w:t>
      </w:r>
      <w:r>
        <w:t xml:space="preserve">literature </w:t>
      </w:r>
      <w:r w:rsidRPr="007E3481">
        <w:t>reviews: Chong et al., 2019; Rocha García &amp; Fernández, 2019</w:t>
      </w:r>
    </w:p>
    <w:p w14:paraId="4798FF12" w14:textId="77777777" w:rsidR="007E3481" w:rsidRPr="007E3481" w:rsidRDefault="007E3481" w:rsidP="007E3481">
      <w:pPr>
        <w:pStyle w:val="Heading3"/>
        <w:ind w:left="720"/>
      </w:pPr>
      <w:bookmarkStart w:id="452" w:name="_Toc27859689"/>
      <w:bookmarkStart w:id="453" w:name="_Toc27904806"/>
      <w:bookmarkStart w:id="454" w:name="_Toc43376357"/>
      <w:r w:rsidRPr="007E3481">
        <w:t>Randomized controlled trial</w:t>
      </w:r>
      <w:bookmarkEnd w:id="452"/>
      <w:bookmarkEnd w:id="453"/>
      <w:bookmarkEnd w:id="454"/>
      <w:r w:rsidRPr="007E3481">
        <w:t xml:space="preserve"> </w:t>
      </w:r>
    </w:p>
    <w:p w14:paraId="537E2749" w14:textId="70A1B5F2" w:rsidR="007E3481" w:rsidRPr="007E3481" w:rsidRDefault="007E3481" w:rsidP="007E3481">
      <w:pPr>
        <w:pStyle w:val="BodyText"/>
        <w:ind w:firstLine="720"/>
      </w:pPr>
      <w:r w:rsidRPr="007E3481">
        <w:t xml:space="preserve">One RCT </w:t>
      </w:r>
      <w:r>
        <w:t>(</w:t>
      </w:r>
      <w:r w:rsidRPr="007E3481">
        <w:t>two papers</w:t>
      </w:r>
      <w:r>
        <w:t>)</w:t>
      </w:r>
      <w:r w:rsidRPr="007E3481">
        <w:t>: Aase et al., 2019; Hofvind et al., 2019</w:t>
      </w:r>
    </w:p>
    <w:p w14:paraId="29B5FBE1" w14:textId="77777777" w:rsidR="007E3481" w:rsidRPr="007E3481" w:rsidRDefault="007E3481" w:rsidP="007E3481">
      <w:pPr>
        <w:pStyle w:val="Heading3"/>
        <w:ind w:left="720"/>
      </w:pPr>
      <w:bookmarkStart w:id="455" w:name="_Toc27859690"/>
      <w:bookmarkStart w:id="456" w:name="_Toc27904807"/>
      <w:bookmarkStart w:id="457" w:name="_Toc43376358"/>
      <w:r w:rsidRPr="007E3481">
        <w:t>Prospective studies embedded in population screening programs</w:t>
      </w:r>
      <w:bookmarkEnd w:id="455"/>
      <w:bookmarkEnd w:id="456"/>
      <w:bookmarkEnd w:id="457"/>
    </w:p>
    <w:p w14:paraId="458CB0D8" w14:textId="77777777" w:rsidR="007E3481" w:rsidRPr="007E3481" w:rsidRDefault="007E3481" w:rsidP="007E3481">
      <w:pPr>
        <w:pStyle w:val="BodyText"/>
        <w:ind w:left="720"/>
      </w:pPr>
      <w:r w:rsidRPr="007E3481">
        <w:t>Six studies: Houssami et al., 2019; Bernardi et al., 2018; Caumo et al., 2018; Hofvind et al., 2018; Romero Martín et al., 2018; Zackrisson et al., 2018</w:t>
      </w:r>
    </w:p>
    <w:p w14:paraId="41691A99" w14:textId="77777777" w:rsidR="007E3481" w:rsidRPr="007E3481" w:rsidRDefault="007E3481" w:rsidP="007E3481">
      <w:pPr>
        <w:pStyle w:val="Heading3"/>
        <w:ind w:firstLine="720"/>
      </w:pPr>
      <w:bookmarkStart w:id="458" w:name="_Toc27859691"/>
      <w:bookmarkStart w:id="459" w:name="_Toc27904808"/>
      <w:bookmarkStart w:id="460" w:name="_Toc43376359"/>
      <w:r w:rsidRPr="007E3481">
        <w:t>Observational studies</w:t>
      </w:r>
      <w:bookmarkEnd w:id="458"/>
      <w:bookmarkEnd w:id="459"/>
      <w:bookmarkEnd w:id="460"/>
    </w:p>
    <w:p w14:paraId="782E2809" w14:textId="77777777" w:rsidR="007E3481" w:rsidRPr="007E3481" w:rsidRDefault="007E3481" w:rsidP="007E3481">
      <w:pPr>
        <w:pStyle w:val="BodyText"/>
      </w:pPr>
      <w:r w:rsidRPr="007E3481">
        <w:tab/>
        <w:t>One study with a prospective design: Miglioretti et al., 2019</w:t>
      </w:r>
    </w:p>
    <w:p w14:paraId="1DC2D3EA" w14:textId="5C99ACA4" w:rsidR="007E3481" w:rsidRDefault="007E3481" w:rsidP="007E3481">
      <w:pPr>
        <w:pStyle w:val="BodyText"/>
      </w:pPr>
      <w:r w:rsidRPr="007E3481">
        <w:tab/>
        <w:t>Two studies with a retrospective design: Chae et al., 2019; Simon et al., 2019</w:t>
      </w:r>
    </w:p>
    <w:p w14:paraId="06701A96" w14:textId="77777777" w:rsidR="00EC6F2F" w:rsidRPr="007E3481"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7E3481">
        <w:rPr>
          <w:b/>
          <w:bCs/>
        </w:rPr>
        <w:t>Summary of key findings published between 1 January 2018 and 31 December 2019</w:t>
      </w:r>
    </w:p>
    <w:p w14:paraId="15B8B327" w14:textId="77777777" w:rsidR="00EC6F2F" w:rsidRPr="007E3481"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7E3481">
        <w:t>Few studies describe</w:t>
      </w:r>
      <w:r>
        <w:t>d</w:t>
      </w:r>
      <w:r w:rsidRPr="007E3481">
        <w:t xml:space="preserve"> performance metrics related to reader performance and / or  undert</w:t>
      </w:r>
      <w:r>
        <w:t>ook</w:t>
      </w:r>
      <w:r w:rsidRPr="007E3481">
        <w:t xml:space="preserve"> stratified analysis of performance across individual radiologists or between groups of radiologists with differing levels of experience</w:t>
      </w:r>
      <w:r>
        <w:t xml:space="preserve"> (although m</w:t>
      </w:r>
      <w:r w:rsidRPr="007E3481">
        <w:t>ost studies involve</w:t>
      </w:r>
      <w:r>
        <w:t>d</w:t>
      </w:r>
      <w:r w:rsidRPr="007E3481">
        <w:t xml:space="preserve"> readers with a range of experience in breast imaging and some noted the level of experience in interpreting DBT  and </w:t>
      </w:r>
      <w:r>
        <w:t>s2DM</w:t>
      </w:r>
      <w:r w:rsidRPr="007E3481">
        <w:t xml:space="preserve"> images</w:t>
      </w:r>
      <w:r>
        <w:t>)</w:t>
      </w:r>
      <w:r w:rsidRPr="007E3481">
        <w:t>. Some studies note</w:t>
      </w:r>
      <w:r>
        <w:t>d</w:t>
      </w:r>
      <w:r w:rsidRPr="007E3481">
        <w:t xml:space="preserve"> pre-trial trial training in DBT and </w:t>
      </w:r>
      <w:r>
        <w:t>s2DM</w:t>
      </w:r>
      <w:r w:rsidRPr="007E3481">
        <w:t xml:space="preserve"> screen reading</w:t>
      </w:r>
      <w:r>
        <w:t>;</w:t>
      </w:r>
      <w:r w:rsidRPr="007E3481">
        <w:t xml:space="preserve"> however</w:t>
      </w:r>
      <w:r>
        <w:t>,</w:t>
      </w:r>
      <w:r w:rsidRPr="007E3481">
        <w:t xml:space="preserve"> most studies also recognised that this was either insufficient or as in the case of the Malm</w:t>
      </w:r>
      <w:r>
        <w:t>ö</w:t>
      </w:r>
      <w:r w:rsidRPr="007E3481">
        <w:t xml:space="preserve"> trial, not sufficient in a ‘real world</w:t>
      </w:r>
      <w:r>
        <w:t>’</w:t>
      </w:r>
      <w:r w:rsidRPr="007E3481">
        <w:t xml:space="preserve"> setting. It is difficult to determine the extent to which training and prior experience made a difference across the studies that mentioned it. </w:t>
      </w:r>
      <w:r>
        <w:t>M</w:t>
      </w:r>
      <w:r w:rsidRPr="007E3481">
        <w:t xml:space="preserve">any studies </w:t>
      </w:r>
      <w:r>
        <w:t xml:space="preserve">noted that there is a </w:t>
      </w:r>
      <w:r w:rsidRPr="007E3481">
        <w:t>likely presence of a learning curve, meaning that recall rates tend to drop over time as readers become more familiar with the different type of image that DBT and DBT+</w:t>
      </w:r>
      <w:r>
        <w:t>s2DM</w:t>
      </w:r>
      <w:r w:rsidRPr="007E3481">
        <w:t xml:space="preserve"> provides. </w:t>
      </w:r>
      <w:r>
        <w:t xml:space="preserve">Some studies reported that the learning curve was </w:t>
      </w:r>
      <w:r w:rsidRPr="007E3481">
        <w:t>very short</w:t>
      </w:r>
      <w:r>
        <w:t xml:space="preserve"> </w:t>
      </w:r>
      <w:r w:rsidRPr="007E3481">
        <w:t>on average with sustained improved screening performance soon after DBT adoption; however, changes in performance with experience may vary across radiologists.</w:t>
      </w:r>
    </w:p>
    <w:p w14:paraId="69BD9DA8" w14:textId="77777777" w:rsidR="00EC6F2F" w:rsidRPr="007E3481"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7E3481">
        <w:t>The STORM-2 trial</w:t>
      </w:r>
      <w:r>
        <w:t xml:space="preserve"> </w:t>
      </w:r>
      <w:r w:rsidRPr="007E3481">
        <w:t>was one a few studies that provided individual performance data, which indicated that whil</w:t>
      </w:r>
      <w:r>
        <w:t>e</w:t>
      </w:r>
      <w:r w:rsidRPr="007E3481">
        <w:t xml:space="preserve"> cancer detection rates across the team of radiologists improved with the addition of DBT, </w:t>
      </w:r>
      <w:r>
        <w:t xml:space="preserve">so </w:t>
      </w:r>
      <w:r w:rsidRPr="007E3481">
        <w:t xml:space="preserve">did the false positive recall rate. Availability of prior DBT images was also </w:t>
      </w:r>
      <w:r>
        <w:t xml:space="preserve">considered to </w:t>
      </w:r>
      <w:r w:rsidRPr="007E3481">
        <w:t xml:space="preserve">be influential to reader performance. </w:t>
      </w:r>
    </w:p>
    <w:p w14:paraId="0E80F7F5" w14:textId="2A56229B" w:rsidR="00EC6F2F" w:rsidRPr="007E3481"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7E3481">
        <w:lastRenderedPageBreak/>
        <w:t>Further investigation is warranted to determine</w:t>
      </w:r>
      <w:r>
        <w:t xml:space="preserve"> if</w:t>
      </w:r>
      <w:r w:rsidRPr="007E3481">
        <w:t xml:space="preserve"> the experience and training in DBT / </w:t>
      </w:r>
      <w:r>
        <w:t>s2DM</w:t>
      </w:r>
      <w:r w:rsidRPr="007E3481">
        <w:t xml:space="preserve"> </w:t>
      </w:r>
      <w:r>
        <w:t xml:space="preserve">screen reading </w:t>
      </w:r>
      <w:r w:rsidRPr="007E3481">
        <w:t>and the availability of prior images is significantly impacting interpretation times, recall rates, false positive recall rates and cancer detection rates.</w:t>
      </w:r>
    </w:p>
    <w:p w14:paraId="7018206D" w14:textId="65A2E44B" w:rsidR="007E3481" w:rsidRPr="007E3481" w:rsidRDefault="00591C2B" w:rsidP="007E3481">
      <w:pPr>
        <w:pStyle w:val="BodyText-GREEN"/>
        <w:rPr>
          <w:b/>
          <w:bCs/>
        </w:rPr>
      </w:pPr>
      <w:r>
        <w:rPr>
          <w:b/>
          <w:bCs/>
        </w:rPr>
        <w:t>L</w:t>
      </w:r>
      <w:r w:rsidR="007E3481" w:rsidRPr="007E3481">
        <w:rPr>
          <w:b/>
          <w:bCs/>
        </w:rPr>
        <w:t>iterature reviews</w:t>
      </w:r>
    </w:p>
    <w:p w14:paraId="68A0F3DA" w14:textId="194384C6" w:rsidR="007E3481" w:rsidRPr="007E3481" w:rsidRDefault="007E3481" w:rsidP="007E3481">
      <w:pPr>
        <w:pStyle w:val="BodyText"/>
      </w:pPr>
      <w:r w:rsidRPr="007E3481">
        <w:t xml:space="preserve">Two narrative literature reviews discussed reader experience and performance: Rocha García &amp; Fernández (2019) and Chong et al. (2019). Neither of these literature reviews discussed one specific imaging modality alone, instead </w:t>
      </w:r>
      <w:r w:rsidR="00591C2B">
        <w:t xml:space="preserve">they provided </w:t>
      </w:r>
      <w:r w:rsidRPr="007E3481">
        <w:t>overarching views on reader performance. Rocha García &amp; Fernández commented that there is a learning curve for both the technician and the radiologist who interprets the DBT images that is similar to training to use any new application or equipment. They cited the FDA’s Mammography Quality Standards Act and Program, which requires staff to receive eight hours of initial training before independently using any new form of mammography. Rocha García &amp; Fernández suggested that the number of recalls may increase initially (representing a learning curve), but usually stabilises at six months and then starts to fall. We explore this understanding further in the primary studies below.</w:t>
      </w:r>
    </w:p>
    <w:p w14:paraId="01B7CE96" w14:textId="13F8F618" w:rsidR="007E3481" w:rsidRPr="007E3481" w:rsidRDefault="007E3481" w:rsidP="007E3481">
      <w:pPr>
        <w:pStyle w:val="BodyText"/>
      </w:pPr>
      <w:r w:rsidRPr="007E3481">
        <w:t xml:space="preserve">Chong et al. (2019) commented briefly on reader confidence and efficiency in interpreting DBT images. The authors noted that while reader confidence in image interpretation is likely improved by the clarity of  DBT images, the additional time required to read the images is important as well (see </w:t>
      </w:r>
      <w:r w:rsidRPr="007E3481">
        <w:rPr>
          <w:i/>
          <w:iCs/>
        </w:rPr>
        <w:t>section 4.3</w:t>
      </w:r>
      <w:r w:rsidRPr="007E3481">
        <w:t xml:space="preserve">). Chong et al. also noted advances in presentation modes that might increase reader efficiency such as automated “slabbing” and machine learning–based detection algorithms as well as machine-learning </w:t>
      </w:r>
      <w:r w:rsidR="00591C2B">
        <w:t>CAD</w:t>
      </w:r>
      <w:r w:rsidRPr="007E3481">
        <w:t xml:space="preserve">. </w:t>
      </w:r>
    </w:p>
    <w:p w14:paraId="037D028C" w14:textId="393A7A9B" w:rsidR="007E3481" w:rsidRPr="007E3481" w:rsidRDefault="007E3481" w:rsidP="007E3481">
      <w:pPr>
        <w:pStyle w:val="Heading3-NOTinTOC"/>
      </w:pPr>
      <w:r w:rsidRPr="007E3481">
        <w:t>DBT+</w:t>
      </w:r>
      <w:r w:rsidR="00176980">
        <w:t>s2DM</w:t>
      </w:r>
      <w:r w:rsidRPr="007E3481">
        <w:t xml:space="preserve"> compared to </w:t>
      </w:r>
      <w:r w:rsidR="00176980">
        <w:t>FFDM+DBT</w:t>
      </w:r>
      <w:r w:rsidRPr="007E3481">
        <w:t xml:space="preserve"> and/or FFDM alone</w:t>
      </w:r>
    </w:p>
    <w:p w14:paraId="6DD77539" w14:textId="7F4FAECB" w:rsidR="007E3481" w:rsidRPr="007E3481" w:rsidRDefault="00591C2B" w:rsidP="007E3481">
      <w:pPr>
        <w:pStyle w:val="BodyText-GREEN"/>
        <w:rPr>
          <w:b/>
          <w:bCs/>
        </w:rPr>
      </w:pPr>
      <w:r>
        <w:rPr>
          <w:b/>
          <w:bCs/>
        </w:rPr>
        <w:t>RCT</w:t>
      </w:r>
    </w:p>
    <w:p w14:paraId="7DB8FDA9" w14:textId="386C411E" w:rsidR="007E3481" w:rsidRPr="007E3481" w:rsidRDefault="007E3481" w:rsidP="007E3481">
      <w:pPr>
        <w:pStyle w:val="BodyText"/>
      </w:pPr>
      <w:r w:rsidRPr="007E3481">
        <w:t xml:space="preserve">A pool of eight breast radiologists undertook the initial screen readings in the To-Be-1 Norwegian trial (Hofvind et al., 2019). A stringent consensus process was also </w:t>
      </w:r>
      <w:r w:rsidR="00591C2B">
        <w:t>used</w:t>
      </w:r>
      <w:r w:rsidRPr="007E3481">
        <w:t>, whereby if either radiologist assigned a score of</w:t>
      </w:r>
      <w:r w:rsidR="00591C2B">
        <w:t xml:space="preserve"> BIRADS</w:t>
      </w:r>
      <w:r w:rsidRPr="007E3481">
        <w:t xml:space="preserve"> two or higher, consensus was used to determine whether to recall the woman for further assessment, which was done by pairs of radiologists</w:t>
      </w:r>
      <w:r w:rsidR="00591C2B">
        <w:t>. A</w:t>
      </w:r>
      <w:r w:rsidRPr="007E3481">
        <w:t xml:space="preserve"> third radiologist was consulted if the pair could not agree. The experience of radiologists in screen reading (screen film and digital mammography) before start-up of the trial varied from zero to approximately 110,000 examinations. The program’s recommendations of 5000 annual screen readings was met by half of the radiologists. Hofvind et al. reported that all participating radiologists were trained in DBT screen reading and diagnostics to some extent before the start of the trial although it is not clear whether this was completely consistent as </w:t>
      </w:r>
      <w:r w:rsidR="000C5381">
        <w:t xml:space="preserve">data from </w:t>
      </w:r>
      <w:r w:rsidRPr="007E3481">
        <w:t>Aase et al.</w:t>
      </w:r>
      <w:r w:rsidR="000C5381">
        <w:t xml:space="preserve">’s </w:t>
      </w:r>
      <w:r w:rsidR="000C5381" w:rsidRPr="007E3481">
        <w:t xml:space="preserve">2019 </w:t>
      </w:r>
      <w:r w:rsidR="000C5381">
        <w:t>sub-study analysis</w:t>
      </w:r>
      <w:r w:rsidRPr="007E3481">
        <w:t xml:space="preserve"> also reported that not all To-Be-1 RCT radiologists participated in a screen reading DBT pilot eight weeks before the trial commenced (which involved reviewing about 300 DBT screening examinations). Hofvind et al. reported that radiologists did not have the opportunity to practice DBT screen reading in an everyday screening setting until the RCT commenced. This is consistent with Aase et al.’s suggestion that the first year of the To-Be-1 RCT be considered a learning period. </w:t>
      </w:r>
    </w:p>
    <w:p w14:paraId="7B92F59E" w14:textId="77777777" w:rsidR="007E3481" w:rsidRPr="007E3481" w:rsidRDefault="007E3481" w:rsidP="007E3481">
      <w:pPr>
        <w:pStyle w:val="BodyText-GREEN"/>
        <w:rPr>
          <w:b/>
          <w:bCs/>
        </w:rPr>
      </w:pPr>
      <w:bookmarkStart w:id="461" w:name="_Hlk27623011"/>
      <w:r w:rsidRPr="007E3481">
        <w:rPr>
          <w:b/>
          <w:bCs/>
        </w:rPr>
        <w:t>Prospective trials embedded in population screening programs</w:t>
      </w:r>
    </w:p>
    <w:p w14:paraId="4FE5962C" w14:textId="77777777" w:rsidR="007E3481" w:rsidRPr="007E3481" w:rsidRDefault="007E3481" w:rsidP="007E3481">
      <w:pPr>
        <w:pStyle w:val="BodyText"/>
      </w:pPr>
      <w:bookmarkStart w:id="462" w:name="_Hlk25657576"/>
      <w:bookmarkEnd w:id="461"/>
      <w:r w:rsidRPr="007E3481">
        <w:t>For studies that investigated CDR by reader, all demonstrated variation between readers with some increasing CDR and others not. Romero Martín et al. (2018) noted statistically significant improvements for three out of five readers and with one reader showing no difference in performance.</w:t>
      </w:r>
    </w:p>
    <w:p w14:paraId="35BF05DA" w14:textId="543325BB" w:rsidR="007E3481" w:rsidRPr="007E3481" w:rsidRDefault="007E3481" w:rsidP="007E3481">
      <w:pPr>
        <w:pStyle w:val="BodyText"/>
      </w:pPr>
      <w:r w:rsidRPr="007E3481">
        <w:lastRenderedPageBreak/>
        <w:t xml:space="preserve">In a </w:t>
      </w:r>
      <w:bookmarkStart w:id="463" w:name="_Hlk25657609"/>
      <w:r w:rsidRPr="007E3481">
        <w:t xml:space="preserve">sub-study of the </w:t>
      </w:r>
      <w:bookmarkStart w:id="464" w:name="_Hlk27816788"/>
      <w:r w:rsidRPr="007E3481">
        <w:t xml:space="preserve">STORM trial, Bernardi et al. (2018) </w:t>
      </w:r>
      <w:bookmarkEnd w:id="464"/>
      <w:r w:rsidRPr="007E3481">
        <w:t xml:space="preserve">reported on </w:t>
      </w:r>
      <w:bookmarkEnd w:id="463"/>
      <w:r w:rsidRPr="007E3481">
        <w:t>the association between incremental CDR and radiologist experience in screen-reading mammography. This was assessed across the seven breast radiologists who participated in the trial. Participating radiologists had an average of 13 years’ experience in breast imaging (range = 3–23). The radiologists each received training in DBT and had been using it for an average of 2.7 years (range = 2</w:t>
      </w:r>
      <w:r w:rsidR="00176980">
        <w:t xml:space="preserve"> to </w:t>
      </w:r>
      <w:r w:rsidRPr="007E3481">
        <w:t xml:space="preserve">3 years) at trial initiation. The findings from Bernardi et al. (2018) are presented in detail as they are one of few studies that provide insight into individual reader performance. With respect to FFDM with and without DBT, true positive detection (relative sensitivity) in FFDM ranged from 46 percent to 100 percent (median = 59.5 percent). Sensitivity increased with FFDM+DBT, ranging from 75 percent to 100 percent (median = 76 percent). For all but one radiologist, screen-reading with FFDM+DBT improved breast cancer detection over FFDM alone. </w:t>
      </w:r>
    </w:p>
    <w:p w14:paraId="7C505D4D" w14:textId="2B1FE6C3" w:rsidR="007E3481" w:rsidRPr="007E3481" w:rsidRDefault="007E3481" w:rsidP="007E3481">
      <w:pPr>
        <w:pStyle w:val="BodyText"/>
      </w:pPr>
      <w:r w:rsidRPr="007E3481">
        <w:t xml:space="preserve">With respect to </w:t>
      </w:r>
      <w:r w:rsidR="00176980">
        <w:t>s2DM</w:t>
      </w:r>
      <w:r w:rsidRPr="007E3481">
        <w:t xml:space="preserve"> with and without DBT, true positive detection (relative sensitivity) ranged from 56 percent to 76 percent (median = 64 percent) for </w:t>
      </w:r>
      <w:r w:rsidR="00176980">
        <w:t>s2DM</w:t>
      </w:r>
      <w:r w:rsidRPr="007E3481">
        <w:t>. Relative sensitivity for DBT+</w:t>
      </w:r>
      <w:r w:rsidR="00176980">
        <w:t>s2DM</w:t>
      </w:r>
      <w:r w:rsidRPr="007E3481">
        <w:t xml:space="preserve"> ranged from 67 percent to 88 percent (median = 78 percent). For all radiologists, screen-reading with DBT+</w:t>
      </w:r>
      <w:r w:rsidR="00176980">
        <w:t>s2DM</w:t>
      </w:r>
      <w:r w:rsidRPr="007E3481">
        <w:t xml:space="preserve"> improved breast cancer detection over </w:t>
      </w:r>
      <w:r w:rsidR="00176980">
        <w:t>s2DM</w:t>
      </w:r>
      <w:r w:rsidRPr="007E3481">
        <w:t xml:space="preserve"> alone.</w:t>
      </w:r>
    </w:p>
    <w:p w14:paraId="32183C66" w14:textId="41ED4DAF" w:rsidR="007E3481" w:rsidRPr="007E3481" w:rsidRDefault="007E3481" w:rsidP="007E3481">
      <w:pPr>
        <w:pStyle w:val="BodyText"/>
      </w:pPr>
      <w:r w:rsidRPr="007E3481">
        <w:rPr>
          <w:i/>
          <w:iCs/>
        </w:rPr>
        <w:t xml:space="preserve">Table </w:t>
      </w:r>
      <w:r w:rsidR="00BC52D9">
        <w:rPr>
          <w:i/>
          <w:iCs/>
        </w:rPr>
        <w:t>21a-b</w:t>
      </w:r>
      <w:r w:rsidRPr="007E3481">
        <w:t xml:space="preserve"> provide details of the STORM-2 radiologist-specific cancer detection measures at screen-reading using FFDM+DBT and DBT+</w:t>
      </w:r>
      <w:r w:rsidR="00176980">
        <w:t>s2DM</w:t>
      </w:r>
      <w:r w:rsidRPr="007E3481">
        <w:t xml:space="preserve">. The number of false positive recalls for most radiologists was modestly higher for FFDM+DBT than </w:t>
      </w:r>
      <w:r w:rsidR="00176980">
        <w:t>s2DM</w:t>
      </w:r>
      <w:r w:rsidRPr="007E3481">
        <w:t xml:space="preserve"> alone. </w:t>
      </w:r>
    </w:p>
    <w:p w14:paraId="66D1DE68" w14:textId="710D1D2E" w:rsidR="007E3481" w:rsidRPr="007E3481" w:rsidRDefault="007E3481" w:rsidP="007E3481">
      <w:pPr>
        <w:pStyle w:val="Caption"/>
        <w:keepNext/>
      </w:pPr>
      <w:r w:rsidRPr="007E3481">
        <w:t xml:space="preserve">Table </w:t>
      </w:r>
      <w:r w:rsidR="00BC52D9">
        <w:t>21a</w:t>
      </w:r>
      <w:r w:rsidRPr="007E3481">
        <w:t xml:space="preserve">: STORM-2 </w:t>
      </w:r>
      <w:bookmarkStart w:id="465" w:name="_Hlk27593036"/>
      <w:r w:rsidRPr="007E3481">
        <w:t xml:space="preserve">radiologist-specific </w:t>
      </w:r>
      <w:r w:rsidR="00591C2B">
        <w:t xml:space="preserve">CDR using </w:t>
      </w:r>
      <w:r w:rsidRPr="007E3481">
        <w:t>FFDM and DBT</w:t>
      </w:r>
      <w:bookmarkEnd w:id="465"/>
    </w:p>
    <w:tbl>
      <w:tblPr>
        <w:tblStyle w:val="ACGreen-BasicTable"/>
        <w:tblW w:w="5000" w:type="pct"/>
        <w:tblLook w:val="04A0" w:firstRow="1" w:lastRow="0" w:firstColumn="1" w:lastColumn="0" w:noHBand="0" w:noVBand="1"/>
        <w:tblDescription w:val="Table 21a: shows STORM-2 radiologist-specific CDR using FFDM and DBT.&#10;FFDM alone Readers:&#10;1= 100% (5/5)&#10;2= 57% (16/28)&#10;3= 58% (25/43)&#10;4= 61% (27/44)&#10;5= 46% (24/52)&#10;6= 65% (13/20)&#10;&#10;FFDM+DBT Readers&#10;1= 100% (5/5)&#10;2= 75% (21/28)&#10;3= 77% (33/43)&#10;4= 75% (33/44)&#10;5= 83% (43/52)&#10;6= 75% (15/20)&#10;&#10;FFDM+DBT Additional cancers detected by integrating methods&#10;1= 0% (0/5)&#10;2= 18% (5/28)&#10;3= 19% (8/43)&#10;4= 14% (6/44)&#10;5= 37% (19/52)&#10;6= 10% (2/20)&#10;&#10;"/>
      </w:tblPr>
      <w:tblGrid>
        <w:gridCol w:w="3005"/>
        <w:gridCol w:w="3005"/>
        <w:gridCol w:w="3006"/>
      </w:tblGrid>
      <w:tr w:rsidR="007E3481" w:rsidRPr="007E3481" w14:paraId="2FE8D61C" w14:textId="77777777" w:rsidTr="00591C2B">
        <w:trPr>
          <w:cnfStyle w:val="100000000000" w:firstRow="1" w:lastRow="0" w:firstColumn="0" w:lastColumn="0" w:oddVBand="0" w:evenVBand="0" w:oddHBand="0" w:evenHBand="0" w:firstRowFirstColumn="0" w:firstRowLastColumn="0" w:lastRowFirstColumn="0" w:lastRowLastColumn="0"/>
          <w:trHeight w:val="86"/>
        </w:trPr>
        <w:tc>
          <w:tcPr>
            <w:tcW w:w="1666" w:type="pct"/>
          </w:tcPr>
          <w:p w14:paraId="1C4E3551"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FFDM alone</w:t>
            </w:r>
          </w:p>
          <w:p w14:paraId="7F602FBA"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Readers</w:t>
            </w:r>
          </w:p>
        </w:tc>
        <w:tc>
          <w:tcPr>
            <w:tcW w:w="1666" w:type="pct"/>
          </w:tcPr>
          <w:p w14:paraId="2813E177"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FFDM+DBT</w:t>
            </w:r>
          </w:p>
          <w:p w14:paraId="1DBD657A"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Readers</w:t>
            </w:r>
          </w:p>
        </w:tc>
        <w:tc>
          <w:tcPr>
            <w:tcW w:w="1667" w:type="pct"/>
          </w:tcPr>
          <w:p w14:paraId="05EACB98"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FFDM+DBT</w:t>
            </w:r>
          </w:p>
          <w:p w14:paraId="1B914AA1"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Additional cancers detected by integrating methods</w:t>
            </w:r>
          </w:p>
        </w:tc>
      </w:tr>
      <w:tr w:rsidR="007E3481" w:rsidRPr="007E3481" w14:paraId="24B56B6F" w14:textId="77777777" w:rsidTr="00591C2B">
        <w:trPr>
          <w:trHeight w:val="1211"/>
        </w:trPr>
        <w:tc>
          <w:tcPr>
            <w:tcW w:w="1666" w:type="pct"/>
          </w:tcPr>
          <w:p w14:paraId="126ABEED"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1= 100% (5/5)</w:t>
            </w:r>
          </w:p>
          <w:p w14:paraId="242B39E7"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2= 57% (16/28)</w:t>
            </w:r>
          </w:p>
          <w:p w14:paraId="2959286A"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3= 58% (25/43)</w:t>
            </w:r>
          </w:p>
          <w:p w14:paraId="5C7027A6"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4= 61% (27/44)</w:t>
            </w:r>
          </w:p>
          <w:p w14:paraId="55ADED89"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5= 46% (24/52)</w:t>
            </w:r>
          </w:p>
          <w:p w14:paraId="0C7E7FA2"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6= 65% (13/20)</w:t>
            </w:r>
          </w:p>
        </w:tc>
        <w:tc>
          <w:tcPr>
            <w:tcW w:w="1666" w:type="pct"/>
          </w:tcPr>
          <w:p w14:paraId="6BF31BAD"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1= 100% (5/5)</w:t>
            </w:r>
          </w:p>
          <w:p w14:paraId="6879B408"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2= 75% (21/28)</w:t>
            </w:r>
          </w:p>
          <w:p w14:paraId="1FFC7E3C"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3= 77% (33/43)</w:t>
            </w:r>
          </w:p>
          <w:p w14:paraId="348389C8"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4= 75% (33/44)</w:t>
            </w:r>
          </w:p>
          <w:p w14:paraId="35498A29"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5= 83% (43/52)</w:t>
            </w:r>
          </w:p>
          <w:p w14:paraId="61460BD4"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6= 75% (15/20)</w:t>
            </w:r>
          </w:p>
        </w:tc>
        <w:tc>
          <w:tcPr>
            <w:tcW w:w="1667" w:type="pct"/>
          </w:tcPr>
          <w:p w14:paraId="5740A20D"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1= 0% (0/5)</w:t>
            </w:r>
          </w:p>
          <w:p w14:paraId="6595A4FC"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2= 18% (5/28)</w:t>
            </w:r>
          </w:p>
          <w:p w14:paraId="38E756B3"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3= 19% (8/43)</w:t>
            </w:r>
          </w:p>
          <w:p w14:paraId="1DF5F43C"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4= 14% (6/44)</w:t>
            </w:r>
          </w:p>
          <w:p w14:paraId="7FA76827"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5= 37% (19/52)</w:t>
            </w:r>
          </w:p>
          <w:p w14:paraId="54538F83"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6= 10% (2/20)</w:t>
            </w:r>
          </w:p>
        </w:tc>
      </w:tr>
    </w:tbl>
    <w:p w14:paraId="69E0EB9D" w14:textId="669D2690" w:rsidR="007E3481" w:rsidRPr="007E3481" w:rsidRDefault="007E3481" w:rsidP="007E3481">
      <w:pPr>
        <w:pStyle w:val="Caption"/>
        <w:keepNext/>
      </w:pPr>
      <w:r w:rsidRPr="007E3481">
        <w:t xml:space="preserve">Table </w:t>
      </w:r>
      <w:r w:rsidR="00BC52D9">
        <w:t>21b</w:t>
      </w:r>
      <w:r w:rsidRPr="007E3481">
        <w:t xml:space="preserve">: STORM-2 radiologist-specific </w:t>
      </w:r>
      <w:r w:rsidR="00591C2B">
        <w:t>sensitivity</w:t>
      </w:r>
      <w:r w:rsidRPr="007E3481">
        <w:t xml:space="preserve"> measures at screen-reading using </w:t>
      </w:r>
      <w:r w:rsidR="00176980">
        <w:t>s2DM</w:t>
      </w:r>
      <w:r w:rsidRPr="007E3481">
        <w:t xml:space="preserve"> and DBT</w:t>
      </w:r>
    </w:p>
    <w:tbl>
      <w:tblPr>
        <w:tblStyle w:val="ACGreen-BasicTable"/>
        <w:tblW w:w="5000" w:type="pct"/>
        <w:tblLook w:val="04A0" w:firstRow="1" w:lastRow="0" w:firstColumn="1" w:lastColumn="0" w:noHBand="0" w:noVBand="1"/>
        <w:tblDescription w:val="Table 21b: shows STORM-2 radiologist-specific sensitivity measures at screen-reading using s2DM and DBT.&#10;S2DM Readers&#10;1= 56% (5/9)&#10;2= 57% (21/37)&#10;3= 64% (23/36)&#10;4= 70% (26/37)&#10;5= 76% (25/33)&#10;6= 69% (11/16)&#10;7= 63% (15-24)&#10;&#10;DBT+s2DM Readers&#10;1= 78% (7/9)&#10;2= 76% (28/37)&#10;3= 86% (31/36)&#10;4= 86% (32/37)&#10;5= 88% (29/33)&#10;6= 75% (12/16)&#10;7= 67% (16/24)&#10;&#10;S2DM+DBT Additional cancers detected by integrating methods&#10;1= 22% (2/9)&#10;2= 19% (7/37)&#10;3= 22% (8/36)&#10;4= 16% (6/37)&#10;5= 12% (4/33)&#10;6= 6% (1/16)&#10;7= 4% (1/24)&#10;"/>
      </w:tblPr>
      <w:tblGrid>
        <w:gridCol w:w="2540"/>
        <w:gridCol w:w="3239"/>
        <w:gridCol w:w="3237"/>
      </w:tblGrid>
      <w:tr w:rsidR="007E3481" w:rsidRPr="007E3481" w14:paraId="4FCC549C" w14:textId="77777777" w:rsidTr="00591C2B">
        <w:trPr>
          <w:cnfStyle w:val="100000000000" w:firstRow="1" w:lastRow="0" w:firstColumn="0" w:lastColumn="0" w:oddVBand="0" w:evenVBand="0" w:oddHBand="0" w:evenHBand="0" w:firstRowFirstColumn="0" w:firstRowLastColumn="0" w:lastRowFirstColumn="0" w:lastRowLastColumn="0"/>
          <w:trHeight w:val="86"/>
        </w:trPr>
        <w:tc>
          <w:tcPr>
            <w:tcW w:w="1409" w:type="pct"/>
          </w:tcPr>
          <w:p w14:paraId="74BBCBA3" w14:textId="70D5C21D" w:rsidR="007E3481" w:rsidRPr="007E3481" w:rsidRDefault="00176980" w:rsidP="00591C2B">
            <w:pPr>
              <w:pStyle w:val="BodyText"/>
              <w:spacing w:before="0" w:after="0" w:line="240" w:lineRule="auto"/>
              <w:jc w:val="center"/>
              <w:rPr>
                <w:rFonts w:cstheme="majorHAnsi"/>
                <w:bCs/>
                <w:sz w:val="18"/>
                <w:szCs w:val="18"/>
              </w:rPr>
            </w:pPr>
            <w:r>
              <w:rPr>
                <w:rFonts w:cstheme="majorHAnsi"/>
                <w:bCs/>
                <w:sz w:val="18"/>
                <w:szCs w:val="18"/>
              </w:rPr>
              <w:t>S2DM</w:t>
            </w:r>
          </w:p>
          <w:p w14:paraId="638011BE"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Readers</w:t>
            </w:r>
          </w:p>
        </w:tc>
        <w:tc>
          <w:tcPr>
            <w:tcW w:w="1796" w:type="pct"/>
          </w:tcPr>
          <w:p w14:paraId="433584A8" w14:textId="267C121A"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DBT+</w:t>
            </w:r>
            <w:r w:rsidR="00176980">
              <w:rPr>
                <w:rFonts w:cstheme="majorHAnsi"/>
                <w:bCs/>
                <w:sz w:val="18"/>
                <w:szCs w:val="18"/>
              </w:rPr>
              <w:t>s2DM</w:t>
            </w:r>
          </w:p>
          <w:p w14:paraId="772F0AAD"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Readers</w:t>
            </w:r>
          </w:p>
        </w:tc>
        <w:tc>
          <w:tcPr>
            <w:tcW w:w="1795" w:type="pct"/>
          </w:tcPr>
          <w:p w14:paraId="62B99365" w14:textId="2A2FF338" w:rsidR="007E3481" w:rsidRPr="007E3481" w:rsidRDefault="00176980" w:rsidP="00591C2B">
            <w:pPr>
              <w:pStyle w:val="BodyText"/>
              <w:spacing w:before="0" w:after="0" w:line="240" w:lineRule="auto"/>
              <w:jc w:val="center"/>
              <w:rPr>
                <w:rFonts w:cstheme="majorHAnsi"/>
                <w:b w:val="0"/>
                <w:bCs/>
                <w:sz w:val="18"/>
                <w:szCs w:val="18"/>
              </w:rPr>
            </w:pPr>
            <w:r>
              <w:rPr>
                <w:rFonts w:cstheme="majorHAnsi"/>
                <w:bCs/>
                <w:sz w:val="18"/>
                <w:szCs w:val="18"/>
              </w:rPr>
              <w:t>S2DM</w:t>
            </w:r>
            <w:r w:rsidR="007E3481" w:rsidRPr="007E3481">
              <w:rPr>
                <w:rFonts w:cstheme="majorHAnsi"/>
                <w:bCs/>
                <w:sz w:val="18"/>
                <w:szCs w:val="18"/>
              </w:rPr>
              <w:t>+DBT</w:t>
            </w:r>
          </w:p>
          <w:p w14:paraId="04586FF9"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Additional cancers detected by integrating methods</w:t>
            </w:r>
          </w:p>
        </w:tc>
      </w:tr>
      <w:tr w:rsidR="007E3481" w:rsidRPr="007E3481" w14:paraId="5CD56E43" w14:textId="77777777" w:rsidTr="00591C2B">
        <w:trPr>
          <w:trHeight w:val="1538"/>
        </w:trPr>
        <w:tc>
          <w:tcPr>
            <w:tcW w:w="1409" w:type="pct"/>
          </w:tcPr>
          <w:p w14:paraId="6CD6C481"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1= 56% (5/9)</w:t>
            </w:r>
          </w:p>
          <w:p w14:paraId="063D6EEB"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2= 57% (21/37)</w:t>
            </w:r>
          </w:p>
          <w:p w14:paraId="7DD4F021"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3= 64% (23/36)</w:t>
            </w:r>
          </w:p>
          <w:p w14:paraId="6D0D1C1E"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4= 70% (26/37)</w:t>
            </w:r>
          </w:p>
          <w:p w14:paraId="2AFCAE19"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5= 76% (25/33)</w:t>
            </w:r>
          </w:p>
          <w:p w14:paraId="3AAFD105"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6= 69% (11/16)</w:t>
            </w:r>
          </w:p>
          <w:p w14:paraId="05F281CA"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7= 63% (15-24)</w:t>
            </w:r>
          </w:p>
        </w:tc>
        <w:tc>
          <w:tcPr>
            <w:tcW w:w="1796" w:type="pct"/>
          </w:tcPr>
          <w:p w14:paraId="4369D51C"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1= 78% (7/9)</w:t>
            </w:r>
          </w:p>
          <w:p w14:paraId="4E216BE3"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2= 76% (28/37)</w:t>
            </w:r>
          </w:p>
          <w:p w14:paraId="7334BFB3"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3= 86% (31/36)</w:t>
            </w:r>
          </w:p>
          <w:p w14:paraId="49AB26DE"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4= 86% (32/37)</w:t>
            </w:r>
          </w:p>
          <w:p w14:paraId="45FF01C4"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5= 88% (29/33)</w:t>
            </w:r>
          </w:p>
          <w:p w14:paraId="62F3A45A"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6= 75% (12/16)</w:t>
            </w:r>
          </w:p>
          <w:p w14:paraId="37F4FCF8"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7= 67% (16/24)</w:t>
            </w:r>
          </w:p>
        </w:tc>
        <w:tc>
          <w:tcPr>
            <w:tcW w:w="1795" w:type="pct"/>
          </w:tcPr>
          <w:p w14:paraId="3728988B"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1= 22% (2/9)</w:t>
            </w:r>
          </w:p>
          <w:p w14:paraId="2B70EA28"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2= 19% (7/37)</w:t>
            </w:r>
          </w:p>
          <w:p w14:paraId="25D3DC52"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3= 22% (8/36)</w:t>
            </w:r>
          </w:p>
          <w:p w14:paraId="4BB7FCD2"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4= 16% (6/37)</w:t>
            </w:r>
          </w:p>
          <w:p w14:paraId="6C6AE59E"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5= 12% (4/33)</w:t>
            </w:r>
          </w:p>
          <w:p w14:paraId="5BF7DCBA"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6= 6% (1/16)</w:t>
            </w:r>
          </w:p>
          <w:p w14:paraId="4EDBAF00" w14:textId="77777777" w:rsidR="007E3481" w:rsidRPr="007E3481" w:rsidRDefault="007E3481" w:rsidP="00591C2B">
            <w:pPr>
              <w:pStyle w:val="BodyText"/>
              <w:spacing w:before="0" w:after="0" w:line="240" w:lineRule="auto"/>
              <w:jc w:val="center"/>
              <w:rPr>
                <w:rFonts w:cstheme="majorHAnsi"/>
                <w:bCs/>
                <w:sz w:val="18"/>
                <w:szCs w:val="18"/>
              </w:rPr>
            </w:pPr>
            <w:r w:rsidRPr="007E3481">
              <w:rPr>
                <w:rFonts w:cstheme="majorHAnsi"/>
                <w:bCs/>
                <w:sz w:val="18"/>
                <w:szCs w:val="18"/>
              </w:rPr>
              <w:t>7= 4% (1/24)</w:t>
            </w:r>
          </w:p>
        </w:tc>
      </w:tr>
    </w:tbl>
    <w:p w14:paraId="6164989A" w14:textId="23F41D82" w:rsidR="007E3481" w:rsidRPr="007E3481" w:rsidRDefault="007E3481" w:rsidP="007E3481">
      <w:pPr>
        <w:pStyle w:val="BodyText"/>
      </w:pPr>
      <w:bookmarkStart w:id="466" w:name="_Hlk27819684"/>
      <w:bookmarkStart w:id="467" w:name="_Hlk27819669"/>
      <w:bookmarkStart w:id="468" w:name="_Hlk27816735"/>
      <w:r w:rsidRPr="007E3481">
        <w:t>Whil</w:t>
      </w:r>
      <w:r w:rsidR="00591C2B">
        <w:t>e</w:t>
      </w:r>
      <w:r w:rsidRPr="007E3481">
        <w:t xml:space="preserve"> this study noted variability in the magnitude of effect from integrating DBT on individual radiologist’s true positive and false positive detection, there was an overall pattern of increasing cancer detection and also increasing false positive recall for most readers. The study concluded that there was no statistical evidence between incremental CDR and radiologist experience in screen-reading mammography, and the rank correlations were consistent with these results. Additionally, as the STORM-2 trial represented the radiologists’ ﬁrst screening experience using </w:t>
      </w:r>
      <w:r w:rsidR="00176980">
        <w:t>s2DM</w:t>
      </w:r>
      <w:r w:rsidRPr="007E3481">
        <w:t xml:space="preserve"> images, the authors propose that increasing experience with </w:t>
      </w:r>
      <w:r w:rsidR="00176980">
        <w:t>s2DM</w:t>
      </w:r>
      <w:r w:rsidRPr="007E3481">
        <w:t xml:space="preserve"> will reduce FP’s. </w:t>
      </w:r>
    </w:p>
    <w:bookmarkEnd w:id="462"/>
    <w:bookmarkEnd w:id="466"/>
    <w:bookmarkEnd w:id="467"/>
    <w:bookmarkEnd w:id="468"/>
    <w:p w14:paraId="057C7679" w14:textId="52F0F61B" w:rsidR="007E3481" w:rsidRPr="007E3481" w:rsidRDefault="007E3481" w:rsidP="007E3481">
      <w:pPr>
        <w:pStyle w:val="BodyText"/>
      </w:pPr>
      <w:r w:rsidRPr="007E3481">
        <w:rPr>
          <w:rStyle w:val="BodyTextChar"/>
        </w:rPr>
        <w:lastRenderedPageBreak/>
        <w:t>The BreastScreen Norway trial (Hofvind et al., 2018) and the Verona trial (Caumo et al., 2018) noted that radiologists ha</w:t>
      </w:r>
      <w:r w:rsidR="00591C2B">
        <w:rPr>
          <w:rStyle w:val="BodyTextChar"/>
        </w:rPr>
        <w:t>d</w:t>
      </w:r>
      <w:r w:rsidRPr="007E3481">
        <w:rPr>
          <w:rStyle w:val="BodyTextChar"/>
        </w:rPr>
        <w:t xml:space="preserve"> limited experience with DBT/</w:t>
      </w:r>
      <w:r w:rsidR="00176980">
        <w:rPr>
          <w:rStyle w:val="BodyTextChar"/>
        </w:rPr>
        <w:t>s2DM</w:t>
      </w:r>
      <w:r w:rsidRPr="007E3481">
        <w:rPr>
          <w:rStyle w:val="BodyTextChar"/>
        </w:rPr>
        <w:t xml:space="preserve">. This inexperience was often cited as </w:t>
      </w:r>
      <w:r w:rsidR="00591C2B">
        <w:rPr>
          <w:rStyle w:val="BodyTextChar"/>
        </w:rPr>
        <w:t xml:space="preserve">a </w:t>
      </w:r>
      <w:r w:rsidRPr="007E3481">
        <w:rPr>
          <w:rStyle w:val="BodyTextChar"/>
        </w:rPr>
        <w:t>limitation or potential study effects</w:t>
      </w:r>
      <w:r w:rsidRPr="007E3481">
        <w:t xml:space="preserve">. Each of these studies reported on different aspects of reader performance. For example, Caumo et al. (2018) noted a very high CDR (9.3 per 1000 screening examinations): Verona was a study site for STORM-2 and this may have resulted in increased experience for all readers (which positively influenced CDR). The </w:t>
      </w:r>
      <w:bookmarkStart w:id="469" w:name="_Hlk27630549"/>
      <w:r w:rsidRPr="007E3481">
        <w:t>BreastScreen Norway trial (Hofvind et al., 2018</w:t>
      </w:r>
      <w:bookmarkEnd w:id="469"/>
      <w:r w:rsidRPr="007E3481">
        <w:t xml:space="preserve">) noted the breast imaging experience level of the interpreting radiologists was generally high; however, experience with interpretation of DBT and </w:t>
      </w:r>
      <w:r w:rsidR="00176980">
        <w:t>s2DM</w:t>
      </w:r>
      <w:r w:rsidRPr="007E3481">
        <w:t xml:space="preserve"> images varied. The majority of radiologists in the FFDM group performed screen reading before and during the study period. This was not the case in Oslo, where most radiologists had limited or no experience with DBT+</w:t>
      </w:r>
      <w:r w:rsidR="00176980">
        <w:t>s2DM</w:t>
      </w:r>
      <w:r w:rsidRPr="007E3481">
        <w:t xml:space="preserve">. The authors made no comment on overall reader performance but noted that the limited experience in use of DBT could increase interpretation time, increase recall rate, and decrease CDR (although these results were not observed). </w:t>
      </w:r>
    </w:p>
    <w:p w14:paraId="12D9B994" w14:textId="189529A1" w:rsidR="007E3481" w:rsidRPr="007E3481" w:rsidRDefault="007E3481" w:rsidP="007E3481">
      <w:pPr>
        <w:pStyle w:val="BodyText"/>
      </w:pPr>
      <w:bookmarkStart w:id="470" w:name="_Hlk25657415"/>
      <w:r w:rsidRPr="007E3481">
        <w:t>The Maroondah pilot trial (Houssami et al., 2019) used independent double reading with independent arbitration to investigate the detection measures for FFDM compared to DBT+</w:t>
      </w:r>
      <w:r w:rsidR="00176980">
        <w:t>s2DM</w:t>
      </w:r>
      <w:r w:rsidRPr="007E3481">
        <w:t xml:space="preserve">. The seven radiologists who assessed 10,146 women’s screening examinations each had approximately five years’ clinical experience in using DBT to assess mammography-detected findings and had received additional training in DBT screen reading before the trial commenced. </w:t>
      </w:r>
      <w:r w:rsidR="00B6376E">
        <w:t>While</w:t>
      </w:r>
      <w:r w:rsidRPr="007E3481">
        <w:t xml:space="preserve"> </w:t>
      </w:r>
      <w:bookmarkEnd w:id="470"/>
      <w:r w:rsidRPr="007E3481">
        <w:t xml:space="preserve">Houssami et al. did not (at this stage) provide analysis of reader performance, the authors proposed that the longer screen reading times (see </w:t>
      </w:r>
      <w:r w:rsidRPr="007E3481">
        <w:rPr>
          <w:i/>
          <w:iCs/>
        </w:rPr>
        <w:t xml:space="preserve">section </w:t>
      </w:r>
      <w:r w:rsidR="00E45406">
        <w:rPr>
          <w:i/>
          <w:iCs/>
        </w:rPr>
        <w:t>4.3</w:t>
      </w:r>
      <w:r w:rsidRPr="007E3481">
        <w:t xml:space="preserve">) and higher recall rate (see </w:t>
      </w:r>
      <w:r w:rsidRPr="007E3481">
        <w:rPr>
          <w:i/>
          <w:iCs/>
        </w:rPr>
        <w:t xml:space="preserve">section </w:t>
      </w:r>
      <w:r w:rsidR="00E45406">
        <w:rPr>
          <w:i/>
          <w:iCs/>
        </w:rPr>
        <w:t>3.5.1</w:t>
      </w:r>
      <w:r w:rsidRPr="007E3481">
        <w:t>) seen with DBT+</w:t>
      </w:r>
      <w:r w:rsidR="00176980">
        <w:t>s2DM</w:t>
      </w:r>
      <w:r w:rsidRPr="007E3481">
        <w:t xml:space="preserve"> may decline in Australia as the ‘novelty factor disappears’ and screen readers become more experienced with the technique and have access to DBT screens from earlier screen rounds that can be compared with current screens.</w:t>
      </w:r>
    </w:p>
    <w:p w14:paraId="2E66B2CA" w14:textId="77777777" w:rsidR="00591C2B" w:rsidRDefault="00591C2B">
      <w:pPr>
        <w:rPr>
          <w:b/>
          <w:bCs/>
          <w:color w:val="77B800" w:themeColor="background2"/>
        </w:rPr>
      </w:pPr>
      <w:r>
        <w:rPr>
          <w:b/>
          <w:bCs/>
        </w:rPr>
        <w:br w:type="page"/>
      </w:r>
    </w:p>
    <w:p w14:paraId="45B13064" w14:textId="7F1A48C5" w:rsidR="007E3481" w:rsidRPr="007E3481" w:rsidRDefault="007E3481" w:rsidP="007E3481">
      <w:pPr>
        <w:pStyle w:val="BodyText-GREEN"/>
        <w:rPr>
          <w:b/>
          <w:bCs/>
        </w:rPr>
      </w:pPr>
      <w:r w:rsidRPr="007E3481">
        <w:rPr>
          <w:b/>
          <w:bCs/>
        </w:rPr>
        <w:lastRenderedPageBreak/>
        <w:t>Retrospective analysis</w:t>
      </w:r>
    </w:p>
    <w:p w14:paraId="399A4D10" w14:textId="6B566B59" w:rsidR="007E3481" w:rsidRPr="007E3481" w:rsidRDefault="007E3481" w:rsidP="007E3481">
      <w:pPr>
        <w:pStyle w:val="BodyText"/>
      </w:pPr>
      <w:r w:rsidRPr="007E3481">
        <w:t>In a small retrospective observational single site study conducted in the US, Simon et al. (2019) undertook ROC analysis to evaluate the ability of readers to differentiate patients with and without cancer using a likelihood of malignancy scale (0–100%). The enriched study sample consisted of images from 89 women with confirmed cancer and 100 women without cancer (mean clinical follow</w:t>
      </w:r>
      <w:r w:rsidR="00285D7E">
        <w:t>-</w:t>
      </w:r>
      <w:r w:rsidRPr="007E3481">
        <w:t>up</w:t>
      </w:r>
      <w:r w:rsidR="00285D7E">
        <w:t xml:space="preserve"> was</w:t>
      </w:r>
      <w:r w:rsidRPr="007E3481">
        <w:t xml:space="preserve"> 2.6 years). The images were read by three independent radiologists with 2.5 years’ experience reading DBT+</w:t>
      </w:r>
      <w:r w:rsidR="00176980">
        <w:t>s2DM</w:t>
      </w:r>
      <w:r w:rsidRPr="007E3481">
        <w:t xml:space="preserve"> images, 2.5 to 6 years of reading DBT+FFDM images and 3.5 to 16.5 years’ experience in reading FFDM images. The ROC analysis was performed for each reader and for the averaged response of all three readers. Interrater agreement on the likelihood of malignancy was substantial. The intraclass correlation coefficient for DBT+</w:t>
      </w:r>
      <w:r w:rsidR="00176980">
        <w:t>s2DM</w:t>
      </w:r>
      <w:r w:rsidRPr="007E3481">
        <w:t xml:space="preserve"> was 0.62 (95%CI: 0.55</w:t>
      </w:r>
      <w:r w:rsidR="00591C2B">
        <w:t xml:space="preserve">, </w:t>
      </w:r>
      <w:r w:rsidRPr="007E3481">
        <w:t>0.69), and the intraclass correlation coefficient for FFDM+DBT was 0.69 (95%CI: 0.62</w:t>
      </w:r>
      <w:r w:rsidR="00591C2B">
        <w:t xml:space="preserve">, </w:t>
      </w:r>
      <w:r w:rsidRPr="007E3481">
        <w:t>0.75). There was no statistically significant difference between the AUC of DBT+</w:t>
      </w:r>
      <w:r w:rsidR="00176980">
        <w:t>s2DM</w:t>
      </w:r>
      <w:r w:rsidRPr="007E3481">
        <w:t xml:space="preserve"> and the AUC of FFDM+DBT for any reader (</w:t>
      </w:r>
      <w:r w:rsidRPr="007E3481">
        <w:rPr>
          <w:i/>
          <w:iCs/>
        </w:rPr>
        <w:t>p</w:t>
      </w:r>
      <w:r w:rsidRPr="007E3481">
        <w:t>=.1637) or for all readers averaged (</w:t>
      </w:r>
      <w:r w:rsidRPr="007E3481">
        <w:rPr>
          <w:i/>
          <w:iCs/>
        </w:rPr>
        <w:t>p</w:t>
      </w:r>
      <w:r w:rsidRPr="007E3481">
        <w:t xml:space="preserve">=.7888). While the study has numerous limitations (most notably its small, enriched sample), it provided relevant information regarding consistency in reader performance for three experienced radiologists. Its findings are similar to those of previous studies (i.e., use of DBT does not result in inferior performance by readers). Additionally, no significant difference was found in relation to differences in availability of prior screens (which has been cited by other studies). More larger scale studies with more robust methodology would enhance understanding of the impact of reader experience and image availability. </w:t>
      </w:r>
    </w:p>
    <w:p w14:paraId="6F8B2564" w14:textId="77777777" w:rsidR="007E3481" w:rsidRPr="007E3481" w:rsidRDefault="007E3481" w:rsidP="007E3481">
      <w:pPr>
        <w:pStyle w:val="Heading3-NOTinTOC"/>
      </w:pPr>
      <w:r w:rsidRPr="007E3481">
        <w:t>DBT alone compared to FFDM alone</w:t>
      </w:r>
    </w:p>
    <w:p w14:paraId="48267194" w14:textId="77777777" w:rsidR="007E3481" w:rsidRPr="007E3481" w:rsidRDefault="007E3481" w:rsidP="007E3481">
      <w:pPr>
        <w:pStyle w:val="BodyText-GREEN"/>
        <w:rPr>
          <w:b/>
          <w:bCs/>
        </w:rPr>
      </w:pPr>
      <w:r w:rsidRPr="007E3481">
        <w:rPr>
          <w:b/>
          <w:bCs/>
        </w:rPr>
        <w:t>Prospective analysis</w:t>
      </w:r>
    </w:p>
    <w:p w14:paraId="05E0052C" w14:textId="4766235F" w:rsidR="007E3481" w:rsidRPr="007E3481" w:rsidRDefault="007E3481" w:rsidP="007E3481">
      <w:pPr>
        <w:pStyle w:val="BodyText"/>
      </w:pPr>
      <w:r w:rsidRPr="007E3481">
        <w:t xml:space="preserve">A multisite (n=53) prospective study of Breast Cancer Surveillance Consortium data (271,362 participants) reported by Miglioretti et al. (2019) evaluated screening DBT performance by cumulative DBT volume within two years of DBT adoption relative to FFDM performance one year before adoption. The study analysed within-radiologist changes (breast imaging subspecialists </w:t>
      </w:r>
      <w:r w:rsidR="00B6376E">
        <w:t>compared to</w:t>
      </w:r>
      <w:r w:rsidRPr="007E3481">
        <w:t xml:space="preserve"> non</w:t>
      </w:r>
      <w:r w:rsidR="00B6376E">
        <w:t>-</w:t>
      </w:r>
      <w:r w:rsidRPr="007E3481">
        <w:t xml:space="preserve">breast imaging subspecialists) in DBT performance with increasing cumulative interpretive volume of screening and diagnostic DBT across a large set of radiologists (n=104). The study highlighted that DBT unmasks many more small imaging findings that radiologists must learn to recognise as benign and subtle areas of architectural distortion that they must learn to recognize as suspicious. The authors found that the learning curve for acquiring DBT interpretive skills is very short, on average, with sustained improved screening performance soon after DBT adoption; however, changes in performance with experience may vary across radiologists. A summary of the study’s findings </w:t>
      </w:r>
      <w:r w:rsidR="00285D7E" w:rsidRPr="007E3481">
        <w:t>is</w:t>
      </w:r>
      <w:r w:rsidRPr="007E3481">
        <w:t xml:space="preserve"> listed below:</w:t>
      </w:r>
    </w:p>
    <w:p w14:paraId="0BF6F41A" w14:textId="136F1E21" w:rsidR="007E3481" w:rsidRPr="007E3481" w:rsidRDefault="007E3481" w:rsidP="00591C2B">
      <w:pPr>
        <w:pStyle w:val="List-BulletLvl1"/>
      </w:pPr>
      <w:r w:rsidRPr="007E3481">
        <w:t>Recall rates over time</w:t>
      </w:r>
      <w:r w:rsidR="00591C2B">
        <w:t>:</w:t>
      </w:r>
      <w:r w:rsidRPr="007E3481">
        <w:t xml:space="preserve"> </w:t>
      </w:r>
      <w:r w:rsidR="00591C2B">
        <w:t>the</w:t>
      </w:r>
      <w:r w:rsidRPr="007E3481">
        <w:t xml:space="preserve"> mean recall rate was higher for screening FFDM </w:t>
      </w:r>
      <w:r w:rsidR="00591C2B">
        <w:t>one</w:t>
      </w:r>
      <w:r w:rsidRPr="007E3481">
        <w:t xml:space="preserve"> year before DBT adoption (10.4</w:t>
      </w:r>
      <w:r w:rsidR="00591C2B">
        <w:t xml:space="preserve"> percent</w:t>
      </w:r>
      <w:r w:rsidRPr="007E3481">
        <w:t>; 95%CI: 9.5, 11.4) than for DBT (9.4</w:t>
      </w:r>
      <w:r w:rsidR="00591C2B">
        <w:t xml:space="preserve"> percent</w:t>
      </w:r>
      <w:r w:rsidRPr="007E3481">
        <w:t>; 95%CI: 8.2, 10.6) (</w:t>
      </w:r>
      <w:r w:rsidR="00591C2B">
        <w:rPr>
          <w:i/>
          <w:iCs/>
        </w:rPr>
        <w:t>p</w:t>
      </w:r>
      <w:r w:rsidRPr="007E3481">
        <w:t>=.02). This suggests that confidence may grow over time with more exposure to DBT images.</w:t>
      </w:r>
    </w:p>
    <w:p w14:paraId="1BFF30EF" w14:textId="493B509F" w:rsidR="007E3481" w:rsidRPr="007E3481" w:rsidRDefault="007E3481" w:rsidP="00591C2B">
      <w:pPr>
        <w:pStyle w:val="List-BulletLvl1"/>
      </w:pPr>
      <w:r w:rsidRPr="007E3481">
        <w:t>Recall rates between reader groups</w:t>
      </w:r>
      <w:r w:rsidR="00591C2B">
        <w:t xml:space="preserve">: the </w:t>
      </w:r>
      <w:r w:rsidRPr="007E3481">
        <w:t>difference in recall rates for FFDM versus DBT was</w:t>
      </w:r>
      <w:r w:rsidR="00591C2B">
        <w:t xml:space="preserve"> not</w:t>
      </w:r>
      <w:r w:rsidRPr="007E3481">
        <w:t xml:space="preserve"> smaller for breast imaging specialists (10.0</w:t>
      </w:r>
      <w:r w:rsidR="00591C2B">
        <w:t xml:space="preserve"> percent compared to </w:t>
      </w:r>
      <w:r w:rsidRPr="007E3481">
        <w:t xml:space="preserve"> 9.7</w:t>
      </w:r>
      <w:r w:rsidR="00591C2B">
        <w:t xml:space="preserve"> percent</w:t>
      </w:r>
      <w:r w:rsidRPr="007E3481">
        <w:t xml:space="preserve">, </w:t>
      </w:r>
      <w:r w:rsidR="00591C2B" w:rsidRPr="00591C2B">
        <w:rPr>
          <w:i/>
          <w:iCs/>
        </w:rPr>
        <w:t>p</w:t>
      </w:r>
      <w:r w:rsidRPr="007E3481">
        <w:t>=.60) than for readers who were not breast imaging subspecialists (11.0</w:t>
      </w:r>
      <w:r w:rsidR="00591C2B">
        <w:t xml:space="preserve"> percent compared to </w:t>
      </w:r>
      <w:r w:rsidRPr="007E3481">
        <w:t>9.6</w:t>
      </w:r>
      <w:r w:rsidR="00591C2B">
        <w:t xml:space="preserve"> percent, </w:t>
      </w:r>
      <w:r w:rsidR="00591C2B">
        <w:rPr>
          <w:i/>
          <w:iCs/>
        </w:rPr>
        <w:t>p</w:t>
      </w:r>
      <w:r w:rsidRPr="007E3481">
        <w:t>=.02). This suggests that those who do not specialise in breast screening may require additional training in DBT.</w:t>
      </w:r>
    </w:p>
    <w:p w14:paraId="2805101A" w14:textId="682D64D9" w:rsidR="007E3481" w:rsidRPr="007E3481" w:rsidRDefault="007E3481" w:rsidP="00591C2B">
      <w:pPr>
        <w:pStyle w:val="List-BulletLvl1"/>
      </w:pPr>
      <w:r w:rsidRPr="007E3481">
        <w:lastRenderedPageBreak/>
        <w:t xml:space="preserve">Relative to FFDM, the recall rate for the lowest cumulative volume subgroup decreased within radiologists (OR=0.83; 95%CI: 0.78, 0.89; </w:t>
      </w:r>
      <w:r w:rsidR="00591C2B">
        <w:rPr>
          <w:i/>
          <w:iCs/>
        </w:rPr>
        <w:t>p</w:t>
      </w:r>
      <w:r w:rsidRPr="007E3481">
        <w:t>&lt;.001) and continued to remain lower for all volume subgroups (</w:t>
      </w:r>
      <w:r w:rsidR="00591C2B">
        <w:rPr>
          <w:i/>
          <w:iCs/>
        </w:rPr>
        <w:t>p</w:t>
      </w:r>
      <w:r w:rsidRPr="007E3481">
        <w:t xml:space="preserve">&lt;.001 for all subgroups). </w:t>
      </w:r>
      <w:r w:rsidR="00591C2B">
        <w:t>This suggested improved performance with DBT regardless of how much reading is being undertaken.</w:t>
      </w:r>
    </w:p>
    <w:p w14:paraId="0093ABC5" w14:textId="5B02BEBA" w:rsidR="007E3481" w:rsidRPr="007E3481" w:rsidRDefault="00591C2B" w:rsidP="00591C2B">
      <w:pPr>
        <w:pStyle w:val="BodyText"/>
      </w:pPr>
      <w:r>
        <w:t>Overall, i</w:t>
      </w:r>
      <w:r w:rsidR="007E3481" w:rsidRPr="007E3481">
        <w:t>mprovements in performance were similar for both reader groups and were sustained with increasing DBT volume in both groups. This suggest</w:t>
      </w:r>
      <w:r>
        <w:t>ed</w:t>
      </w:r>
      <w:r w:rsidR="007E3481" w:rsidRPr="007E3481">
        <w:t xml:space="preserve"> that</w:t>
      </w:r>
      <w:r>
        <w:t>,</w:t>
      </w:r>
      <w:r w:rsidR="007E3481" w:rsidRPr="007E3481">
        <w:t xml:space="preserve"> once trained in DBT, improvements in performance should be maintained, therefore targeted upfront training is worth the investment. </w:t>
      </w:r>
    </w:p>
    <w:p w14:paraId="12E3AE0C" w14:textId="77777777" w:rsidR="007E3481" w:rsidRPr="007E3481" w:rsidRDefault="007E3481" w:rsidP="007E3481">
      <w:pPr>
        <w:pStyle w:val="Heading3-NOTinTOC"/>
      </w:pPr>
      <w:r w:rsidRPr="007E3481">
        <w:t>DBT compared to other imaging combinations</w:t>
      </w:r>
    </w:p>
    <w:p w14:paraId="4398B948" w14:textId="77777777" w:rsidR="007E3481" w:rsidRPr="007E3481" w:rsidRDefault="007E3481" w:rsidP="007E3481">
      <w:pPr>
        <w:pStyle w:val="BodyText-GREEN"/>
        <w:rPr>
          <w:b/>
          <w:bCs/>
        </w:rPr>
      </w:pPr>
      <w:r w:rsidRPr="007E3481">
        <w:rPr>
          <w:b/>
          <w:bCs/>
        </w:rPr>
        <w:t>Prospective trials embedded in population screening programs</w:t>
      </w:r>
    </w:p>
    <w:p w14:paraId="3771660A" w14:textId="76939BDE" w:rsidR="00591C2B" w:rsidRDefault="007E3481" w:rsidP="007E3481">
      <w:pPr>
        <w:pStyle w:val="BodyText"/>
      </w:pPr>
      <w:r w:rsidRPr="007E3481">
        <w:rPr>
          <w:noProof/>
          <w:lang w:val="en-AU" w:eastAsia="en-AU"/>
        </w:rPr>
        <w:drawing>
          <wp:anchor distT="0" distB="0" distL="114300" distR="114300" simplePos="0" relativeHeight="251665408" behindDoc="0" locked="0" layoutInCell="1" allowOverlap="1" wp14:anchorId="4FE54AFD" wp14:editId="05D12266">
            <wp:simplePos x="0" y="0"/>
            <wp:positionH relativeFrom="column">
              <wp:posOffset>971047</wp:posOffset>
            </wp:positionH>
            <wp:positionV relativeFrom="paragraph">
              <wp:posOffset>1480185</wp:posOffset>
            </wp:positionV>
            <wp:extent cx="3545205" cy="3140075"/>
            <wp:effectExtent l="0" t="0" r="0" b="3175"/>
            <wp:wrapTopAndBottom/>
            <wp:docPr id="13" name="Picture 13" descr="Figure 2 table is the number of false-positive results among recalled participants over the trial period for the two reading groups. The vertical axis is False-positive results per 1000 women screened (%) and the horizontal axis is the time since start of trial (years).&#10;For the Digital breast tomosynthesis group - the first year there were approximately 2.5 false-positive results per 100 women screened. &#10;For the second year, there was approximately 1.5 false-positive results per 100 women screened. For the third year there was approximately 1.7 false-positive results per 100 women screened. For the fourth year, there was approximately 1.5 false-positive results per 100 women screened. For the fifth year, there were approximately 1.6 false-positive results per 1000 women screened.&#10;&#10;For the Digital mammography group - for the first year there was approximately 0.7 per 100 false-positive results per women screened.&#10;For the second year, there were approximately 0.8 false-positive results per 100 women screened. For the third year there were approximately 1.0 false-positive results per 100 women screened. For the fourth year, there were approximately 0.6 false-positive results per 100 women screened. For the fifth year, there were approximately 0.9 false-positive results per 100 women screen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545205" cy="3140075"/>
                    </a:xfrm>
                    <a:prstGeom prst="rect">
                      <a:avLst/>
                    </a:prstGeom>
                  </pic:spPr>
                </pic:pic>
              </a:graphicData>
            </a:graphic>
            <wp14:sizeRelH relativeFrom="margin">
              <wp14:pctWidth>0</wp14:pctWidth>
            </wp14:sizeRelH>
            <wp14:sizeRelV relativeFrom="margin">
              <wp14:pctHeight>0</wp14:pctHeight>
            </wp14:sizeRelV>
          </wp:anchor>
        </w:drawing>
      </w:r>
      <w:r w:rsidRPr="007E3481">
        <w:t>The Malmö trial (Zackrisson et al., 2018) compared the difference in reader sensitivity and specificity for single view DBT</w:t>
      </w:r>
      <w:r w:rsidRPr="007E3481">
        <w:rPr>
          <w:sz w:val="14"/>
          <w:szCs w:val="14"/>
        </w:rPr>
        <w:t>MLO</w:t>
      </w:r>
      <w:r w:rsidRPr="007E3481">
        <w:t xml:space="preserve"> </w:t>
      </w:r>
      <w:r w:rsidR="00591C2B">
        <w:t xml:space="preserve">compared </w:t>
      </w:r>
      <w:r w:rsidRPr="007E3481">
        <w:t xml:space="preserve">with FFDM. Seven radiologists were involved in the trial and had a range of </w:t>
      </w:r>
      <w:r w:rsidR="00176980">
        <w:t xml:space="preserve">two to </w:t>
      </w:r>
      <w:r w:rsidRPr="007E3481">
        <w:t>41 years of experience in breast radiology (five readers had more than 10 years). All readers gained experience in DBT as part of their clinical work or in previous studies. No prior DBT images were available to the radiologists, but if prior FFDM images for women were available they were reviewed by the radiologist as part of the reading protocol for both arms of the study. The number of DBT false positive cases was found to decrease with increasing reader experience</w:t>
      </w:r>
      <w:r w:rsidR="00591C2B">
        <w:t xml:space="preserve"> as depicted in </w:t>
      </w:r>
      <w:r w:rsidR="00591C2B">
        <w:rPr>
          <w:i/>
          <w:iCs/>
        </w:rPr>
        <w:t xml:space="preserve">Figure </w:t>
      </w:r>
      <w:r w:rsidR="00E45406">
        <w:rPr>
          <w:i/>
          <w:iCs/>
        </w:rPr>
        <w:t>2</w:t>
      </w:r>
      <w:r w:rsidR="00591C2B">
        <w:t xml:space="preserve"> (below)</w:t>
      </w:r>
      <w:r w:rsidRPr="007E3481">
        <w:t>.</w:t>
      </w:r>
    </w:p>
    <w:p w14:paraId="27D08F62" w14:textId="77777777" w:rsidR="007E3481" w:rsidRPr="007E3481" w:rsidRDefault="007E3481" w:rsidP="007E3481">
      <w:pPr>
        <w:pStyle w:val="BodyText-GREEN"/>
        <w:rPr>
          <w:b/>
          <w:bCs/>
        </w:rPr>
      </w:pPr>
      <w:r w:rsidRPr="007E3481">
        <w:rPr>
          <w:b/>
          <w:bCs/>
        </w:rPr>
        <w:t>Observational studies: retrospective design</w:t>
      </w:r>
    </w:p>
    <w:p w14:paraId="7766111E" w14:textId="6D6119A9" w:rsidR="007E3481" w:rsidRPr="007E3481" w:rsidRDefault="007E3481" w:rsidP="007E3481">
      <w:pPr>
        <w:spacing w:before="120" w:after="120" w:line="280" w:lineRule="exact"/>
        <w:jc w:val="both"/>
      </w:pPr>
      <w:r w:rsidRPr="007E3481">
        <w:t xml:space="preserve">In a retrospective observational study, Chae et al. (2019) reported on the diagnostic performance and interpretation time of DBT for both novice and experienced readers with and without using a computer-aided detection (CAD) system was investigated. We have included this study because it is one of the few that look at the use of CAD in the interpretation of results. The role of CAD may be important in terms of reducing reading volume/time (see </w:t>
      </w:r>
      <w:r w:rsidRPr="007E3481">
        <w:rPr>
          <w:i/>
          <w:iCs/>
        </w:rPr>
        <w:t xml:space="preserve">section </w:t>
      </w:r>
      <w:r w:rsidR="00591C2B">
        <w:rPr>
          <w:i/>
          <w:iCs/>
        </w:rPr>
        <w:t>4.3</w:t>
      </w:r>
      <w:r w:rsidRPr="007E3481">
        <w:t xml:space="preserve">). In Chae et al.’s study, image interpretation was performed by four radiologists (two novice readers who had one year of breast imaging experience and two dedicated breast radiologists with 14 and </w:t>
      </w:r>
      <w:r w:rsidR="00176980">
        <w:t>six</w:t>
      </w:r>
      <w:r w:rsidRPr="007E3481">
        <w:t xml:space="preserve"> years’ </w:t>
      </w:r>
      <w:r w:rsidRPr="007E3481">
        <w:lastRenderedPageBreak/>
        <w:t xml:space="preserve">experience). Each reader completed two reading sessions: with and without CAD and were blinded to readings of other radiologists, clinical information, and histological diagnosis. Three different scales were used to record each reader’s interpretation: Modified BIRADS, probability of malignancy scale (a 1 to </w:t>
      </w:r>
      <w:r w:rsidR="00285D7E" w:rsidRPr="007E3481">
        <w:t>7-point</w:t>
      </w:r>
      <w:r w:rsidRPr="007E3481">
        <w:t xml:space="preserve"> scale where 1 was definitely not cancer and 7 was definitely cancer), and percentage probability of malignancy scale. Scales were used to calculate diagnostic performance and ROC. For the </w:t>
      </w:r>
      <w:r w:rsidR="00285D7E">
        <w:t>BIRADS</w:t>
      </w:r>
      <w:r w:rsidRPr="007E3481">
        <w:t xml:space="preserve"> scale, the average AUCs across readers were 0.778 with CAD (95%CI: 0.733</w:t>
      </w:r>
      <w:r w:rsidR="00176980">
        <w:t xml:space="preserve">, </w:t>
      </w:r>
      <w:r w:rsidRPr="007E3481">
        <w:t>0.822) and 0.776 without CAD (95%CI: 0.732</w:t>
      </w:r>
      <w:r w:rsidR="00176980">
        <w:t xml:space="preserve">, </w:t>
      </w:r>
      <w:r w:rsidRPr="007E3481">
        <w:t>0.821). The difference in AUC with and without CAD was not statistically significant, and the results were consistent with the results obtained on using the probability of malignancy and percentage probability of malignancy scales. Although there were variations in the AUC values between the novice and experienced readers, results obtained with CAD were consistent in all readers. Differences in sensitivity and specificity were not statistically significant in the presence or absence of CAD system. Results were consistent across three different rating scales, additionally novice readers performed as well as the experienced readers in all aspects with and without CAD. This may have been influenced by the small and enriched sample of positive cancer cases.</w:t>
      </w:r>
    </w:p>
    <w:p w14:paraId="7FFC87FF" w14:textId="5F56659C" w:rsidR="00DC18A2" w:rsidRPr="007E3481" w:rsidRDefault="00DC18A2" w:rsidP="00004A45">
      <w:pPr>
        <w:pStyle w:val="NumberedHeading2"/>
      </w:pPr>
      <w:bookmarkStart w:id="471" w:name="_Toc43376360"/>
      <w:r w:rsidRPr="007E3481">
        <w:t>Interpretation time</w:t>
      </w:r>
      <w:bookmarkEnd w:id="471"/>
    </w:p>
    <w:p w14:paraId="70F949BA" w14:textId="27AD74AD" w:rsidR="00DC18A2" w:rsidRPr="00DC18A2" w:rsidRDefault="00DC18A2" w:rsidP="00DC18A2">
      <w:pPr>
        <w:pStyle w:val="BodyText"/>
      </w:pPr>
      <w:r w:rsidRPr="007E3481">
        <w:t>Any significant increase in interpretation time for DBT images compared to traditional FFDM will have an effect to screening clinic workflow, resources and costs. While some proponents of DBT state the additional time required for DBT is justified by increased CDR and PPV, any additional costs in a population screening program needs to be carefully considered.</w:t>
      </w:r>
      <w:r w:rsidRPr="00DC18A2">
        <w:t xml:space="preserve"> </w:t>
      </w:r>
    </w:p>
    <w:p w14:paraId="268E6227" w14:textId="77777777" w:rsidR="00DC18A2" w:rsidRPr="00DC18A2" w:rsidRDefault="00DC18A2" w:rsidP="00DC18A2">
      <w:pPr>
        <w:pStyle w:val="CV-Heading"/>
      </w:pPr>
      <w:r w:rsidRPr="00DC18A2">
        <w:t xml:space="preserve">Key findings from </w:t>
      </w:r>
      <w:r w:rsidRPr="00DC18A2">
        <w:rPr>
          <w:i/>
          <w:iCs/>
        </w:rPr>
        <w:t>Allen + Clarke</w:t>
      </w:r>
      <w:r w:rsidRPr="00DC18A2">
        <w:t>’s 2018 literature reviews on tomosynthesis in screening and the assessment of screen-detected abnormalities</w:t>
      </w:r>
    </w:p>
    <w:p w14:paraId="3F583621" w14:textId="76136411" w:rsidR="00DC18A2" w:rsidRPr="00DC18A2" w:rsidRDefault="00DC18A2" w:rsidP="00DC18A2">
      <w:pPr>
        <w:pStyle w:val="BodyText"/>
      </w:pPr>
      <w:r w:rsidRPr="00DC18A2">
        <w:t xml:space="preserve">The literature reported a strong, consistent theme that implementation of DBT as an adjunct to FFDM increases reading and interpretation time. DBT produces many more images than FFDM alone (up to 25 </w:t>
      </w:r>
      <w:r>
        <w:t xml:space="preserve">per projection </w:t>
      </w:r>
      <w:r w:rsidRPr="00DC18A2">
        <w:t xml:space="preserve">compared to two). As such, readers must look through more images to complete the reading and interpretation of screening results. All studies reporting on reading time reported that reading time is increased (usually by double) although no studies reported on reading DBT images only; they all reported reading times associated with DBT as an adjunct screen to FFDM. Increased reading time will have workflow, radiologist/reader resourcing and cost implications if DBT is implemented into population screening programs. </w:t>
      </w:r>
    </w:p>
    <w:p w14:paraId="3621602A" w14:textId="77777777" w:rsidR="00DC18A2" w:rsidRPr="00DC18A2" w:rsidRDefault="00DC18A2" w:rsidP="00DC18A2">
      <w:pPr>
        <w:pStyle w:val="CV-Heading"/>
      </w:pPr>
      <w:r w:rsidRPr="00DC18A2">
        <w:t>Updated findings</w:t>
      </w:r>
    </w:p>
    <w:p w14:paraId="3972EC5F" w14:textId="4322ED74" w:rsidR="00DC18A2" w:rsidRPr="00DC18A2" w:rsidRDefault="00DC18A2" w:rsidP="00DC18A2">
      <w:pPr>
        <w:pStyle w:val="BodyText"/>
      </w:pPr>
      <w:r w:rsidRPr="00DC18A2">
        <w:t>Two literature reviews, one RCT and three prospective studies presented findings relating to image interpretation time comparing DBT+</w:t>
      </w:r>
      <w:r w:rsidR="00176980">
        <w:t>s2DM</w:t>
      </w:r>
      <w:r w:rsidRPr="00DC18A2">
        <w:t xml:space="preserve"> with FFDM</w:t>
      </w:r>
      <w:r>
        <w:t xml:space="preserve"> and FFDM+DBT with FFDM</w:t>
      </w:r>
      <w:r w:rsidRPr="00DC18A2">
        <w:t xml:space="preserve">. No systematic reviews assessing image acquisition for a range of different imaging modalities have been completed. </w:t>
      </w:r>
      <w:r>
        <w:t xml:space="preserve">Methodologies for most included studies are reported in </w:t>
      </w:r>
      <w:r w:rsidRPr="00DC18A2">
        <w:rPr>
          <w:i/>
          <w:iCs/>
        </w:rPr>
        <w:t>section 3.1.1</w:t>
      </w:r>
      <w:r>
        <w:t xml:space="preserve">. </w:t>
      </w:r>
      <w:r w:rsidRPr="00DC18A2">
        <w:t>Included studies are listed below.</w:t>
      </w:r>
      <w:r>
        <w:t xml:space="preserve"> A summary of interpretation times by study is included in </w:t>
      </w:r>
      <w:r>
        <w:rPr>
          <w:i/>
          <w:iCs/>
        </w:rPr>
        <w:t xml:space="preserve">Table </w:t>
      </w:r>
      <w:r w:rsidR="00BC52D9">
        <w:rPr>
          <w:i/>
          <w:iCs/>
        </w:rPr>
        <w:t>23</w:t>
      </w:r>
      <w:r>
        <w:t>.</w:t>
      </w:r>
    </w:p>
    <w:p w14:paraId="08E2CC6F" w14:textId="77777777" w:rsidR="00DC18A2" w:rsidRPr="00630B87" w:rsidRDefault="00DC18A2" w:rsidP="00DC18A2">
      <w:pPr>
        <w:pStyle w:val="Heading3"/>
        <w:ind w:firstLine="720"/>
      </w:pPr>
      <w:bookmarkStart w:id="472" w:name="_Toc27859693"/>
      <w:bookmarkStart w:id="473" w:name="_Toc27904810"/>
      <w:bookmarkStart w:id="474" w:name="_Toc43376361"/>
      <w:r w:rsidRPr="00630B87">
        <w:t>Literature reviews</w:t>
      </w:r>
      <w:bookmarkEnd w:id="472"/>
      <w:bookmarkEnd w:id="473"/>
      <w:bookmarkEnd w:id="474"/>
    </w:p>
    <w:p w14:paraId="7FC98295" w14:textId="399A43F3" w:rsidR="00DC18A2" w:rsidRPr="00630B87" w:rsidRDefault="00DC18A2" w:rsidP="00DC18A2">
      <w:pPr>
        <w:pStyle w:val="BodyText"/>
        <w:ind w:firstLine="720"/>
        <w:rPr>
          <w:lang w:eastAsia="en-NZ"/>
        </w:rPr>
      </w:pPr>
      <w:r w:rsidRPr="00630B87">
        <w:rPr>
          <w:lang w:eastAsia="en-NZ"/>
        </w:rPr>
        <w:t xml:space="preserve">Two reviews: </w:t>
      </w:r>
      <w:r w:rsidR="00630B87" w:rsidRPr="00630B87">
        <w:rPr>
          <w:lang w:eastAsia="en-NZ"/>
        </w:rPr>
        <w:t xml:space="preserve">Chong et al., 2019; </w:t>
      </w:r>
      <w:r w:rsidRPr="00630B87">
        <w:rPr>
          <w:lang w:eastAsia="en-NZ"/>
        </w:rPr>
        <w:t>Rocha Garc</w:t>
      </w:r>
      <w:r w:rsidR="00630B87" w:rsidRPr="00630B87">
        <w:rPr>
          <w:lang w:eastAsia="en-NZ"/>
        </w:rPr>
        <w:t>í</w:t>
      </w:r>
      <w:r w:rsidRPr="00630B87">
        <w:rPr>
          <w:lang w:eastAsia="en-NZ"/>
        </w:rPr>
        <w:t>a &amp; Fern</w:t>
      </w:r>
      <w:r w:rsidR="00630B87" w:rsidRPr="00630B87">
        <w:rPr>
          <w:lang w:eastAsia="en-NZ"/>
        </w:rPr>
        <w:t>á</w:t>
      </w:r>
      <w:r w:rsidRPr="00630B87">
        <w:rPr>
          <w:lang w:eastAsia="en-NZ"/>
        </w:rPr>
        <w:t>ndez, 201</w:t>
      </w:r>
      <w:r w:rsidR="00630B87" w:rsidRPr="00630B87">
        <w:rPr>
          <w:lang w:eastAsia="en-NZ"/>
        </w:rPr>
        <w:t>9</w:t>
      </w:r>
    </w:p>
    <w:p w14:paraId="70A37A2C" w14:textId="77777777" w:rsidR="00DC18A2" w:rsidRPr="00630B87" w:rsidRDefault="00DC18A2" w:rsidP="00DC18A2">
      <w:pPr>
        <w:pStyle w:val="Heading3"/>
        <w:ind w:left="720"/>
      </w:pPr>
      <w:bookmarkStart w:id="475" w:name="_Toc27859694"/>
      <w:bookmarkStart w:id="476" w:name="_Toc27904811"/>
      <w:bookmarkStart w:id="477" w:name="_Toc43376362"/>
      <w:r w:rsidRPr="00630B87">
        <w:lastRenderedPageBreak/>
        <w:t>Randomized controlled trials</w:t>
      </w:r>
      <w:bookmarkEnd w:id="475"/>
      <w:bookmarkEnd w:id="476"/>
      <w:bookmarkEnd w:id="477"/>
    </w:p>
    <w:p w14:paraId="184AE0CF" w14:textId="77777777" w:rsidR="00F23A05" w:rsidRDefault="00F23A05" w:rsidP="00630B87">
      <w:pPr>
        <w:pStyle w:val="BodyText"/>
        <w:ind w:left="720"/>
      </w:pPr>
      <w:r>
        <w:t xml:space="preserve">One </w:t>
      </w:r>
      <w:r w:rsidR="00630B87">
        <w:t>RCT (</w:t>
      </w:r>
      <w:r>
        <w:t>three</w:t>
      </w:r>
      <w:r w:rsidR="00630B87">
        <w:t xml:space="preserve"> papers)</w:t>
      </w:r>
      <w:r w:rsidR="00DC18A2" w:rsidRPr="00630B87">
        <w:t>: Aase et al., 2019; Hofvind et al., 2019; Moger et al., 2019</w:t>
      </w:r>
    </w:p>
    <w:p w14:paraId="4A92E77D" w14:textId="0B9F31DB" w:rsidR="00DC18A2" w:rsidRPr="00630B87" w:rsidRDefault="00F23A05" w:rsidP="00630B87">
      <w:pPr>
        <w:pStyle w:val="BodyText"/>
        <w:ind w:left="720"/>
      </w:pPr>
      <w:r>
        <w:t xml:space="preserve">One randomized study embedded in a population screening program: </w:t>
      </w:r>
      <w:r w:rsidR="00DC18A2" w:rsidRPr="00630B87">
        <w:t>Pattacini et al., 2018</w:t>
      </w:r>
    </w:p>
    <w:p w14:paraId="00C789D8" w14:textId="77777777" w:rsidR="00DC18A2" w:rsidRPr="00630B87" w:rsidRDefault="00DC18A2" w:rsidP="00DC18A2">
      <w:pPr>
        <w:pStyle w:val="Heading3"/>
        <w:ind w:left="720"/>
      </w:pPr>
      <w:bookmarkStart w:id="478" w:name="_Toc27859695"/>
      <w:bookmarkStart w:id="479" w:name="_Toc27904812"/>
      <w:bookmarkStart w:id="480" w:name="_Toc43376363"/>
      <w:r w:rsidRPr="00630B87">
        <w:t>Prospective trials embedded in population screening programs</w:t>
      </w:r>
      <w:bookmarkEnd w:id="478"/>
      <w:bookmarkEnd w:id="479"/>
      <w:bookmarkEnd w:id="480"/>
    </w:p>
    <w:p w14:paraId="01FFD85F" w14:textId="7D405BCF" w:rsidR="00DC18A2" w:rsidRPr="00630B87" w:rsidRDefault="00DC18A2" w:rsidP="00630B87">
      <w:pPr>
        <w:pStyle w:val="BodyText"/>
        <w:ind w:left="720"/>
      </w:pPr>
      <w:r w:rsidRPr="00630B87">
        <w:t xml:space="preserve">Four studies: </w:t>
      </w:r>
      <w:r w:rsidRPr="00630B87">
        <w:rPr>
          <w:rFonts w:eastAsia="Times New Roman" w:cs="Calibri"/>
          <w:lang w:eastAsia="en-NZ"/>
        </w:rPr>
        <w:t xml:space="preserve">Houssami et al., 2019; </w:t>
      </w:r>
      <w:r w:rsidRPr="00630B87">
        <w:t>Bernardi et al., 2018; Caumo et al., 2018; Romero Mart</w:t>
      </w:r>
      <w:r w:rsidR="00630B87" w:rsidRPr="00630B87">
        <w:t>í</w:t>
      </w:r>
      <w:r w:rsidRPr="00630B87">
        <w:t>n et al.</w:t>
      </w:r>
      <w:r w:rsidR="00630B87" w:rsidRPr="00630B87">
        <w:t>,</w:t>
      </w:r>
      <w:r w:rsidRPr="00630B87">
        <w:t xml:space="preserve"> 2018</w:t>
      </w:r>
    </w:p>
    <w:p w14:paraId="4F1C7121" w14:textId="77777777" w:rsidR="00DC18A2" w:rsidRPr="00630B87" w:rsidRDefault="00DC18A2" w:rsidP="00DC18A2">
      <w:pPr>
        <w:pStyle w:val="Heading3"/>
        <w:ind w:firstLine="720"/>
      </w:pPr>
      <w:bookmarkStart w:id="481" w:name="_Toc27859696"/>
      <w:bookmarkStart w:id="482" w:name="_Toc27904813"/>
      <w:bookmarkStart w:id="483" w:name="_Toc43376364"/>
      <w:r w:rsidRPr="00630B87">
        <w:t>Observational studies</w:t>
      </w:r>
      <w:bookmarkEnd w:id="481"/>
      <w:bookmarkEnd w:id="482"/>
      <w:bookmarkEnd w:id="483"/>
    </w:p>
    <w:p w14:paraId="112CE24E" w14:textId="40B6A169" w:rsidR="00DC18A2" w:rsidRDefault="00DC18A2" w:rsidP="00DC18A2">
      <w:pPr>
        <w:pStyle w:val="BodyText"/>
      </w:pPr>
      <w:r w:rsidRPr="00630B87">
        <w:tab/>
        <w:t>One retrospective analysis: Chae et al., 2019</w:t>
      </w:r>
    </w:p>
    <w:p w14:paraId="012BE2F2" w14:textId="77777777" w:rsidR="00EC6F2F" w:rsidRPr="00630B87"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rPr>
      </w:pPr>
      <w:r w:rsidRPr="00630B87">
        <w:rPr>
          <w:b/>
          <w:bCs/>
        </w:rPr>
        <w:t>Summary of key findings published between 1 January 2018 and 31 December 2019</w:t>
      </w:r>
    </w:p>
    <w:p w14:paraId="0BAE203B" w14:textId="77777777" w:rsidR="00EC6F2F"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630B87">
        <w:t xml:space="preserve">Studies observed increases in interpretation time </w:t>
      </w:r>
      <w:r>
        <w:t>for all DBT imaging, with a doubling of reading time being the most common (which is similar to earlier reported increases).</w:t>
      </w:r>
    </w:p>
    <w:p w14:paraId="32172165" w14:textId="77777777" w:rsidR="00EC6F2F" w:rsidRPr="00630B87"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t xml:space="preserve">For </w:t>
      </w:r>
      <w:r w:rsidRPr="00630B87">
        <w:t>DBT+</w:t>
      </w:r>
      <w:r>
        <w:t>s2DM</w:t>
      </w:r>
      <w:r w:rsidRPr="00630B87">
        <w:t xml:space="preserve"> compared to FFDM</w:t>
      </w:r>
      <w:r>
        <w:t>,</w:t>
      </w:r>
      <w:r w:rsidRPr="00630B87">
        <w:t xml:space="preserve"> </w:t>
      </w:r>
      <w:r>
        <w:t xml:space="preserve">the To-Be-1 RCT reported an </w:t>
      </w:r>
      <w:r w:rsidRPr="00630B87">
        <w:t xml:space="preserve">initial reading time </w:t>
      </w:r>
      <w:r>
        <w:t xml:space="preserve">of </w:t>
      </w:r>
      <w:r w:rsidRPr="00630B87">
        <w:t>1 min 6 sec with DBT+</w:t>
      </w:r>
      <w:r>
        <w:t>s2DM</w:t>
      </w:r>
      <w:r w:rsidRPr="00630B87">
        <w:t xml:space="preserve"> compared to 39 sec with FFDM. The same was found in the Reggio Emilia RCT</w:t>
      </w:r>
      <w:r>
        <w:t xml:space="preserve">: interpretation time for </w:t>
      </w:r>
      <w:r w:rsidRPr="00630B87">
        <w:t>FF</w:t>
      </w:r>
      <w:r>
        <w:t>D</w:t>
      </w:r>
      <w:r w:rsidRPr="00630B87">
        <w:t xml:space="preserve">M+DBT was 56 sec compared with 34 sec for FFDM alone. </w:t>
      </w:r>
      <w:r>
        <w:t>Only o</w:t>
      </w:r>
      <w:r w:rsidRPr="00630B87">
        <w:t xml:space="preserve">ne study reported almost no difference in interpretation time between DBT alone and DBT+FFDM if the result was positive; however, no specific data was provided so it is not possible to verify this. </w:t>
      </w:r>
      <w:r>
        <w:t>I</w:t>
      </w:r>
      <w:r w:rsidRPr="00630B87">
        <w:t>ncreased reading time will have workflow and reader/radiologist resourcing implications. Some authors suggested that this additional time may be acceptable if DBT delivers less need for consensus (the number of screens requiring arbitration), lower false positive recall rates and higher CDR rates. There continues to be a need for more research into these variables and also with regard to the impact of DBT training and experience on interpretation time.</w:t>
      </w:r>
    </w:p>
    <w:p w14:paraId="395B0B31" w14:textId="3C68FA3E" w:rsidR="00EC6F2F" w:rsidRPr="00630B87"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sidRPr="00630B87">
        <w:t>There was emerging evidence that the addition of computer-aided detection</w:t>
      </w:r>
      <w:r>
        <w:t xml:space="preserve"> (CAD)</w:t>
      </w:r>
      <w:r w:rsidRPr="00630B87">
        <w:t xml:space="preserve"> to DBT may reduce interpretation time compared with DBT alone; however, this was only explored in one study and there was no comparison to FFDM. One small cancer enriched study provided positive results for the addition of CAD to DBT finding a significant reduction in reading time without a loss of diagnostic performance compared to DBT alone. The effect of reduced reading time was consistently shown by novice and experienced readers. The benefit of adding CAD to DBT+</w:t>
      </w:r>
      <w:r>
        <w:t>s2DM</w:t>
      </w:r>
      <w:r w:rsidRPr="00630B87">
        <w:t xml:space="preserve"> may have the potential to reduce reading time; however, limited research has been conducted in this area and needs further exploration. For an area of research as complex as computer aided cancer detection, many more studies will be needed before recommendations can be made regarding its future utility in population</w:t>
      </w:r>
      <w:r>
        <w:t>-</w:t>
      </w:r>
      <w:r w:rsidRPr="00630B87">
        <w:t>based breast screening programs.</w:t>
      </w:r>
    </w:p>
    <w:p w14:paraId="7BA07232" w14:textId="5B3CB720" w:rsidR="00630B87" w:rsidRDefault="00630B87" w:rsidP="00630B87">
      <w:pPr>
        <w:pStyle w:val="NumberedHeading3"/>
      </w:pPr>
      <w:bookmarkStart w:id="484" w:name="_Toc27859697"/>
      <w:bookmarkStart w:id="485" w:name="_Toc27904814"/>
      <w:bookmarkStart w:id="486" w:name="_Toc43376365"/>
      <w:r>
        <w:t>Reading time</w:t>
      </w:r>
      <w:bookmarkEnd w:id="484"/>
      <w:bookmarkEnd w:id="485"/>
      <w:bookmarkEnd w:id="486"/>
    </w:p>
    <w:p w14:paraId="50FC601B" w14:textId="2545A38F" w:rsidR="00630B87" w:rsidRPr="00630B87" w:rsidRDefault="00630B87" w:rsidP="00630B87">
      <w:pPr>
        <w:pStyle w:val="BodyText-GREEN"/>
        <w:rPr>
          <w:b/>
          <w:bCs/>
        </w:rPr>
      </w:pPr>
      <w:r>
        <w:rPr>
          <w:b/>
          <w:bCs/>
        </w:rPr>
        <w:t xml:space="preserve">Literature </w:t>
      </w:r>
      <w:r w:rsidRPr="00630B87">
        <w:rPr>
          <w:b/>
          <w:bCs/>
        </w:rPr>
        <w:t>reviews</w:t>
      </w:r>
    </w:p>
    <w:p w14:paraId="7CFFBC0E" w14:textId="15B6E50F" w:rsidR="00630B87" w:rsidRDefault="00630B87" w:rsidP="00630B87">
      <w:pPr>
        <w:spacing w:before="120" w:after="120" w:line="280" w:lineRule="exact"/>
        <w:jc w:val="both"/>
      </w:pPr>
      <w:r w:rsidRPr="00630B87">
        <w:t>Rocha Garc</w:t>
      </w:r>
      <w:r>
        <w:t>í</w:t>
      </w:r>
      <w:r w:rsidRPr="00630B87">
        <w:t>a &amp; Fern</w:t>
      </w:r>
      <w:r>
        <w:t>á</w:t>
      </w:r>
      <w:r w:rsidRPr="00630B87">
        <w:t>ndez (2019) recognised DBT+</w:t>
      </w:r>
      <w:r w:rsidR="00176980">
        <w:t>s2DM</w:t>
      </w:r>
      <w:r w:rsidRPr="00630B87">
        <w:t xml:space="preserve">’s potential contribution to improved cancer detection but the increased reading time was cited as a major limitation. For example, a breast with tissue thickness of </w:t>
      </w:r>
      <w:r>
        <w:t xml:space="preserve">five </w:t>
      </w:r>
      <w:r w:rsidRPr="00630B87">
        <w:t>centimetres, using a slice thickness of 1 mm, creates 100 images. This led to an increase in the reading time of 35</w:t>
      </w:r>
      <w:r w:rsidR="00176980">
        <w:t xml:space="preserve"> to </w:t>
      </w:r>
      <w:r w:rsidRPr="00630B87">
        <w:t xml:space="preserve">70 percent compared to FFDM. Despite current longer time interpretation time, </w:t>
      </w:r>
      <w:r>
        <w:t xml:space="preserve">the authors observed that </w:t>
      </w:r>
      <w:r w:rsidRPr="00630B87">
        <w:t xml:space="preserve">improvements might be </w:t>
      </w:r>
      <w:r w:rsidRPr="00630B87">
        <w:lastRenderedPageBreak/>
        <w:t>possible with the addition of CAD, which could reduce the need for double reading protocols in the future, however little information was provided specifically regarding this process (</w:t>
      </w:r>
      <w:r>
        <w:t>although we report on a study by Chae et al., 2019, which explores the role of CAD)</w:t>
      </w:r>
      <w:r w:rsidRPr="00630B87">
        <w:t xml:space="preserve">. </w:t>
      </w:r>
    </w:p>
    <w:p w14:paraId="79DE5387" w14:textId="77777777" w:rsidR="00630B87" w:rsidRPr="00630B87" w:rsidRDefault="00630B87" w:rsidP="00630B87">
      <w:pPr>
        <w:spacing w:before="120" w:after="120" w:line="280" w:lineRule="exact"/>
        <w:jc w:val="both"/>
      </w:pPr>
      <w:r w:rsidRPr="00630B87">
        <w:t xml:space="preserve">In Chong at al.’s (2019) narrative literature review, the authors </w:t>
      </w:r>
      <w:r>
        <w:t xml:space="preserve">also </w:t>
      </w:r>
      <w:r w:rsidRPr="00630B87">
        <w:t xml:space="preserve">considered that DBT interpretation time is expected to decrease with reader’s increasing experience with DBT. Additionally, with the development of new presentation modes, including automated “slabbing” of DBT sections to create thicker overlapping sections the interpretation time should be further reduced. </w:t>
      </w:r>
    </w:p>
    <w:p w14:paraId="41474A19" w14:textId="7ED4E781" w:rsidR="00DC18A2" w:rsidRPr="00630B87" w:rsidRDefault="00DC18A2" w:rsidP="00DC18A2">
      <w:pPr>
        <w:pStyle w:val="Heading3-NOTinTOC"/>
      </w:pPr>
      <w:r w:rsidRPr="00630B87">
        <w:t>DBT+</w:t>
      </w:r>
      <w:r w:rsidR="00176980">
        <w:t>s2DM</w:t>
      </w:r>
      <w:r w:rsidRPr="00630B87">
        <w:t xml:space="preserve"> compared to </w:t>
      </w:r>
      <w:r w:rsidR="00176980">
        <w:t>FFDM+DBT</w:t>
      </w:r>
      <w:r w:rsidRPr="00630B87">
        <w:t xml:space="preserve"> and/or FFDM alone</w:t>
      </w:r>
    </w:p>
    <w:p w14:paraId="7563B992" w14:textId="589BCB29" w:rsidR="00DC18A2" w:rsidRPr="00630B87" w:rsidRDefault="00630B87" w:rsidP="00DC18A2">
      <w:pPr>
        <w:pStyle w:val="BodyText-GREEN"/>
        <w:rPr>
          <w:b/>
          <w:bCs/>
        </w:rPr>
      </w:pPr>
      <w:r>
        <w:rPr>
          <w:b/>
          <w:bCs/>
        </w:rPr>
        <w:t>RCT</w:t>
      </w:r>
    </w:p>
    <w:p w14:paraId="753A2394" w14:textId="616F27D1" w:rsidR="00DC18A2" w:rsidRPr="00630B87" w:rsidRDefault="00DC18A2" w:rsidP="00DC18A2">
      <w:pPr>
        <w:pStyle w:val="BodyText"/>
      </w:pPr>
      <w:r w:rsidRPr="00630B87">
        <w:t xml:space="preserve">Papers reporting on data from the first year of the To-Be-1 trial  reported a significantly longer times required for reading and consensus. </w:t>
      </w:r>
      <w:r w:rsidR="000C5381">
        <w:t>In a</w:t>
      </w:r>
      <w:r w:rsidR="000C5381" w:rsidRPr="000C5381">
        <w:t xml:space="preserve"> </w:t>
      </w:r>
      <w:r w:rsidR="000C5381">
        <w:t xml:space="preserve">sub-study (interim analysis), </w:t>
      </w:r>
      <w:r w:rsidRPr="00630B87">
        <w:t>Aase et al. (2019) reported initial reading time of 1 minute 11 sec for DBT+</w:t>
      </w:r>
      <w:r w:rsidR="00176980">
        <w:t>s2DM</w:t>
      </w:r>
      <w:r w:rsidRPr="00630B87">
        <w:t xml:space="preserve"> cases compared with 41 sec for FFDM cases (</w:t>
      </w:r>
      <w:r w:rsidRPr="00630B87">
        <w:rPr>
          <w:i/>
          <w:iCs/>
        </w:rPr>
        <w:t>p</w:t>
      </w:r>
      <w:r w:rsidRPr="00630B87">
        <w:t>&lt;.01). A significant increase in time was also seen for consensus reading (3 min 12 sec with DBT+</w:t>
      </w:r>
      <w:r w:rsidR="00176980">
        <w:t>s2DM</w:t>
      </w:r>
      <w:r w:rsidRPr="00630B87">
        <w:t xml:space="preserve"> compared to 2 min 12 sec for FFDM; </w:t>
      </w:r>
      <w:r w:rsidRPr="00630B87">
        <w:rPr>
          <w:i/>
          <w:iCs/>
        </w:rPr>
        <w:t>p</w:t>
      </w:r>
      <w:r w:rsidRPr="00630B87">
        <w:t>&lt;.01)</w:t>
      </w:r>
      <w:r w:rsidR="0019576D">
        <w:t>; h</w:t>
      </w:r>
      <w:r w:rsidR="00DC04A4">
        <w:t>owever they also observed</w:t>
      </w:r>
      <w:r w:rsidR="0019576D">
        <w:t xml:space="preserve"> </w:t>
      </w:r>
      <w:r w:rsidRPr="00630B87">
        <w:t>a decrease in the rate of cases discussed at consensus (6.3 percent for DBT+</w:t>
      </w:r>
      <w:r w:rsidR="00176980">
        <w:t>s2DM</w:t>
      </w:r>
      <w:r w:rsidR="00BC52D9">
        <w:t>;</w:t>
      </w:r>
      <w:r w:rsidRPr="00630B87">
        <w:t xml:space="preserve"> 7.4 percent for FFDM; </w:t>
      </w:r>
      <w:r w:rsidRPr="00630B87">
        <w:rPr>
          <w:i/>
          <w:iCs/>
        </w:rPr>
        <w:t>p</w:t>
      </w:r>
      <w:r w:rsidRPr="00630B87">
        <w:t>=.03)</w:t>
      </w:r>
      <w:r w:rsidR="00DC04A4">
        <w:t xml:space="preserve"> suggesting improved interrater consensus</w:t>
      </w:r>
      <w:r w:rsidRPr="00630B87">
        <w:t xml:space="preserve">. </w:t>
      </w:r>
    </w:p>
    <w:p w14:paraId="5273E14C" w14:textId="4B2C1941" w:rsidR="00DC18A2" w:rsidRPr="00630B87" w:rsidRDefault="00DC18A2" w:rsidP="00DC18A2">
      <w:pPr>
        <w:pStyle w:val="BodyText"/>
      </w:pPr>
      <w:r w:rsidRPr="00630B87">
        <w:t xml:space="preserve">Hofvind et al. (2019), reporting on the </w:t>
      </w:r>
      <w:r w:rsidR="000C5381">
        <w:t xml:space="preserve">main analysis from this </w:t>
      </w:r>
      <w:r w:rsidRPr="00630B87">
        <w:t>RCT, noted initial reading times of 1 min 6 sec with DBT+</w:t>
      </w:r>
      <w:r w:rsidR="00176980">
        <w:t>s2DM</w:t>
      </w:r>
      <w:r w:rsidRPr="00630B87">
        <w:t xml:space="preserve"> compared to 39 sec with FFDM (</w:t>
      </w:r>
      <w:r w:rsidRPr="00630B87">
        <w:rPr>
          <w:i/>
          <w:iCs/>
        </w:rPr>
        <w:t>p</w:t>
      </w:r>
      <w:r w:rsidRPr="00630B87">
        <w:t>&lt;</w:t>
      </w:r>
      <w:r w:rsidR="00630B87">
        <w:t>.</w:t>
      </w:r>
      <w:r w:rsidRPr="00630B87">
        <w:t>0001). Consensus reading was 2 min 51 sec compared to 2 min 4 sec (</w:t>
      </w:r>
      <w:r w:rsidRPr="00630B87">
        <w:rPr>
          <w:i/>
          <w:iCs/>
        </w:rPr>
        <w:t>p</w:t>
      </w:r>
      <w:r w:rsidRPr="00630B87">
        <w:t>&lt;</w:t>
      </w:r>
      <w:r w:rsidR="00630B87">
        <w:t>.</w:t>
      </w:r>
      <w:r w:rsidRPr="00630B87">
        <w:t>0001) and a consensus rate of 6.3 percent compared to 7.4 percent (</w:t>
      </w:r>
      <w:r w:rsidRPr="00630B87">
        <w:rPr>
          <w:i/>
          <w:iCs/>
        </w:rPr>
        <w:t>p</w:t>
      </w:r>
      <w:r w:rsidRPr="00630B87">
        <w:t>=·0004). Hofvind et al. also reported individual reader times of 39 sec to 2 min 42 sec for DBT+</w:t>
      </w:r>
      <w:r w:rsidR="00176980">
        <w:t>s2DM</w:t>
      </w:r>
      <w:r w:rsidRPr="00630B87">
        <w:t xml:space="preserve"> compared to 13 sec to 3 min 2 sec for FFDM. Similarly, in Moger et al.’s 2019 cost analysis study of the To-Be-1 RCT, similar differences were found (initial reading - 2 min 12 sec  compared to 1 min 19 sec, </w:t>
      </w:r>
      <w:r w:rsidRPr="00630B87">
        <w:rPr>
          <w:i/>
          <w:iCs/>
        </w:rPr>
        <w:t>p</w:t>
      </w:r>
      <w:r w:rsidRPr="00630B87">
        <w:t xml:space="preserve">&lt;.001; consensus was 2 min 50 sec compared to 2 min 4 sec, </w:t>
      </w:r>
      <w:r w:rsidRPr="00630B87">
        <w:rPr>
          <w:i/>
          <w:iCs/>
        </w:rPr>
        <w:t>p</w:t>
      </w:r>
      <w:r w:rsidRPr="00630B87">
        <w:t xml:space="preserve">&lt;.001,  and consensus rate was 6.6 percent compared to 7.6 percent, </w:t>
      </w:r>
      <w:r w:rsidRPr="00630B87">
        <w:rPr>
          <w:i/>
          <w:iCs/>
        </w:rPr>
        <w:t>p</w:t>
      </w:r>
      <w:r w:rsidRPr="00630B87">
        <w:t xml:space="preserve">=.001). </w:t>
      </w:r>
    </w:p>
    <w:p w14:paraId="4296F641" w14:textId="3AF5B4E6" w:rsidR="00DC18A2" w:rsidRDefault="00DC18A2" w:rsidP="00DC18A2">
      <w:pPr>
        <w:pStyle w:val="BodyText"/>
      </w:pPr>
      <w:r w:rsidRPr="00630B87">
        <w:t>Aase et al. (2019) reported that time spent on screen reading and consensus was observed to be lowest in the first five to eight months after the start of the trial, but it increased during the 8-12 months period</w:t>
      </w:r>
      <w:r w:rsidR="00591C2B">
        <w:t xml:space="preserve"> (see </w:t>
      </w:r>
      <w:r w:rsidR="00591C2B">
        <w:rPr>
          <w:i/>
          <w:iCs/>
        </w:rPr>
        <w:t xml:space="preserve">Table </w:t>
      </w:r>
      <w:r w:rsidR="00E45406">
        <w:rPr>
          <w:i/>
          <w:iCs/>
        </w:rPr>
        <w:t>22</w:t>
      </w:r>
      <w:r w:rsidR="00591C2B">
        <w:t>)</w:t>
      </w:r>
      <w:r w:rsidRPr="00630B87">
        <w:t xml:space="preserve">. This was thought </w:t>
      </w:r>
      <w:r w:rsidR="00DC04A4">
        <w:t xml:space="preserve">to </w:t>
      </w:r>
      <w:r w:rsidRPr="00630B87">
        <w:t xml:space="preserve">have been impacted by the timing of a workshop in which cancer cases that had been dismissed by one of the two readers were reviewed as a part of a quality assurance. The authors believed this may have contributed to readers deliberating longer at screen reading during the </w:t>
      </w:r>
      <w:r w:rsidR="00BB7BBA" w:rsidRPr="00630B87">
        <w:t>8-12-month</w:t>
      </w:r>
      <w:r w:rsidRPr="00630B87">
        <w:t xml:space="preserve"> period. Other factors that were observed were a significant decreasing trend of consensus with reading volume increase during the trial for FFDM, but not for DBT. The volume of screen reads prior to the trial did not show any correlation with either consensus or recall rate, either for DBT or FFDM. As noted in section </w:t>
      </w:r>
      <w:r w:rsidR="00630B87">
        <w:t xml:space="preserve">4.2, while </w:t>
      </w:r>
      <w:r w:rsidRPr="00630B87">
        <w:t xml:space="preserve">a difference in reading time is anticipated for DBT compared to FFDM, there are potential factors that could be compounding the difference including reader training/experience with DBT and </w:t>
      </w:r>
      <w:r w:rsidR="00176980">
        <w:t>s2DM</w:t>
      </w:r>
      <w:r w:rsidRPr="00630B87">
        <w:t xml:space="preserve">, availability of previous DBT images and potentially reader preferences. </w:t>
      </w:r>
    </w:p>
    <w:p w14:paraId="5B2E312B" w14:textId="005772B8" w:rsidR="00591C2B" w:rsidRPr="007E3481" w:rsidRDefault="00591C2B" w:rsidP="00591C2B">
      <w:pPr>
        <w:pStyle w:val="BodyText"/>
      </w:pPr>
      <w:r w:rsidRPr="007E3481">
        <w:t>Variation in interpretation times, consensus times, consensus rates and recall rates var</w:t>
      </w:r>
      <w:r>
        <w:t xml:space="preserve">ied </w:t>
      </w:r>
      <w:r w:rsidRPr="007E3481">
        <w:t xml:space="preserve">over the first 12 months of the study </w:t>
      </w:r>
      <w:r>
        <w:t xml:space="preserve">(see </w:t>
      </w:r>
      <w:r w:rsidR="00BC52D9">
        <w:rPr>
          <w:i/>
          <w:iCs/>
        </w:rPr>
        <w:t>T</w:t>
      </w:r>
      <w:r w:rsidRPr="007E3481">
        <w:rPr>
          <w:i/>
          <w:iCs/>
        </w:rPr>
        <w:t xml:space="preserve">able </w:t>
      </w:r>
      <w:r w:rsidR="00BC52D9">
        <w:rPr>
          <w:i/>
          <w:iCs/>
        </w:rPr>
        <w:t>22</w:t>
      </w:r>
      <w:r w:rsidRPr="00591C2B">
        <w:t>).</w:t>
      </w:r>
      <w:r w:rsidRPr="007E3481">
        <w:t xml:space="preserve"> Learning effect may have contributed to some of this fluctuation, with Aase citing the potential influence of a workshop during the </w:t>
      </w:r>
      <w:r w:rsidR="00176980">
        <w:t xml:space="preserve">seventh and eighth </w:t>
      </w:r>
      <w:r w:rsidRPr="007E3481">
        <w:t>month period</w:t>
      </w:r>
      <w:r>
        <w:t>;</w:t>
      </w:r>
      <w:r w:rsidRPr="007E3481">
        <w:t xml:space="preserve"> however</w:t>
      </w:r>
      <w:r>
        <w:t>,</w:t>
      </w:r>
      <w:r w:rsidRPr="007E3481">
        <w:t xml:space="preserve"> Aase et al. also noted that month</w:t>
      </w:r>
      <w:r w:rsidR="00176980">
        <w:t>s</w:t>
      </w:r>
      <w:r w:rsidRPr="007E3481">
        <w:t xml:space="preserve"> </w:t>
      </w:r>
      <w:r w:rsidR="00176980">
        <w:t xml:space="preserve">five to eight </w:t>
      </w:r>
      <w:r w:rsidRPr="007E3481">
        <w:t xml:space="preserve">were summer months where there were fewer women being screened , resulting in lower power in the estimate. </w:t>
      </w:r>
    </w:p>
    <w:p w14:paraId="16212474" w14:textId="5D91C1B5" w:rsidR="00591C2B" w:rsidRPr="007E3481" w:rsidRDefault="00591C2B" w:rsidP="00591C2B">
      <w:pPr>
        <w:pStyle w:val="Caption"/>
      </w:pPr>
      <w:r>
        <w:t xml:space="preserve">Table </w:t>
      </w:r>
      <w:r w:rsidR="00BC52D9">
        <w:t>22</w:t>
      </w:r>
      <w:r>
        <w:t>: Interpretation based on data from Aase et al. (2019)</w:t>
      </w:r>
    </w:p>
    <w:tbl>
      <w:tblPr>
        <w:tblStyle w:val="ACGreen-BasicTable"/>
        <w:tblW w:w="9410" w:type="dxa"/>
        <w:tblLook w:val="04A0" w:firstRow="1" w:lastRow="0" w:firstColumn="1" w:lastColumn="0" w:noHBand="0" w:noVBand="1"/>
        <w:tblDescription w:val="Table 22: shows Interpretation based on data from Aase et al. (2019).&#10;1 to 4 months:&#10;Interpretation time DBT+s2DM vs FFDM states; &#10;DBT+s2DM: 1 min 18 sec, FFDM: 42 sec, p&lt;.01.&#10;Consensus time DBT+s2DM vs FFDM states;&#10;DBT+s2DM: 3 min 31 sec / 3 min 14 sec, FFDM: 2 min 08 sec / 1min 48 sec, p&lt;.01.&#10;Consensus rates as % DBT+s2DM vs FFDM states;&#10;DBT+s2DM: 6.5, FFDM: 7.2, p=.35.&#10;Recall rates at %, DBT+s2DM vs FFDM state;&#10;DBT+s2DM 3.0, FFDM: 3.6, p=.25.&#10;&#10;5 to 8 months&#10;Interpretation time DBT+s2DM vs FFDM states;&#10;DBT+s2DM: 56 sec/ 46 sec&#10;FFDM: 33 sec / 21 sec, p&lt;.01,&#10;Consensus time, DBT+s2DM vs FFDM&#10;DBT+s2DM: 2 min 45 sec / 2 min 14 sec&#10;FFDM: 1 min 54 sec / 1 min 42 sec, p&lt;.01.&#10;&#10;Consensus rates as %, DBT+s2DM vs FFDM states;&#10;DBT+s2DM: 5.3 &#10;FFDM: 5.7&#10;p=.67&#10;&#10;Recall rates at %, DBT+s2DM vs FFDM states;&#10;DBT+s2DM: 2.6 &#10;FFDM: 2.0&#10;p=.28&#10;&#10;9 to 12 months&#10;Interpretation time DBT+s2DM vs FFDM states;&#10;DBT+s2DM: 1 min 11 sec/ 54 sec&#10;FFDM: 45 sec/ 27 sec&#10;p&lt;.01&#10;&#10;Consensus time, DBT+s2DM vs FFDM&#10;DBT+s2DM: 3 min 06 sec / 2 min 39 sec&#10;FFDM: 2 min 21 sec / 2 min 05 sec&#10;p&lt;.01&#10;&#10;Consensus rates as %, DBT+s2DM vs FFDM&#10;DBT+s2DM: 6.8 &#10;FFDM: 8.3&#10;p=.03&#10;&#10;Recall rates at %, DBT+s2DM vs FFDM&#10;DBT+s2DM: 3.1 &#10;FFDM: 4.4&#10;p&lt;.01&#10;"/>
      </w:tblPr>
      <w:tblGrid>
        <w:gridCol w:w="1234"/>
        <w:gridCol w:w="2305"/>
        <w:gridCol w:w="2256"/>
        <w:gridCol w:w="1874"/>
        <w:gridCol w:w="1741"/>
      </w:tblGrid>
      <w:tr w:rsidR="00591C2B" w:rsidRPr="007E3481" w14:paraId="7C613F8F" w14:textId="77777777" w:rsidTr="00591C2B">
        <w:trPr>
          <w:cnfStyle w:val="100000000000" w:firstRow="1" w:lastRow="0" w:firstColumn="0" w:lastColumn="0" w:oddVBand="0" w:evenVBand="0" w:oddHBand="0" w:evenHBand="0" w:firstRowFirstColumn="0" w:firstRowLastColumn="0" w:lastRowFirstColumn="0" w:lastRowLastColumn="0"/>
        </w:trPr>
        <w:tc>
          <w:tcPr>
            <w:tcW w:w="1234" w:type="dxa"/>
          </w:tcPr>
          <w:p w14:paraId="108023DA" w14:textId="77777777" w:rsidR="00591C2B" w:rsidRPr="007E3481" w:rsidRDefault="00591C2B" w:rsidP="00591C2B">
            <w:pPr>
              <w:pStyle w:val="BodyText"/>
              <w:spacing w:before="0" w:after="0" w:line="240" w:lineRule="auto"/>
              <w:rPr>
                <w:rFonts w:cstheme="majorHAnsi"/>
                <w:sz w:val="18"/>
                <w:szCs w:val="18"/>
              </w:rPr>
            </w:pPr>
          </w:p>
        </w:tc>
        <w:tc>
          <w:tcPr>
            <w:tcW w:w="2305" w:type="dxa"/>
          </w:tcPr>
          <w:p w14:paraId="1EEC0E08" w14:textId="4EE64CDD" w:rsidR="00591C2B" w:rsidRPr="007E3481" w:rsidRDefault="00591C2B" w:rsidP="00591C2B">
            <w:pPr>
              <w:pStyle w:val="BodyText"/>
              <w:spacing w:before="0" w:after="0" w:line="240" w:lineRule="auto"/>
              <w:jc w:val="center"/>
              <w:rPr>
                <w:rFonts w:cstheme="majorHAnsi"/>
                <w:sz w:val="18"/>
                <w:szCs w:val="18"/>
              </w:rPr>
            </w:pPr>
            <w:r w:rsidRPr="007E3481">
              <w:rPr>
                <w:rFonts w:cstheme="majorHAnsi"/>
                <w:sz w:val="18"/>
                <w:szCs w:val="18"/>
              </w:rPr>
              <w:t>Interpretation time DBT+</w:t>
            </w:r>
            <w:r w:rsidR="00176980">
              <w:rPr>
                <w:rFonts w:cstheme="majorHAnsi"/>
                <w:sz w:val="18"/>
                <w:szCs w:val="18"/>
              </w:rPr>
              <w:t>s2DM</w:t>
            </w:r>
            <w:r>
              <w:rPr>
                <w:rFonts w:cstheme="majorHAnsi"/>
                <w:sz w:val="18"/>
                <w:szCs w:val="18"/>
              </w:rPr>
              <w:t xml:space="preserve"> </w:t>
            </w:r>
            <w:r w:rsidRPr="007E3481">
              <w:rPr>
                <w:rFonts w:cstheme="majorHAnsi"/>
                <w:sz w:val="18"/>
                <w:szCs w:val="18"/>
              </w:rPr>
              <w:t>vs FFDM</w:t>
            </w:r>
          </w:p>
        </w:tc>
        <w:tc>
          <w:tcPr>
            <w:tcW w:w="2256" w:type="dxa"/>
          </w:tcPr>
          <w:p w14:paraId="60E30659" w14:textId="77777777" w:rsidR="00591C2B" w:rsidRPr="007E3481" w:rsidRDefault="00591C2B" w:rsidP="00591C2B">
            <w:pPr>
              <w:pStyle w:val="BodyText"/>
              <w:spacing w:before="0" w:after="0" w:line="240" w:lineRule="auto"/>
              <w:jc w:val="center"/>
              <w:rPr>
                <w:rFonts w:cstheme="majorHAnsi"/>
                <w:sz w:val="18"/>
                <w:szCs w:val="18"/>
              </w:rPr>
            </w:pPr>
            <w:r w:rsidRPr="007E3481">
              <w:rPr>
                <w:rFonts w:cstheme="majorHAnsi"/>
                <w:sz w:val="18"/>
                <w:szCs w:val="18"/>
              </w:rPr>
              <w:t>Consensus time</w:t>
            </w:r>
          </w:p>
          <w:p w14:paraId="00775C14" w14:textId="7B6856F3" w:rsidR="00591C2B" w:rsidRPr="007E3481" w:rsidRDefault="00591C2B" w:rsidP="00591C2B">
            <w:pPr>
              <w:pStyle w:val="BodyText"/>
              <w:spacing w:before="0" w:after="0" w:line="240" w:lineRule="auto"/>
              <w:jc w:val="center"/>
              <w:rPr>
                <w:rFonts w:cstheme="majorHAnsi"/>
                <w:sz w:val="18"/>
                <w:szCs w:val="18"/>
              </w:rPr>
            </w:pPr>
            <w:r w:rsidRPr="007E3481">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vs FFDM</w:t>
            </w:r>
          </w:p>
        </w:tc>
        <w:tc>
          <w:tcPr>
            <w:tcW w:w="1874" w:type="dxa"/>
          </w:tcPr>
          <w:p w14:paraId="7E141346" w14:textId="77777777" w:rsidR="00591C2B" w:rsidRPr="007E3481" w:rsidRDefault="00591C2B" w:rsidP="00591C2B">
            <w:pPr>
              <w:pStyle w:val="BodyText"/>
              <w:spacing w:before="0" w:after="0" w:line="240" w:lineRule="auto"/>
              <w:jc w:val="center"/>
              <w:rPr>
                <w:rFonts w:cstheme="majorHAnsi"/>
                <w:sz w:val="18"/>
                <w:szCs w:val="18"/>
              </w:rPr>
            </w:pPr>
            <w:r w:rsidRPr="007E3481">
              <w:rPr>
                <w:rFonts w:cstheme="majorHAnsi"/>
                <w:sz w:val="18"/>
                <w:szCs w:val="18"/>
              </w:rPr>
              <w:t>Consensus rates as %</w:t>
            </w:r>
          </w:p>
          <w:p w14:paraId="6334647B" w14:textId="64C2F043" w:rsidR="00591C2B" w:rsidRPr="007E3481" w:rsidRDefault="00591C2B" w:rsidP="00591C2B">
            <w:pPr>
              <w:pStyle w:val="BodyText"/>
              <w:spacing w:before="0" w:after="0" w:line="240" w:lineRule="auto"/>
              <w:jc w:val="center"/>
              <w:rPr>
                <w:rFonts w:cstheme="majorHAnsi"/>
                <w:sz w:val="18"/>
                <w:szCs w:val="18"/>
              </w:rPr>
            </w:pPr>
            <w:r w:rsidRPr="007E3481">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vs FFDM</w:t>
            </w:r>
          </w:p>
        </w:tc>
        <w:tc>
          <w:tcPr>
            <w:tcW w:w="1741" w:type="dxa"/>
          </w:tcPr>
          <w:p w14:paraId="6BFFB865" w14:textId="77777777" w:rsidR="00591C2B" w:rsidRPr="007E3481" w:rsidRDefault="00591C2B" w:rsidP="00591C2B">
            <w:pPr>
              <w:pStyle w:val="BodyText"/>
              <w:spacing w:before="0" w:after="0" w:line="240" w:lineRule="auto"/>
              <w:jc w:val="center"/>
              <w:rPr>
                <w:rFonts w:cstheme="majorHAnsi"/>
                <w:sz w:val="18"/>
                <w:szCs w:val="18"/>
              </w:rPr>
            </w:pPr>
            <w:r w:rsidRPr="007E3481">
              <w:rPr>
                <w:rFonts w:cstheme="majorHAnsi"/>
                <w:sz w:val="18"/>
                <w:szCs w:val="18"/>
              </w:rPr>
              <w:t>Recall rates at %</w:t>
            </w:r>
          </w:p>
          <w:p w14:paraId="4C51E23E" w14:textId="71F6694F" w:rsidR="00591C2B" w:rsidRPr="007E3481" w:rsidRDefault="00591C2B" w:rsidP="00591C2B">
            <w:pPr>
              <w:pStyle w:val="BodyText"/>
              <w:spacing w:before="0" w:after="0" w:line="240" w:lineRule="auto"/>
              <w:jc w:val="center"/>
              <w:rPr>
                <w:rFonts w:cstheme="majorHAnsi"/>
                <w:sz w:val="18"/>
                <w:szCs w:val="18"/>
              </w:rPr>
            </w:pPr>
            <w:r w:rsidRPr="007E3481">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vs FFDM</w:t>
            </w:r>
          </w:p>
        </w:tc>
      </w:tr>
      <w:tr w:rsidR="00591C2B" w:rsidRPr="007E3481" w14:paraId="582BD1E0" w14:textId="77777777" w:rsidTr="00591C2B">
        <w:tc>
          <w:tcPr>
            <w:tcW w:w="1234" w:type="dxa"/>
          </w:tcPr>
          <w:p w14:paraId="39D04563" w14:textId="77777777" w:rsidR="00591C2B" w:rsidRPr="007E3481" w:rsidRDefault="00591C2B" w:rsidP="00591C2B">
            <w:pPr>
              <w:pStyle w:val="BodyText"/>
              <w:spacing w:before="0" w:after="0" w:line="240" w:lineRule="auto"/>
              <w:rPr>
                <w:rFonts w:cstheme="majorHAnsi"/>
                <w:sz w:val="18"/>
                <w:szCs w:val="18"/>
              </w:rPr>
            </w:pPr>
            <w:r w:rsidRPr="007E3481">
              <w:rPr>
                <w:rFonts w:cstheme="majorHAnsi"/>
                <w:sz w:val="18"/>
                <w:szCs w:val="18"/>
              </w:rPr>
              <w:t>1-4 months</w:t>
            </w:r>
          </w:p>
        </w:tc>
        <w:tc>
          <w:tcPr>
            <w:tcW w:w="2305" w:type="dxa"/>
          </w:tcPr>
          <w:p w14:paraId="2174AE26" w14:textId="5EDCEB56" w:rsidR="00591C2B"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DBT+</w:t>
            </w:r>
            <w:r w:rsidR="00176980">
              <w:rPr>
                <w:rFonts w:cstheme="majorHAnsi"/>
                <w:color w:val="131413"/>
                <w:sz w:val="18"/>
                <w:szCs w:val="18"/>
              </w:rPr>
              <w:t>s2DM</w:t>
            </w:r>
            <w:r>
              <w:rPr>
                <w:rFonts w:cstheme="majorHAnsi"/>
                <w:color w:val="131413"/>
                <w:sz w:val="18"/>
                <w:szCs w:val="18"/>
              </w:rPr>
              <w:t xml:space="preserve">: </w:t>
            </w:r>
            <w:r w:rsidRPr="007E3481">
              <w:rPr>
                <w:rFonts w:cstheme="majorHAnsi"/>
                <w:color w:val="131413"/>
                <w:sz w:val="18"/>
                <w:szCs w:val="18"/>
              </w:rPr>
              <w:t>1</w:t>
            </w:r>
            <w:r>
              <w:rPr>
                <w:rFonts w:cstheme="majorHAnsi"/>
                <w:color w:val="131413"/>
                <w:sz w:val="18"/>
                <w:szCs w:val="18"/>
              </w:rPr>
              <w:t xml:space="preserve"> min </w:t>
            </w:r>
            <w:r w:rsidRPr="007E3481">
              <w:rPr>
                <w:rFonts w:cstheme="majorHAnsi"/>
                <w:color w:val="131413"/>
                <w:sz w:val="18"/>
                <w:szCs w:val="18"/>
              </w:rPr>
              <w:t>18</w:t>
            </w:r>
            <w:r>
              <w:rPr>
                <w:rFonts w:cstheme="majorHAnsi"/>
                <w:color w:val="131413"/>
                <w:sz w:val="18"/>
                <w:szCs w:val="18"/>
              </w:rPr>
              <w:t xml:space="preserve"> sec </w:t>
            </w:r>
          </w:p>
          <w:p w14:paraId="0602CB4C" w14:textId="36EEE335" w:rsidR="00591C2B" w:rsidRPr="007E3481"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 xml:space="preserve">FFDM: </w:t>
            </w:r>
            <w:r w:rsidRPr="007E3481">
              <w:rPr>
                <w:rFonts w:cstheme="majorHAnsi"/>
                <w:color w:val="131413"/>
                <w:sz w:val="18"/>
                <w:szCs w:val="18"/>
              </w:rPr>
              <w:t>42</w:t>
            </w:r>
            <w:r>
              <w:rPr>
                <w:rFonts w:cstheme="majorHAnsi"/>
                <w:color w:val="131413"/>
                <w:sz w:val="18"/>
                <w:szCs w:val="18"/>
              </w:rPr>
              <w:t xml:space="preserve"> sec</w:t>
            </w:r>
          </w:p>
          <w:p w14:paraId="343DDE67" w14:textId="58A03D17" w:rsidR="00591C2B" w:rsidRPr="007E3481" w:rsidRDefault="00591C2B" w:rsidP="00591C2B">
            <w:pPr>
              <w:pStyle w:val="BodyText"/>
              <w:spacing w:before="0" w:after="0" w:line="240" w:lineRule="auto"/>
              <w:rPr>
                <w:rFonts w:cstheme="majorHAnsi"/>
                <w:sz w:val="18"/>
                <w:szCs w:val="18"/>
              </w:rPr>
            </w:pPr>
            <w:r w:rsidRPr="00591C2B">
              <w:rPr>
                <w:rFonts w:cstheme="majorHAnsi"/>
                <w:i/>
                <w:iCs/>
                <w:sz w:val="18"/>
                <w:szCs w:val="18"/>
              </w:rPr>
              <w:t>p</w:t>
            </w:r>
            <w:r w:rsidRPr="007E3481">
              <w:rPr>
                <w:rFonts w:cstheme="majorHAnsi"/>
                <w:sz w:val="18"/>
                <w:szCs w:val="18"/>
              </w:rPr>
              <w:t>&lt;.01</w:t>
            </w:r>
          </w:p>
        </w:tc>
        <w:tc>
          <w:tcPr>
            <w:tcW w:w="2256" w:type="dxa"/>
          </w:tcPr>
          <w:p w14:paraId="0F23E1CC" w14:textId="336D5522" w:rsidR="00591C2B"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DBT+</w:t>
            </w:r>
            <w:r w:rsidR="00176980">
              <w:rPr>
                <w:rFonts w:cstheme="majorHAnsi"/>
                <w:color w:val="131413"/>
                <w:sz w:val="18"/>
                <w:szCs w:val="18"/>
              </w:rPr>
              <w:t>s2DM</w:t>
            </w:r>
            <w:r>
              <w:rPr>
                <w:rFonts w:cstheme="majorHAnsi"/>
                <w:color w:val="131413"/>
                <w:sz w:val="18"/>
                <w:szCs w:val="18"/>
              </w:rPr>
              <w:t xml:space="preserve">: </w:t>
            </w:r>
            <w:r w:rsidRPr="007E3481">
              <w:rPr>
                <w:rFonts w:cstheme="majorHAnsi"/>
                <w:color w:val="131413"/>
                <w:sz w:val="18"/>
                <w:szCs w:val="18"/>
              </w:rPr>
              <w:t>3</w:t>
            </w:r>
            <w:r>
              <w:rPr>
                <w:rFonts w:cstheme="majorHAnsi"/>
                <w:color w:val="131413"/>
                <w:sz w:val="18"/>
                <w:szCs w:val="18"/>
              </w:rPr>
              <w:t xml:space="preserve"> min </w:t>
            </w:r>
            <w:r w:rsidRPr="007E3481">
              <w:rPr>
                <w:rFonts w:cstheme="majorHAnsi"/>
                <w:color w:val="131413"/>
                <w:sz w:val="18"/>
                <w:szCs w:val="18"/>
              </w:rPr>
              <w:t>31</w:t>
            </w:r>
            <w:r>
              <w:rPr>
                <w:rFonts w:cstheme="majorHAnsi"/>
                <w:color w:val="131413"/>
                <w:sz w:val="18"/>
                <w:szCs w:val="18"/>
              </w:rPr>
              <w:t xml:space="preserve"> sec </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3</w:t>
            </w:r>
            <w:r>
              <w:rPr>
                <w:rFonts w:cstheme="majorHAnsi"/>
                <w:color w:val="131413"/>
                <w:sz w:val="18"/>
                <w:szCs w:val="18"/>
              </w:rPr>
              <w:t xml:space="preserve"> min </w:t>
            </w:r>
            <w:r w:rsidRPr="007E3481">
              <w:rPr>
                <w:rFonts w:cstheme="majorHAnsi"/>
                <w:color w:val="131413"/>
                <w:sz w:val="18"/>
                <w:szCs w:val="18"/>
              </w:rPr>
              <w:t xml:space="preserve">14 </w:t>
            </w:r>
            <w:r>
              <w:rPr>
                <w:rFonts w:cstheme="majorHAnsi"/>
                <w:color w:val="131413"/>
                <w:sz w:val="18"/>
                <w:szCs w:val="18"/>
              </w:rPr>
              <w:t>sec</w:t>
            </w:r>
          </w:p>
          <w:p w14:paraId="4489ED4F" w14:textId="54E8894D" w:rsidR="00591C2B" w:rsidRPr="007E3481"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 xml:space="preserve">FFDM: </w:t>
            </w:r>
            <w:r w:rsidRPr="007E3481">
              <w:rPr>
                <w:rFonts w:cstheme="majorHAnsi"/>
                <w:color w:val="131413"/>
                <w:sz w:val="18"/>
                <w:szCs w:val="18"/>
              </w:rPr>
              <w:t>2</w:t>
            </w:r>
            <w:r>
              <w:rPr>
                <w:rFonts w:cstheme="majorHAnsi"/>
                <w:color w:val="131413"/>
                <w:sz w:val="18"/>
                <w:szCs w:val="18"/>
              </w:rPr>
              <w:t xml:space="preserve"> min </w:t>
            </w:r>
            <w:r w:rsidRPr="007E3481">
              <w:rPr>
                <w:rFonts w:cstheme="majorHAnsi"/>
                <w:color w:val="131413"/>
                <w:sz w:val="18"/>
                <w:szCs w:val="18"/>
              </w:rPr>
              <w:t>08</w:t>
            </w:r>
            <w:r>
              <w:rPr>
                <w:rFonts w:cstheme="majorHAnsi"/>
                <w:color w:val="131413"/>
                <w:sz w:val="18"/>
                <w:szCs w:val="18"/>
              </w:rPr>
              <w:t xml:space="preserve"> sec </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1</w:t>
            </w:r>
            <w:r>
              <w:rPr>
                <w:rFonts w:cstheme="majorHAnsi"/>
                <w:color w:val="131413"/>
                <w:sz w:val="18"/>
                <w:szCs w:val="18"/>
              </w:rPr>
              <w:t xml:space="preserve">min </w:t>
            </w:r>
            <w:r w:rsidRPr="007E3481">
              <w:rPr>
                <w:rFonts w:cstheme="majorHAnsi"/>
                <w:color w:val="131413"/>
                <w:sz w:val="18"/>
                <w:szCs w:val="18"/>
              </w:rPr>
              <w:t>48</w:t>
            </w:r>
            <w:r>
              <w:rPr>
                <w:rFonts w:cstheme="majorHAnsi"/>
                <w:color w:val="131413"/>
                <w:sz w:val="18"/>
                <w:szCs w:val="18"/>
              </w:rPr>
              <w:t xml:space="preserve"> sec</w:t>
            </w:r>
          </w:p>
          <w:p w14:paraId="7A61CC02" w14:textId="10B45F73" w:rsidR="00591C2B" w:rsidRPr="007E3481" w:rsidRDefault="00591C2B" w:rsidP="00591C2B">
            <w:pPr>
              <w:pStyle w:val="BodyText"/>
              <w:spacing w:before="0" w:after="0" w:line="240" w:lineRule="auto"/>
              <w:rPr>
                <w:rFonts w:cstheme="majorHAnsi"/>
                <w:sz w:val="18"/>
                <w:szCs w:val="18"/>
              </w:rPr>
            </w:pPr>
            <w:r w:rsidRPr="00591C2B">
              <w:rPr>
                <w:rFonts w:cstheme="majorHAnsi"/>
                <w:i/>
                <w:iCs/>
                <w:sz w:val="18"/>
                <w:szCs w:val="18"/>
              </w:rPr>
              <w:t>p</w:t>
            </w:r>
            <w:r w:rsidRPr="007E3481">
              <w:rPr>
                <w:rFonts w:cstheme="majorHAnsi"/>
                <w:sz w:val="18"/>
                <w:szCs w:val="18"/>
              </w:rPr>
              <w:t>&lt;.01</w:t>
            </w:r>
          </w:p>
        </w:tc>
        <w:tc>
          <w:tcPr>
            <w:tcW w:w="1874" w:type="dxa"/>
          </w:tcPr>
          <w:p w14:paraId="74D7AD6B" w14:textId="1C0A0867" w:rsidR="00591C2B" w:rsidRDefault="00591C2B" w:rsidP="00591C2B">
            <w:pPr>
              <w:pStyle w:val="BodyText"/>
              <w:spacing w:before="0" w:after="0" w:line="240" w:lineRule="auto"/>
              <w:rPr>
                <w:rFonts w:cstheme="majorHAnsi"/>
                <w:sz w:val="18"/>
                <w:szCs w:val="18"/>
              </w:rPr>
            </w:pPr>
            <w:r>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 xml:space="preserve">6.5 </w:t>
            </w:r>
          </w:p>
          <w:p w14:paraId="14DC608A" w14:textId="5DB2ABD1" w:rsidR="00591C2B" w:rsidRPr="007E3481" w:rsidRDefault="00591C2B" w:rsidP="00591C2B">
            <w:pPr>
              <w:pStyle w:val="BodyText"/>
              <w:spacing w:before="0" w:after="0" w:line="240" w:lineRule="auto"/>
              <w:rPr>
                <w:rFonts w:cstheme="majorHAnsi"/>
                <w:sz w:val="18"/>
                <w:szCs w:val="18"/>
              </w:rPr>
            </w:pPr>
            <w:r>
              <w:rPr>
                <w:rFonts w:cstheme="majorHAnsi"/>
                <w:sz w:val="18"/>
                <w:szCs w:val="18"/>
              </w:rPr>
              <w:t>FFD</w:t>
            </w:r>
            <w:r w:rsidR="00285D7E">
              <w:rPr>
                <w:rFonts w:cstheme="majorHAnsi"/>
                <w:sz w:val="18"/>
                <w:szCs w:val="18"/>
              </w:rPr>
              <w:t>M</w:t>
            </w:r>
            <w:r>
              <w:rPr>
                <w:rFonts w:cstheme="majorHAnsi"/>
                <w:sz w:val="18"/>
                <w:szCs w:val="18"/>
              </w:rPr>
              <w:t xml:space="preserve">: </w:t>
            </w:r>
            <w:r w:rsidRPr="007E3481">
              <w:rPr>
                <w:rFonts w:cstheme="majorHAnsi"/>
                <w:sz w:val="18"/>
                <w:szCs w:val="18"/>
              </w:rPr>
              <w:t>7.2</w:t>
            </w:r>
          </w:p>
          <w:p w14:paraId="657052B1" w14:textId="51BEAC75" w:rsidR="00591C2B" w:rsidRPr="007E3481" w:rsidRDefault="00591C2B" w:rsidP="00591C2B">
            <w:pPr>
              <w:pStyle w:val="BodyText"/>
              <w:spacing w:before="0" w:after="0" w:line="240" w:lineRule="auto"/>
              <w:rPr>
                <w:rFonts w:cstheme="majorHAnsi"/>
                <w:sz w:val="18"/>
                <w:szCs w:val="18"/>
              </w:rPr>
            </w:pPr>
            <w:r w:rsidRPr="00591C2B">
              <w:rPr>
                <w:rFonts w:cstheme="majorHAnsi"/>
                <w:i/>
                <w:iCs/>
                <w:sz w:val="18"/>
                <w:szCs w:val="18"/>
              </w:rPr>
              <w:t>p</w:t>
            </w:r>
            <w:r w:rsidRPr="007E3481">
              <w:rPr>
                <w:rFonts w:cstheme="majorHAnsi"/>
                <w:sz w:val="18"/>
                <w:szCs w:val="18"/>
              </w:rPr>
              <w:t>=.35</w:t>
            </w:r>
          </w:p>
        </w:tc>
        <w:tc>
          <w:tcPr>
            <w:tcW w:w="1741" w:type="dxa"/>
          </w:tcPr>
          <w:p w14:paraId="43EABC5D" w14:textId="046FAE0D" w:rsidR="00591C2B" w:rsidRDefault="00591C2B" w:rsidP="00591C2B">
            <w:pPr>
              <w:pStyle w:val="BodyText"/>
              <w:spacing w:before="0" w:after="0" w:line="240" w:lineRule="auto"/>
              <w:rPr>
                <w:rFonts w:cstheme="majorHAnsi"/>
                <w:sz w:val="18"/>
                <w:szCs w:val="18"/>
              </w:rPr>
            </w:pPr>
            <w:r>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 xml:space="preserve">3.0 </w:t>
            </w:r>
          </w:p>
          <w:p w14:paraId="212131DC" w14:textId="0BE73A35" w:rsidR="00591C2B" w:rsidRPr="007E3481" w:rsidRDefault="00591C2B" w:rsidP="00591C2B">
            <w:pPr>
              <w:pStyle w:val="BodyText"/>
              <w:spacing w:before="0" w:after="0" w:line="240" w:lineRule="auto"/>
              <w:rPr>
                <w:rFonts w:cstheme="majorHAnsi"/>
                <w:sz w:val="18"/>
                <w:szCs w:val="18"/>
              </w:rPr>
            </w:pPr>
            <w:r>
              <w:rPr>
                <w:rFonts w:cstheme="majorHAnsi"/>
                <w:sz w:val="18"/>
                <w:szCs w:val="18"/>
              </w:rPr>
              <w:t xml:space="preserve">FFDM: </w:t>
            </w:r>
            <w:r w:rsidRPr="007E3481">
              <w:rPr>
                <w:rFonts w:cstheme="majorHAnsi"/>
                <w:sz w:val="18"/>
                <w:szCs w:val="18"/>
              </w:rPr>
              <w:t>3.6</w:t>
            </w:r>
          </w:p>
          <w:p w14:paraId="11828B6F" w14:textId="5C9016FC" w:rsidR="00591C2B" w:rsidRPr="007E3481" w:rsidRDefault="00591C2B" w:rsidP="00591C2B">
            <w:pPr>
              <w:pStyle w:val="BodyText"/>
              <w:spacing w:before="0" w:after="0" w:line="240" w:lineRule="auto"/>
              <w:rPr>
                <w:rFonts w:cstheme="majorHAnsi"/>
                <w:sz w:val="18"/>
                <w:szCs w:val="18"/>
              </w:rPr>
            </w:pPr>
            <w:r w:rsidRPr="00591C2B">
              <w:rPr>
                <w:rFonts w:cstheme="majorHAnsi"/>
                <w:i/>
                <w:iCs/>
                <w:sz w:val="18"/>
                <w:szCs w:val="18"/>
              </w:rPr>
              <w:t>p</w:t>
            </w:r>
            <w:r w:rsidRPr="007E3481">
              <w:rPr>
                <w:rFonts w:cstheme="majorHAnsi"/>
                <w:sz w:val="18"/>
                <w:szCs w:val="18"/>
              </w:rPr>
              <w:t>=.25</w:t>
            </w:r>
          </w:p>
        </w:tc>
      </w:tr>
      <w:tr w:rsidR="00591C2B" w:rsidRPr="007E3481" w14:paraId="1422720D" w14:textId="77777777" w:rsidTr="00591C2B">
        <w:tc>
          <w:tcPr>
            <w:tcW w:w="1234" w:type="dxa"/>
          </w:tcPr>
          <w:p w14:paraId="241F7331" w14:textId="77777777" w:rsidR="00591C2B" w:rsidRPr="007E3481" w:rsidRDefault="00591C2B" w:rsidP="00591C2B">
            <w:pPr>
              <w:pStyle w:val="BodyText"/>
              <w:spacing w:before="0" w:after="0" w:line="240" w:lineRule="auto"/>
              <w:rPr>
                <w:rFonts w:cstheme="majorHAnsi"/>
                <w:sz w:val="18"/>
                <w:szCs w:val="18"/>
              </w:rPr>
            </w:pPr>
            <w:r w:rsidRPr="007E3481">
              <w:rPr>
                <w:rFonts w:cstheme="majorHAnsi"/>
                <w:sz w:val="18"/>
                <w:szCs w:val="18"/>
              </w:rPr>
              <w:t>5-8 months</w:t>
            </w:r>
          </w:p>
        </w:tc>
        <w:tc>
          <w:tcPr>
            <w:tcW w:w="2305" w:type="dxa"/>
          </w:tcPr>
          <w:p w14:paraId="0AE9AC14" w14:textId="5AFA1BAD" w:rsidR="00591C2B"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DBT+</w:t>
            </w:r>
            <w:r w:rsidR="00176980">
              <w:rPr>
                <w:rFonts w:cstheme="majorHAnsi"/>
                <w:color w:val="131413"/>
                <w:sz w:val="18"/>
                <w:szCs w:val="18"/>
              </w:rPr>
              <w:t>s2DM</w:t>
            </w:r>
            <w:r>
              <w:rPr>
                <w:rFonts w:cstheme="majorHAnsi"/>
                <w:color w:val="131413"/>
                <w:sz w:val="18"/>
                <w:szCs w:val="18"/>
              </w:rPr>
              <w:t xml:space="preserve">: </w:t>
            </w:r>
            <w:r w:rsidRPr="007E3481">
              <w:rPr>
                <w:rFonts w:cstheme="majorHAnsi"/>
                <w:color w:val="131413"/>
                <w:sz w:val="18"/>
                <w:szCs w:val="18"/>
              </w:rPr>
              <w:t>56</w:t>
            </w:r>
            <w:r>
              <w:rPr>
                <w:rFonts w:cstheme="majorHAnsi"/>
                <w:color w:val="131413"/>
                <w:sz w:val="18"/>
                <w:szCs w:val="18"/>
              </w:rPr>
              <w:t xml:space="preserve"> sec</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46</w:t>
            </w:r>
            <w:r>
              <w:rPr>
                <w:rFonts w:cstheme="majorHAnsi"/>
                <w:color w:val="131413"/>
                <w:sz w:val="18"/>
                <w:szCs w:val="18"/>
              </w:rPr>
              <w:t xml:space="preserve"> sec</w:t>
            </w:r>
          </w:p>
          <w:p w14:paraId="6592D918" w14:textId="0FB01A9E" w:rsidR="00591C2B" w:rsidRPr="007E3481" w:rsidRDefault="00591C2B" w:rsidP="00591C2B">
            <w:pPr>
              <w:pStyle w:val="BodyText"/>
              <w:spacing w:before="0" w:after="0" w:line="240" w:lineRule="auto"/>
              <w:rPr>
                <w:rFonts w:cstheme="majorHAnsi"/>
                <w:sz w:val="18"/>
                <w:szCs w:val="18"/>
              </w:rPr>
            </w:pPr>
            <w:r>
              <w:rPr>
                <w:rFonts w:cstheme="majorHAnsi"/>
                <w:color w:val="131413"/>
                <w:sz w:val="18"/>
                <w:szCs w:val="18"/>
              </w:rPr>
              <w:t xml:space="preserve">FFDM: </w:t>
            </w:r>
            <w:r w:rsidRPr="007E3481">
              <w:rPr>
                <w:rFonts w:cstheme="majorHAnsi"/>
                <w:color w:val="131413"/>
                <w:sz w:val="18"/>
                <w:szCs w:val="18"/>
              </w:rPr>
              <w:t>33</w:t>
            </w:r>
            <w:r>
              <w:rPr>
                <w:rFonts w:cstheme="majorHAnsi"/>
                <w:color w:val="131413"/>
                <w:sz w:val="18"/>
                <w:szCs w:val="18"/>
              </w:rPr>
              <w:t xml:space="preserve"> sec / </w:t>
            </w:r>
            <w:r w:rsidRPr="007E3481">
              <w:rPr>
                <w:rFonts w:cstheme="majorHAnsi"/>
                <w:color w:val="131413"/>
                <w:sz w:val="18"/>
                <w:szCs w:val="18"/>
              </w:rPr>
              <w:t>21</w:t>
            </w:r>
            <w:r>
              <w:rPr>
                <w:rFonts w:cstheme="majorHAnsi"/>
                <w:color w:val="131413"/>
                <w:sz w:val="18"/>
                <w:szCs w:val="18"/>
              </w:rPr>
              <w:t xml:space="preserve"> sec</w:t>
            </w:r>
          </w:p>
          <w:p w14:paraId="4D9F53B2" w14:textId="444ACA21" w:rsidR="00591C2B" w:rsidRPr="007E3481" w:rsidRDefault="00176980" w:rsidP="00591C2B">
            <w:pPr>
              <w:pStyle w:val="BodyText"/>
              <w:spacing w:before="0" w:after="0" w:line="240" w:lineRule="auto"/>
              <w:rPr>
                <w:rFonts w:cstheme="majorHAnsi"/>
                <w:sz w:val="18"/>
                <w:szCs w:val="18"/>
              </w:rPr>
            </w:pPr>
            <w:r w:rsidRPr="00176980">
              <w:rPr>
                <w:rFonts w:cstheme="majorHAnsi"/>
                <w:i/>
                <w:iCs/>
                <w:sz w:val="18"/>
                <w:szCs w:val="18"/>
              </w:rPr>
              <w:t>p</w:t>
            </w:r>
            <w:r w:rsidR="00591C2B" w:rsidRPr="007E3481">
              <w:rPr>
                <w:rFonts w:cstheme="majorHAnsi"/>
                <w:sz w:val="18"/>
                <w:szCs w:val="18"/>
              </w:rPr>
              <w:t>&lt;.01</w:t>
            </w:r>
          </w:p>
        </w:tc>
        <w:tc>
          <w:tcPr>
            <w:tcW w:w="2256" w:type="dxa"/>
          </w:tcPr>
          <w:p w14:paraId="1B2BE00F" w14:textId="73CCA8A6" w:rsidR="00591C2B"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DBT+</w:t>
            </w:r>
            <w:r w:rsidR="00176980">
              <w:rPr>
                <w:rFonts w:cstheme="majorHAnsi"/>
                <w:color w:val="131413"/>
                <w:sz w:val="18"/>
                <w:szCs w:val="18"/>
              </w:rPr>
              <w:t>s2DM</w:t>
            </w:r>
            <w:r>
              <w:rPr>
                <w:rFonts w:cstheme="majorHAnsi"/>
                <w:color w:val="131413"/>
                <w:sz w:val="18"/>
                <w:szCs w:val="18"/>
              </w:rPr>
              <w:t xml:space="preserve">: </w:t>
            </w:r>
            <w:r w:rsidRPr="007E3481">
              <w:rPr>
                <w:rFonts w:cstheme="majorHAnsi"/>
                <w:color w:val="131413"/>
                <w:sz w:val="18"/>
                <w:szCs w:val="18"/>
              </w:rPr>
              <w:t>2</w:t>
            </w:r>
            <w:r>
              <w:rPr>
                <w:rFonts w:cstheme="majorHAnsi"/>
                <w:color w:val="131413"/>
                <w:sz w:val="18"/>
                <w:szCs w:val="18"/>
              </w:rPr>
              <w:t xml:space="preserve"> min </w:t>
            </w:r>
            <w:r w:rsidRPr="007E3481">
              <w:rPr>
                <w:rFonts w:cstheme="majorHAnsi"/>
                <w:color w:val="131413"/>
                <w:sz w:val="18"/>
                <w:szCs w:val="18"/>
              </w:rPr>
              <w:t>45</w:t>
            </w:r>
            <w:r>
              <w:rPr>
                <w:rFonts w:cstheme="majorHAnsi"/>
                <w:color w:val="131413"/>
                <w:sz w:val="18"/>
                <w:szCs w:val="18"/>
              </w:rPr>
              <w:t xml:space="preserve"> sec </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2</w:t>
            </w:r>
            <w:r>
              <w:rPr>
                <w:rFonts w:cstheme="majorHAnsi"/>
                <w:color w:val="131413"/>
                <w:sz w:val="18"/>
                <w:szCs w:val="18"/>
              </w:rPr>
              <w:t xml:space="preserve"> min </w:t>
            </w:r>
            <w:r w:rsidRPr="007E3481">
              <w:rPr>
                <w:rFonts w:cstheme="majorHAnsi"/>
                <w:color w:val="131413"/>
                <w:sz w:val="18"/>
                <w:szCs w:val="18"/>
              </w:rPr>
              <w:t>14</w:t>
            </w:r>
            <w:r>
              <w:rPr>
                <w:rFonts w:cstheme="majorHAnsi"/>
                <w:color w:val="131413"/>
                <w:sz w:val="18"/>
                <w:szCs w:val="18"/>
              </w:rPr>
              <w:t xml:space="preserve"> sec</w:t>
            </w:r>
          </w:p>
          <w:p w14:paraId="745AB5AB" w14:textId="41B24182" w:rsidR="00591C2B" w:rsidRPr="007E3481"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FFDM:</w:t>
            </w:r>
            <w:r w:rsidRPr="007E3481">
              <w:rPr>
                <w:rFonts w:cstheme="majorHAnsi"/>
                <w:color w:val="131413"/>
                <w:sz w:val="18"/>
                <w:szCs w:val="18"/>
              </w:rPr>
              <w:t xml:space="preserve"> 1</w:t>
            </w:r>
            <w:r>
              <w:rPr>
                <w:rFonts w:cstheme="majorHAnsi"/>
                <w:color w:val="131413"/>
                <w:sz w:val="18"/>
                <w:szCs w:val="18"/>
              </w:rPr>
              <w:t xml:space="preserve"> min </w:t>
            </w:r>
            <w:r w:rsidRPr="007E3481">
              <w:rPr>
                <w:rFonts w:cstheme="majorHAnsi"/>
                <w:color w:val="131413"/>
                <w:sz w:val="18"/>
                <w:szCs w:val="18"/>
              </w:rPr>
              <w:t>54</w:t>
            </w:r>
            <w:r>
              <w:rPr>
                <w:rFonts w:cstheme="majorHAnsi"/>
                <w:color w:val="131413"/>
                <w:sz w:val="18"/>
                <w:szCs w:val="18"/>
              </w:rPr>
              <w:t xml:space="preserve"> sec </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1</w:t>
            </w:r>
            <w:r>
              <w:rPr>
                <w:rFonts w:cstheme="majorHAnsi"/>
                <w:color w:val="131413"/>
                <w:sz w:val="18"/>
                <w:szCs w:val="18"/>
              </w:rPr>
              <w:t xml:space="preserve"> min </w:t>
            </w:r>
            <w:r w:rsidRPr="007E3481">
              <w:rPr>
                <w:rFonts w:cstheme="majorHAnsi"/>
                <w:color w:val="131413"/>
                <w:sz w:val="18"/>
                <w:szCs w:val="18"/>
              </w:rPr>
              <w:t>42</w:t>
            </w:r>
            <w:r>
              <w:rPr>
                <w:rFonts w:cstheme="majorHAnsi"/>
                <w:color w:val="131413"/>
                <w:sz w:val="18"/>
                <w:szCs w:val="18"/>
              </w:rPr>
              <w:t xml:space="preserve"> sec</w:t>
            </w:r>
          </w:p>
          <w:p w14:paraId="56F85170" w14:textId="0DA26B44" w:rsidR="00591C2B" w:rsidRPr="007E3481" w:rsidRDefault="00591C2B" w:rsidP="00591C2B">
            <w:pPr>
              <w:pStyle w:val="BodyText"/>
              <w:spacing w:before="0" w:after="0" w:line="240" w:lineRule="auto"/>
              <w:rPr>
                <w:rFonts w:cstheme="majorHAnsi"/>
                <w:sz w:val="18"/>
                <w:szCs w:val="18"/>
              </w:rPr>
            </w:pPr>
            <w:r>
              <w:rPr>
                <w:rFonts w:cstheme="majorHAnsi"/>
                <w:i/>
                <w:iCs/>
                <w:sz w:val="18"/>
                <w:szCs w:val="18"/>
              </w:rPr>
              <w:t>p</w:t>
            </w:r>
            <w:r w:rsidRPr="007E3481">
              <w:rPr>
                <w:rFonts w:cstheme="majorHAnsi"/>
                <w:sz w:val="18"/>
                <w:szCs w:val="18"/>
              </w:rPr>
              <w:t>&lt;.01</w:t>
            </w:r>
          </w:p>
        </w:tc>
        <w:tc>
          <w:tcPr>
            <w:tcW w:w="1874" w:type="dxa"/>
          </w:tcPr>
          <w:p w14:paraId="2549DD42" w14:textId="7139C7CC" w:rsidR="00591C2B" w:rsidRDefault="00591C2B" w:rsidP="00591C2B">
            <w:pPr>
              <w:pStyle w:val="BodyText"/>
              <w:spacing w:before="0" w:after="0" w:line="240" w:lineRule="auto"/>
              <w:rPr>
                <w:rFonts w:cstheme="majorHAnsi"/>
                <w:sz w:val="18"/>
                <w:szCs w:val="18"/>
              </w:rPr>
            </w:pPr>
            <w:r>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 xml:space="preserve">5.3 </w:t>
            </w:r>
          </w:p>
          <w:p w14:paraId="0F591A52" w14:textId="26853BF3" w:rsidR="00591C2B" w:rsidRPr="007E3481" w:rsidRDefault="00591C2B" w:rsidP="00591C2B">
            <w:pPr>
              <w:pStyle w:val="BodyText"/>
              <w:spacing w:before="0" w:after="0" w:line="240" w:lineRule="auto"/>
              <w:rPr>
                <w:rFonts w:cstheme="majorHAnsi"/>
                <w:sz w:val="18"/>
                <w:szCs w:val="18"/>
              </w:rPr>
            </w:pPr>
            <w:r>
              <w:rPr>
                <w:rFonts w:cstheme="majorHAnsi"/>
                <w:sz w:val="18"/>
                <w:szCs w:val="18"/>
              </w:rPr>
              <w:t xml:space="preserve">FFDM: </w:t>
            </w:r>
            <w:r w:rsidRPr="007E3481">
              <w:rPr>
                <w:rFonts w:cstheme="majorHAnsi"/>
                <w:sz w:val="18"/>
                <w:szCs w:val="18"/>
              </w:rPr>
              <w:t>5.7</w:t>
            </w:r>
          </w:p>
          <w:p w14:paraId="68536D17" w14:textId="4DD181B3" w:rsidR="00591C2B" w:rsidRPr="007E3481" w:rsidRDefault="00591C2B" w:rsidP="00591C2B">
            <w:pPr>
              <w:pStyle w:val="BodyText"/>
              <w:spacing w:before="0" w:after="0" w:line="240" w:lineRule="auto"/>
              <w:rPr>
                <w:rFonts w:cstheme="majorHAnsi"/>
                <w:sz w:val="18"/>
                <w:szCs w:val="18"/>
              </w:rPr>
            </w:pPr>
            <w:r w:rsidRPr="00591C2B">
              <w:rPr>
                <w:rFonts w:cstheme="majorHAnsi"/>
                <w:i/>
                <w:iCs/>
                <w:sz w:val="18"/>
                <w:szCs w:val="18"/>
              </w:rPr>
              <w:t>p</w:t>
            </w:r>
            <w:r w:rsidRPr="007E3481">
              <w:rPr>
                <w:rFonts w:cstheme="majorHAnsi"/>
                <w:sz w:val="18"/>
                <w:szCs w:val="18"/>
              </w:rPr>
              <w:t>=.67</w:t>
            </w:r>
          </w:p>
        </w:tc>
        <w:tc>
          <w:tcPr>
            <w:tcW w:w="1741" w:type="dxa"/>
          </w:tcPr>
          <w:p w14:paraId="1FB055E3" w14:textId="7876BCAB" w:rsidR="00591C2B" w:rsidRDefault="00591C2B" w:rsidP="00591C2B">
            <w:pPr>
              <w:pStyle w:val="BodyText"/>
              <w:spacing w:before="0" w:after="0" w:line="240" w:lineRule="auto"/>
              <w:rPr>
                <w:rFonts w:cstheme="majorHAnsi"/>
                <w:sz w:val="18"/>
                <w:szCs w:val="18"/>
              </w:rPr>
            </w:pPr>
            <w:r>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 xml:space="preserve">2.6 </w:t>
            </w:r>
          </w:p>
          <w:p w14:paraId="638CF920" w14:textId="33064DCA" w:rsidR="00591C2B" w:rsidRPr="007E3481" w:rsidRDefault="00591C2B" w:rsidP="00591C2B">
            <w:pPr>
              <w:pStyle w:val="BodyText"/>
              <w:spacing w:before="0" w:after="0" w:line="240" w:lineRule="auto"/>
              <w:rPr>
                <w:rFonts w:cstheme="majorHAnsi"/>
                <w:sz w:val="18"/>
                <w:szCs w:val="18"/>
              </w:rPr>
            </w:pPr>
            <w:r>
              <w:rPr>
                <w:rFonts w:cstheme="majorHAnsi"/>
                <w:sz w:val="18"/>
                <w:szCs w:val="18"/>
              </w:rPr>
              <w:t xml:space="preserve">FFDM: </w:t>
            </w:r>
            <w:r w:rsidRPr="007E3481">
              <w:rPr>
                <w:rFonts w:cstheme="majorHAnsi"/>
                <w:sz w:val="18"/>
                <w:szCs w:val="18"/>
              </w:rPr>
              <w:t>2.0</w:t>
            </w:r>
          </w:p>
          <w:p w14:paraId="323E1E70" w14:textId="33FE4739" w:rsidR="00591C2B" w:rsidRPr="007E3481" w:rsidRDefault="00591C2B" w:rsidP="00591C2B">
            <w:pPr>
              <w:pStyle w:val="BodyText"/>
              <w:spacing w:before="0" w:after="0" w:line="240" w:lineRule="auto"/>
              <w:rPr>
                <w:rFonts w:cstheme="majorHAnsi"/>
                <w:sz w:val="18"/>
                <w:szCs w:val="18"/>
              </w:rPr>
            </w:pPr>
            <w:r w:rsidRPr="00591C2B">
              <w:rPr>
                <w:rFonts w:cstheme="majorHAnsi"/>
                <w:i/>
                <w:iCs/>
                <w:sz w:val="18"/>
                <w:szCs w:val="18"/>
              </w:rPr>
              <w:t>p</w:t>
            </w:r>
            <w:r w:rsidRPr="007E3481">
              <w:rPr>
                <w:rFonts w:cstheme="majorHAnsi"/>
                <w:sz w:val="18"/>
                <w:szCs w:val="18"/>
              </w:rPr>
              <w:t>=.28</w:t>
            </w:r>
          </w:p>
        </w:tc>
      </w:tr>
      <w:tr w:rsidR="00591C2B" w:rsidRPr="007E3481" w14:paraId="07612185" w14:textId="77777777" w:rsidTr="00591C2B">
        <w:tc>
          <w:tcPr>
            <w:tcW w:w="1234" w:type="dxa"/>
          </w:tcPr>
          <w:p w14:paraId="087E1B84" w14:textId="77777777" w:rsidR="00591C2B" w:rsidRPr="007E3481" w:rsidRDefault="00591C2B" w:rsidP="00591C2B">
            <w:pPr>
              <w:pStyle w:val="BodyText"/>
              <w:spacing w:before="0" w:after="0" w:line="240" w:lineRule="auto"/>
              <w:rPr>
                <w:rFonts w:cstheme="majorHAnsi"/>
                <w:sz w:val="18"/>
                <w:szCs w:val="18"/>
              </w:rPr>
            </w:pPr>
            <w:r w:rsidRPr="007E3481">
              <w:rPr>
                <w:rFonts w:cstheme="majorHAnsi"/>
                <w:sz w:val="18"/>
                <w:szCs w:val="18"/>
              </w:rPr>
              <w:t>9-12 months</w:t>
            </w:r>
          </w:p>
        </w:tc>
        <w:tc>
          <w:tcPr>
            <w:tcW w:w="2305" w:type="dxa"/>
          </w:tcPr>
          <w:p w14:paraId="6E51D057" w14:textId="32074A98" w:rsidR="00591C2B"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DBT+</w:t>
            </w:r>
            <w:r w:rsidR="00176980">
              <w:rPr>
                <w:rFonts w:cstheme="majorHAnsi"/>
                <w:color w:val="131413"/>
                <w:sz w:val="18"/>
                <w:szCs w:val="18"/>
              </w:rPr>
              <w:t>s2DM</w:t>
            </w:r>
            <w:r>
              <w:rPr>
                <w:rFonts w:cstheme="majorHAnsi"/>
                <w:color w:val="131413"/>
                <w:sz w:val="18"/>
                <w:szCs w:val="18"/>
              </w:rPr>
              <w:t xml:space="preserve">: </w:t>
            </w:r>
            <w:r w:rsidRPr="007E3481">
              <w:rPr>
                <w:rFonts w:cstheme="majorHAnsi"/>
                <w:color w:val="131413"/>
                <w:sz w:val="18"/>
                <w:szCs w:val="18"/>
              </w:rPr>
              <w:t>1</w:t>
            </w:r>
            <w:r>
              <w:rPr>
                <w:rFonts w:cstheme="majorHAnsi"/>
                <w:color w:val="131413"/>
                <w:sz w:val="18"/>
                <w:szCs w:val="18"/>
              </w:rPr>
              <w:t xml:space="preserve"> min </w:t>
            </w:r>
            <w:r w:rsidRPr="007E3481">
              <w:rPr>
                <w:rFonts w:cstheme="majorHAnsi"/>
                <w:color w:val="131413"/>
                <w:sz w:val="18"/>
                <w:szCs w:val="18"/>
              </w:rPr>
              <w:t>11</w:t>
            </w:r>
            <w:r>
              <w:rPr>
                <w:rFonts w:cstheme="majorHAnsi"/>
                <w:color w:val="131413"/>
                <w:sz w:val="18"/>
                <w:szCs w:val="18"/>
              </w:rPr>
              <w:t xml:space="preserve"> sec</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 xml:space="preserve">54 </w:t>
            </w:r>
            <w:r>
              <w:rPr>
                <w:rFonts w:cstheme="majorHAnsi"/>
                <w:color w:val="131413"/>
                <w:sz w:val="18"/>
                <w:szCs w:val="18"/>
              </w:rPr>
              <w:t>sec</w:t>
            </w:r>
          </w:p>
          <w:p w14:paraId="68F252AB" w14:textId="634F7A52" w:rsidR="00591C2B" w:rsidRPr="007E3481"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 xml:space="preserve">FFDM: </w:t>
            </w:r>
            <w:r w:rsidRPr="007E3481">
              <w:rPr>
                <w:rFonts w:cstheme="majorHAnsi"/>
                <w:color w:val="131413"/>
                <w:sz w:val="18"/>
                <w:szCs w:val="18"/>
              </w:rPr>
              <w:t>45</w:t>
            </w:r>
            <w:r>
              <w:rPr>
                <w:rFonts w:cstheme="majorHAnsi"/>
                <w:color w:val="131413"/>
                <w:sz w:val="18"/>
                <w:szCs w:val="18"/>
              </w:rPr>
              <w:t xml:space="preserve"> sec</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27</w:t>
            </w:r>
            <w:r>
              <w:rPr>
                <w:rFonts w:cstheme="majorHAnsi"/>
                <w:color w:val="131413"/>
                <w:sz w:val="18"/>
                <w:szCs w:val="18"/>
              </w:rPr>
              <w:t xml:space="preserve"> sec</w:t>
            </w:r>
          </w:p>
          <w:p w14:paraId="335A6168" w14:textId="6FA82BC9" w:rsidR="00591C2B" w:rsidRPr="007E3481" w:rsidRDefault="00591C2B" w:rsidP="00591C2B">
            <w:pPr>
              <w:pStyle w:val="BodyText"/>
              <w:spacing w:before="0" w:after="0" w:line="240" w:lineRule="auto"/>
              <w:rPr>
                <w:rFonts w:cstheme="majorHAnsi"/>
                <w:sz w:val="18"/>
                <w:szCs w:val="18"/>
              </w:rPr>
            </w:pPr>
            <w:r w:rsidRPr="00176980">
              <w:rPr>
                <w:rFonts w:cstheme="majorHAnsi"/>
                <w:i/>
                <w:iCs/>
                <w:sz w:val="18"/>
                <w:szCs w:val="18"/>
              </w:rPr>
              <w:t>p</w:t>
            </w:r>
            <w:r w:rsidRPr="007E3481">
              <w:rPr>
                <w:rFonts w:cstheme="majorHAnsi"/>
                <w:sz w:val="18"/>
                <w:szCs w:val="18"/>
              </w:rPr>
              <w:t>&lt;.01</w:t>
            </w:r>
          </w:p>
        </w:tc>
        <w:tc>
          <w:tcPr>
            <w:tcW w:w="2256" w:type="dxa"/>
          </w:tcPr>
          <w:p w14:paraId="2C258925" w14:textId="1CE34EEC" w:rsidR="00591C2B"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DBT+</w:t>
            </w:r>
            <w:r w:rsidR="00176980">
              <w:rPr>
                <w:rFonts w:cstheme="majorHAnsi"/>
                <w:color w:val="131413"/>
                <w:sz w:val="18"/>
                <w:szCs w:val="18"/>
              </w:rPr>
              <w:t>s2DM</w:t>
            </w:r>
            <w:r>
              <w:rPr>
                <w:rFonts w:cstheme="majorHAnsi"/>
                <w:color w:val="131413"/>
                <w:sz w:val="18"/>
                <w:szCs w:val="18"/>
              </w:rPr>
              <w:t xml:space="preserve">: </w:t>
            </w:r>
            <w:r w:rsidRPr="007E3481">
              <w:rPr>
                <w:rFonts w:cstheme="majorHAnsi"/>
                <w:color w:val="131413"/>
                <w:sz w:val="18"/>
                <w:szCs w:val="18"/>
              </w:rPr>
              <w:t>3</w:t>
            </w:r>
            <w:r>
              <w:rPr>
                <w:rFonts w:cstheme="majorHAnsi"/>
                <w:color w:val="131413"/>
                <w:sz w:val="18"/>
                <w:szCs w:val="18"/>
              </w:rPr>
              <w:t xml:space="preserve"> min </w:t>
            </w:r>
            <w:r w:rsidRPr="007E3481">
              <w:rPr>
                <w:rFonts w:cstheme="majorHAnsi"/>
                <w:color w:val="131413"/>
                <w:sz w:val="18"/>
                <w:szCs w:val="18"/>
              </w:rPr>
              <w:t>06</w:t>
            </w:r>
            <w:r>
              <w:rPr>
                <w:rFonts w:cstheme="majorHAnsi"/>
                <w:color w:val="131413"/>
                <w:sz w:val="18"/>
                <w:szCs w:val="18"/>
              </w:rPr>
              <w:t xml:space="preserve"> sec </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2</w:t>
            </w:r>
            <w:r>
              <w:rPr>
                <w:rFonts w:cstheme="majorHAnsi"/>
                <w:color w:val="131413"/>
                <w:sz w:val="18"/>
                <w:szCs w:val="18"/>
              </w:rPr>
              <w:t xml:space="preserve"> min </w:t>
            </w:r>
            <w:r w:rsidRPr="007E3481">
              <w:rPr>
                <w:rFonts w:cstheme="majorHAnsi"/>
                <w:color w:val="131413"/>
                <w:sz w:val="18"/>
                <w:szCs w:val="18"/>
              </w:rPr>
              <w:t>39</w:t>
            </w:r>
            <w:r>
              <w:rPr>
                <w:rFonts w:cstheme="majorHAnsi"/>
                <w:color w:val="131413"/>
                <w:sz w:val="18"/>
                <w:szCs w:val="18"/>
              </w:rPr>
              <w:t xml:space="preserve"> sec</w:t>
            </w:r>
          </w:p>
          <w:p w14:paraId="2D57B337" w14:textId="190DBD4E" w:rsidR="00591C2B" w:rsidRPr="007E3481" w:rsidRDefault="00591C2B" w:rsidP="00591C2B">
            <w:pPr>
              <w:pStyle w:val="BodyText"/>
              <w:spacing w:before="0" w:after="0" w:line="240" w:lineRule="auto"/>
              <w:rPr>
                <w:rFonts w:cstheme="majorHAnsi"/>
                <w:color w:val="131413"/>
                <w:sz w:val="18"/>
                <w:szCs w:val="18"/>
              </w:rPr>
            </w:pPr>
            <w:r>
              <w:rPr>
                <w:rFonts w:cstheme="majorHAnsi"/>
                <w:color w:val="131413"/>
                <w:sz w:val="18"/>
                <w:szCs w:val="18"/>
              </w:rPr>
              <w:t xml:space="preserve">FFDM: </w:t>
            </w:r>
            <w:r w:rsidRPr="007E3481">
              <w:rPr>
                <w:rFonts w:cstheme="majorHAnsi"/>
                <w:color w:val="131413"/>
                <w:sz w:val="18"/>
                <w:szCs w:val="18"/>
              </w:rPr>
              <w:t>2</w:t>
            </w:r>
            <w:r>
              <w:rPr>
                <w:rFonts w:cstheme="majorHAnsi"/>
                <w:color w:val="131413"/>
                <w:sz w:val="18"/>
                <w:szCs w:val="18"/>
              </w:rPr>
              <w:t xml:space="preserve"> min </w:t>
            </w:r>
            <w:r w:rsidRPr="007E3481">
              <w:rPr>
                <w:rFonts w:cstheme="majorHAnsi"/>
                <w:color w:val="131413"/>
                <w:sz w:val="18"/>
                <w:szCs w:val="18"/>
              </w:rPr>
              <w:t>21</w:t>
            </w:r>
            <w:r>
              <w:rPr>
                <w:rFonts w:cstheme="majorHAnsi"/>
                <w:color w:val="131413"/>
                <w:sz w:val="18"/>
                <w:szCs w:val="18"/>
              </w:rPr>
              <w:t xml:space="preserve"> sec </w:t>
            </w:r>
            <w:r w:rsidRPr="007E3481">
              <w:rPr>
                <w:rFonts w:cstheme="majorHAnsi"/>
                <w:color w:val="131413"/>
                <w:sz w:val="18"/>
                <w:szCs w:val="18"/>
              </w:rPr>
              <w:t>/</w:t>
            </w:r>
            <w:r>
              <w:rPr>
                <w:rFonts w:cstheme="majorHAnsi"/>
                <w:color w:val="131413"/>
                <w:sz w:val="18"/>
                <w:szCs w:val="18"/>
              </w:rPr>
              <w:t xml:space="preserve"> </w:t>
            </w:r>
            <w:r w:rsidRPr="007E3481">
              <w:rPr>
                <w:rFonts w:cstheme="majorHAnsi"/>
                <w:color w:val="131413"/>
                <w:sz w:val="18"/>
                <w:szCs w:val="18"/>
              </w:rPr>
              <w:t>2</w:t>
            </w:r>
            <w:r>
              <w:rPr>
                <w:rFonts w:cstheme="majorHAnsi"/>
                <w:color w:val="131413"/>
                <w:sz w:val="18"/>
                <w:szCs w:val="18"/>
              </w:rPr>
              <w:t xml:space="preserve"> min </w:t>
            </w:r>
            <w:r w:rsidRPr="007E3481">
              <w:rPr>
                <w:rFonts w:cstheme="majorHAnsi"/>
                <w:color w:val="131413"/>
                <w:sz w:val="18"/>
                <w:szCs w:val="18"/>
              </w:rPr>
              <w:t>05</w:t>
            </w:r>
            <w:r>
              <w:rPr>
                <w:rFonts w:cstheme="majorHAnsi"/>
                <w:color w:val="131413"/>
                <w:sz w:val="18"/>
                <w:szCs w:val="18"/>
              </w:rPr>
              <w:t xml:space="preserve"> sec</w:t>
            </w:r>
          </w:p>
          <w:p w14:paraId="1883160E" w14:textId="72FD5A6D" w:rsidR="00591C2B" w:rsidRPr="007E3481" w:rsidRDefault="00591C2B" w:rsidP="00591C2B">
            <w:pPr>
              <w:pStyle w:val="BodyText"/>
              <w:spacing w:before="0" w:after="0" w:line="240" w:lineRule="auto"/>
              <w:rPr>
                <w:rFonts w:cstheme="majorHAnsi"/>
                <w:sz w:val="18"/>
                <w:szCs w:val="18"/>
              </w:rPr>
            </w:pPr>
            <w:r>
              <w:rPr>
                <w:rFonts w:cstheme="majorHAnsi"/>
                <w:i/>
                <w:iCs/>
                <w:sz w:val="18"/>
                <w:szCs w:val="18"/>
              </w:rPr>
              <w:t>p</w:t>
            </w:r>
            <w:r w:rsidRPr="007E3481">
              <w:rPr>
                <w:rFonts w:cstheme="majorHAnsi"/>
                <w:sz w:val="18"/>
                <w:szCs w:val="18"/>
              </w:rPr>
              <w:t>&lt;.01</w:t>
            </w:r>
          </w:p>
        </w:tc>
        <w:tc>
          <w:tcPr>
            <w:tcW w:w="1874" w:type="dxa"/>
          </w:tcPr>
          <w:p w14:paraId="4F01EBB4" w14:textId="505B8610" w:rsidR="00591C2B" w:rsidRDefault="00591C2B" w:rsidP="00591C2B">
            <w:pPr>
              <w:pStyle w:val="BodyText"/>
              <w:spacing w:before="0" w:after="0" w:line="240" w:lineRule="auto"/>
              <w:rPr>
                <w:rFonts w:cstheme="majorHAnsi"/>
                <w:sz w:val="18"/>
                <w:szCs w:val="18"/>
              </w:rPr>
            </w:pPr>
            <w:r>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 xml:space="preserve">6.8 </w:t>
            </w:r>
          </w:p>
          <w:p w14:paraId="77F1DF17" w14:textId="755A123A" w:rsidR="00591C2B" w:rsidRPr="007E3481" w:rsidRDefault="00591C2B" w:rsidP="00591C2B">
            <w:pPr>
              <w:pStyle w:val="BodyText"/>
              <w:spacing w:before="0" w:after="0" w:line="240" w:lineRule="auto"/>
              <w:rPr>
                <w:rFonts w:cstheme="majorHAnsi"/>
                <w:sz w:val="18"/>
                <w:szCs w:val="18"/>
              </w:rPr>
            </w:pPr>
            <w:r>
              <w:rPr>
                <w:rFonts w:cstheme="majorHAnsi"/>
                <w:sz w:val="18"/>
                <w:szCs w:val="18"/>
              </w:rPr>
              <w:t xml:space="preserve">FFDM: </w:t>
            </w:r>
            <w:r w:rsidRPr="007E3481">
              <w:rPr>
                <w:rFonts w:cstheme="majorHAnsi"/>
                <w:sz w:val="18"/>
                <w:szCs w:val="18"/>
              </w:rPr>
              <w:t>8.3</w:t>
            </w:r>
          </w:p>
          <w:p w14:paraId="1508648D" w14:textId="2AF9C02F" w:rsidR="00591C2B" w:rsidRPr="007E3481" w:rsidRDefault="00591C2B" w:rsidP="00591C2B">
            <w:pPr>
              <w:pStyle w:val="BodyText"/>
              <w:spacing w:before="0" w:after="0" w:line="240" w:lineRule="auto"/>
              <w:rPr>
                <w:rFonts w:cstheme="majorHAnsi"/>
                <w:sz w:val="18"/>
                <w:szCs w:val="18"/>
              </w:rPr>
            </w:pPr>
            <w:r>
              <w:rPr>
                <w:rFonts w:cstheme="majorHAnsi"/>
                <w:i/>
                <w:iCs/>
                <w:sz w:val="18"/>
                <w:szCs w:val="18"/>
              </w:rPr>
              <w:t>p</w:t>
            </w:r>
            <w:r w:rsidRPr="007E3481">
              <w:rPr>
                <w:rFonts w:cstheme="majorHAnsi"/>
                <w:sz w:val="18"/>
                <w:szCs w:val="18"/>
              </w:rPr>
              <w:t>=.03</w:t>
            </w:r>
          </w:p>
        </w:tc>
        <w:tc>
          <w:tcPr>
            <w:tcW w:w="1741" w:type="dxa"/>
          </w:tcPr>
          <w:p w14:paraId="7DF965CF" w14:textId="57D0E5F5" w:rsidR="00591C2B" w:rsidRDefault="00591C2B" w:rsidP="00591C2B">
            <w:pPr>
              <w:pStyle w:val="BodyText"/>
              <w:spacing w:before="0" w:after="0" w:line="240" w:lineRule="auto"/>
              <w:rPr>
                <w:rFonts w:cstheme="majorHAnsi"/>
                <w:sz w:val="18"/>
                <w:szCs w:val="18"/>
              </w:rPr>
            </w:pPr>
            <w:r>
              <w:rPr>
                <w:rFonts w:cstheme="majorHAnsi"/>
                <w:sz w:val="18"/>
                <w:szCs w:val="18"/>
              </w:rPr>
              <w:t>DBT+</w:t>
            </w:r>
            <w:r w:rsidR="00176980">
              <w:rPr>
                <w:rFonts w:cstheme="majorHAnsi"/>
                <w:sz w:val="18"/>
                <w:szCs w:val="18"/>
              </w:rPr>
              <w:t>s2DM</w:t>
            </w:r>
            <w:r>
              <w:rPr>
                <w:rFonts w:cstheme="majorHAnsi"/>
                <w:sz w:val="18"/>
                <w:szCs w:val="18"/>
              </w:rPr>
              <w:t xml:space="preserve">: </w:t>
            </w:r>
            <w:r w:rsidRPr="007E3481">
              <w:rPr>
                <w:rFonts w:cstheme="majorHAnsi"/>
                <w:sz w:val="18"/>
                <w:szCs w:val="18"/>
              </w:rPr>
              <w:t xml:space="preserve">3.1 </w:t>
            </w:r>
          </w:p>
          <w:p w14:paraId="7E063DF9" w14:textId="23E961CD" w:rsidR="00591C2B" w:rsidRPr="007E3481" w:rsidRDefault="00591C2B" w:rsidP="00591C2B">
            <w:pPr>
              <w:pStyle w:val="BodyText"/>
              <w:spacing w:before="0" w:after="0" w:line="240" w:lineRule="auto"/>
              <w:rPr>
                <w:rFonts w:cstheme="majorHAnsi"/>
                <w:sz w:val="18"/>
                <w:szCs w:val="18"/>
              </w:rPr>
            </w:pPr>
            <w:r>
              <w:rPr>
                <w:rFonts w:cstheme="majorHAnsi"/>
                <w:sz w:val="18"/>
                <w:szCs w:val="18"/>
              </w:rPr>
              <w:t xml:space="preserve">FFDM: </w:t>
            </w:r>
            <w:r w:rsidRPr="007E3481">
              <w:rPr>
                <w:rFonts w:cstheme="majorHAnsi"/>
                <w:sz w:val="18"/>
                <w:szCs w:val="18"/>
              </w:rPr>
              <w:t>4.4</w:t>
            </w:r>
          </w:p>
          <w:p w14:paraId="508487F8" w14:textId="4359365D" w:rsidR="00591C2B" w:rsidRPr="007E3481" w:rsidRDefault="00591C2B" w:rsidP="00591C2B">
            <w:pPr>
              <w:pStyle w:val="BodyText"/>
              <w:spacing w:before="0" w:after="0" w:line="240" w:lineRule="auto"/>
              <w:rPr>
                <w:rFonts w:cstheme="majorHAnsi"/>
                <w:sz w:val="18"/>
                <w:szCs w:val="18"/>
              </w:rPr>
            </w:pPr>
            <w:r w:rsidRPr="00591C2B">
              <w:rPr>
                <w:rFonts w:cstheme="majorHAnsi"/>
                <w:i/>
                <w:iCs/>
                <w:sz w:val="18"/>
                <w:szCs w:val="18"/>
              </w:rPr>
              <w:t>p</w:t>
            </w:r>
            <w:r w:rsidRPr="007E3481">
              <w:rPr>
                <w:rFonts w:cstheme="majorHAnsi"/>
                <w:sz w:val="18"/>
                <w:szCs w:val="18"/>
              </w:rPr>
              <w:t>&lt;.01</w:t>
            </w:r>
          </w:p>
        </w:tc>
      </w:tr>
    </w:tbl>
    <w:p w14:paraId="3471E6B1" w14:textId="77777777" w:rsidR="00DC18A2" w:rsidRPr="00630B87" w:rsidRDefault="00DC18A2" w:rsidP="00DC18A2">
      <w:pPr>
        <w:pStyle w:val="BodyText-GREEN"/>
        <w:rPr>
          <w:b/>
          <w:bCs/>
        </w:rPr>
      </w:pPr>
      <w:r w:rsidRPr="00630B87">
        <w:rPr>
          <w:b/>
          <w:bCs/>
        </w:rPr>
        <w:t>Prospective trials embedded in population screening programs</w:t>
      </w:r>
    </w:p>
    <w:p w14:paraId="10ABEE4B" w14:textId="715942A5" w:rsidR="00DC18A2" w:rsidRPr="00630B87" w:rsidRDefault="00DC18A2" w:rsidP="00DC18A2">
      <w:pPr>
        <w:pStyle w:val="BodyText"/>
      </w:pPr>
      <w:r w:rsidRPr="00630B87">
        <w:t>Data from the Verona pilot evaluation (Caumo et al., 2018) reported that 38.5 DBT+</w:t>
      </w:r>
      <w:r w:rsidR="00176980">
        <w:t>s2DM</w:t>
      </w:r>
      <w:r w:rsidRPr="00630B87">
        <w:t xml:space="preserve"> interpretations were completed on average per hour compared with 60 interpretations per hour for FFDM. In the Verona study, if one reader recorded a positive result, the result was considered positive as no arbitration was performed, which is of interest as the authors report a decrease in discordant referral recommendations for cancers from 28.2 percent with FFDM to 7.1 percent for DBT+</w:t>
      </w:r>
      <w:r w:rsidR="00176980">
        <w:t>s2DM</w:t>
      </w:r>
      <w:r w:rsidRPr="00630B87">
        <w:t xml:space="preserve"> (</w:t>
      </w:r>
      <w:r w:rsidRPr="00630B87">
        <w:rPr>
          <w:i/>
          <w:iCs/>
        </w:rPr>
        <w:t>p=</w:t>
      </w:r>
      <w:r w:rsidRPr="00630B87">
        <w:t>.0002). This sugges</w:t>
      </w:r>
      <w:r w:rsidR="0019576D">
        <w:t>ts</w:t>
      </w:r>
      <w:r w:rsidRPr="00630B87">
        <w:t xml:space="preserve"> significantly higher levels of agreement between readers of DBT+</w:t>
      </w:r>
      <w:r w:rsidR="00176980">
        <w:t>s2DM</w:t>
      </w:r>
      <w:r w:rsidRPr="00630B87">
        <w:t xml:space="preserve"> compared to FFDM alone. As with the majority of other studies DBT+</w:t>
      </w:r>
      <w:r w:rsidR="00176980">
        <w:t>s2DM</w:t>
      </w:r>
      <w:r w:rsidRPr="00630B87">
        <w:t xml:space="preserve"> in this study, despite requiring increased reader time, did deliver significantly better performance in cancer detection (CDR and PPV</w:t>
      </w:r>
      <w:r w:rsidRPr="00630B87">
        <w:rPr>
          <w:vertAlign w:val="subscript"/>
        </w:rPr>
        <w:t>1</w:t>
      </w:r>
      <w:r w:rsidRPr="00630B87">
        <w:t xml:space="preserve">) than FFDM. </w:t>
      </w:r>
    </w:p>
    <w:p w14:paraId="2EE16C7E" w14:textId="58C641A3" w:rsidR="00DC18A2" w:rsidRPr="00630B87" w:rsidRDefault="00DC18A2" w:rsidP="00DC18A2">
      <w:pPr>
        <w:pStyle w:val="BodyText"/>
      </w:pPr>
      <w:r w:rsidRPr="00630B87">
        <w:t>The Cordoba population based prospective trial (</w:t>
      </w:r>
      <w:r w:rsidRPr="00DC04A4">
        <w:t>Romero Mart</w:t>
      </w:r>
      <w:r w:rsidR="00176980" w:rsidRPr="00DC04A4">
        <w:t>í</w:t>
      </w:r>
      <w:r w:rsidRPr="00DC04A4">
        <w:t>n et</w:t>
      </w:r>
      <w:r w:rsidRPr="00630B87">
        <w:t xml:space="preserve"> al., 2018) determined a mean interpretation time of 25s for FFDM, 61s for DBT+</w:t>
      </w:r>
      <w:r w:rsidR="00176980">
        <w:t>s2DM</w:t>
      </w:r>
      <w:r w:rsidRPr="00630B87">
        <w:t xml:space="preserve"> and 67s for DBT+</w:t>
      </w:r>
      <w:r w:rsidR="00176980">
        <w:t>s2DM</w:t>
      </w:r>
      <w:r w:rsidRPr="00630B87">
        <w:t>+FFDM, an increase of 59</w:t>
      </w:r>
      <w:r w:rsidR="00630B87">
        <w:t xml:space="preserve"> percent</w:t>
      </w:r>
      <w:r w:rsidRPr="00630B87">
        <w:t xml:space="preserve"> and 62.7</w:t>
      </w:r>
      <w:r w:rsidR="00630B87">
        <w:t xml:space="preserve"> percent</w:t>
      </w:r>
      <w:r w:rsidRPr="00630B87">
        <w:t>, respectively. The authors proposed that while interpretation time was significantly longer for DBT than FFDM, the increased time is acceptable given the significant increase in cancer detection and decrease in recalls that the study recorded. They also supported the exploration of single reading DBT+</w:t>
      </w:r>
      <w:r w:rsidR="00176980">
        <w:t>s2DM</w:t>
      </w:r>
      <w:r w:rsidRPr="00630B87">
        <w:t xml:space="preserve"> as an alternative to double reading of 2D mammography. </w:t>
      </w:r>
    </w:p>
    <w:p w14:paraId="190BEEEC" w14:textId="085EB652" w:rsidR="00DC18A2" w:rsidRPr="00630B87" w:rsidRDefault="00DC18A2" w:rsidP="00DC18A2">
      <w:pPr>
        <w:pStyle w:val="BodyText"/>
      </w:pPr>
      <w:r w:rsidRPr="00630B87">
        <w:t>Results from the Maroondah pilot (Houssami et al., 2019) reported a mean reading time of 2 mins 10 sec for DBT+</w:t>
      </w:r>
      <w:r w:rsidR="00176980">
        <w:t>s2DM</w:t>
      </w:r>
      <w:r w:rsidRPr="00630B87">
        <w:t xml:space="preserve"> (IQR: 46</w:t>
      </w:r>
      <w:r w:rsidR="00630B87">
        <w:t xml:space="preserve"> sec - </w:t>
      </w:r>
      <w:r w:rsidRPr="00630B87">
        <w:t>1 min 45 sec) compared to 43 sec for FFDM (IQR: 10</w:t>
      </w:r>
      <w:r w:rsidR="00630B87">
        <w:t>-</w:t>
      </w:r>
      <w:r w:rsidRPr="00630B87">
        <w:t>29 sec). DBT+</w:t>
      </w:r>
      <w:r w:rsidR="00176980">
        <w:t>s2DM</w:t>
      </w:r>
      <w:r w:rsidRPr="00630B87">
        <w:t xml:space="preserve"> reading was about three times as long as for </w:t>
      </w:r>
      <w:r w:rsidR="00285D7E" w:rsidRPr="00630B87">
        <w:t>FFDM and</w:t>
      </w:r>
      <w:r w:rsidRPr="00630B87">
        <w:t xml:space="preserve"> was longer than reported by other authors. The authors concluded that it was feasible to implement DBT but the disadvantages of substantially longer screen reading times need to be considered when making decisions about larger trials of DBT or screening policy.</w:t>
      </w:r>
    </w:p>
    <w:p w14:paraId="79D9A2B5" w14:textId="77777777" w:rsidR="00DC18A2" w:rsidRPr="00630B87" w:rsidRDefault="00DC18A2" w:rsidP="00DC18A2">
      <w:pPr>
        <w:pStyle w:val="Heading3-NOTinTOC"/>
      </w:pPr>
      <w:r w:rsidRPr="00630B87">
        <w:t>FFDM alone compared to FFDM alone</w:t>
      </w:r>
    </w:p>
    <w:p w14:paraId="2D43E4D4" w14:textId="77777777" w:rsidR="00DC18A2" w:rsidRPr="00630B87" w:rsidRDefault="00DC18A2" w:rsidP="00DC18A2">
      <w:pPr>
        <w:pStyle w:val="BodyText-GREEN"/>
        <w:rPr>
          <w:b/>
          <w:bCs/>
        </w:rPr>
      </w:pPr>
      <w:r w:rsidRPr="00630B87">
        <w:rPr>
          <w:b/>
          <w:bCs/>
        </w:rPr>
        <w:t>RCT</w:t>
      </w:r>
    </w:p>
    <w:p w14:paraId="20AE6239" w14:textId="7B1BD8E3" w:rsidR="00DC18A2" w:rsidRPr="00630B87" w:rsidRDefault="00DC18A2" w:rsidP="00DC18A2">
      <w:pPr>
        <w:pStyle w:val="BodyText"/>
      </w:pPr>
      <w:r w:rsidRPr="00630B87">
        <w:t xml:space="preserve">The Reggio Emilia RCT (Pattacini et al., 2018) investigated the difference in reading and consensus time between DBT alone compared with FFDM alone. They reported  times for negative results with DBT as 56 sec (IQR: 43–77 sec), compared with 34 sec for FFDM alone (IQR: </w:t>
      </w:r>
      <w:r w:rsidRPr="00630B87">
        <w:lastRenderedPageBreak/>
        <w:t>23–51 sec) (</w:t>
      </w:r>
      <w:r w:rsidRPr="00630B87">
        <w:rPr>
          <w:i/>
          <w:iCs/>
        </w:rPr>
        <w:t>p=</w:t>
      </w:r>
      <w:r w:rsidRPr="00630B87">
        <w:t>.01). The authors claimed that the difference in reading time had almost disappeared for positive results, but they do not provide evidence to support this claim. Consensus time (referred to as time to for recall decision) was 1 min 54s (IQR, 1min 7 s – 2min 56s) for DBT alone compared with 1 min 44 sec (IQR, 1 min 10s –2 min 30 s) (</w:t>
      </w:r>
      <w:r w:rsidR="00630B87">
        <w:rPr>
          <w:i/>
          <w:iCs/>
        </w:rPr>
        <w:t>p</w:t>
      </w:r>
      <w:r w:rsidRPr="00630B87">
        <w:t xml:space="preserve">=.54) for FFDM. </w:t>
      </w:r>
    </w:p>
    <w:p w14:paraId="07C9C887" w14:textId="77777777" w:rsidR="00630B87" w:rsidRPr="00630B87" w:rsidRDefault="00630B87" w:rsidP="00630B87">
      <w:pPr>
        <w:pStyle w:val="NumberedHeading3"/>
      </w:pPr>
      <w:bookmarkStart w:id="487" w:name="_Toc27640055"/>
      <w:bookmarkStart w:id="488" w:name="_Toc27859698"/>
      <w:bookmarkStart w:id="489" w:name="_Toc27904815"/>
      <w:bookmarkStart w:id="490" w:name="_Toc43376366"/>
      <w:r>
        <w:t xml:space="preserve">The potential role of </w:t>
      </w:r>
      <w:r w:rsidRPr="00630B87">
        <w:t>CAD</w:t>
      </w:r>
      <w:bookmarkEnd w:id="487"/>
      <w:bookmarkEnd w:id="488"/>
      <w:bookmarkEnd w:id="489"/>
      <w:bookmarkEnd w:id="490"/>
      <w:r w:rsidRPr="00630B87">
        <w:t xml:space="preserve"> </w:t>
      </w:r>
    </w:p>
    <w:p w14:paraId="27CBFAA1" w14:textId="46091D2C" w:rsidR="00630B87" w:rsidRDefault="00630B87" w:rsidP="00630B87">
      <w:pPr>
        <w:pStyle w:val="BodyText"/>
      </w:pPr>
      <w:r>
        <w:t xml:space="preserve">In </w:t>
      </w:r>
      <w:r>
        <w:rPr>
          <w:i/>
          <w:iCs/>
        </w:rPr>
        <w:t>Allen + Clarke</w:t>
      </w:r>
      <w:r>
        <w:t xml:space="preserve">’s previous literature reviews, CAD was mentioned; </w:t>
      </w:r>
      <w:r w:rsidRPr="00630B87">
        <w:t>however</w:t>
      </w:r>
      <w:r>
        <w:t>,</w:t>
      </w:r>
      <w:r w:rsidRPr="00630B87">
        <w:t xml:space="preserve"> the information available in these studies was limited</w:t>
      </w:r>
      <w:r>
        <w:t xml:space="preserve"> (i.e., one study </w:t>
      </w:r>
      <w:r w:rsidRPr="00630B87">
        <w:t xml:space="preserve">used  CAD for the FFDM images </w:t>
      </w:r>
      <w:r>
        <w:t xml:space="preserve">as </w:t>
      </w:r>
      <w:r w:rsidRPr="00630B87">
        <w:t>CAD was not available for DBT</w:t>
      </w:r>
      <w:r>
        <w:t xml:space="preserve"> and the other noted its use but made no further comment). Since then, two studies have reported more information on the potential role that CAD could play in reducing interpretation time without affecting program performance.</w:t>
      </w:r>
    </w:p>
    <w:p w14:paraId="3DFEF4DB" w14:textId="77777777" w:rsidR="00630B87" w:rsidRPr="00630B87" w:rsidRDefault="00630B87" w:rsidP="00630B87">
      <w:pPr>
        <w:pStyle w:val="BodyText-GREEN"/>
        <w:rPr>
          <w:b/>
          <w:bCs/>
        </w:rPr>
      </w:pPr>
      <w:r w:rsidRPr="00630B87">
        <w:rPr>
          <w:b/>
          <w:bCs/>
        </w:rPr>
        <w:t>Prospective trials embedded in population screening programs</w:t>
      </w:r>
    </w:p>
    <w:p w14:paraId="790458B0" w14:textId="200FDF67" w:rsidR="00630B87" w:rsidRPr="00630B87" w:rsidRDefault="00630B87" w:rsidP="00630B87">
      <w:pPr>
        <w:pStyle w:val="BodyText"/>
      </w:pPr>
      <w:r w:rsidRPr="00630B87">
        <w:t xml:space="preserve">The OTS trial reported by Skaane et al. (2019) compared FFDM+CAD </w:t>
      </w:r>
      <w:r>
        <w:t>to</w:t>
      </w:r>
      <w:r w:rsidRPr="00630B87">
        <w:t xml:space="preserve"> FFDM alone. The authors note</w:t>
      </w:r>
      <w:r>
        <w:t>d</w:t>
      </w:r>
      <w:r w:rsidRPr="00630B87">
        <w:t xml:space="preserve"> that this study provides another ‘data point’ regarding the utility of CAD in breast screening, but that the estimated changes in both sensitivity and specificity were small and nonsignificant</w:t>
      </w:r>
      <w:r>
        <w:t xml:space="preserve"> and did not match the increases seen with other uses of DBT</w:t>
      </w:r>
      <w:r w:rsidRPr="00630B87">
        <w:t>. Results were in relation to sensitivity were</w:t>
      </w:r>
      <w:r w:rsidR="002F3343">
        <w:t xml:space="preserve"> </w:t>
      </w:r>
      <w:r>
        <w:t xml:space="preserve">FFDM: </w:t>
      </w:r>
      <w:r w:rsidRPr="00630B87">
        <w:t>54.1</w:t>
      </w:r>
      <w:r>
        <w:t xml:space="preserve"> percent</w:t>
      </w:r>
      <w:r w:rsidR="002F3343">
        <w:t xml:space="preserve"> and </w:t>
      </w:r>
      <w:r>
        <w:t xml:space="preserve">FFDM+CAD: </w:t>
      </w:r>
      <w:r w:rsidRPr="00630B87">
        <w:t>56.2</w:t>
      </w:r>
      <w:r>
        <w:t xml:space="preserve"> percent</w:t>
      </w:r>
      <w:r w:rsidR="002F3343">
        <w:t>.</w:t>
      </w:r>
      <w:r>
        <w:t xml:space="preserve"> Reported changes in s</w:t>
      </w:r>
      <w:r w:rsidRPr="00630B87">
        <w:t xml:space="preserve">pecificity </w:t>
      </w:r>
      <w:r>
        <w:t xml:space="preserve">were </w:t>
      </w:r>
      <w:r w:rsidRPr="00630B87">
        <w:t>94.2</w:t>
      </w:r>
      <w:r>
        <w:t xml:space="preserve"> percent for FFDM and 94</w:t>
      </w:r>
      <w:r w:rsidRPr="00630B87">
        <w:t>.2</w:t>
      </w:r>
      <w:r>
        <w:t xml:space="preserve"> percent for FFDM+CAD</w:t>
      </w:r>
      <w:r w:rsidRPr="00630B87">
        <w:t xml:space="preserve">. </w:t>
      </w:r>
    </w:p>
    <w:p w14:paraId="66B10277" w14:textId="2DAB4625" w:rsidR="00630B87" w:rsidRPr="00630B87" w:rsidRDefault="00630B87" w:rsidP="00630B87">
      <w:pPr>
        <w:pStyle w:val="BodyText-GREEN"/>
        <w:rPr>
          <w:b/>
          <w:bCs/>
        </w:rPr>
      </w:pPr>
      <w:r w:rsidRPr="00630B87">
        <w:rPr>
          <w:b/>
          <w:bCs/>
        </w:rPr>
        <w:t>Retrospective analysis</w:t>
      </w:r>
    </w:p>
    <w:p w14:paraId="4DA09FA3" w14:textId="77777777" w:rsidR="00630B87" w:rsidRDefault="00DC18A2" w:rsidP="00DC18A2">
      <w:pPr>
        <w:pStyle w:val="BodyText"/>
      </w:pPr>
      <w:r w:rsidRPr="00630B87">
        <w:t xml:space="preserve">A study by Chae et al. (2019) reviewed a cancer enriched sample of 100 DBT cases (70 with and 30 without breast cancers) to determine if the addition of CAD to DBT could reduce the average reading time of DBT alone compared with DBT+CAD. The study found that </w:t>
      </w:r>
      <w:r w:rsidR="00630B87">
        <w:t>DBT+CAD</w:t>
      </w:r>
      <w:r w:rsidRPr="00630B87">
        <w:t xml:space="preserve"> significantly reduce</w:t>
      </w:r>
      <w:r w:rsidR="00630B87">
        <w:t>d</w:t>
      </w:r>
      <w:r w:rsidRPr="00630B87">
        <w:t xml:space="preserve"> reading time without a loss of diagnostic performance in cancer detection</w:t>
      </w:r>
      <w:r w:rsidR="00630B87">
        <w:t>:</w:t>
      </w:r>
    </w:p>
    <w:p w14:paraId="15091F0A" w14:textId="77777777" w:rsidR="00630B87" w:rsidRDefault="00DC18A2" w:rsidP="00630B87">
      <w:pPr>
        <w:pStyle w:val="List-BulletLvl1"/>
      </w:pPr>
      <w:r w:rsidRPr="00630B87">
        <w:t>DBT+CAD: 1 min 2</w:t>
      </w:r>
      <w:r w:rsidR="00630B87">
        <w:t xml:space="preserve"> </w:t>
      </w:r>
      <w:r w:rsidRPr="00630B87">
        <w:t>s</w:t>
      </w:r>
      <w:r w:rsidR="00630B87">
        <w:t>ec</w:t>
      </w:r>
      <w:r w:rsidRPr="00630B87">
        <w:t xml:space="preserve"> (SD, 34.38 s</w:t>
      </w:r>
      <w:r w:rsidR="00630B87">
        <w:t>ec</w:t>
      </w:r>
      <w:r w:rsidRPr="00630B87">
        <w:t xml:space="preserve">) compared to </w:t>
      </w:r>
    </w:p>
    <w:p w14:paraId="6D4D9107" w14:textId="77777777" w:rsidR="00630B87" w:rsidRDefault="00DC18A2" w:rsidP="00630B87">
      <w:pPr>
        <w:pStyle w:val="List-BulletLvl1"/>
      </w:pPr>
      <w:r w:rsidRPr="00630B87">
        <w:t>DBT alone: 1 min 12</w:t>
      </w:r>
      <w:r w:rsidR="00630B87">
        <w:t xml:space="preserve"> </w:t>
      </w:r>
      <w:r w:rsidRPr="00630B87">
        <w:t>s</w:t>
      </w:r>
      <w:r w:rsidR="00630B87">
        <w:t>ec</w:t>
      </w:r>
      <w:r w:rsidRPr="00630B87">
        <w:t xml:space="preserve"> (SD, 37.54 s</w:t>
      </w:r>
      <w:r w:rsidR="00630B87">
        <w:t>ec</w:t>
      </w:r>
      <w:r w:rsidRPr="00630B87">
        <w:t>)  (</w:t>
      </w:r>
      <w:r w:rsidRPr="00630B87">
        <w:rPr>
          <w:i/>
          <w:iCs/>
        </w:rPr>
        <w:t>p</w:t>
      </w:r>
      <w:r w:rsidRPr="00630B87">
        <w:t xml:space="preserve">&lt;.001). </w:t>
      </w:r>
    </w:p>
    <w:p w14:paraId="55A404DD" w14:textId="3DD0F628" w:rsidR="00DC18A2" w:rsidRPr="00630B87" w:rsidRDefault="00DC18A2" w:rsidP="00630B87">
      <w:pPr>
        <w:pStyle w:val="BodyText"/>
      </w:pPr>
      <w:r w:rsidRPr="00630B87">
        <w:t>The average difference in reading time was a statistically significant decrease by 10.04 ± 1.85 s</w:t>
      </w:r>
      <w:r w:rsidR="00630B87">
        <w:t>ec</w:t>
      </w:r>
      <w:r w:rsidRPr="00630B87">
        <w:t xml:space="preserve"> (</w:t>
      </w:r>
      <w:r w:rsidRPr="00630B87">
        <w:rPr>
          <w:i/>
          <w:iCs/>
        </w:rPr>
        <w:t>p</w:t>
      </w:r>
      <w:r w:rsidRPr="00630B87">
        <w:t>&lt;.001) on using CAD, providing 14</w:t>
      </w:r>
      <w:r w:rsidR="00630B87">
        <w:t xml:space="preserve"> percent</w:t>
      </w:r>
      <w:r w:rsidRPr="00630B87">
        <w:t xml:space="preserve"> decrease in time. The effect of reducing the reading time was consistently shown by novice (</w:t>
      </w:r>
      <w:r w:rsidRPr="00630B87">
        <w:rPr>
          <w:i/>
          <w:iCs/>
        </w:rPr>
        <w:t>p</w:t>
      </w:r>
      <w:r w:rsidRPr="00630B87">
        <w:t>=.007) and experienced readers (</w:t>
      </w:r>
      <w:r w:rsidRPr="00630B87">
        <w:rPr>
          <w:i/>
          <w:iCs/>
        </w:rPr>
        <w:t>p</w:t>
      </w:r>
      <w:r w:rsidRPr="00630B87">
        <w:t xml:space="preserve">&lt;.001). </w:t>
      </w:r>
    </w:p>
    <w:p w14:paraId="076ADF57" w14:textId="58777DA4" w:rsidR="00630B87" w:rsidRDefault="00630B87" w:rsidP="00630B87">
      <w:pPr>
        <w:pStyle w:val="Caption"/>
      </w:pPr>
      <w:r>
        <w:t xml:space="preserve">Table </w:t>
      </w:r>
      <w:r w:rsidR="00BC52D9">
        <w:t>23</w:t>
      </w:r>
      <w:r>
        <w:t>: Interpretation time</w:t>
      </w:r>
    </w:p>
    <w:tbl>
      <w:tblPr>
        <w:tblStyle w:val="ACGreen-BasicTable"/>
        <w:tblW w:w="0" w:type="auto"/>
        <w:tblLook w:val="04A0" w:firstRow="1" w:lastRow="0" w:firstColumn="1" w:lastColumn="0" w:noHBand="0" w:noVBand="1"/>
        <w:tblDescription w:val="Table 23, Interpretation times includes the following studies:&#10;For the DBT+s2DM compared to FFDM alone the following studies for RCT were:&#10;A study by Aase et.al (2019) To-BE-1 (sub-study) was:&#10;DBT+s2DM (time in min/sec) was Initial read: 1 min 11 sec, &#10;Consensus: 3 min 12 sec, &#10;Consensus rate = 6.4%.&#10;For FFDM+DBT (time in min/sec) was &#10;Initial read: 41 sec  (p&lt;.01).&#10;Consensus: 2 min 12 sec (p&lt;.01),&#10;Consensus rate = 7.4%, (p=.03).&#10;For FFDM alone (time in min/sec) was NA.&#10;For CAD (time in min/sec) was NA.&#10;&#10;A study by Hofvind et al. (2019) To-Be-1 (main analysis) the DBT+s2DM&#10;(time in min/sec) was Initial read: 39 (IQR 13–44) (p&lt;.0001).&#10;Individual range: 13 sec to 3 min 2 sec,&#10;Consensus: 2 min 4 sec (IQR 1 min 11 sec), (p&lt;.0001)&#10;Consensus rate 7.4%, (p=.0004).&#10;The FFDM alone (time in min/sec) was NA.&#10;The CAD (time in min/sec) was NA.&#10;&#10;A study by Moger et al. (2019) To-Be-1 Trial, (sub-study), the DBT+s2DM (time in min/sec) was Initial read: 2 min 12 sec, &#10;Consensus: 2 min 50 sec,&#10;Consensus rate: 6.6%.&#10;The FFDM+DBT (time in min/sec) was Initial read: 1 min 19 sec (SD 94) (p&lt;.001)&#10;Consensus: 2 min 4 sec (SD 2 min 4) (p&lt;.001),&#10;Consensus rate: 7.6% (p=.001).&#10;The FFDM alone (time in min/sec) was NA.&#10;The CAD (time in min/sec) was NA.&#10;&#10;For Prospective studies embedd in a population-based screening program included the following studies:&#10;A study by Houssami et al. (2019), Maroondah the DBT+s2DM (time in min/sec) was Initial read: 130 sec (median: 1 min 7 sec (IQR) 46–105).&#10;The FFDM+DBT (time in min/sec) was Initial read: 43 sec (median: 16 sec (IQR, 10–29).&#10;The FFDM alone (time in min/sec) was NA.&#10;The CAD (time in min/sec) was NA.&#10;&#10;A study by Caumo et.al. (2018) Verona, the DBT+s2DM (time in min/sec) was 38.5 interpretations per hour.&#10;The FFDM+DBT (time in min/sec) was 60 interpretations per hour.&#10;The FFDM alone (time in min/sec) was NA.&#10;The CAD (time in min/sec) was NA.&#10;&#10;A study by Romero Mart et al. (2018) Cordoba, the DBT+s2DM (time in min/sec) was Initial read: 61 sec.&#10;The FFDM+DBT (time in min/sec) was Initial read: 25 sec.&#10;The FFDM alone (time in min/sec) was NA.&#10;The CAD (time in min/sec) was NA.&#10;&#10;For FFDM+DBT compared to FFDM alone, the RCT included a study by Pattacini et al. (2018) Reggio Emilia, the DBT+s2DM (time in min/sec) was NA.&#10;The FFDM+DBT (time in min/sec) was -ve results: 56 sec (IQR, 43–77),&#10;Consensus: 114 sec (IQR, 67–176).&#10;The FFDM alone (time in min/sec) was -ve results: 34 sec (IQR, 23–51) (p=.01);&#10;Consensus: 104 (IQR, 70–150) (p=.54).&#10;The CAD (time in min/sec) was NA.&#10;&#10;For CAD, retrospective analysis, a study by Chae et al. (2019), the BT+s2DM (time in min/sec) was NA.&#10;The FFDM+DBT (time in min/sec) was NA.&#10;The FFDM alone (time in min/sec) was DBT alone: 1 min 2 sec (SD 34.38 sec) (p&lt;.001).&#10;The CAD (time in min/sec) was 1min 12 sec (SD, 37.54 sec).&#10;"/>
      </w:tblPr>
      <w:tblGrid>
        <w:gridCol w:w="1149"/>
        <w:gridCol w:w="1968"/>
        <w:gridCol w:w="1969"/>
        <w:gridCol w:w="1966"/>
        <w:gridCol w:w="1964"/>
      </w:tblGrid>
      <w:tr w:rsidR="00630B87" w:rsidRPr="006E02AA" w14:paraId="1616D856" w14:textId="77777777" w:rsidTr="00630B87">
        <w:trPr>
          <w:cnfStyle w:val="100000000000" w:firstRow="1" w:lastRow="0" w:firstColumn="0" w:lastColumn="0" w:oddVBand="0" w:evenVBand="0" w:oddHBand="0" w:evenHBand="0" w:firstRowFirstColumn="0" w:firstRowLastColumn="0" w:lastRowFirstColumn="0" w:lastRowLastColumn="0"/>
        </w:trPr>
        <w:tc>
          <w:tcPr>
            <w:tcW w:w="1151" w:type="dxa"/>
          </w:tcPr>
          <w:p w14:paraId="0B5B1567" w14:textId="77777777" w:rsidR="00630B87" w:rsidRPr="006E02AA" w:rsidRDefault="00630B87" w:rsidP="00630B87">
            <w:pPr>
              <w:jc w:val="center"/>
              <w:rPr>
                <w:sz w:val="18"/>
                <w:szCs w:val="18"/>
              </w:rPr>
            </w:pPr>
            <w:r w:rsidRPr="006E02AA">
              <w:rPr>
                <w:sz w:val="18"/>
                <w:szCs w:val="18"/>
              </w:rPr>
              <w:t>Study</w:t>
            </w:r>
          </w:p>
        </w:tc>
        <w:tc>
          <w:tcPr>
            <w:tcW w:w="1977" w:type="dxa"/>
          </w:tcPr>
          <w:p w14:paraId="4050D37B" w14:textId="1AC7F18E" w:rsidR="00630B87" w:rsidRPr="006E02AA" w:rsidRDefault="00630B87" w:rsidP="00630B87">
            <w:pPr>
              <w:jc w:val="center"/>
              <w:rPr>
                <w:b w:val="0"/>
                <w:sz w:val="18"/>
                <w:szCs w:val="18"/>
              </w:rPr>
            </w:pPr>
            <w:r w:rsidRPr="006E02AA">
              <w:rPr>
                <w:sz w:val="18"/>
                <w:szCs w:val="18"/>
              </w:rPr>
              <w:t>DBT+</w:t>
            </w:r>
            <w:r w:rsidR="00176980">
              <w:rPr>
                <w:sz w:val="18"/>
                <w:szCs w:val="18"/>
              </w:rPr>
              <w:t>s2DM</w:t>
            </w:r>
          </w:p>
          <w:p w14:paraId="77CDDEF6" w14:textId="0B764888" w:rsidR="00630B87" w:rsidRPr="006E02AA" w:rsidRDefault="00630B87" w:rsidP="00630B87">
            <w:pPr>
              <w:jc w:val="center"/>
              <w:rPr>
                <w:b w:val="0"/>
                <w:bCs/>
                <w:sz w:val="16"/>
                <w:szCs w:val="16"/>
              </w:rPr>
            </w:pPr>
            <w:r w:rsidRPr="006E02AA">
              <w:rPr>
                <w:b w:val="0"/>
                <w:bCs/>
                <w:sz w:val="16"/>
                <w:szCs w:val="16"/>
              </w:rPr>
              <w:t>(</w:t>
            </w:r>
            <w:r>
              <w:rPr>
                <w:b w:val="0"/>
                <w:bCs/>
                <w:sz w:val="16"/>
                <w:szCs w:val="16"/>
              </w:rPr>
              <w:t>time in min/sec)</w:t>
            </w:r>
          </w:p>
        </w:tc>
        <w:tc>
          <w:tcPr>
            <w:tcW w:w="1978" w:type="dxa"/>
          </w:tcPr>
          <w:p w14:paraId="2FEF75EF" w14:textId="77777777" w:rsidR="00630B87" w:rsidRPr="006E02AA" w:rsidRDefault="00630B87" w:rsidP="00630B87">
            <w:pPr>
              <w:jc w:val="center"/>
              <w:rPr>
                <w:b w:val="0"/>
                <w:sz w:val="18"/>
                <w:szCs w:val="18"/>
              </w:rPr>
            </w:pPr>
            <w:r w:rsidRPr="006E02AA">
              <w:rPr>
                <w:sz w:val="18"/>
                <w:szCs w:val="18"/>
              </w:rPr>
              <w:t>FFDM+DBT</w:t>
            </w:r>
          </w:p>
          <w:p w14:paraId="108C2154" w14:textId="47FC4F08" w:rsidR="00630B87" w:rsidRPr="006E02AA" w:rsidRDefault="00630B87" w:rsidP="00630B87">
            <w:pPr>
              <w:jc w:val="center"/>
              <w:rPr>
                <w:sz w:val="18"/>
                <w:szCs w:val="18"/>
              </w:rPr>
            </w:pPr>
            <w:r w:rsidRPr="006E02AA">
              <w:rPr>
                <w:b w:val="0"/>
                <w:bCs/>
                <w:sz w:val="16"/>
                <w:szCs w:val="16"/>
              </w:rPr>
              <w:t>(</w:t>
            </w:r>
            <w:r>
              <w:rPr>
                <w:b w:val="0"/>
                <w:bCs/>
                <w:sz w:val="16"/>
                <w:szCs w:val="16"/>
              </w:rPr>
              <w:t>time in min/sec)</w:t>
            </w:r>
          </w:p>
        </w:tc>
        <w:tc>
          <w:tcPr>
            <w:tcW w:w="1977" w:type="dxa"/>
          </w:tcPr>
          <w:p w14:paraId="6AE73C46" w14:textId="77777777" w:rsidR="00630B87" w:rsidRPr="006E02AA" w:rsidRDefault="00630B87" w:rsidP="00630B87">
            <w:pPr>
              <w:jc w:val="center"/>
              <w:rPr>
                <w:b w:val="0"/>
                <w:sz w:val="18"/>
                <w:szCs w:val="18"/>
              </w:rPr>
            </w:pPr>
            <w:r w:rsidRPr="006E02AA">
              <w:rPr>
                <w:sz w:val="18"/>
                <w:szCs w:val="18"/>
              </w:rPr>
              <w:t>FFDM alone</w:t>
            </w:r>
          </w:p>
          <w:p w14:paraId="44004270" w14:textId="4036E28B" w:rsidR="00630B87" w:rsidRPr="006E02AA" w:rsidRDefault="00630B87" w:rsidP="00630B87">
            <w:pPr>
              <w:jc w:val="center"/>
              <w:rPr>
                <w:sz w:val="18"/>
                <w:szCs w:val="18"/>
              </w:rPr>
            </w:pPr>
            <w:r w:rsidRPr="006E02AA">
              <w:rPr>
                <w:b w:val="0"/>
                <w:bCs/>
                <w:sz w:val="16"/>
                <w:szCs w:val="16"/>
              </w:rPr>
              <w:t>(</w:t>
            </w:r>
            <w:r>
              <w:rPr>
                <w:b w:val="0"/>
                <w:bCs/>
                <w:sz w:val="16"/>
                <w:szCs w:val="16"/>
              </w:rPr>
              <w:t>time in min/sec)</w:t>
            </w:r>
          </w:p>
        </w:tc>
        <w:tc>
          <w:tcPr>
            <w:tcW w:w="1978" w:type="dxa"/>
          </w:tcPr>
          <w:p w14:paraId="5F16431B" w14:textId="1DB04D77" w:rsidR="00630B87" w:rsidRPr="006E02AA" w:rsidRDefault="00AF6DF3" w:rsidP="00630B87">
            <w:pPr>
              <w:jc w:val="center"/>
              <w:rPr>
                <w:b w:val="0"/>
                <w:sz w:val="18"/>
                <w:szCs w:val="18"/>
                <w:vertAlign w:val="subscript"/>
              </w:rPr>
            </w:pPr>
            <w:r>
              <w:rPr>
                <w:sz w:val="18"/>
                <w:szCs w:val="18"/>
              </w:rPr>
              <w:t>CAD</w:t>
            </w:r>
          </w:p>
          <w:p w14:paraId="7E6C26BB" w14:textId="39852371" w:rsidR="00630B87" w:rsidRPr="00630B87" w:rsidRDefault="00630B87" w:rsidP="00630B87">
            <w:pPr>
              <w:jc w:val="center"/>
              <w:rPr>
                <w:b w:val="0"/>
                <w:sz w:val="18"/>
                <w:szCs w:val="18"/>
                <w:vertAlign w:val="subscript"/>
              </w:rPr>
            </w:pPr>
            <w:r w:rsidRPr="006E02AA">
              <w:rPr>
                <w:b w:val="0"/>
                <w:bCs/>
                <w:sz w:val="16"/>
                <w:szCs w:val="16"/>
              </w:rPr>
              <w:t>(</w:t>
            </w:r>
            <w:r>
              <w:rPr>
                <w:b w:val="0"/>
                <w:bCs/>
                <w:sz w:val="16"/>
                <w:szCs w:val="16"/>
              </w:rPr>
              <w:t>time in min/sec)</w:t>
            </w:r>
          </w:p>
        </w:tc>
      </w:tr>
      <w:tr w:rsidR="00630B87" w:rsidRPr="006E02AA" w14:paraId="1CE5FD1B" w14:textId="77777777" w:rsidTr="00630B87">
        <w:tc>
          <w:tcPr>
            <w:tcW w:w="9061" w:type="dxa"/>
            <w:gridSpan w:val="5"/>
            <w:shd w:val="clear" w:color="auto" w:fill="E7FFBD" w:themeFill="background2" w:themeFillTint="33"/>
          </w:tcPr>
          <w:p w14:paraId="05760D39" w14:textId="77641F05" w:rsidR="00630B87" w:rsidRPr="006E02AA" w:rsidRDefault="00630B87" w:rsidP="00630B87">
            <w:pPr>
              <w:jc w:val="center"/>
              <w:rPr>
                <w:sz w:val="18"/>
                <w:szCs w:val="18"/>
              </w:rPr>
            </w:pPr>
            <w:r w:rsidRPr="006E02AA">
              <w:rPr>
                <w:sz w:val="18"/>
                <w:szCs w:val="18"/>
              </w:rPr>
              <w:t>DBT+</w:t>
            </w:r>
            <w:r w:rsidR="00176980">
              <w:rPr>
                <w:sz w:val="18"/>
                <w:szCs w:val="18"/>
              </w:rPr>
              <w:t>s2DM</w:t>
            </w:r>
            <w:r w:rsidRPr="006E02AA">
              <w:rPr>
                <w:sz w:val="18"/>
                <w:szCs w:val="18"/>
              </w:rPr>
              <w:t xml:space="preserve"> compared to FFDM alone</w:t>
            </w:r>
          </w:p>
        </w:tc>
      </w:tr>
      <w:tr w:rsidR="00630B87" w:rsidRPr="006E02AA" w14:paraId="2CAD0124" w14:textId="77777777" w:rsidTr="00630B87">
        <w:tc>
          <w:tcPr>
            <w:tcW w:w="9061" w:type="dxa"/>
            <w:gridSpan w:val="5"/>
          </w:tcPr>
          <w:p w14:paraId="3E2BAD88" w14:textId="77777777" w:rsidR="00630B87" w:rsidRPr="006E02AA" w:rsidRDefault="00630B87" w:rsidP="00630B87">
            <w:pPr>
              <w:rPr>
                <w:b/>
                <w:bCs/>
                <w:sz w:val="18"/>
                <w:szCs w:val="18"/>
              </w:rPr>
            </w:pPr>
            <w:r w:rsidRPr="006E02AA">
              <w:rPr>
                <w:b/>
                <w:bCs/>
                <w:sz w:val="18"/>
                <w:szCs w:val="18"/>
              </w:rPr>
              <w:t>RCT</w:t>
            </w:r>
          </w:p>
        </w:tc>
      </w:tr>
      <w:tr w:rsidR="00630B87" w:rsidRPr="006E02AA" w14:paraId="1A964C9F" w14:textId="77777777" w:rsidTr="00630B87">
        <w:trPr>
          <w:tblHeader/>
        </w:trPr>
        <w:tc>
          <w:tcPr>
            <w:tcW w:w="1151" w:type="dxa"/>
            <w:shd w:val="clear" w:color="auto" w:fill="FFFFFF" w:themeFill="background1"/>
          </w:tcPr>
          <w:p w14:paraId="64AF4ED2" w14:textId="3D43AC9F" w:rsidR="00630B87" w:rsidRDefault="00630B87" w:rsidP="00630B87">
            <w:pPr>
              <w:pStyle w:val="BodyText"/>
              <w:spacing w:before="0" w:after="0" w:line="240" w:lineRule="auto"/>
              <w:jc w:val="left"/>
              <w:rPr>
                <w:rFonts w:cstheme="majorHAnsi"/>
                <w:bCs/>
                <w:sz w:val="18"/>
                <w:szCs w:val="18"/>
              </w:rPr>
            </w:pPr>
            <w:r w:rsidRPr="00726018">
              <w:rPr>
                <w:rFonts w:cstheme="majorHAnsi"/>
                <w:bCs/>
                <w:sz w:val="18"/>
                <w:szCs w:val="18"/>
              </w:rPr>
              <w:t>Aase et al</w:t>
            </w:r>
            <w:r>
              <w:rPr>
                <w:rFonts w:cstheme="majorHAnsi"/>
                <w:bCs/>
                <w:sz w:val="18"/>
                <w:szCs w:val="18"/>
              </w:rPr>
              <w:t>.</w:t>
            </w:r>
            <w:r w:rsidRPr="00726018">
              <w:rPr>
                <w:rFonts w:cstheme="majorHAnsi"/>
                <w:bCs/>
                <w:sz w:val="18"/>
                <w:szCs w:val="18"/>
              </w:rPr>
              <w:t xml:space="preserve"> (2019) </w:t>
            </w:r>
          </w:p>
          <w:p w14:paraId="5A8108FA" w14:textId="77777777" w:rsidR="00630B87" w:rsidRDefault="00630B87" w:rsidP="00630B87">
            <w:pPr>
              <w:pStyle w:val="BodyText"/>
              <w:spacing w:before="0" w:after="0" w:line="240" w:lineRule="auto"/>
              <w:jc w:val="left"/>
              <w:rPr>
                <w:rFonts w:cstheme="majorHAnsi"/>
                <w:bCs/>
                <w:sz w:val="18"/>
                <w:szCs w:val="18"/>
              </w:rPr>
            </w:pPr>
            <w:r>
              <w:rPr>
                <w:rFonts w:cstheme="majorHAnsi"/>
                <w:bCs/>
                <w:sz w:val="18"/>
                <w:szCs w:val="18"/>
              </w:rPr>
              <w:t>To-Be-1</w:t>
            </w:r>
            <w:r w:rsidRPr="00726018">
              <w:rPr>
                <w:rFonts w:cstheme="majorHAnsi"/>
                <w:bCs/>
                <w:sz w:val="18"/>
                <w:szCs w:val="18"/>
              </w:rPr>
              <w:t xml:space="preserve"> </w:t>
            </w:r>
          </w:p>
          <w:p w14:paraId="73C58CCD" w14:textId="4381C6F4" w:rsidR="000C5381" w:rsidRPr="00630B87" w:rsidRDefault="000C5381" w:rsidP="00630B87">
            <w:pPr>
              <w:pStyle w:val="BodyText"/>
              <w:spacing w:before="0" w:after="0" w:line="240" w:lineRule="auto"/>
              <w:jc w:val="left"/>
              <w:rPr>
                <w:rFonts w:cstheme="majorHAnsi"/>
                <w:bCs/>
                <w:sz w:val="18"/>
                <w:szCs w:val="18"/>
              </w:rPr>
            </w:pPr>
            <w:r>
              <w:rPr>
                <w:rFonts w:cstheme="majorHAnsi"/>
                <w:bCs/>
                <w:sz w:val="18"/>
                <w:szCs w:val="18"/>
              </w:rPr>
              <w:t>(sub-study)</w:t>
            </w:r>
          </w:p>
        </w:tc>
        <w:tc>
          <w:tcPr>
            <w:tcW w:w="1977" w:type="dxa"/>
            <w:shd w:val="clear" w:color="auto" w:fill="FFFFFF" w:themeFill="background1"/>
          </w:tcPr>
          <w:p w14:paraId="194627C0" w14:textId="066A9873"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Initial</w:t>
            </w:r>
            <w:r>
              <w:rPr>
                <w:rFonts w:cstheme="majorHAnsi"/>
                <w:bCs/>
                <w:sz w:val="18"/>
                <w:szCs w:val="18"/>
              </w:rPr>
              <w:t xml:space="preserve"> read:</w:t>
            </w:r>
            <w:r w:rsidRPr="009A782D">
              <w:rPr>
                <w:rFonts w:cstheme="majorHAnsi"/>
                <w:bCs/>
                <w:sz w:val="18"/>
                <w:szCs w:val="18"/>
              </w:rPr>
              <w:t xml:space="preserve"> 1 min 11</w:t>
            </w:r>
            <w:r>
              <w:rPr>
                <w:rFonts w:cstheme="majorHAnsi"/>
                <w:bCs/>
                <w:sz w:val="18"/>
                <w:szCs w:val="18"/>
              </w:rPr>
              <w:t xml:space="preserve"> </w:t>
            </w:r>
            <w:r w:rsidRPr="009A782D">
              <w:rPr>
                <w:rFonts w:cstheme="majorHAnsi"/>
                <w:bCs/>
                <w:sz w:val="18"/>
                <w:szCs w:val="18"/>
              </w:rPr>
              <w:t>s</w:t>
            </w:r>
            <w:r>
              <w:rPr>
                <w:rFonts w:cstheme="majorHAnsi"/>
                <w:bCs/>
                <w:sz w:val="18"/>
                <w:szCs w:val="18"/>
              </w:rPr>
              <w:t>ec</w:t>
            </w:r>
          </w:p>
          <w:p w14:paraId="336FBDDA" w14:textId="3AF3EE82"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Consensus</w:t>
            </w:r>
            <w:r>
              <w:rPr>
                <w:rFonts w:cstheme="majorHAnsi"/>
                <w:bCs/>
                <w:sz w:val="18"/>
                <w:szCs w:val="18"/>
              </w:rPr>
              <w:t xml:space="preserve">: </w:t>
            </w:r>
            <w:r w:rsidRPr="009A782D">
              <w:rPr>
                <w:rFonts w:cstheme="majorHAnsi"/>
                <w:bCs/>
                <w:sz w:val="18"/>
                <w:szCs w:val="18"/>
              </w:rPr>
              <w:t>3 min 12 s</w:t>
            </w:r>
            <w:r>
              <w:rPr>
                <w:rFonts w:cstheme="majorHAnsi"/>
                <w:bCs/>
                <w:sz w:val="18"/>
                <w:szCs w:val="18"/>
              </w:rPr>
              <w:t>ec</w:t>
            </w:r>
          </w:p>
          <w:p w14:paraId="7CB797F8" w14:textId="60D32A83" w:rsidR="00630B87" w:rsidRPr="006E02AA" w:rsidRDefault="00630B87" w:rsidP="00630B87">
            <w:pPr>
              <w:rPr>
                <w:sz w:val="18"/>
                <w:szCs w:val="18"/>
              </w:rPr>
            </w:pPr>
            <w:r w:rsidRPr="009A782D">
              <w:rPr>
                <w:rFonts w:cstheme="majorHAnsi"/>
                <w:bCs/>
                <w:sz w:val="18"/>
                <w:szCs w:val="18"/>
              </w:rPr>
              <w:t>Consensus rate</w:t>
            </w:r>
            <w:r>
              <w:rPr>
                <w:rFonts w:cstheme="majorHAnsi"/>
                <w:bCs/>
                <w:sz w:val="18"/>
                <w:szCs w:val="18"/>
              </w:rPr>
              <w:t xml:space="preserve"> </w:t>
            </w:r>
            <w:r w:rsidRPr="009A782D">
              <w:rPr>
                <w:rFonts w:cstheme="majorHAnsi"/>
                <w:bCs/>
                <w:sz w:val="18"/>
                <w:szCs w:val="18"/>
              </w:rPr>
              <w:t>=</w:t>
            </w:r>
            <w:r>
              <w:rPr>
                <w:rFonts w:cstheme="majorHAnsi"/>
                <w:bCs/>
                <w:sz w:val="18"/>
                <w:szCs w:val="18"/>
              </w:rPr>
              <w:t xml:space="preserve"> </w:t>
            </w:r>
            <w:r w:rsidRPr="009A782D">
              <w:rPr>
                <w:rFonts w:cstheme="majorHAnsi"/>
                <w:bCs/>
                <w:sz w:val="18"/>
                <w:szCs w:val="18"/>
              </w:rPr>
              <w:t>6.4%</w:t>
            </w:r>
          </w:p>
        </w:tc>
        <w:tc>
          <w:tcPr>
            <w:tcW w:w="1978" w:type="dxa"/>
            <w:shd w:val="clear" w:color="auto" w:fill="FFFFFF" w:themeFill="background1"/>
          </w:tcPr>
          <w:p w14:paraId="2012C706" w14:textId="75C4CA4F"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Initial</w:t>
            </w:r>
            <w:r>
              <w:rPr>
                <w:rFonts w:cstheme="majorHAnsi"/>
                <w:bCs/>
                <w:sz w:val="18"/>
                <w:szCs w:val="18"/>
              </w:rPr>
              <w:t xml:space="preserve"> read:</w:t>
            </w:r>
            <w:r w:rsidRPr="009A782D">
              <w:rPr>
                <w:rFonts w:cstheme="majorHAnsi"/>
                <w:bCs/>
                <w:sz w:val="18"/>
                <w:szCs w:val="18"/>
              </w:rPr>
              <w:t xml:space="preserve"> 41</w:t>
            </w:r>
            <w:r>
              <w:rPr>
                <w:rFonts w:cstheme="majorHAnsi"/>
                <w:bCs/>
                <w:sz w:val="18"/>
                <w:szCs w:val="18"/>
              </w:rPr>
              <w:t xml:space="preserve"> </w:t>
            </w:r>
            <w:r w:rsidRPr="009A782D">
              <w:rPr>
                <w:rFonts w:cstheme="majorHAnsi"/>
                <w:bCs/>
                <w:sz w:val="18"/>
                <w:szCs w:val="18"/>
              </w:rPr>
              <w:t>s</w:t>
            </w:r>
            <w:r>
              <w:rPr>
                <w:rFonts w:cstheme="majorHAnsi"/>
                <w:bCs/>
                <w:sz w:val="18"/>
                <w:szCs w:val="18"/>
              </w:rPr>
              <w:t xml:space="preserve">ec </w:t>
            </w:r>
            <w:r w:rsidRPr="009A782D">
              <w:rPr>
                <w:rFonts w:cstheme="majorHAnsi"/>
                <w:bCs/>
                <w:sz w:val="18"/>
                <w:szCs w:val="18"/>
              </w:rPr>
              <w:t xml:space="preserve"> (</w:t>
            </w:r>
            <w:r w:rsidRPr="00630B87">
              <w:rPr>
                <w:rFonts w:cstheme="majorHAnsi"/>
                <w:bCs/>
                <w:i/>
                <w:iCs/>
                <w:sz w:val="18"/>
                <w:szCs w:val="18"/>
              </w:rPr>
              <w:t>p</w:t>
            </w:r>
            <w:r w:rsidRPr="009A782D">
              <w:rPr>
                <w:rFonts w:cstheme="majorHAnsi"/>
                <w:bCs/>
                <w:sz w:val="18"/>
                <w:szCs w:val="18"/>
              </w:rPr>
              <w:t>&lt;.01).</w:t>
            </w:r>
          </w:p>
          <w:p w14:paraId="0B69E615" w14:textId="4878D269"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Consensus</w:t>
            </w:r>
            <w:r>
              <w:rPr>
                <w:rFonts w:cstheme="majorHAnsi"/>
                <w:bCs/>
                <w:sz w:val="18"/>
                <w:szCs w:val="18"/>
              </w:rPr>
              <w:t>:</w:t>
            </w:r>
            <w:r w:rsidRPr="009A782D">
              <w:rPr>
                <w:rFonts w:cstheme="majorHAnsi"/>
                <w:bCs/>
                <w:sz w:val="18"/>
                <w:szCs w:val="18"/>
              </w:rPr>
              <w:t xml:space="preserve"> 2 min 12 s</w:t>
            </w:r>
            <w:r>
              <w:rPr>
                <w:rFonts w:cstheme="majorHAnsi"/>
                <w:bCs/>
                <w:sz w:val="18"/>
                <w:szCs w:val="18"/>
              </w:rPr>
              <w:t>ec</w:t>
            </w:r>
            <w:r w:rsidRPr="009A782D">
              <w:rPr>
                <w:rFonts w:cstheme="majorHAnsi"/>
                <w:bCs/>
                <w:sz w:val="18"/>
                <w:szCs w:val="18"/>
              </w:rPr>
              <w:t xml:space="preserve"> (</w:t>
            </w:r>
            <w:r w:rsidRPr="00630B87">
              <w:rPr>
                <w:rFonts w:cstheme="majorHAnsi"/>
                <w:bCs/>
                <w:i/>
                <w:iCs/>
                <w:sz w:val="18"/>
                <w:szCs w:val="18"/>
              </w:rPr>
              <w:t>p</w:t>
            </w:r>
            <w:r w:rsidRPr="009A782D">
              <w:rPr>
                <w:rFonts w:cstheme="majorHAnsi"/>
                <w:bCs/>
                <w:sz w:val="18"/>
                <w:szCs w:val="18"/>
              </w:rPr>
              <w:t>&lt;.01),</w:t>
            </w:r>
          </w:p>
          <w:p w14:paraId="2A4DFCE8" w14:textId="4FE52D94" w:rsidR="00630B87" w:rsidRPr="006E02AA" w:rsidRDefault="00630B87" w:rsidP="00630B87">
            <w:pPr>
              <w:rPr>
                <w:sz w:val="18"/>
                <w:szCs w:val="18"/>
              </w:rPr>
            </w:pPr>
            <w:r w:rsidRPr="009A782D">
              <w:rPr>
                <w:rFonts w:cstheme="majorHAnsi"/>
                <w:bCs/>
                <w:sz w:val="18"/>
                <w:szCs w:val="18"/>
              </w:rPr>
              <w:t>Consensus rate = 7.4%, (</w:t>
            </w:r>
            <w:r w:rsidRPr="00630B87">
              <w:rPr>
                <w:rFonts w:cstheme="majorHAnsi"/>
                <w:bCs/>
                <w:i/>
                <w:iCs/>
                <w:sz w:val="18"/>
                <w:szCs w:val="18"/>
              </w:rPr>
              <w:t>p</w:t>
            </w:r>
            <w:r w:rsidRPr="009A782D">
              <w:rPr>
                <w:rFonts w:cstheme="majorHAnsi"/>
                <w:bCs/>
                <w:sz w:val="18"/>
                <w:szCs w:val="18"/>
              </w:rPr>
              <w:t>=.03)</w:t>
            </w:r>
          </w:p>
        </w:tc>
        <w:tc>
          <w:tcPr>
            <w:tcW w:w="1977" w:type="dxa"/>
            <w:shd w:val="clear" w:color="auto" w:fill="FFFFFF" w:themeFill="background1"/>
          </w:tcPr>
          <w:p w14:paraId="0CEC14D8" w14:textId="2A786754" w:rsidR="00630B87" w:rsidRPr="006E02AA" w:rsidRDefault="00630B87" w:rsidP="00630B87">
            <w:pPr>
              <w:jc w:val="center"/>
              <w:rPr>
                <w:sz w:val="18"/>
                <w:szCs w:val="18"/>
              </w:rPr>
            </w:pPr>
            <w:r>
              <w:rPr>
                <w:sz w:val="18"/>
                <w:szCs w:val="18"/>
              </w:rPr>
              <w:t>NA</w:t>
            </w:r>
          </w:p>
        </w:tc>
        <w:tc>
          <w:tcPr>
            <w:tcW w:w="1978" w:type="dxa"/>
            <w:shd w:val="clear" w:color="auto" w:fill="FFFFFF" w:themeFill="background1"/>
          </w:tcPr>
          <w:p w14:paraId="085E0945" w14:textId="4A7E7DED" w:rsidR="00630B87" w:rsidRPr="006E02AA" w:rsidRDefault="00630B87" w:rsidP="00630B87">
            <w:pPr>
              <w:jc w:val="center"/>
              <w:rPr>
                <w:sz w:val="18"/>
                <w:szCs w:val="18"/>
              </w:rPr>
            </w:pPr>
            <w:r>
              <w:rPr>
                <w:sz w:val="18"/>
                <w:szCs w:val="18"/>
              </w:rPr>
              <w:t>NA</w:t>
            </w:r>
          </w:p>
        </w:tc>
      </w:tr>
      <w:tr w:rsidR="00630B87" w:rsidRPr="006E02AA" w14:paraId="1DA762C7" w14:textId="77777777" w:rsidTr="00630B87">
        <w:trPr>
          <w:tblHeader/>
        </w:trPr>
        <w:tc>
          <w:tcPr>
            <w:tcW w:w="1151" w:type="dxa"/>
            <w:shd w:val="clear" w:color="auto" w:fill="FFFFFF" w:themeFill="background1"/>
          </w:tcPr>
          <w:p w14:paraId="53FC0018" w14:textId="5DDDE9E1" w:rsidR="00630B87" w:rsidRDefault="00630B87" w:rsidP="00630B87">
            <w:pPr>
              <w:pStyle w:val="BodyText"/>
              <w:spacing w:before="0" w:after="0" w:line="240" w:lineRule="auto"/>
              <w:jc w:val="left"/>
              <w:rPr>
                <w:rFonts w:cstheme="majorHAnsi"/>
                <w:bCs/>
                <w:sz w:val="18"/>
                <w:szCs w:val="18"/>
              </w:rPr>
            </w:pPr>
            <w:r w:rsidRPr="00726018">
              <w:rPr>
                <w:rFonts w:cstheme="majorHAnsi"/>
                <w:bCs/>
                <w:sz w:val="18"/>
                <w:szCs w:val="18"/>
              </w:rPr>
              <w:t>Hofvind et al</w:t>
            </w:r>
            <w:r>
              <w:rPr>
                <w:rFonts w:cstheme="majorHAnsi"/>
                <w:bCs/>
                <w:sz w:val="18"/>
                <w:szCs w:val="18"/>
              </w:rPr>
              <w:t>.</w:t>
            </w:r>
            <w:r w:rsidRPr="00726018">
              <w:rPr>
                <w:rFonts w:cstheme="majorHAnsi"/>
                <w:bCs/>
                <w:sz w:val="18"/>
                <w:szCs w:val="18"/>
              </w:rPr>
              <w:t xml:space="preserve"> (2019) </w:t>
            </w:r>
          </w:p>
          <w:p w14:paraId="1FAB78E9" w14:textId="77777777" w:rsidR="00630B87" w:rsidRDefault="00630B87" w:rsidP="00630B87">
            <w:pPr>
              <w:pStyle w:val="BodyText"/>
              <w:spacing w:before="0" w:after="0" w:line="240" w:lineRule="auto"/>
              <w:jc w:val="left"/>
              <w:rPr>
                <w:rFonts w:cstheme="majorHAnsi"/>
                <w:bCs/>
                <w:sz w:val="18"/>
                <w:szCs w:val="18"/>
              </w:rPr>
            </w:pPr>
            <w:r>
              <w:rPr>
                <w:rFonts w:cstheme="majorHAnsi"/>
                <w:bCs/>
                <w:sz w:val="18"/>
                <w:szCs w:val="18"/>
              </w:rPr>
              <w:t xml:space="preserve">To-Be-1 </w:t>
            </w:r>
          </w:p>
          <w:p w14:paraId="78BDCFAC" w14:textId="36644CAE" w:rsidR="000C5381" w:rsidRPr="00726018" w:rsidRDefault="000C5381" w:rsidP="00630B87">
            <w:pPr>
              <w:pStyle w:val="BodyText"/>
              <w:spacing w:before="0" w:after="0" w:line="240" w:lineRule="auto"/>
              <w:jc w:val="left"/>
              <w:rPr>
                <w:rFonts w:cstheme="majorHAnsi"/>
                <w:bCs/>
                <w:sz w:val="18"/>
                <w:szCs w:val="18"/>
              </w:rPr>
            </w:pPr>
            <w:r>
              <w:rPr>
                <w:rFonts w:cstheme="majorHAnsi"/>
                <w:bCs/>
                <w:sz w:val="18"/>
                <w:szCs w:val="18"/>
              </w:rPr>
              <w:t>(main analysis)</w:t>
            </w:r>
          </w:p>
        </w:tc>
        <w:tc>
          <w:tcPr>
            <w:tcW w:w="1977" w:type="dxa"/>
            <w:shd w:val="clear" w:color="auto" w:fill="FFFFFF" w:themeFill="background1"/>
          </w:tcPr>
          <w:p w14:paraId="06AA1DAD" w14:textId="273E07B7"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Initial</w:t>
            </w:r>
            <w:r>
              <w:rPr>
                <w:rFonts w:cstheme="majorHAnsi"/>
                <w:bCs/>
                <w:sz w:val="18"/>
                <w:szCs w:val="18"/>
              </w:rPr>
              <w:t xml:space="preserve"> read:</w:t>
            </w:r>
            <w:r w:rsidRPr="009A782D">
              <w:rPr>
                <w:rFonts w:cstheme="majorHAnsi"/>
                <w:bCs/>
                <w:sz w:val="18"/>
                <w:szCs w:val="18"/>
              </w:rPr>
              <w:t xml:space="preserve"> 1min 6</w:t>
            </w:r>
            <w:r>
              <w:rPr>
                <w:rFonts w:cstheme="majorHAnsi"/>
                <w:bCs/>
                <w:sz w:val="18"/>
                <w:szCs w:val="18"/>
              </w:rPr>
              <w:t xml:space="preserve"> </w:t>
            </w:r>
            <w:r w:rsidRPr="009A782D">
              <w:rPr>
                <w:rFonts w:cstheme="majorHAnsi"/>
                <w:bCs/>
                <w:sz w:val="18"/>
                <w:szCs w:val="18"/>
              </w:rPr>
              <w:t>s</w:t>
            </w:r>
            <w:r>
              <w:rPr>
                <w:rFonts w:cstheme="majorHAnsi"/>
                <w:bCs/>
                <w:sz w:val="18"/>
                <w:szCs w:val="18"/>
              </w:rPr>
              <w:t>ec</w:t>
            </w:r>
            <w:r w:rsidRPr="009A782D">
              <w:rPr>
                <w:rFonts w:cstheme="majorHAnsi"/>
                <w:bCs/>
                <w:sz w:val="18"/>
                <w:szCs w:val="18"/>
              </w:rPr>
              <w:t xml:space="preserve"> (IQR 33–78)</w:t>
            </w:r>
          </w:p>
          <w:p w14:paraId="4741243A" w14:textId="79127794"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Individual range</w:t>
            </w:r>
            <w:r>
              <w:rPr>
                <w:rFonts w:cstheme="majorHAnsi"/>
                <w:bCs/>
                <w:sz w:val="18"/>
                <w:szCs w:val="18"/>
              </w:rPr>
              <w:t>:</w:t>
            </w:r>
            <w:r w:rsidRPr="009A782D">
              <w:rPr>
                <w:rFonts w:cstheme="majorHAnsi"/>
                <w:bCs/>
                <w:sz w:val="18"/>
                <w:szCs w:val="18"/>
              </w:rPr>
              <w:t xml:space="preserve"> 39</w:t>
            </w:r>
            <w:r>
              <w:rPr>
                <w:rFonts w:cstheme="majorHAnsi"/>
                <w:bCs/>
                <w:sz w:val="18"/>
                <w:szCs w:val="18"/>
              </w:rPr>
              <w:t xml:space="preserve"> </w:t>
            </w:r>
            <w:r w:rsidRPr="009A782D">
              <w:rPr>
                <w:rFonts w:cstheme="majorHAnsi"/>
                <w:bCs/>
                <w:sz w:val="18"/>
                <w:szCs w:val="18"/>
              </w:rPr>
              <w:t>s</w:t>
            </w:r>
            <w:r>
              <w:rPr>
                <w:rFonts w:cstheme="majorHAnsi"/>
                <w:bCs/>
                <w:sz w:val="18"/>
                <w:szCs w:val="18"/>
              </w:rPr>
              <w:t>ec</w:t>
            </w:r>
            <w:r w:rsidRPr="009A782D">
              <w:rPr>
                <w:rFonts w:cstheme="majorHAnsi"/>
                <w:bCs/>
                <w:sz w:val="18"/>
                <w:szCs w:val="18"/>
              </w:rPr>
              <w:t xml:space="preserve"> to 2 min 42</w:t>
            </w:r>
            <w:r>
              <w:rPr>
                <w:rFonts w:cstheme="majorHAnsi"/>
                <w:bCs/>
                <w:sz w:val="18"/>
                <w:szCs w:val="18"/>
              </w:rPr>
              <w:t xml:space="preserve"> </w:t>
            </w:r>
            <w:r w:rsidRPr="009A782D">
              <w:rPr>
                <w:rFonts w:cstheme="majorHAnsi"/>
                <w:bCs/>
                <w:sz w:val="18"/>
                <w:szCs w:val="18"/>
              </w:rPr>
              <w:t>s</w:t>
            </w:r>
            <w:r>
              <w:rPr>
                <w:rFonts w:cstheme="majorHAnsi"/>
                <w:bCs/>
                <w:sz w:val="18"/>
                <w:szCs w:val="18"/>
              </w:rPr>
              <w:t>ec</w:t>
            </w:r>
          </w:p>
          <w:p w14:paraId="2917AF9F" w14:textId="68DDEB84"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lastRenderedPageBreak/>
              <w:t>Consensus</w:t>
            </w:r>
            <w:r>
              <w:rPr>
                <w:rFonts w:cstheme="majorHAnsi"/>
                <w:bCs/>
                <w:sz w:val="18"/>
                <w:szCs w:val="18"/>
              </w:rPr>
              <w:t>:</w:t>
            </w:r>
            <w:r w:rsidRPr="009A782D">
              <w:rPr>
                <w:rFonts w:cstheme="majorHAnsi"/>
                <w:bCs/>
                <w:sz w:val="18"/>
                <w:szCs w:val="18"/>
              </w:rPr>
              <w:t xml:space="preserve"> 2 min 51 s</w:t>
            </w:r>
            <w:r>
              <w:rPr>
                <w:rFonts w:cstheme="majorHAnsi"/>
                <w:bCs/>
                <w:sz w:val="18"/>
                <w:szCs w:val="18"/>
              </w:rPr>
              <w:t>ec</w:t>
            </w:r>
            <w:r w:rsidRPr="009A782D">
              <w:rPr>
                <w:rFonts w:cstheme="majorHAnsi"/>
                <w:bCs/>
                <w:sz w:val="18"/>
                <w:szCs w:val="18"/>
              </w:rPr>
              <w:t xml:space="preserve"> (IQR 1 min 50 s</w:t>
            </w:r>
            <w:r>
              <w:rPr>
                <w:rFonts w:cstheme="majorHAnsi"/>
                <w:bCs/>
                <w:sz w:val="18"/>
                <w:szCs w:val="18"/>
              </w:rPr>
              <w:t>ec</w:t>
            </w:r>
            <w:r w:rsidRPr="009A782D">
              <w:rPr>
                <w:rFonts w:cstheme="majorHAnsi"/>
                <w:bCs/>
                <w:sz w:val="18"/>
                <w:szCs w:val="18"/>
              </w:rPr>
              <w:t>)</w:t>
            </w:r>
          </w:p>
          <w:p w14:paraId="0CB9257B" w14:textId="77777777"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Consensus rate 6.3%</w:t>
            </w:r>
          </w:p>
          <w:p w14:paraId="35DF946F" w14:textId="77777777" w:rsidR="00630B87" w:rsidRPr="009A782D" w:rsidRDefault="00630B87" w:rsidP="00630B87">
            <w:pPr>
              <w:pStyle w:val="BodyText"/>
              <w:spacing w:before="0" w:after="0" w:line="240" w:lineRule="auto"/>
              <w:jc w:val="left"/>
              <w:rPr>
                <w:rFonts w:cstheme="majorHAnsi"/>
                <w:bCs/>
                <w:sz w:val="18"/>
                <w:szCs w:val="18"/>
              </w:rPr>
            </w:pPr>
          </w:p>
          <w:p w14:paraId="24D4E190" w14:textId="77777777" w:rsidR="00630B87" w:rsidRPr="009A782D" w:rsidRDefault="00630B87" w:rsidP="00630B87">
            <w:pPr>
              <w:pStyle w:val="BodyText"/>
              <w:spacing w:before="0" w:after="0" w:line="240" w:lineRule="auto"/>
              <w:jc w:val="left"/>
              <w:rPr>
                <w:rFonts w:cstheme="majorHAnsi"/>
                <w:bCs/>
                <w:sz w:val="18"/>
                <w:szCs w:val="18"/>
              </w:rPr>
            </w:pPr>
          </w:p>
        </w:tc>
        <w:tc>
          <w:tcPr>
            <w:tcW w:w="1978" w:type="dxa"/>
            <w:shd w:val="clear" w:color="auto" w:fill="FFFFFF" w:themeFill="background1"/>
          </w:tcPr>
          <w:p w14:paraId="5D4E3B5E" w14:textId="511895C5"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lastRenderedPageBreak/>
              <w:t>Initial</w:t>
            </w:r>
            <w:r>
              <w:rPr>
                <w:rFonts w:cstheme="majorHAnsi"/>
                <w:bCs/>
                <w:sz w:val="18"/>
                <w:szCs w:val="18"/>
              </w:rPr>
              <w:t xml:space="preserve"> read:</w:t>
            </w:r>
            <w:r w:rsidRPr="009A782D">
              <w:rPr>
                <w:rFonts w:cstheme="majorHAnsi"/>
                <w:bCs/>
                <w:sz w:val="18"/>
                <w:szCs w:val="18"/>
              </w:rPr>
              <w:t xml:space="preserve"> 39 (IQR 13–44) (</w:t>
            </w:r>
            <w:r w:rsidRPr="00630B87">
              <w:rPr>
                <w:rFonts w:cstheme="majorHAnsi"/>
                <w:bCs/>
                <w:i/>
                <w:iCs/>
                <w:sz w:val="18"/>
                <w:szCs w:val="18"/>
              </w:rPr>
              <w:t>p</w:t>
            </w:r>
            <w:r w:rsidRPr="009A782D">
              <w:rPr>
                <w:rFonts w:cstheme="majorHAnsi"/>
                <w:bCs/>
                <w:sz w:val="18"/>
                <w:szCs w:val="18"/>
              </w:rPr>
              <w:t>&lt;</w:t>
            </w:r>
            <w:r w:rsidR="00176980">
              <w:rPr>
                <w:rFonts w:cstheme="majorHAnsi"/>
                <w:bCs/>
                <w:sz w:val="18"/>
                <w:szCs w:val="18"/>
              </w:rPr>
              <w:t>.</w:t>
            </w:r>
            <w:r w:rsidRPr="009A782D">
              <w:rPr>
                <w:rFonts w:cstheme="majorHAnsi"/>
                <w:bCs/>
                <w:sz w:val="18"/>
                <w:szCs w:val="18"/>
              </w:rPr>
              <w:t>0001).</w:t>
            </w:r>
          </w:p>
          <w:p w14:paraId="1D486535" w14:textId="645B204D"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Individual range</w:t>
            </w:r>
            <w:r>
              <w:rPr>
                <w:rFonts w:cstheme="majorHAnsi"/>
                <w:bCs/>
                <w:sz w:val="18"/>
                <w:szCs w:val="18"/>
              </w:rPr>
              <w:t>:</w:t>
            </w:r>
            <w:r w:rsidRPr="009A782D">
              <w:rPr>
                <w:rFonts w:cstheme="majorHAnsi"/>
                <w:bCs/>
                <w:sz w:val="18"/>
                <w:szCs w:val="18"/>
              </w:rPr>
              <w:t xml:space="preserve"> 13</w:t>
            </w:r>
            <w:r>
              <w:rPr>
                <w:rFonts w:cstheme="majorHAnsi"/>
                <w:bCs/>
                <w:sz w:val="18"/>
                <w:szCs w:val="18"/>
              </w:rPr>
              <w:t xml:space="preserve"> </w:t>
            </w:r>
            <w:r w:rsidRPr="009A782D">
              <w:rPr>
                <w:rFonts w:cstheme="majorHAnsi"/>
                <w:bCs/>
                <w:sz w:val="18"/>
                <w:szCs w:val="18"/>
              </w:rPr>
              <w:t>s</w:t>
            </w:r>
            <w:r>
              <w:rPr>
                <w:rFonts w:cstheme="majorHAnsi"/>
                <w:bCs/>
                <w:sz w:val="18"/>
                <w:szCs w:val="18"/>
              </w:rPr>
              <w:t>ec</w:t>
            </w:r>
            <w:r w:rsidRPr="009A782D">
              <w:rPr>
                <w:rFonts w:cstheme="majorHAnsi"/>
                <w:bCs/>
                <w:sz w:val="18"/>
                <w:szCs w:val="18"/>
              </w:rPr>
              <w:t xml:space="preserve"> to 3 min 2</w:t>
            </w:r>
            <w:r>
              <w:rPr>
                <w:rFonts w:cstheme="majorHAnsi"/>
                <w:bCs/>
                <w:sz w:val="18"/>
                <w:szCs w:val="18"/>
              </w:rPr>
              <w:t xml:space="preserve"> </w:t>
            </w:r>
            <w:r w:rsidRPr="009A782D">
              <w:rPr>
                <w:rFonts w:cstheme="majorHAnsi"/>
                <w:bCs/>
                <w:sz w:val="18"/>
                <w:szCs w:val="18"/>
              </w:rPr>
              <w:t>s</w:t>
            </w:r>
            <w:r>
              <w:rPr>
                <w:rFonts w:cstheme="majorHAnsi"/>
                <w:bCs/>
                <w:sz w:val="18"/>
                <w:szCs w:val="18"/>
              </w:rPr>
              <w:t>ec</w:t>
            </w:r>
          </w:p>
          <w:p w14:paraId="7D5F76D8" w14:textId="4394E90F"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lastRenderedPageBreak/>
              <w:t>Consensus</w:t>
            </w:r>
            <w:r>
              <w:rPr>
                <w:rFonts w:cstheme="majorHAnsi"/>
                <w:bCs/>
                <w:sz w:val="18"/>
                <w:szCs w:val="18"/>
              </w:rPr>
              <w:t>:</w:t>
            </w:r>
            <w:r w:rsidRPr="009A782D">
              <w:rPr>
                <w:rFonts w:cstheme="majorHAnsi"/>
                <w:bCs/>
                <w:sz w:val="18"/>
                <w:szCs w:val="18"/>
              </w:rPr>
              <w:t xml:space="preserve"> 2 min 4 sec (IQR 1 min 11 s</w:t>
            </w:r>
            <w:r>
              <w:rPr>
                <w:rFonts w:cstheme="majorHAnsi"/>
                <w:bCs/>
                <w:sz w:val="18"/>
                <w:szCs w:val="18"/>
              </w:rPr>
              <w:t>ec</w:t>
            </w:r>
            <w:r w:rsidRPr="009A782D">
              <w:rPr>
                <w:rFonts w:cstheme="majorHAnsi"/>
                <w:bCs/>
                <w:sz w:val="18"/>
                <w:szCs w:val="18"/>
              </w:rPr>
              <w:t xml:space="preserve">) </w:t>
            </w:r>
          </w:p>
          <w:p w14:paraId="525F3F71" w14:textId="40C66901"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w:t>
            </w:r>
            <w:r w:rsidRPr="00630B87">
              <w:rPr>
                <w:rFonts w:cstheme="majorHAnsi"/>
                <w:bCs/>
                <w:i/>
                <w:iCs/>
                <w:sz w:val="18"/>
                <w:szCs w:val="18"/>
              </w:rPr>
              <w:t>p</w:t>
            </w:r>
            <w:r w:rsidRPr="009A782D">
              <w:rPr>
                <w:rFonts w:cstheme="majorHAnsi"/>
                <w:bCs/>
                <w:sz w:val="18"/>
                <w:szCs w:val="18"/>
              </w:rPr>
              <w:t>&lt;</w:t>
            </w:r>
            <w:r w:rsidR="00176980">
              <w:rPr>
                <w:rFonts w:cstheme="majorHAnsi"/>
                <w:bCs/>
                <w:sz w:val="18"/>
                <w:szCs w:val="18"/>
              </w:rPr>
              <w:t>.</w:t>
            </w:r>
            <w:r w:rsidRPr="009A782D">
              <w:rPr>
                <w:rFonts w:cstheme="majorHAnsi"/>
                <w:bCs/>
                <w:sz w:val="18"/>
                <w:szCs w:val="18"/>
              </w:rPr>
              <w:t>0001)</w:t>
            </w:r>
          </w:p>
          <w:p w14:paraId="15DE1055" w14:textId="0CB33B34"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Consensus rate 7.4%, (</w:t>
            </w:r>
            <w:r w:rsidRPr="00630B87">
              <w:rPr>
                <w:rFonts w:cstheme="majorHAnsi"/>
                <w:bCs/>
                <w:i/>
                <w:iCs/>
                <w:sz w:val="18"/>
                <w:szCs w:val="18"/>
              </w:rPr>
              <w:t>p</w:t>
            </w:r>
            <w:r w:rsidRPr="009A782D">
              <w:rPr>
                <w:rFonts w:cstheme="majorHAnsi"/>
                <w:bCs/>
                <w:sz w:val="18"/>
                <w:szCs w:val="18"/>
              </w:rPr>
              <w:t>=</w:t>
            </w:r>
            <w:r w:rsidR="00176980">
              <w:rPr>
                <w:rFonts w:cstheme="majorHAnsi"/>
                <w:bCs/>
                <w:sz w:val="18"/>
                <w:szCs w:val="18"/>
              </w:rPr>
              <w:t>.</w:t>
            </w:r>
            <w:r w:rsidRPr="009A782D">
              <w:rPr>
                <w:rFonts w:cstheme="majorHAnsi"/>
                <w:bCs/>
                <w:sz w:val="18"/>
                <w:szCs w:val="18"/>
              </w:rPr>
              <w:t>0004)</w:t>
            </w:r>
          </w:p>
        </w:tc>
        <w:tc>
          <w:tcPr>
            <w:tcW w:w="1977" w:type="dxa"/>
            <w:shd w:val="clear" w:color="auto" w:fill="FFFFFF" w:themeFill="background1"/>
          </w:tcPr>
          <w:p w14:paraId="03253724" w14:textId="25B3DEA6" w:rsidR="00630B87" w:rsidRPr="006E02AA" w:rsidRDefault="00630B87" w:rsidP="00630B87">
            <w:pPr>
              <w:jc w:val="center"/>
              <w:rPr>
                <w:sz w:val="18"/>
                <w:szCs w:val="18"/>
              </w:rPr>
            </w:pPr>
            <w:r>
              <w:rPr>
                <w:sz w:val="18"/>
                <w:szCs w:val="18"/>
              </w:rPr>
              <w:lastRenderedPageBreak/>
              <w:t>NA</w:t>
            </w:r>
          </w:p>
        </w:tc>
        <w:tc>
          <w:tcPr>
            <w:tcW w:w="1978" w:type="dxa"/>
            <w:shd w:val="clear" w:color="auto" w:fill="FFFFFF" w:themeFill="background1"/>
          </w:tcPr>
          <w:p w14:paraId="45C124A3" w14:textId="00715476" w:rsidR="00630B87" w:rsidRPr="006E02AA" w:rsidRDefault="00630B87" w:rsidP="00630B87">
            <w:pPr>
              <w:jc w:val="center"/>
              <w:rPr>
                <w:sz w:val="18"/>
                <w:szCs w:val="18"/>
              </w:rPr>
            </w:pPr>
            <w:r>
              <w:rPr>
                <w:sz w:val="18"/>
                <w:szCs w:val="18"/>
              </w:rPr>
              <w:t>NA</w:t>
            </w:r>
          </w:p>
        </w:tc>
      </w:tr>
      <w:tr w:rsidR="00630B87" w:rsidRPr="006E02AA" w14:paraId="47AE9BA2" w14:textId="77777777" w:rsidTr="00630B87">
        <w:trPr>
          <w:tblHeader/>
        </w:trPr>
        <w:tc>
          <w:tcPr>
            <w:tcW w:w="1151" w:type="dxa"/>
            <w:shd w:val="clear" w:color="auto" w:fill="FFFFFF" w:themeFill="background1"/>
          </w:tcPr>
          <w:p w14:paraId="0D859440" w14:textId="6B14D3B6" w:rsidR="00630B87" w:rsidRPr="007B08DD" w:rsidRDefault="00630B87" w:rsidP="00630B87">
            <w:pPr>
              <w:pStyle w:val="BodyText"/>
              <w:spacing w:before="0" w:after="0" w:line="240" w:lineRule="auto"/>
              <w:jc w:val="left"/>
              <w:rPr>
                <w:rFonts w:cstheme="majorHAnsi"/>
                <w:bCs/>
                <w:sz w:val="18"/>
                <w:szCs w:val="18"/>
              </w:rPr>
            </w:pPr>
            <w:r w:rsidRPr="007B08DD">
              <w:rPr>
                <w:rFonts w:cstheme="majorHAnsi"/>
                <w:bCs/>
                <w:sz w:val="18"/>
                <w:szCs w:val="18"/>
              </w:rPr>
              <w:t>Moger et al</w:t>
            </w:r>
            <w:r>
              <w:rPr>
                <w:rFonts w:cstheme="majorHAnsi"/>
                <w:bCs/>
                <w:sz w:val="18"/>
                <w:szCs w:val="18"/>
              </w:rPr>
              <w:t>.</w:t>
            </w:r>
            <w:r w:rsidRPr="007B08DD">
              <w:rPr>
                <w:rFonts w:cstheme="majorHAnsi"/>
                <w:bCs/>
                <w:sz w:val="18"/>
                <w:szCs w:val="18"/>
              </w:rPr>
              <w:t xml:space="preserve"> (2019)</w:t>
            </w:r>
          </w:p>
          <w:p w14:paraId="5DB2E367" w14:textId="77777777" w:rsidR="00630B87" w:rsidRDefault="00630B87" w:rsidP="00630B87">
            <w:pPr>
              <w:pStyle w:val="BodyText"/>
              <w:spacing w:before="0" w:after="0" w:line="240" w:lineRule="auto"/>
              <w:jc w:val="left"/>
              <w:rPr>
                <w:rFonts w:cstheme="majorHAnsi"/>
                <w:bCs/>
                <w:sz w:val="18"/>
                <w:szCs w:val="18"/>
              </w:rPr>
            </w:pPr>
            <w:r>
              <w:rPr>
                <w:rFonts w:cstheme="majorHAnsi"/>
                <w:bCs/>
                <w:sz w:val="18"/>
                <w:szCs w:val="18"/>
              </w:rPr>
              <w:t>To-Be-1</w:t>
            </w:r>
            <w:r w:rsidRPr="007B08DD">
              <w:rPr>
                <w:rFonts w:cstheme="majorHAnsi"/>
                <w:bCs/>
                <w:sz w:val="18"/>
                <w:szCs w:val="18"/>
              </w:rPr>
              <w:t xml:space="preserve"> Trial</w:t>
            </w:r>
          </w:p>
          <w:p w14:paraId="3C2D1401" w14:textId="3089C1C8" w:rsidR="000C5381" w:rsidRPr="00726018" w:rsidRDefault="000C5381" w:rsidP="00630B87">
            <w:pPr>
              <w:pStyle w:val="BodyText"/>
              <w:spacing w:before="0" w:after="0" w:line="240" w:lineRule="auto"/>
              <w:jc w:val="left"/>
              <w:rPr>
                <w:rFonts w:cstheme="majorHAnsi"/>
                <w:bCs/>
                <w:sz w:val="18"/>
                <w:szCs w:val="18"/>
              </w:rPr>
            </w:pPr>
            <w:r>
              <w:rPr>
                <w:rFonts w:cstheme="majorHAnsi"/>
                <w:bCs/>
                <w:sz w:val="18"/>
                <w:szCs w:val="18"/>
              </w:rPr>
              <w:t>(sub-study)</w:t>
            </w:r>
          </w:p>
        </w:tc>
        <w:tc>
          <w:tcPr>
            <w:tcW w:w="1977" w:type="dxa"/>
            <w:shd w:val="clear" w:color="auto" w:fill="FFFFFF" w:themeFill="background1"/>
          </w:tcPr>
          <w:p w14:paraId="02CD67E7" w14:textId="5CB4E40A"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 xml:space="preserve">Initial </w:t>
            </w:r>
            <w:r>
              <w:rPr>
                <w:rFonts w:cstheme="majorHAnsi"/>
                <w:bCs/>
                <w:sz w:val="18"/>
                <w:szCs w:val="18"/>
              </w:rPr>
              <w:t xml:space="preserve">read: </w:t>
            </w:r>
            <w:r w:rsidRPr="009A782D">
              <w:rPr>
                <w:rFonts w:cstheme="majorHAnsi"/>
                <w:bCs/>
                <w:sz w:val="18"/>
                <w:szCs w:val="18"/>
              </w:rPr>
              <w:t>2 min 12</w:t>
            </w:r>
            <w:r>
              <w:rPr>
                <w:rFonts w:cstheme="majorHAnsi"/>
                <w:bCs/>
                <w:sz w:val="18"/>
                <w:szCs w:val="18"/>
              </w:rPr>
              <w:t xml:space="preserve"> </w:t>
            </w:r>
            <w:r w:rsidRPr="009A782D">
              <w:rPr>
                <w:rFonts w:cstheme="majorHAnsi"/>
                <w:bCs/>
                <w:sz w:val="18"/>
                <w:szCs w:val="18"/>
              </w:rPr>
              <w:t>s</w:t>
            </w:r>
            <w:r>
              <w:rPr>
                <w:rFonts w:cstheme="majorHAnsi"/>
                <w:bCs/>
                <w:sz w:val="18"/>
                <w:szCs w:val="18"/>
              </w:rPr>
              <w:t>ec</w:t>
            </w:r>
            <w:r w:rsidRPr="009A782D">
              <w:rPr>
                <w:rFonts w:cstheme="majorHAnsi"/>
                <w:bCs/>
                <w:sz w:val="18"/>
                <w:szCs w:val="18"/>
              </w:rPr>
              <w:t xml:space="preserve"> </w:t>
            </w:r>
          </w:p>
          <w:p w14:paraId="1D17AF95" w14:textId="4068B5B3"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Consensus</w:t>
            </w:r>
            <w:r>
              <w:rPr>
                <w:rFonts w:cstheme="majorHAnsi"/>
                <w:bCs/>
                <w:sz w:val="18"/>
                <w:szCs w:val="18"/>
              </w:rPr>
              <w:t>:</w:t>
            </w:r>
            <w:r w:rsidRPr="009A782D">
              <w:rPr>
                <w:rFonts w:cstheme="majorHAnsi"/>
                <w:bCs/>
                <w:sz w:val="18"/>
                <w:szCs w:val="18"/>
              </w:rPr>
              <w:t xml:space="preserve"> 2 min 50</w:t>
            </w:r>
            <w:r>
              <w:rPr>
                <w:rFonts w:cstheme="majorHAnsi"/>
                <w:bCs/>
                <w:sz w:val="18"/>
                <w:szCs w:val="18"/>
              </w:rPr>
              <w:t xml:space="preserve"> </w:t>
            </w:r>
            <w:r w:rsidRPr="009A782D">
              <w:rPr>
                <w:rFonts w:cstheme="majorHAnsi"/>
                <w:bCs/>
                <w:sz w:val="18"/>
                <w:szCs w:val="18"/>
              </w:rPr>
              <w:t>s</w:t>
            </w:r>
            <w:r>
              <w:rPr>
                <w:rFonts w:cstheme="majorHAnsi"/>
                <w:bCs/>
                <w:sz w:val="18"/>
                <w:szCs w:val="18"/>
              </w:rPr>
              <w:t>ec</w:t>
            </w:r>
            <w:r w:rsidRPr="009A782D">
              <w:rPr>
                <w:rFonts w:cstheme="majorHAnsi"/>
                <w:bCs/>
                <w:sz w:val="18"/>
                <w:szCs w:val="18"/>
              </w:rPr>
              <w:t xml:space="preserve"> </w:t>
            </w:r>
          </w:p>
          <w:p w14:paraId="28653E36" w14:textId="62F23626"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Consensus rate</w:t>
            </w:r>
            <w:r>
              <w:rPr>
                <w:rFonts w:cstheme="majorHAnsi"/>
                <w:bCs/>
                <w:sz w:val="18"/>
                <w:szCs w:val="18"/>
              </w:rPr>
              <w:t>:</w:t>
            </w:r>
            <w:r w:rsidRPr="009A782D">
              <w:rPr>
                <w:rFonts w:cstheme="majorHAnsi"/>
                <w:bCs/>
                <w:sz w:val="18"/>
                <w:szCs w:val="18"/>
              </w:rPr>
              <w:t xml:space="preserve"> 6.6%</w:t>
            </w:r>
          </w:p>
        </w:tc>
        <w:tc>
          <w:tcPr>
            <w:tcW w:w="1978" w:type="dxa"/>
            <w:shd w:val="clear" w:color="auto" w:fill="FFFFFF" w:themeFill="background1"/>
          </w:tcPr>
          <w:p w14:paraId="12E064E1" w14:textId="46DA8A41"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Initial</w:t>
            </w:r>
            <w:r>
              <w:rPr>
                <w:rFonts w:cstheme="majorHAnsi"/>
                <w:bCs/>
                <w:sz w:val="18"/>
                <w:szCs w:val="18"/>
              </w:rPr>
              <w:t xml:space="preserve"> read: </w:t>
            </w:r>
            <w:r w:rsidRPr="009A782D">
              <w:rPr>
                <w:rFonts w:cstheme="majorHAnsi"/>
                <w:bCs/>
                <w:sz w:val="18"/>
                <w:szCs w:val="18"/>
              </w:rPr>
              <w:t>1 min 19 s</w:t>
            </w:r>
            <w:r>
              <w:rPr>
                <w:rFonts w:cstheme="majorHAnsi"/>
                <w:bCs/>
                <w:sz w:val="18"/>
                <w:szCs w:val="18"/>
              </w:rPr>
              <w:t>ec</w:t>
            </w:r>
            <w:r w:rsidRPr="009A782D">
              <w:rPr>
                <w:rFonts w:cstheme="majorHAnsi"/>
                <w:bCs/>
                <w:sz w:val="18"/>
                <w:szCs w:val="18"/>
              </w:rPr>
              <w:t xml:space="preserve"> (SD 94) (</w:t>
            </w:r>
            <w:r w:rsidRPr="00630B87">
              <w:rPr>
                <w:rFonts w:cstheme="majorHAnsi"/>
                <w:bCs/>
                <w:i/>
                <w:iCs/>
                <w:sz w:val="18"/>
                <w:szCs w:val="18"/>
              </w:rPr>
              <w:t>p</w:t>
            </w:r>
            <w:r w:rsidRPr="009A782D">
              <w:rPr>
                <w:rFonts w:cstheme="majorHAnsi"/>
                <w:bCs/>
                <w:sz w:val="18"/>
                <w:szCs w:val="18"/>
              </w:rPr>
              <w:t>&lt;.001</w:t>
            </w:r>
            <w:r>
              <w:rPr>
                <w:rFonts w:cstheme="majorHAnsi"/>
                <w:bCs/>
                <w:sz w:val="18"/>
                <w:szCs w:val="18"/>
              </w:rPr>
              <w:t>)</w:t>
            </w:r>
          </w:p>
          <w:p w14:paraId="458AB732" w14:textId="180F2127"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Consensus</w:t>
            </w:r>
            <w:r>
              <w:rPr>
                <w:rFonts w:cstheme="majorHAnsi"/>
                <w:bCs/>
                <w:sz w:val="18"/>
                <w:szCs w:val="18"/>
              </w:rPr>
              <w:t>:</w:t>
            </w:r>
            <w:r w:rsidRPr="009A782D">
              <w:rPr>
                <w:rFonts w:cstheme="majorHAnsi"/>
                <w:bCs/>
                <w:sz w:val="18"/>
                <w:szCs w:val="18"/>
              </w:rPr>
              <w:t xml:space="preserve"> 2 min 4</w:t>
            </w:r>
            <w:r>
              <w:rPr>
                <w:rFonts w:cstheme="majorHAnsi"/>
                <w:bCs/>
                <w:sz w:val="18"/>
                <w:szCs w:val="18"/>
              </w:rPr>
              <w:t xml:space="preserve"> </w:t>
            </w:r>
            <w:r w:rsidRPr="009A782D">
              <w:rPr>
                <w:rFonts w:cstheme="majorHAnsi"/>
                <w:bCs/>
                <w:sz w:val="18"/>
                <w:szCs w:val="18"/>
              </w:rPr>
              <w:t>s</w:t>
            </w:r>
            <w:r>
              <w:rPr>
                <w:rFonts w:cstheme="majorHAnsi"/>
                <w:bCs/>
                <w:sz w:val="18"/>
                <w:szCs w:val="18"/>
              </w:rPr>
              <w:t>ec</w:t>
            </w:r>
            <w:r w:rsidRPr="009A782D">
              <w:rPr>
                <w:rFonts w:cstheme="majorHAnsi"/>
                <w:bCs/>
                <w:sz w:val="18"/>
                <w:szCs w:val="18"/>
              </w:rPr>
              <w:t xml:space="preserve"> (SD 2 min 4) (</w:t>
            </w:r>
            <w:r w:rsidRPr="00630B87">
              <w:rPr>
                <w:rFonts w:cstheme="majorHAnsi"/>
                <w:bCs/>
                <w:i/>
                <w:iCs/>
                <w:sz w:val="18"/>
                <w:szCs w:val="18"/>
              </w:rPr>
              <w:t>p</w:t>
            </w:r>
            <w:r w:rsidRPr="009A782D">
              <w:rPr>
                <w:rFonts w:cstheme="majorHAnsi"/>
                <w:bCs/>
                <w:sz w:val="18"/>
                <w:szCs w:val="18"/>
              </w:rPr>
              <w:t>&lt;.001),</w:t>
            </w:r>
          </w:p>
          <w:p w14:paraId="4F105AE8" w14:textId="5E4F57CA"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Consensus rate</w:t>
            </w:r>
            <w:r>
              <w:rPr>
                <w:rFonts w:cstheme="majorHAnsi"/>
                <w:bCs/>
                <w:sz w:val="18"/>
                <w:szCs w:val="18"/>
              </w:rPr>
              <w:t xml:space="preserve">: </w:t>
            </w:r>
            <w:r w:rsidRPr="009A782D">
              <w:rPr>
                <w:rFonts w:cstheme="majorHAnsi"/>
                <w:bCs/>
                <w:sz w:val="18"/>
                <w:szCs w:val="18"/>
              </w:rPr>
              <w:t>7.6% (</w:t>
            </w:r>
            <w:r w:rsidRPr="00630B87">
              <w:rPr>
                <w:rFonts w:cstheme="majorHAnsi"/>
                <w:bCs/>
                <w:i/>
                <w:iCs/>
                <w:sz w:val="18"/>
                <w:szCs w:val="18"/>
              </w:rPr>
              <w:t>p</w:t>
            </w:r>
            <w:r w:rsidRPr="009A782D">
              <w:rPr>
                <w:rFonts w:cstheme="majorHAnsi"/>
                <w:bCs/>
                <w:sz w:val="18"/>
                <w:szCs w:val="18"/>
              </w:rPr>
              <w:t>=.001)</w:t>
            </w:r>
          </w:p>
        </w:tc>
        <w:tc>
          <w:tcPr>
            <w:tcW w:w="1977" w:type="dxa"/>
            <w:shd w:val="clear" w:color="auto" w:fill="FFFFFF" w:themeFill="background1"/>
          </w:tcPr>
          <w:p w14:paraId="417C6673" w14:textId="2BADE897" w:rsidR="00630B87" w:rsidRPr="006E02AA" w:rsidRDefault="00630B87" w:rsidP="00630B87">
            <w:pPr>
              <w:jc w:val="center"/>
              <w:rPr>
                <w:sz w:val="18"/>
                <w:szCs w:val="18"/>
              </w:rPr>
            </w:pPr>
            <w:r>
              <w:rPr>
                <w:sz w:val="18"/>
                <w:szCs w:val="18"/>
              </w:rPr>
              <w:t>NA</w:t>
            </w:r>
          </w:p>
        </w:tc>
        <w:tc>
          <w:tcPr>
            <w:tcW w:w="1978" w:type="dxa"/>
            <w:shd w:val="clear" w:color="auto" w:fill="FFFFFF" w:themeFill="background1"/>
          </w:tcPr>
          <w:p w14:paraId="5C732065" w14:textId="49C0B5F5" w:rsidR="00630B87" w:rsidRPr="006E02AA" w:rsidRDefault="00630B87" w:rsidP="00630B87">
            <w:pPr>
              <w:jc w:val="center"/>
              <w:rPr>
                <w:sz w:val="18"/>
                <w:szCs w:val="18"/>
              </w:rPr>
            </w:pPr>
            <w:r>
              <w:rPr>
                <w:sz w:val="18"/>
                <w:szCs w:val="18"/>
              </w:rPr>
              <w:t>NA</w:t>
            </w:r>
          </w:p>
        </w:tc>
      </w:tr>
      <w:tr w:rsidR="00630B87" w:rsidRPr="006E02AA" w14:paraId="783A22C3" w14:textId="77777777" w:rsidTr="00630B87">
        <w:tc>
          <w:tcPr>
            <w:tcW w:w="9061" w:type="dxa"/>
            <w:gridSpan w:val="5"/>
          </w:tcPr>
          <w:p w14:paraId="26D94509" w14:textId="4E35F3AA" w:rsidR="00630B87" w:rsidRPr="006E02AA" w:rsidRDefault="00630B87" w:rsidP="00630B87">
            <w:pPr>
              <w:rPr>
                <w:b/>
                <w:bCs/>
                <w:sz w:val="18"/>
                <w:szCs w:val="18"/>
              </w:rPr>
            </w:pPr>
            <w:r>
              <w:rPr>
                <w:b/>
                <w:bCs/>
                <w:sz w:val="18"/>
                <w:szCs w:val="18"/>
              </w:rPr>
              <w:t>Prospective studies embedded in a population-based screening program</w:t>
            </w:r>
          </w:p>
        </w:tc>
      </w:tr>
      <w:tr w:rsidR="00630B87" w:rsidRPr="006E02AA" w14:paraId="5376CD22" w14:textId="77777777" w:rsidTr="00630B87">
        <w:trPr>
          <w:tblHeader/>
        </w:trPr>
        <w:tc>
          <w:tcPr>
            <w:tcW w:w="1151" w:type="dxa"/>
            <w:shd w:val="clear" w:color="auto" w:fill="FFFFFF" w:themeFill="background1"/>
          </w:tcPr>
          <w:p w14:paraId="7139D54E" w14:textId="77777777" w:rsidR="00630B87" w:rsidRDefault="00630B87" w:rsidP="00630B87">
            <w:pPr>
              <w:pStyle w:val="BodyText"/>
              <w:spacing w:before="0" w:after="0" w:line="240" w:lineRule="auto"/>
              <w:jc w:val="left"/>
              <w:rPr>
                <w:rFonts w:cstheme="majorHAnsi"/>
                <w:bCs/>
                <w:sz w:val="18"/>
                <w:szCs w:val="18"/>
              </w:rPr>
            </w:pPr>
            <w:r w:rsidRPr="00726018">
              <w:rPr>
                <w:rFonts w:cstheme="majorHAnsi"/>
                <w:bCs/>
                <w:sz w:val="18"/>
                <w:szCs w:val="18"/>
              </w:rPr>
              <w:t>Houssami et al. (2019)</w:t>
            </w:r>
          </w:p>
          <w:p w14:paraId="52B9046D" w14:textId="77777777" w:rsidR="00630B87" w:rsidRPr="00726018" w:rsidRDefault="00630B87" w:rsidP="00630B87">
            <w:pPr>
              <w:pStyle w:val="BodyText"/>
              <w:spacing w:before="0" w:after="0" w:line="240" w:lineRule="auto"/>
              <w:jc w:val="left"/>
              <w:rPr>
                <w:rFonts w:cstheme="majorHAnsi"/>
                <w:bCs/>
                <w:sz w:val="18"/>
                <w:szCs w:val="18"/>
              </w:rPr>
            </w:pPr>
            <w:r w:rsidRPr="00E60971">
              <w:rPr>
                <w:rFonts w:cstheme="majorHAnsi"/>
                <w:bCs/>
                <w:sz w:val="18"/>
                <w:szCs w:val="18"/>
              </w:rPr>
              <w:t>Maroondah</w:t>
            </w:r>
          </w:p>
        </w:tc>
        <w:tc>
          <w:tcPr>
            <w:tcW w:w="1977" w:type="dxa"/>
            <w:shd w:val="clear" w:color="auto" w:fill="FFFFFF" w:themeFill="background1"/>
          </w:tcPr>
          <w:p w14:paraId="1EEBA370" w14:textId="293875FE" w:rsidR="00630B87" w:rsidRPr="009A782D" w:rsidRDefault="00630B87" w:rsidP="00630B87">
            <w:pPr>
              <w:pStyle w:val="BodyText"/>
              <w:spacing w:before="0" w:after="0" w:line="240" w:lineRule="auto"/>
              <w:jc w:val="left"/>
              <w:rPr>
                <w:rFonts w:cstheme="majorHAnsi"/>
                <w:bCs/>
                <w:sz w:val="18"/>
                <w:szCs w:val="18"/>
              </w:rPr>
            </w:pPr>
            <w:r w:rsidRPr="00630B87">
              <w:rPr>
                <w:rFonts w:cstheme="majorHAnsi"/>
                <w:bCs/>
                <w:sz w:val="18"/>
                <w:szCs w:val="18"/>
              </w:rPr>
              <w:t xml:space="preserve">Initial read: 130 sec </w:t>
            </w:r>
            <w:r>
              <w:rPr>
                <w:rFonts w:cstheme="majorHAnsi"/>
                <w:bCs/>
                <w:sz w:val="18"/>
                <w:szCs w:val="18"/>
              </w:rPr>
              <w:t>(m</w:t>
            </w:r>
            <w:r w:rsidRPr="00630B87">
              <w:rPr>
                <w:rFonts w:cstheme="majorHAnsi"/>
                <w:bCs/>
                <w:sz w:val="18"/>
                <w:szCs w:val="18"/>
              </w:rPr>
              <w:t>edian</w:t>
            </w:r>
            <w:r>
              <w:rPr>
                <w:rFonts w:cstheme="majorHAnsi"/>
                <w:bCs/>
                <w:sz w:val="18"/>
                <w:szCs w:val="18"/>
              </w:rPr>
              <w:t xml:space="preserve">: </w:t>
            </w:r>
            <w:r w:rsidRPr="00630B87">
              <w:rPr>
                <w:rFonts w:cstheme="majorHAnsi"/>
                <w:bCs/>
                <w:sz w:val="18"/>
                <w:szCs w:val="18"/>
              </w:rPr>
              <w:t>1 min 7</w:t>
            </w:r>
            <w:r>
              <w:rPr>
                <w:rFonts w:cstheme="majorHAnsi"/>
                <w:bCs/>
                <w:sz w:val="18"/>
                <w:szCs w:val="18"/>
              </w:rPr>
              <w:t xml:space="preserve"> </w:t>
            </w:r>
            <w:r w:rsidRPr="00630B87">
              <w:rPr>
                <w:rFonts w:cstheme="majorHAnsi"/>
                <w:bCs/>
                <w:sz w:val="18"/>
                <w:szCs w:val="18"/>
              </w:rPr>
              <w:t>s</w:t>
            </w:r>
            <w:r>
              <w:rPr>
                <w:rFonts w:cstheme="majorHAnsi"/>
                <w:bCs/>
                <w:sz w:val="18"/>
                <w:szCs w:val="18"/>
              </w:rPr>
              <w:t>ec</w:t>
            </w:r>
            <w:r w:rsidRPr="00630B87">
              <w:rPr>
                <w:rFonts w:cstheme="majorHAnsi"/>
                <w:bCs/>
                <w:sz w:val="18"/>
                <w:szCs w:val="18"/>
              </w:rPr>
              <w:t xml:space="preserve"> (IQR) 46–105)</w:t>
            </w:r>
          </w:p>
        </w:tc>
        <w:tc>
          <w:tcPr>
            <w:tcW w:w="1978" w:type="dxa"/>
            <w:shd w:val="clear" w:color="auto" w:fill="FFFFFF" w:themeFill="background1"/>
          </w:tcPr>
          <w:p w14:paraId="50E9D15C" w14:textId="28463A54" w:rsidR="00630B87" w:rsidRPr="009A782D" w:rsidRDefault="00630B87" w:rsidP="00630B87">
            <w:pPr>
              <w:pStyle w:val="BodyText"/>
              <w:spacing w:before="0" w:after="0" w:line="240" w:lineRule="auto"/>
              <w:jc w:val="left"/>
              <w:rPr>
                <w:rFonts w:cstheme="majorHAnsi"/>
                <w:bCs/>
                <w:sz w:val="18"/>
                <w:szCs w:val="18"/>
              </w:rPr>
            </w:pPr>
            <w:r w:rsidRPr="00630B87">
              <w:rPr>
                <w:rFonts w:cstheme="majorHAnsi"/>
                <w:bCs/>
                <w:sz w:val="18"/>
                <w:szCs w:val="18"/>
              </w:rPr>
              <w:t xml:space="preserve">Initial </w:t>
            </w:r>
            <w:r>
              <w:rPr>
                <w:rFonts w:cstheme="majorHAnsi"/>
                <w:bCs/>
                <w:sz w:val="18"/>
                <w:szCs w:val="18"/>
              </w:rPr>
              <w:t xml:space="preserve">read: </w:t>
            </w:r>
            <w:r w:rsidRPr="00630B87">
              <w:rPr>
                <w:rFonts w:cstheme="majorHAnsi"/>
                <w:bCs/>
                <w:sz w:val="18"/>
                <w:szCs w:val="18"/>
              </w:rPr>
              <w:t>43</w:t>
            </w:r>
            <w:r>
              <w:rPr>
                <w:rFonts w:cstheme="majorHAnsi"/>
                <w:bCs/>
                <w:sz w:val="18"/>
                <w:szCs w:val="18"/>
              </w:rPr>
              <w:t xml:space="preserve"> </w:t>
            </w:r>
            <w:r w:rsidRPr="00630B87">
              <w:rPr>
                <w:rFonts w:cstheme="majorHAnsi"/>
                <w:bCs/>
                <w:sz w:val="18"/>
                <w:szCs w:val="18"/>
              </w:rPr>
              <w:t>s</w:t>
            </w:r>
            <w:r>
              <w:rPr>
                <w:rFonts w:cstheme="majorHAnsi"/>
                <w:bCs/>
                <w:sz w:val="18"/>
                <w:szCs w:val="18"/>
              </w:rPr>
              <w:t>ec</w:t>
            </w:r>
            <w:r w:rsidRPr="00630B87">
              <w:rPr>
                <w:rFonts w:cstheme="majorHAnsi"/>
                <w:bCs/>
                <w:sz w:val="18"/>
                <w:szCs w:val="18"/>
              </w:rPr>
              <w:t xml:space="preserve"> (</w:t>
            </w:r>
            <w:r>
              <w:rPr>
                <w:rFonts w:cstheme="majorHAnsi"/>
                <w:bCs/>
                <w:sz w:val="18"/>
                <w:szCs w:val="18"/>
              </w:rPr>
              <w:t>m</w:t>
            </w:r>
            <w:r w:rsidRPr="00630B87">
              <w:rPr>
                <w:rFonts w:cstheme="majorHAnsi"/>
                <w:bCs/>
                <w:sz w:val="18"/>
                <w:szCs w:val="18"/>
              </w:rPr>
              <w:t>edian</w:t>
            </w:r>
            <w:r>
              <w:rPr>
                <w:rFonts w:cstheme="majorHAnsi"/>
                <w:bCs/>
                <w:sz w:val="18"/>
                <w:szCs w:val="18"/>
              </w:rPr>
              <w:t xml:space="preserve">: </w:t>
            </w:r>
            <w:r w:rsidRPr="00630B87">
              <w:rPr>
                <w:rFonts w:cstheme="majorHAnsi"/>
                <w:bCs/>
                <w:sz w:val="18"/>
                <w:szCs w:val="18"/>
              </w:rPr>
              <w:t>16</w:t>
            </w:r>
            <w:r>
              <w:rPr>
                <w:rFonts w:cstheme="majorHAnsi"/>
                <w:bCs/>
                <w:sz w:val="18"/>
                <w:szCs w:val="18"/>
              </w:rPr>
              <w:t xml:space="preserve"> </w:t>
            </w:r>
            <w:r w:rsidRPr="00630B87">
              <w:rPr>
                <w:rFonts w:cstheme="majorHAnsi"/>
                <w:bCs/>
                <w:sz w:val="18"/>
                <w:szCs w:val="18"/>
              </w:rPr>
              <w:t>s</w:t>
            </w:r>
            <w:r>
              <w:rPr>
                <w:rFonts w:cstheme="majorHAnsi"/>
                <w:bCs/>
                <w:sz w:val="18"/>
                <w:szCs w:val="18"/>
              </w:rPr>
              <w:t>ec</w:t>
            </w:r>
            <w:r w:rsidRPr="00630B87">
              <w:rPr>
                <w:rFonts w:cstheme="majorHAnsi"/>
                <w:bCs/>
                <w:sz w:val="18"/>
                <w:szCs w:val="18"/>
              </w:rPr>
              <w:t xml:space="preserve"> (IQR, 10–29)</w:t>
            </w:r>
          </w:p>
        </w:tc>
        <w:tc>
          <w:tcPr>
            <w:tcW w:w="1977" w:type="dxa"/>
            <w:shd w:val="clear" w:color="auto" w:fill="FFFFFF" w:themeFill="background1"/>
          </w:tcPr>
          <w:p w14:paraId="35118FD0" w14:textId="0B363BAE" w:rsidR="00630B87" w:rsidRPr="006E02AA" w:rsidRDefault="00630B87" w:rsidP="00630B87">
            <w:pPr>
              <w:jc w:val="center"/>
              <w:rPr>
                <w:sz w:val="18"/>
                <w:szCs w:val="18"/>
              </w:rPr>
            </w:pPr>
            <w:r>
              <w:rPr>
                <w:sz w:val="18"/>
                <w:szCs w:val="18"/>
              </w:rPr>
              <w:t>NA</w:t>
            </w:r>
          </w:p>
        </w:tc>
        <w:tc>
          <w:tcPr>
            <w:tcW w:w="1978" w:type="dxa"/>
            <w:shd w:val="clear" w:color="auto" w:fill="FFFFFF" w:themeFill="background1"/>
          </w:tcPr>
          <w:p w14:paraId="7DC6ECC9" w14:textId="3A9C46B2" w:rsidR="00630B87" w:rsidRPr="006E02AA" w:rsidRDefault="00630B87" w:rsidP="00630B87">
            <w:pPr>
              <w:jc w:val="center"/>
              <w:rPr>
                <w:sz w:val="18"/>
                <w:szCs w:val="18"/>
              </w:rPr>
            </w:pPr>
            <w:r>
              <w:rPr>
                <w:sz w:val="18"/>
                <w:szCs w:val="18"/>
              </w:rPr>
              <w:t>NA</w:t>
            </w:r>
          </w:p>
        </w:tc>
      </w:tr>
      <w:tr w:rsidR="00630B87" w:rsidRPr="006E02AA" w14:paraId="2D55510F" w14:textId="77777777" w:rsidTr="00630B87">
        <w:trPr>
          <w:tblHeader/>
        </w:trPr>
        <w:tc>
          <w:tcPr>
            <w:tcW w:w="1151" w:type="dxa"/>
            <w:shd w:val="clear" w:color="auto" w:fill="FFFFFF" w:themeFill="background1"/>
          </w:tcPr>
          <w:p w14:paraId="02A445EC" w14:textId="7009DF0F" w:rsidR="00630B87" w:rsidRDefault="00630B87" w:rsidP="00630B87">
            <w:pPr>
              <w:pStyle w:val="BodyText"/>
              <w:spacing w:before="0" w:after="0" w:line="240" w:lineRule="auto"/>
              <w:jc w:val="left"/>
              <w:rPr>
                <w:rFonts w:cstheme="majorHAnsi"/>
                <w:bCs/>
                <w:sz w:val="18"/>
                <w:szCs w:val="18"/>
              </w:rPr>
            </w:pPr>
            <w:r w:rsidRPr="00874200">
              <w:rPr>
                <w:rFonts w:cstheme="majorHAnsi"/>
                <w:bCs/>
                <w:sz w:val="18"/>
                <w:szCs w:val="18"/>
              </w:rPr>
              <w:t>Caumo</w:t>
            </w:r>
            <w:r>
              <w:rPr>
                <w:rFonts w:cstheme="majorHAnsi"/>
                <w:bCs/>
                <w:sz w:val="18"/>
                <w:szCs w:val="18"/>
              </w:rPr>
              <w:t xml:space="preserve"> et al. </w:t>
            </w:r>
            <w:r w:rsidRPr="00874200">
              <w:rPr>
                <w:rFonts w:cstheme="majorHAnsi"/>
                <w:bCs/>
                <w:sz w:val="18"/>
                <w:szCs w:val="18"/>
              </w:rPr>
              <w:t>(2018)</w:t>
            </w:r>
          </w:p>
          <w:p w14:paraId="1611C547" w14:textId="1D378D43" w:rsidR="00630B87" w:rsidRPr="00726018" w:rsidRDefault="00630B87" w:rsidP="00630B87">
            <w:pPr>
              <w:pStyle w:val="BodyText"/>
              <w:spacing w:before="0" w:after="0" w:line="240" w:lineRule="auto"/>
              <w:jc w:val="left"/>
              <w:rPr>
                <w:rFonts w:cstheme="majorHAnsi"/>
                <w:bCs/>
                <w:sz w:val="18"/>
                <w:szCs w:val="18"/>
              </w:rPr>
            </w:pPr>
            <w:r>
              <w:rPr>
                <w:rFonts w:cstheme="majorHAnsi"/>
                <w:bCs/>
                <w:sz w:val="18"/>
                <w:szCs w:val="18"/>
              </w:rPr>
              <w:t>Verona</w:t>
            </w:r>
          </w:p>
        </w:tc>
        <w:tc>
          <w:tcPr>
            <w:tcW w:w="1977" w:type="dxa"/>
            <w:shd w:val="clear" w:color="auto" w:fill="FFFFFF" w:themeFill="background1"/>
          </w:tcPr>
          <w:p w14:paraId="634331D1" w14:textId="27856F54"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38.5 interpretations per hour</w:t>
            </w:r>
          </w:p>
          <w:p w14:paraId="42C9F2D5" w14:textId="77777777" w:rsidR="00630B87" w:rsidRPr="009A782D" w:rsidRDefault="00630B87" w:rsidP="00630B87">
            <w:pPr>
              <w:pStyle w:val="BodyText"/>
              <w:spacing w:before="0" w:after="0" w:line="240" w:lineRule="auto"/>
              <w:jc w:val="left"/>
              <w:rPr>
                <w:rFonts w:cstheme="majorHAnsi"/>
                <w:bCs/>
                <w:sz w:val="18"/>
                <w:szCs w:val="18"/>
              </w:rPr>
            </w:pPr>
          </w:p>
        </w:tc>
        <w:tc>
          <w:tcPr>
            <w:tcW w:w="1978" w:type="dxa"/>
            <w:shd w:val="clear" w:color="auto" w:fill="FFFFFF" w:themeFill="background1"/>
          </w:tcPr>
          <w:p w14:paraId="23DB1A1C" w14:textId="77777777"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60 interpretations per hour</w:t>
            </w:r>
          </w:p>
          <w:p w14:paraId="5875BE81" w14:textId="77777777" w:rsidR="00630B87" w:rsidRPr="009A782D" w:rsidRDefault="00630B87" w:rsidP="00630B87">
            <w:pPr>
              <w:pStyle w:val="BodyText"/>
              <w:spacing w:before="0" w:after="0" w:line="240" w:lineRule="auto"/>
              <w:jc w:val="left"/>
              <w:rPr>
                <w:rFonts w:cstheme="majorHAnsi"/>
                <w:bCs/>
                <w:sz w:val="18"/>
                <w:szCs w:val="18"/>
              </w:rPr>
            </w:pPr>
          </w:p>
        </w:tc>
        <w:tc>
          <w:tcPr>
            <w:tcW w:w="1977" w:type="dxa"/>
            <w:shd w:val="clear" w:color="auto" w:fill="FFFFFF" w:themeFill="background1"/>
          </w:tcPr>
          <w:p w14:paraId="381A2EA2" w14:textId="3AE54799" w:rsidR="00630B87" w:rsidRPr="006E02AA" w:rsidRDefault="00630B87" w:rsidP="00630B87">
            <w:pPr>
              <w:jc w:val="center"/>
              <w:rPr>
                <w:sz w:val="18"/>
                <w:szCs w:val="18"/>
              </w:rPr>
            </w:pPr>
            <w:r>
              <w:rPr>
                <w:sz w:val="18"/>
                <w:szCs w:val="18"/>
              </w:rPr>
              <w:t>NA</w:t>
            </w:r>
          </w:p>
        </w:tc>
        <w:tc>
          <w:tcPr>
            <w:tcW w:w="1978" w:type="dxa"/>
            <w:shd w:val="clear" w:color="auto" w:fill="FFFFFF" w:themeFill="background1"/>
          </w:tcPr>
          <w:p w14:paraId="5F7BD989" w14:textId="08F88324" w:rsidR="00630B87" w:rsidRPr="006E02AA" w:rsidRDefault="00630B87" w:rsidP="00630B87">
            <w:pPr>
              <w:jc w:val="center"/>
              <w:rPr>
                <w:sz w:val="18"/>
                <w:szCs w:val="18"/>
              </w:rPr>
            </w:pPr>
            <w:r>
              <w:rPr>
                <w:sz w:val="18"/>
                <w:szCs w:val="18"/>
              </w:rPr>
              <w:t>NA</w:t>
            </w:r>
          </w:p>
        </w:tc>
      </w:tr>
      <w:tr w:rsidR="00630B87" w:rsidRPr="006E02AA" w14:paraId="7A7DCB38" w14:textId="77777777" w:rsidTr="00630B87">
        <w:trPr>
          <w:tblHeader/>
        </w:trPr>
        <w:tc>
          <w:tcPr>
            <w:tcW w:w="1151" w:type="dxa"/>
            <w:shd w:val="clear" w:color="auto" w:fill="FFFFFF" w:themeFill="background1"/>
          </w:tcPr>
          <w:p w14:paraId="6046A1EA" w14:textId="4E460BCC" w:rsidR="00630B87" w:rsidRDefault="00630B87" w:rsidP="00630B87">
            <w:pPr>
              <w:pStyle w:val="BodyText"/>
              <w:spacing w:before="0" w:after="0" w:line="240" w:lineRule="auto"/>
              <w:jc w:val="left"/>
              <w:rPr>
                <w:rFonts w:cstheme="majorHAnsi"/>
                <w:bCs/>
                <w:sz w:val="18"/>
                <w:szCs w:val="18"/>
              </w:rPr>
            </w:pPr>
            <w:r w:rsidRPr="000A7866">
              <w:rPr>
                <w:rFonts w:cstheme="majorHAnsi"/>
                <w:bCs/>
                <w:sz w:val="18"/>
                <w:szCs w:val="18"/>
              </w:rPr>
              <w:t>Romero Mart</w:t>
            </w:r>
            <w:r>
              <w:rPr>
                <w:rFonts w:cstheme="majorHAnsi"/>
                <w:bCs/>
                <w:sz w:val="18"/>
                <w:szCs w:val="18"/>
              </w:rPr>
              <w:t>í</w:t>
            </w:r>
            <w:r w:rsidRPr="000A7866">
              <w:rPr>
                <w:rFonts w:cstheme="majorHAnsi"/>
                <w:bCs/>
                <w:sz w:val="18"/>
                <w:szCs w:val="18"/>
              </w:rPr>
              <w:t>n et al</w:t>
            </w:r>
            <w:r>
              <w:rPr>
                <w:rFonts w:cstheme="majorHAnsi"/>
                <w:bCs/>
                <w:sz w:val="18"/>
                <w:szCs w:val="18"/>
              </w:rPr>
              <w:t>.</w:t>
            </w:r>
            <w:r w:rsidRPr="000A7866">
              <w:rPr>
                <w:rFonts w:cstheme="majorHAnsi"/>
                <w:bCs/>
                <w:sz w:val="18"/>
                <w:szCs w:val="18"/>
              </w:rPr>
              <w:t xml:space="preserve"> (2018)</w:t>
            </w:r>
            <w:r>
              <w:rPr>
                <w:rFonts w:cstheme="majorHAnsi"/>
                <w:bCs/>
                <w:sz w:val="18"/>
                <w:szCs w:val="18"/>
              </w:rPr>
              <w:t xml:space="preserve"> </w:t>
            </w:r>
          </w:p>
          <w:p w14:paraId="6938973C" w14:textId="10BE7FD4" w:rsidR="00630B87" w:rsidRPr="00726018" w:rsidRDefault="00630B87" w:rsidP="00630B87">
            <w:pPr>
              <w:pStyle w:val="BodyText"/>
              <w:spacing w:before="0" w:after="0" w:line="240" w:lineRule="auto"/>
              <w:jc w:val="left"/>
              <w:rPr>
                <w:rFonts w:cstheme="majorHAnsi"/>
                <w:bCs/>
                <w:sz w:val="18"/>
                <w:szCs w:val="18"/>
              </w:rPr>
            </w:pPr>
            <w:r w:rsidRPr="000A7866">
              <w:rPr>
                <w:rFonts w:cstheme="majorHAnsi"/>
                <w:bCs/>
                <w:sz w:val="18"/>
                <w:szCs w:val="18"/>
              </w:rPr>
              <w:t>Cordoba</w:t>
            </w:r>
          </w:p>
        </w:tc>
        <w:tc>
          <w:tcPr>
            <w:tcW w:w="1977" w:type="dxa"/>
            <w:shd w:val="clear" w:color="auto" w:fill="FFFFFF" w:themeFill="background1"/>
          </w:tcPr>
          <w:p w14:paraId="31B1EDB1" w14:textId="692C8489" w:rsidR="00630B87" w:rsidRDefault="00630B87" w:rsidP="00630B87">
            <w:pPr>
              <w:pStyle w:val="BodyText"/>
              <w:spacing w:before="0" w:after="0" w:line="240" w:lineRule="auto"/>
              <w:jc w:val="left"/>
              <w:rPr>
                <w:rFonts w:cstheme="majorHAnsi"/>
                <w:bCs/>
                <w:sz w:val="18"/>
                <w:szCs w:val="18"/>
              </w:rPr>
            </w:pPr>
            <w:r w:rsidRPr="00630B87">
              <w:rPr>
                <w:rFonts w:cstheme="majorHAnsi"/>
                <w:bCs/>
                <w:sz w:val="18"/>
                <w:szCs w:val="18"/>
              </w:rPr>
              <w:t>Initial read:</w:t>
            </w:r>
            <w:r>
              <w:rPr>
                <w:rFonts w:cstheme="majorHAnsi"/>
                <w:bCs/>
                <w:sz w:val="18"/>
                <w:szCs w:val="18"/>
              </w:rPr>
              <w:t xml:space="preserve"> 6</w:t>
            </w:r>
            <w:r w:rsidRPr="009A782D">
              <w:rPr>
                <w:rFonts w:cstheme="majorHAnsi"/>
                <w:bCs/>
                <w:sz w:val="18"/>
                <w:szCs w:val="18"/>
              </w:rPr>
              <w:t>1</w:t>
            </w:r>
            <w:r>
              <w:rPr>
                <w:rFonts w:cstheme="majorHAnsi"/>
                <w:bCs/>
                <w:sz w:val="18"/>
                <w:szCs w:val="18"/>
              </w:rPr>
              <w:t xml:space="preserve"> </w:t>
            </w:r>
            <w:r w:rsidRPr="009A782D">
              <w:rPr>
                <w:rFonts w:cstheme="majorHAnsi"/>
                <w:bCs/>
                <w:sz w:val="18"/>
                <w:szCs w:val="18"/>
              </w:rPr>
              <w:t>s</w:t>
            </w:r>
            <w:r>
              <w:rPr>
                <w:rFonts w:cstheme="majorHAnsi"/>
                <w:bCs/>
                <w:sz w:val="18"/>
                <w:szCs w:val="18"/>
              </w:rPr>
              <w:t>ec</w:t>
            </w:r>
          </w:p>
          <w:p w14:paraId="3B0EB662" w14:textId="77777777" w:rsidR="00630B87" w:rsidRPr="009A782D" w:rsidRDefault="00630B87" w:rsidP="00630B87">
            <w:pPr>
              <w:pStyle w:val="BodyText"/>
              <w:spacing w:before="0" w:after="0" w:line="240" w:lineRule="auto"/>
              <w:jc w:val="left"/>
              <w:rPr>
                <w:rFonts w:cstheme="majorHAnsi"/>
                <w:bCs/>
                <w:sz w:val="18"/>
                <w:szCs w:val="18"/>
              </w:rPr>
            </w:pPr>
          </w:p>
        </w:tc>
        <w:tc>
          <w:tcPr>
            <w:tcW w:w="1978" w:type="dxa"/>
            <w:shd w:val="clear" w:color="auto" w:fill="FFFFFF" w:themeFill="background1"/>
          </w:tcPr>
          <w:p w14:paraId="00BCF4C0" w14:textId="3367AED6" w:rsidR="00630B87" w:rsidRPr="009A782D" w:rsidRDefault="00630B87" w:rsidP="00630B87">
            <w:pPr>
              <w:pStyle w:val="BodyText"/>
              <w:spacing w:before="0" w:after="0" w:line="240" w:lineRule="auto"/>
              <w:jc w:val="left"/>
              <w:rPr>
                <w:rFonts w:cstheme="majorHAnsi"/>
                <w:bCs/>
                <w:sz w:val="18"/>
                <w:szCs w:val="18"/>
              </w:rPr>
            </w:pPr>
            <w:r w:rsidRPr="009A782D">
              <w:rPr>
                <w:rFonts w:cstheme="majorHAnsi"/>
                <w:bCs/>
                <w:sz w:val="18"/>
                <w:szCs w:val="18"/>
              </w:rPr>
              <w:t xml:space="preserve">Initial </w:t>
            </w:r>
            <w:r>
              <w:rPr>
                <w:rFonts w:cstheme="majorHAnsi"/>
                <w:bCs/>
                <w:sz w:val="18"/>
                <w:szCs w:val="18"/>
              </w:rPr>
              <w:t xml:space="preserve">read: </w:t>
            </w:r>
            <w:r w:rsidRPr="009A782D">
              <w:rPr>
                <w:rFonts w:cstheme="majorHAnsi"/>
                <w:bCs/>
                <w:sz w:val="18"/>
                <w:szCs w:val="18"/>
              </w:rPr>
              <w:t>25 s</w:t>
            </w:r>
            <w:r>
              <w:rPr>
                <w:rFonts w:cstheme="majorHAnsi"/>
                <w:bCs/>
                <w:sz w:val="18"/>
                <w:szCs w:val="18"/>
              </w:rPr>
              <w:t>ec</w:t>
            </w:r>
          </w:p>
          <w:p w14:paraId="3E77A26C" w14:textId="77777777" w:rsidR="00630B87" w:rsidRPr="009A782D" w:rsidRDefault="00630B87" w:rsidP="00630B87">
            <w:pPr>
              <w:pStyle w:val="BodyText"/>
              <w:spacing w:before="0" w:after="0" w:line="240" w:lineRule="auto"/>
              <w:jc w:val="left"/>
              <w:rPr>
                <w:rFonts w:cstheme="majorHAnsi"/>
                <w:bCs/>
                <w:sz w:val="18"/>
                <w:szCs w:val="18"/>
              </w:rPr>
            </w:pPr>
          </w:p>
        </w:tc>
        <w:tc>
          <w:tcPr>
            <w:tcW w:w="1977" w:type="dxa"/>
            <w:shd w:val="clear" w:color="auto" w:fill="FFFFFF" w:themeFill="background1"/>
          </w:tcPr>
          <w:p w14:paraId="0E9ED464" w14:textId="76ED8212" w:rsidR="00630B87" w:rsidRPr="006E02AA" w:rsidRDefault="00630B87" w:rsidP="00630B87">
            <w:pPr>
              <w:jc w:val="center"/>
              <w:rPr>
                <w:sz w:val="18"/>
                <w:szCs w:val="18"/>
              </w:rPr>
            </w:pPr>
            <w:r>
              <w:rPr>
                <w:sz w:val="18"/>
                <w:szCs w:val="18"/>
              </w:rPr>
              <w:t>NA</w:t>
            </w:r>
          </w:p>
        </w:tc>
        <w:tc>
          <w:tcPr>
            <w:tcW w:w="1978" w:type="dxa"/>
            <w:shd w:val="clear" w:color="auto" w:fill="FFFFFF" w:themeFill="background1"/>
          </w:tcPr>
          <w:p w14:paraId="7E46BAEB" w14:textId="10A3F549" w:rsidR="00630B87" w:rsidRPr="006E02AA" w:rsidRDefault="00630B87" w:rsidP="00630B87">
            <w:pPr>
              <w:jc w:val="center"/>
              <w:rPr>
                <w:sz w:val="18"/>
                <w:szCs w:val="18"/>
              </w:rPr>
            </w:pPr>
            <w:r>
              <w:rPr>
                <w:sz w:val="18"/>
                <w:szCs w:val="18"/>
              </w:rPr>
              <w:t>NA</w:t>
            </w:r>
          </w:p>
        </w:tc>
      </w:tr>
      <w:tr w:rsidR="00630B87" w:rsidRPr="006E02AA" w14:paraId="34DACADA" w14:textId="77777777" w:rsidTr="00630B87">
        <w:tc>
          <w:tcPr>
            <w:tcW w:w="9061" w:type="dxa"/>
            <w:gridSpan w:val="5"/>
            <w:shd w:val="clear" w:color="auto" w:fill="E7FFBD" w:themeFill="background2" w:themeFillTint="33"/>
          </w:tcPr>
          <w:p w14:paraId="0CABC615" w14:textId="58967887" w:rsidR="00630B87" w:rsidRPr="006E02AA" w:rsidRDefault="00630B87" w:rsidP="00630B87">
            <w:pPr>
              <w:jc w:val="center"/>
              <w:rPr>
                <w:sz w:val="18"/>
                <w:szCs w:val="18"/>
              </w:rPr>
            </w:pPr>
            <w:r>
              <w:rPr>
                <w:sz w:val="18"/>
                <w:szCs w:val="18"/>
              </w:rPr>
              <w:t xml:space="preserve">FFDM+DBT </w:t>
            </w:r>
            <w:r w:rsidRPr="006E02AA">
              <w:rPr>
                <w:sz w:val="18"/>
                <w:szCs w:val="18"/>
              </w:rPr>
              <w:t>compared to FFDM alone</w:t>
            </w:r>
          </w:p>
        </w:tc>
      </w:tr>
      <w:tr w:rsidR="00630B87" w:rsidRPr="006E02AA" w14:paraId="768CED3D" w14:textId="77777777" w:rsidTr="00630B87">
        <w:tc>
          <w:tcPr>
            <w:tcW w:w="9061" w:type="dxa"/>
            <w:gridSpan w:val="5"/>
          </w:tcPr>
          <w:p w14:paraId="6BE62100" w14:textId="77777777" w:rsidR="00630B87" w:rsidRPr="006E02AA" w:rsidRDefault="00630B87" w:rsidP="00630B87">
            <w:pPr>
              <w:rPr>
                <w:b/>
                <w:bCs/>
                <w:sz w:val="18"/>
                <w:szCs w:val="18"/>
              </w:rPr>
            </w:pPr>
            <w:r w:rsidRPr="006E02AA">
              <w:rPr>
                <w:b/>
                <w:bCs/>
                <w:sz w:val="18"/>
                <w:szCs w:val="18"/>
              </w:rPr>
              <w:t>RCT</w:t>
            </w:r>
          </w:p>
        </w:tc>
      </w:tr>
      <w:tr w:rsidR="00AF6DF3" w:rsidRPr="006E02AA" w14:paraId="3D511D03" w14:textId="77777777" w:rsidTr="00630B87">
        <w:trPr>
          <w:tblHeader/>
        </w:trPr>
        <w:tc>
          <w:tcPr>
            <w:tcW w:w="1151" w:type="dxa"/>
            <w:shd w:val="clear" w:color="auto" w:fill="FFFFFF" w:themeFill="background1"/>
          </w:tcPr>
          <w:p w14:paraId="00B6ACCB" w14:textId="216963E2" w:rsidR="00AF6DF3" w:rsidRPr="00726018" w:rsidRDefault="00AF6DF3" w:rsidP="00AF6DF3">
            <w:pPr>
              <w:pStyle w:val="BodyText"/>
              <w:spacing w:before="0" w:after="0" w:line="240" w:lineRule="auto"/>
              <w:jc w:val="left"/>
              <w:rPr>
                <w:rFonts w:cstheme="majorHAnsi"/>
                <w:bCs/>
                <w:sz w:val="18"/>
                <w:szCs w:val="18"/>
              </w:rPr>
            </w:pPr>
            <w:r w:rsidRPr="00726018">
              <w:rPr>
                <w:rFonts w:cstheme="majorHAnsi"/>
                <w:bCs/>
                <w:sz w:val="18"/>
                <w:szCs w:val="18"/>
              </w:rPr>
              <w:t>Pattacini et al. (2018)</w:t>
            </w:r>
          </w:p>
          <w:p w14:paraId="29FA225F" w14:textId="0189F623" w:rsidR="00AF6DF3" w:rsidRPr="00726018" w:rsidRDefault="00AF6DF3" w:rsidP="00AF6DF3">
            <w:pPr>
              <w:pStyle w:val="BodyText"/>
              <w:spacing w:before="0" w:after="0" w:line="240" w:lineRule="auto"/>
              <w:jc w:val="left"/>
              <w:rPr>
                <w:rFonts w:cstheme="majorHAnsi"/>
                <w:bCs/>
                <w:sz w:val="18"/>
                <w:szCs w:val="18"/>
              </w:rPr>
            </w:pPr>
            <w:r>
              <w:rPr>
                <w:rFonts w:cstheme="majorHAnsi"/>
                <w:bCs/>
                <w:sz w:val="18"/>
                <w:szCs w:val="18"/>
              </w:rPr>
              <w:t>Reggio Emilia</w:t>
            </w:r>
          </w:p>
        </w:tc>
        <w:tc>
          <w:tcPr>
            <w:tcW w:w="1977" w:type="dxa"/>
            <w:shd w:val="clear" w:color="auto" w:fill="FFFFFF" w:themeFill="background1"/>
          </w:tcPr>
          <w:p w14:paraId="7C0557FF" w14:textId="695A16FD" w:rsidR="00AF6DF3" w:rsidRPr="009A782D" w:rsidRDefault="00AF6DF3" w:rsidP="00AF6DF3">
            <w:pPr>
              <w:pStyle w:val="BodyText"/>
              <w:spacing w:before="0" w:after="0" w:line="240" w:lineRule="auto"/>
              <w:jc w:val="center"/>
              <w:rPr>
                <w:rFonts w:cstheme="majorHAnsi"/>
                <w:bCs/>
                <w:sz w:val="18"/>
                <w:szCs w:val="18"/>
              </w:rPr>
            </w:pPr>
            <w:r>
              <w:rPr>
                <w:rFonts w:cstheme="majorHAnsi"/>
                <w:bCs/>
                <w:sz w:val="18"/>
                <w:szCs w:val="18"/>
              </w:rPr>
              <w:t>NA</w:t>
            </w:r>
          </w:p>
        </w:tc>
        <w:tc>
          <w:tcPr>
            <w:tcW w:w="1978" w:type="dxa"/>
            <w:shd w:val="clear" w:color="auto" w:fill="FFFFFF" w:themeFill="background1"/>
          </w:tcPr>
          <w:p w14:paraId="568FE161" w14:textId="151A5668" w:rsidR="00AF6DF3" w:rsidRPr="003E389C" w:rsidRDefault="00AF6DF3" w:rsidP="00AF6DF3">
            <w:pPr>
              <w:pStyle w:val="BodyText"/>
              <w:spacing w:before="0" w:after="0" w:line="240" w:lineRule="auto"/>
              <w:jc w:val="left"/>
              <w:rPr>
                <w:rFonts w:cstheme="majorHAnsi"/>
                <w:sz w:val="18"/>
                <w:szCs w:val="18"/>
              </w:rPr>
            </w:pPr>
            <w:r w:rsidRPr="003E389C">
              <w:rPr>
                <w:rFonts w:cstheme="majorHAnsi"/>
                <w:sz w:val="18"/>
                <w:szCs w:val="18"/>
              </w:rPr>
              <w:t>-ve results</w:t>
            </w:r>
            <w:r>
              <w:rPr>
                <w:rFonts w:cstheme="majorHAnsi"/>
                <w:sz w:val="18"/>
                <w:szCs w:val="18"/>
              </w:rPr>
              <w:t>:</w:t>
            </w:r>
            <w:r w:rsidRPr="003E389C">
              <w:rPr>
                <w:rFonts w:cstheme="majorHAnsi"/>
                <w:sz w:val="18"/>
                <w:szCs w:val="18"/>
              </w:rPr>
              <w:t xml:space="preserve"> 56</w:t>
            </w:r>
            <w:r>
              <w:rPr>
                <w:rFonts w:cstheme="majorHAnsi"/>
                <w:sz w:val="18"/>
                <w:szCs w:val="18"/>
              </w:rPr>
              <w:t xml:space="preserve"> </w:t>
            </w:r>
            <w:r w:rsidRPr="003E389C">
              <w:rPr>
                <w:rFonts w:cstheme="majorHAnsi"/>
                <w:sz w:val="18"/>
                <w:szCs w:val="18"/>
              </w:rPr>
              <w:t>s</w:t>
            </w:r>
            <w:r>
              <w:rPr>
                <w:rFonts w:cstheme="majorHAnsi"/>
                <w:sz w:val="18"/>
                <w:szCs w:val="18"/>
              </w:rPr>
              <w:t>ec</w:t>
            </w:r>
            <w:r w:rsidRPr="003E389C">
              <w:rPr>
                <w:rFonts w:cstheme="majorHAnsi"/>
                <w:sz w:val="18"/>
                <w:szCs w:val="18"/>
              </w:rPr>
              <w:t xml:space="preserve"> (IQR, 43–77)</w:t>
            </w:r>
          </w:p>
          <w:p w14:paraId="740DC865" w14:textId="2796E6EB" w:rsidR="00AF6DF3" w:rsidRPr="009A782D" w:rsidRDefault="00AF6DF3" w:rsidP="00AF6DF3">
            <w:pPr>
              <w:pStyle w:val="BodyText"/>
              <w:spacing w:before="0" w:after="0" w:line="240" w:lineRule="auto"/>
              <w:jc w:val="left"/>
              <w:rPr>
                <w:rFonts w:cstheme="majorHAnsi"/>
                <w:bCs/>
                <w:sz w:val="18"/>
                <w:szCs w:val="18"/>
              </w:rPr>
            </w:pPr>
            <w:r w:rsidRPr="003E389C">
              <w:rPr>
                <w:rFonts w:cstheme="majorHAnsi"/>
                <w:sz w:val="18"/>
                <w:szCs w:val="18"/>
              </w:rPr>
              <w:t>Consensus</w:t>
            </w:r>
            <w:r>
              <w:rPr>
                <w:rFonts w:cstheme="majorHAnsi"/>
                <w:sz w:val="18"/>
                <w:szCs w:val="18"/>
              </w:rPr>
              <w:t xml:space="preserve">: </w:t>
            </w:r>
            <w:r w:rsidRPr="003E389C">
              <w:rPr>
                <w:rFonts w:cstheme="majorHAnsi"/>
                <w:sz w:val="18"/>
                <w:szCs w:val="18"/>
              </w:rPr>
              <w:t>114</w:t>
            </w:r>
            <w:r>
              <w:rPr>
                <w:rFonts w:cstheme="majorHAnsi"/>
                <w:sz w:val="18"/>
                <w:szCs w:val="18"/>
              </w:rPr>
              <w:t xml:space="preserve"> sec</w:t>
            </w:r>
            <w:r w:rsidRPr="003E389C">
              <w:rPr>
                <w:rFonts w:cstheme="majorHAnsi"/>
                <w:sz w:val="18"/>
                <w:szCs w:val="18"/>
              </w:rPr>
              <w:t xml:space="preserve"> (IQR, 67–176)</w:t>
            </w:r>
          </w:p>
        </w:tc>
        <w:tc>
          <w:tcPr>
            <w:tcW w:w="1977" w:type="dxa"/>
            <w:shd w:val="clear" w:color="auto" w:fill="FFFFFF" w:themeFill="background1"/>
          </w:tcPr>
          <w:p w14:paraId="1572DDCD" w14:textId="26228378" w:rsidR="00AF6DF3" w:rsidRPr="003E389C" w:rsidRDefault="00AF6DF3" w:rsidP="00AF6DF3">
            <w:pPr>
              <w:pStyle w:val="BodyText"/>
              <w:spacing w:before="0" w:after="0" w:line="240" w:lineRule="auto"/>
              <w:jc w:val="left"/>
              <w:rPr>
                <w:rFonts w:cstheme="majorHAnsi"/>
                <w:sz w:val="18"/>
                <w:szCs w:val="18"/>
              </w:rPr>
            </w:pPr>
            <w:r w:rsidRPr="003E389C">
              <w:rPr>
                <w:rFonts w:cstheme="majorHAnsi"/>
                <w:sz w:val="18"/>
                <w:szCs w:val="18"/>
              </w:rPr>
              <w:t>-ve results</w:t>
            </w:r>
            <w:r>
              <w:rPr>
                <w:rFonts w:cstheme="majorHAnsi"/>
                <w:sz w:val="18"/>
                <w:szCs w:val="18"/>
              </w:rPr>
              <w:t>:</w:t>
            </w:r>
            <w:r w:rsidRPr="003E389C">
              <w:rPr>
                <w:rFonts w:cstheme="majorHAnsi"/>
                <w:sz w:val="18"/>
                <w:szCs w:val="18"/>
              </w:rPr>
              <w:t xml:space="preserve"> 34</w:t>
            </w:r>
            <w:r>
              <w:rPr>
                <w:rFonts w:cstheme="majorHAnsi"/>
                <w:sz w:val="18"/>
                <w:szCs w:val="18"/>
              </w:rPr>
              <w:t xml:space="preserve"> </w:t>
            </w:r>
            <w:r w:rsidRPr="003E389C">
              <w:rPr>
                <w:rFonts w:cstheme="majorHAnsi"/>
                <w:sz w:val="18"/>
                <w:szCs w:val="18"/>
              </w:rPr>
              <w:t>s</w:t>
            </w:r>
            <w:r>
              <w:rPr>
                <w:rFonts w:cstheme="majorHAnsi"/>
                <w:sz w:val="18"/>
                <w:szCs w:val="18"/>
              </w:rPr>
              <w:t>ec</w:t>
            </w:r>
            <w:r w:rsidRPr="003E389C">
              <w:rPr>
                <w:rFonts w:cstheme="majorHAnsi"/>
                <w:sz w:val="18"/>
                <w:szCs w:val="18"/>
              </w:rPr>
              <w:t xml:space="preserve"> (IQR, 23–51) (</w:t>
            </w:r>
            <w:r>
              <w:rPr>
                <w:rFonts w:cstheme="majorHAnsi"/>
                <w:i/>
                <w:iCs/>
                <w:sz w:val="18"/>
                <w:szCs w:val="18"/>
              </w:rPr>
              <w:t>p=</w:t>
            </w:r>
            <w:r w:rsidRPr="003E389C">
              <w:rPr>
                <w:rFonts w:cstheme="majorHAnsi"/>
                <w:sz w:val="18"/>
                <w:szCs w:val="18"/>
              </w:rPr>
              <w:t xml:space="preserve">.01) </w:t>
            </w:r>
          </w:p>
          <w:p w14:paraId="4FCDC726" w14:textId="5944299F" w:rsidR="00AF6DF3" w:rsidRPr="00AF6DF3" w:rsidRDefault="00AF6DF3" w:rsidP="00AF6DF3">
            <w:pPr>
              <w:pStyle w:val="BodyText"/>
              <w:spacing w:before="0" w:after="0" w:line="240" w:lineRule="auto"/>
              <w:jc w:val="left"/>
              <w:rPr>
                <w:rFonts w:cstheme="majorHAnsi"/>
                <w:sz w:val="18"/>
                <w:szCs w:val="18"/>
              </w:rPr>
            </w:pPr>
            <w:r w:rsidRPr="003E389C">
              <w:rPr>
                <w:rFonts w:cstheme="majorHAnsi"/>
                <w:sz w:val="18"/>
                <w:szCs w:val="18"/>
              </w:rPr>
              <w:t>Consensus</w:t>
            </w:r>
            <w:r>
              <w:rPr>
                <w:rFonts w:cstheme="majorHAnsi"/>
                <w:sz w:val="18"/>
                <w:szCs w:val="18"/>
              </w:rPr>
              <w:t xml:space="preserve">: </w:t>
            </w:r>
            <w:r w:rsidRPr="003E389C">
              <w:rPr>
                <w:rFonts w:cstheme="majorHAnsi"/>
                <w:sz w:val="18"/>
                <w:szCs w:val="18"/>
              </w:rPr>
              <w:t>104 (IQR, 70–150) (</w:t>
            </w:r>
            <w:r>
              <w:rPr>
                <w:rFonts w:cstheme="majorHAnsi"/>
                <w:i/>
                <w:iCs/>
                <w:sz w:val="18"/>
                <w:szCs w:val="18"/>
              </w:rPr>
              <w:t>p</w:t>
            </w:r>
            <w:r w:rsidRPr="003E389C">
              <w:rPr>
                <w:rFonts w:cstheme="majorHAnsi"/>
                <w:sz w:val="18"/>
                <w:szCs w:val="18"/>
              </w:rPr>
              <w:t>=.54)</w:t>
            </w:r>
          </w:p>
        </w:tc>
        <w:tc>
          <w:tcPr>
            <w:tcW w:w="1978" w:type="dxa"/>
            <w:shd w:val="clear" w:color="auto" w:fill="FFFFFF" w:themeFill="background1"/>
          </w:tcPr>
          <w:p w14:paraId="245DCB68" w14:textId="69FF0354" w:rsidR="00AF6DF3" w:rsidRPr="006E02AA" w:rsidRDefault="00AF6DF3" w:rsidP="00AF6DF3">
            <w:pPr>
              <w:jc w:val="center"/>
              <w:rPr>
                <w:sz w:val="18"/>
                <w:szCs w:val="18"/>
              </w:rPr>
            </w:pPr>
            <w:r>
              <w:rPr>
                <w:sz w:val="18"/>
                <w:szCs w:val="18"/>
              </w:rPr>
              <w:t>NA</w:t>
            </w:r>
          </w:p>
        </w:tc>
      </w:tr>
      <w:tr w:rsidR="00AF6DF3" w:rsidRPr="006E02AA" w14:paraId="2A339CE0" w14:textId="77777777" w:rsidTr="00591C2B">
        <w:tc>
          <w:tcPr>
            <w:tcW w:w="9061" w:type="dxa"/>
            <w:gridSpan w:val="5"/>
            <w:shd w:val="clear" w:color="auto" w:fill="E7FFBD" w:themeFill="background2" w:themeFillTint="33"/>
          </w:tcPr>
          <w:p w14:paraId="1FB97E6B" w14:textId="1B42C3AB" w:rsidR="00AF6DF3" w:rsidRPr="006E02AA" w:rsidRDefault="00AF6DF3" w:rsidP="00591C2B">
            <w:pPr>
              <w:jc w:val="center"/>
              <w:rPr>
                <w:sz w:val="18"/>
                <w:szCs w:val="18"/>
              </w:rPr>
            </w:pPr>
            <w:r>
              <w:rPr>
                <w:sz w:val="18"/>
                <w:szCs w:val="18"/>
              </w:rPr>
              <w:t>CAD</w:t>
            </w:r>
          </w:p>
        </w:tc>
      </w:tr>
      <w:tr w:rsidR="00AF6DF3" w:rsidRPr="006E02AA" w14:paraId="7A47070B" w14:textId="77777777" w:rsidTr="00591C2B">
        <w:tc>
          <w:tcPr>
            <w:tcW w:w="9061" w:type="dxa"/>
            <w:gridSpan w:val="5"/>
          </w:tcPr>
          <w:p w14:paraId="1915F43A" w14:textId="1454FA9D" w:rsidR="00AF6DF3" w:rsidRPr="006E02AA" w:rsidRDefault="00AF6DF3" w:rsidP="00591C2B">
            <w:pPr>
              <w:rPr>
                <w:b/>
                <w:bCs/>
                <w:sz w:val="18"/>
                <w:szCs w:val="18"/>
              </w:rPr>
            </w:pPr>
            <w:r>
              <w:rPr>
                <w:b/>
                <w:bCs/>
                <w:sz w:val="18"/>
                <w:szCs w:val="18"/>
              </w:rPr>
              <w:t>Retrospective analysis</w:t>
            </w:r>
          </w:p>
        </w:tc>
      </w:tr>
      <w:tr w:rsidR="00AF6DF3" w:rsidRPr="006E02AA" w14:paraId="3A1E6B44" w14:textId="77777777" w:rsidTr="00591C2B">
        <w:trPr>
          <w:tblHeader/>
        </w:trPr>
        <w:tc>
          <w:tcPr>
            <w:tcW w:w="1151" w:type="dxa"/>
            <w:shd w:val="clear" w:color="auto" w:fill="FFFFFF" w:themeFill="background1"/>
          </w:tcPr>
          <w:p w14:paraId="47DD5922" w14:textId="47F2C1EF" w:rsidR="00AF6DF3" w:rsidRPr="00726018" w:rsidRDefault="00AF6DF3" w:rsidP="00AF6DF3">
            <w:pPr>
              <w:pStyle w:val="BodyText"/>
              <w:spacing w:before="0" w:after="0" w:line="240" w:lineRule="auto"/>
              <w:jc w:val="left"/>
              <w:rPr>
                <w:rFonts w:cstheme="majorHAnsi"/>
                <w:bCs/>
                <w:sz w:val="18"/>
                <w:szCs w:val="18"/>
              </w:rPr>
            </w:pPr>
            <w:r>
              <w:rPr>
                <w:rFonts w:cstheme="majorHAnsi"/>
                <w:bCs/>
                <w:sz w:val="18"/>
                <w:szCs w:val="18"/>
              </w:rPr>
              <w:t xml:space="preserve">Chae </w:t>
            </w:r>
            <w:r w:rsidRPr="00726018">
              <w:rPr>
                <w:rFonts w:cstheme="majorHAnsi"/>
                <w:bCs/>
                <w:sz w:val="18"/>
                <w:szCs w:val="18"/>
              </w:rPr>
              <w:t>et al. (201</w:t>
            </w:r>
            <w:r>
              <w:rPr>
                <w:rFonts w:cstheme="majorHAnsi"/>
                <w:bCs/>
                <w:sz w:val="18"/>
                <w:szCs w:val="18"/>
              </w:rPr>
              <w:t>9</w:t>
            </w:r>
            <w:r w:rsidRPr="00726018">
              <w:rPr>
                <w:rFonts w:cstheme="majorHAnsi"/>
                <w:bCs/>
                <w:sz w:val="18"/>
                <w:szCs w:val="18"/>
              </w:rPr>
              <w:t>)</w:t>
            </w:r>
          </w:p>
        </w:tc>
        <w:tc>
          <w:tcPr>
            <w:tcW w:w="1977" w:type="dxa"/>
            <w:shd w:val="clear" w:color="auto" w:fill="FFFFFF" w:themeFill="background1"/>
          </w:tcPr>
          <w:p w14:paraId="11B14206" w14:textId="77777777" w:rsidR="00AF6DF3" w:rsidRPr="009A782D" w:rsidRDefault="00AF6DF3" w:rsidP="00AF6DF3">
            <w:pPr>
              <w:pStyle w:val="BodyText"/>
              <w:spacing w:before="0" w:after="0" w:line="240" w:lineRule="auto"/>
              <w:jc w:val="center"/>
              <w:rPr>
                <w:rFonts w:cstheme="majorHAnsi"/>
                <w:bCs/>
                <w:sz w:val="18"/>
                <w:szCs w:val="18"/>
              </w:rPr>
            </w:pPr>
            <w:r>
              <w:rPr>
                <w:rFonts w:cstheme="majorHAnsi"/>
                <w:bCs/>
                <w:sz w:val="18"/>
                <w:szCs w:val="18"/>
              </w:rPr>
              <w:t>NA</w:t>
            </w:r>
          </w:p>
        </w:tc>
        <w:tc>
          <w:tcPr>
            <w:tcW w:w="1978" w:type="dxa"/>
            <w:shd w:val="clear" w:color="auto" w:fill="FFFFFF" w:themeFill="background1"/>
          </w:tcPr>
          <w:p w14:paraId="752914E3" w14:textId="120312D7" w:rsidR="00AF6DF3" w:rsidRPr="009A782D" w:rsidRDefault="00AF6DF3" w:rsidP="00AF6DF3">
            <w:pPr>
              <w:pStyle w:val="BodyText"/>
              <w:spacing w:before="0" w:after="0" w:line="240" w:lineRule="auto"/>
              <w:jc w:val="center"/>
              <w:rPr>
                <w:rFonts w:cstheme="majorHAnsi"/>
                <w:bCs/>
                <w:sz w:val="18"/>
                <w:szCs w:val="18"/>
              </w:rPr>
            </w:pPr>
            <w:r>
              <w:rPr>
                <w:rFonts w:cstheme="majorHAnsi"/>
                <w:bCs/>
                <w:sz w:val="18"/>
                <w:szCs w:val="18"/>
              </w:rPr>
              <w:t>NA</w:t>
            </w:r>
          </w:p>
        </w:tc>
        <w:tc>
          <w:tcPr>
            <w:tcW w:w="1977" w:type="dxa"/>
            <w:shd w:val="clear" w:color="auto" w:fill="FFFFFF" w:themeFill="background1"/>
          </w:tcPr>
          <w:p w14:paraId="32FA1851" w14:textId="690BD90D" w:rsidR="00AF6DF3" w:rsidRPr="00AF6DF3" w:rsidRDefault="00AF6DF3" w:rsidP="00AF6DF3">
            <w:pPr>
              <w:pStyle w:val="BodyText"/>
              <w:spacing w:before="0" w:after="0" w:line="240" w:lineRule="auto"/>
              <w:jc w:val="left"/>
              <w:rPr>
                <w:rFonts w:cstheme="majorHAnsi"/>
                <w:bCs/>
                <w:sz w:val="18"/>
                <w:szCs w:val="18"/>
              </w:rPr>
            </w:pPr>
            <w:r>
              <w:rPr>
                <w:rFonts w:cstheme="majorHAnsi"/>
                <w:bCs/>
                <w:sz w:val="18"/>
                <w:szCs w:val="18"/>
              </w:rPr>
              <w:t>DBT alone: 1 min 2 sec</w:t>
            </w:r>
            <w:r w:rsidRPr="003E389C">
              <w:rPr>
                <w:rFonts w:cstheme="majorHAnsi"/>
                <w:bCs/>
                <w:sz w:val="18"/>
                <w:szCs w:val="18"/>
              </w:rPr>
              <w:t xml:space="preserve"> (SD 34.38 s</w:t>
            </w:r>
            <w:r>
              <w:rPr>
                <w:rFonts w:cstheme="majorHAnsi"/>
                <w:bCs/>
                <w:sz w:val="18"/>
                <w:szCs w:val="18"/>
              </w:rPr>
              <w:t>ec</w:t>
            </w:r>
            <w:r w:rsidRPr="003E389C">
              <w:rPr>
                <w:rFonts w:cstheme="majorHAnsi"/>
                <w:bCs/>
                <w:sz w:val="18"/>
                <w:szCs w:val="18"/>
              </w:rPr>
              <w:t>) (</w:t>
            </w:r>
            <w:r>
              <w:rPr>
                <w:rFonts w:cstheme="majorHAnsi"/>
                <w:bCs/>
                <w:i/>
                <w:iCs/>
                <w:sz w:val="18"/>
                <w:szCs w:val="18"/>
              </w:rPr>
              <w:t>p</w:t>
            </w:r>
            <w:r w:rsidRPr="003E389C">
              <w:rPr>
                <w:rFonts w:cstheme="majorHAnsi"/>
                <w:bCs/>
                <w:sz w:val="18"/>
                <w:szCs w:val="18"/>
              </w:rPr>
              <w:t>&lt;.001)</w:t>
            </w:r>
          </w:p>
        </w:tc>
        <w:tc>
          <w:tcPr>
            <w:tcW w:w="1978" w:type="dxa"/>
            <w:shd w:val="clear" w:color="auto" w:fill="FFFFFF" w:themeFill="background1"/>
          </w:tcPr>
          <w:p w14:paraId="3F83B0B2" w14:textId="0692C741" w:rsidR="00AF6DF3" w:rsidRPr="00AF6DF3" w:rsidRDefault="00AF6DF3" w:rsidP="00AF6DF3">
            <w:pPr>
              <w:pStyle w:val="BodyText"/>
              <w:spacing w:before="0" w:after="0" w:line="240" w:lineRule="auto"/>
              <w:jc w:val="left"/>
              <w:rPr>
                <w:rFonts w:cstheme="majorHAnsi"/>
                <w:bCs/>
                <w:sz w:val="18"/>
                <w:szCs w:val="18"/>
              </w:rPr>
            </w:pPr>
            <w:r>
              <w:rPr>
                <w:rFonts w:cstheme="majorHAnsi"/>
                <w:bCs/>
                <w:sz w:val="18"/>
                <w:szCs w:val="18"/>
              </w:rPr>
              <w:t xml:space="preserve">1min 12 </w:t>
            </w:r>
            <w:r w:rsidRPr="003A592C">
              <w:rPr>
                <w:rFonts w:cstheme="majorHAnsi"/>
                <w:bCs/>
                <w:sz w:val="18"/>
                <w:szCs w:val="18"/>
              </w:rPr>
              <w:t>s</w:t>
            </w:r>
            <w:r>
              <w:rPr>
                <w:rFonts w:cstheme="majorHAnsi"/>
                <w:bCs/>
                <w:sz w:val="18"/>
                <w:szCs w:val="18"/>
              </w:rPr>
              <w:t>ec</w:t>
            </w:r>
            <w:r w:rsidRPr="003A592C">
              <w:rPr>
                <w:rFonts w:cstheme="majorHAnsi"/>
                <w:bCs/>
                <w:sz w:val="18"/>
                <w:szCs w:val="18"/>
              </w:rPr>
              <w:t xml:space="preserve"> (SD, 37.54 s</w:t>
            </w:r>
            <w:r>
              <w:rPr>
                <w:rFonts w:cstheme="majorHAnsi"/>
                <w:bCs/>
                <w:sz w:val="18"/>
                <w:szCs w:val="18"/>
              </w:rPr>
              <w:t>ec</w:t>
            </w:r>
            <w:r w:rsidRPr="003A592C">
              <w:rPr>
                <w:rFonts w:cstheme="majorHAnsi"/>
                <w:bCs/>
                <w:sz w:val="18"/>
                <w:szCs w:val="18"/>
              </w:rPr>
              <w:t>)</w:t>
            </w:r>
            <w:r>
              <w:rPr>
                <w:rFonts w:cstheme="majorHAnsi"/>
                <w:bCs/>
                <w:sz w:val="18"/>
                <w:szCs w:val="18"/>
              </w:rPr>
              <w:t xml:space="preserve"> </w:t>
            </w:r>
          </w:p>
        </w:tc>
      </w:tr>
    </w:tbl>
    <w:p w14:paraId="0BD4551D" w14:textId="07451328" w:rsidR="00004A45" w:rsidRDefault="00004A45" w:rsidP="00004A45">
      <w:pPr>
        <w:pStyle w:val="NumberedHeading2"/>
      </w:pPr>
      <w:bookmarkStart w:id="491" w:name="_Toc43376367"/>
      <w:r w:rsidRPr="00004A45">
        <w:t>Cost</w:t>
      </w:r>
      <w:bookmarkEnd w:id="447"/>
      <w:bookmarkEnd w:id="491"/>
    </w:p>
    <w:p w14:paraId="2E637A28" w14:textId="57A49C99" w:rsidR="00004A45" w:rsidRPr="00004A45" w:rsidRDefault="00004A45" w:rsidP="00004A45">
      <w:pPr>
        <w:pStyle w:val="BodyText"/>
      </w:pPr>
      <w:r>
        <w:t>Implementation of DBT into a screening program is associated with both capital upgrade and operational costs including purchasing DBT-capable units and associated equipment, software licenses, storage, data transmission</w:t>
      </w:r>
      <w:r w:rsidR="00CE3204">
        <w:t xml:space="preserve"> and</w:t>
      </w:r>
      <w:r>
        <w:t xml:space="preserve"> any additional costs associated with increased reading time.</w:t>
      </w:r>
    </w:p>
    <w:p w14:paraId="6BD1F447" w14:textId="77777777" w:rsidR="00004A45" w:rsidRPr="00004A45" w:rsidRDefault="00004A45" w:rsidP="00004A45">
      <w:pPr>
        <w:pStyle w:val="CV-Heading"/>
      </w:pPr>
      <w:r w:rsidRPr="00004A45">
        <w:t xml:space="preserve">Key findings from </w:t>
      </w:r>
      <w:r w:rsidRPr="00004A45">
        <w:rPr>
          <w:i/>
          <w:iCs/>
        </w:rPr>
        <w:t>Allen + Clarke</w:t>
      </w:r>
      <w:r w:rsidRPr="00004A45">
        <w:t>’s 2018 literature reviews on tomosynthesis in screening and the assessment of screen-detected abnormalities</w:t>
      </w:r>
    </w:p>
    <w:p w14:paraId="70953137" w14:textId="4E2DD019" w:rsidR="00004A45" w:rsidRDefault="00CE3204" w:rsidP="00004A45">
      <w:pPr>
        <w:pStyle w:val="BodyText"/>
      </w:pPr>
      <w:r>
        <w:t>T</w:t>
      </w:r>
      <w:r w:rsidR="00004A45">
        <w:t xml:space="preserve">he previous </w:t>
      </w:r>
      <w:r w:rsidR="00004A45">
        <w:rPr>
          <w:i/>
          <w:iCs/>
        </w:rPr>
        <w:t>Allen + Clarke</w:t>
      </w:r>
      <w:r w:rsidR="00004A45">
        <w:t xml:space="preserve"> literature reviews</w:t>
      </w:r>
      <w:r>
        <w:t xml:space="preserve"> found that </w:t>
      </w:r>
      <w:r w:rsidR="00004A45">
        <w:t xml:space="preserve">there was limited information available about the actual costs associated with either the implementation or use of DBT in a screening setting. </w:t>
      </w:r>
      <w:r w:rsidR="00FA4631">
        <w:t xml:space="preserve">No costs were available for the Australian setting. </w:t>
      </w:r>
      <w:r w:rsidR="00004A45">
        <w:t>Some available articles describe</w:t>
      </w:r>
      <w:r w:rsidR="00FA4631">
        <w:t>d</w:t>
      </w:r>
      <w:r w:rsidR="00004A45">
        <w:t xml:space="preserve"> the kinds of costs that may be incurred with the use of DBT (such as capital upgrade expenditure, </w:t>
      </w:r>
      <w:r w:rsidR="00004A45">
        <w:lastRenderedPageBreak/>
        <w:t xml:space="preserve">people resourcing costs, etc.) but did not provide financial estimates. </w:t>
      </w:r>
      <w:r w:rsidR="003A01FC">
        <w:t>T</w:t>
      </w:r>
      <w:r w:rsidR="00004A45">
        <w:t xml:space="preserve">hese articles </w:t>
      </w:r>
      <w:r w:rsidR="003A01FC">
        <w:t xml:space="preserve">also did not </w:t>
      </w:r>
      <w:r w:rsidR="00004A45">
        <w:t xml:space="preserve">cover the range of possible ways that DBT could be integrated (either as an adjunct </w:t>
      </w:r>
      <w:r w:rsidR="00FA4631">
        <w:t>to FFDM</w:t>
      </w:r>
      <w:r w:rsidR="00004A45">
        <w:t xml:space="preserve">, with </w:t>
      </w:r>
      <w:r w:rsidR="00176980">
        <w:t>s2DM</w:t>
      </w:r>
      <w:r w:rsidR="00004A45">
        <w:t xml:space="preserve"> or alone</w:t>
      </w:r>
      <w:r w:rsidR="00FA4631">
        <w:t>. in one projection or two</w:t>
      </w:r>
      <w:r w:rsidR="00004A45">
        <w:t xml:space="preserve">). </w:t>
      </w:r>
      <w:r w:rsidR="00FA4631">
        <w:t>That said, s</w:t>
      </w:r>
      <w:r w:rsidR="003A01FC">
        <w:t xml:space="preserve">ome </w:t>
      </w:r>
      <w:r w:rsidR="00004A45">
        <w:t>papers provide</w:t>
      </w:r>
      <w:r w:rsidR="003A01FC">
        <w:t>d</w:t>
      </w:r>
      <w:r w:rsidR="00004A45">
        <w:t xml:space="preserve"> modelled analysis estimations for implementation</w:t>
      </w:r>
      <w:r w:rsidR="003A01FC">
        <w:t>: t</w:t>
      </w:r>
      <w:r w:rsidR="00004A45">
        <w:t>he US models indicated some evidence that DBT in combination with FFDM result</w:t>
      </w:r>
      <w:r w:rsidR="00FA4631">
        <w:t>ed</w:t>
      </w:r>
      <w:r w:rsidR="00004A45">
        <w:t xml:space="preserve"> in overall economic favourability when balanced against the potential improved clinical outcomes</w:t>
      </w:r>
      <w:r w:rsidR="003A01FC">
        <w:t>; however, the US operates a different health funding model compared to the Australian system and the analysis was of limited use in the BSA setting.</w:t>
      </w:r>
    </w:p>
    <w:p w14:paraId="268DFAB3" w14:textId="77777777" w:rsidR="00004A45" w:rsidRDefault="00004A45" w:rsidP="00004A45">
      <w:pPr>
        <w:pStyle w:val="CV-Heading"/>
      </w:pPr>
      <w:r>
        <w:t>Updated findings</w:t>
      </w:r>
    </w:p>
    <w:p w14:paraId="2FD77846" w14:textId="73ED3ABA" w:rsidR="00004A45" w:rsidRDefault="00004A45" w:rsidP="003A01FC">
      <w:pPr>
        <w:pStyle w:val="BodyText"/>
      </w:pPr>
      <w:r>
        <w:t>Literature published since 31 December 2017 relating to incremental costs associated with implementing DBT i</w:t>
      </w:r>
      <w:r w:rsidR="004D7F40">
        <w:t xml:space="preserve">s limited </w:t>
      </w:r>
      <w:r w:rsidR="00077951">
        <w:t>to a comment on drivers in a narrative literature review (Chong et al., 2019),</w:t>
      </w:r>
      <w:r>
        <w:t xml:space="preserve"> </w:t>
      </w:r>
      <w:r w:rsidR="00077951">
        <w:t xml:space="preserve">data from </w:t>
      </w:r>
      <w:r>
        <w:t xml:space="preserve">the </w:t>
      </w:r>
      <w:r w:rsidR="00815FC2">
        <w:t>To-Be-</w:t>
      </w:r>
      <w:r w:rsidR="00FA4631">
        <w:t>1</w:t>
      </w:r>
      <w:r>
        <w:t xml:space="preserve"> RCT</w:t>
      </w:r>
      <w:r w:rsidR="004D7F40">
        <w:t xml:space="preserve"> set in Norway </w:t>
      </w:r>
      <w:r>
        <w:t xml:space="preserve">(Moger et al., 2019) and a retrospective economic modelling analysis study conducted in the US </w:t>
      </w:r>
      <w:r w:rsidR="0019576D">
        <w:t>(</w:t>
      </w:r>
      <w:r>
        <w:t>Lowry et al</w:t>
      </w:r>
      <w:r w:rsidR="003A01FC">
        <w:t>.</w:t>
      </w:r>
      <w:r w:rsidR="0019576D">
        <w:t xml:space="preserve">, </w:t>
      </w:r>
      <w:r>
        <w:t xml:space="preserve">2019). </w:t>
      </w:r>
      <w:r w:rsidR="006A4D64">
        <w:t xml:space="preserve">Moger et al. </w:t>
      </w:r>
      <w:r w:rsidR="00077951">
        <w:t xml:space="preserve">To-Be-1 </w:t>
      </w:r>
      <w:r w:rsidR="006A4D64">
        <w:t>reviewed the costs associated with DBT+</w:t>
      </w:r>
      <w:r w:rsidR="00176980">
        <w:t>s2DM</w:t>
      </w:r>
      <w:r w:rsidR="006A4D64">
        <w:t xml:space="preserve">; Lowry et al. looked at the costs associated with FFDM+DBT. </w:t>
      </w:r>
      <w:r w:rsidR="004D7F40">
        <w:t>No Australian data was identified as part of this literature review. The included studies are listed below.</w:t>
      </w:r>
    </w:p>
    <w:p w14:paraId="2D751AB2" w14:textId="77777777" w:rsidR="00901883" w:rsidRDefault="00901883" w:rsidP="00004A45">
      <w:pPr>
        <w:pStyle w:val="Heading3"/>
        <w:ind w:left="720"/>
      </w:pPr>
      <w:bookmarkStart w:id="492" w:name="_Toc27665771"/>
      <w:bookmarkStart w:id="493" w:name="_Toc27844571"/>
      <w:bookmarkStart w:id="494" w:name="_Toc27859700"/>
      <w:bookmarkStart w:id="495" w:name="_Toc27904817"/>
      <w:bookmarkStart w:id="496" w:name="_Toc43376368"/>
      <w:r>
        <w:t>Literature review</w:t>
      </w:r>
      <w:bookmarkEnd w:id="492"/>
      <w:bookmarkEnd w:id="493"/>
      <w:bookmarkEnd w:id="494"/>
      <w:bookmarkEnd w:id="495"/>
      <w:bookmarkEnd w:id="496"/>
    </w:p>
    <w:p w14:paraId="5DA453E8" w14:textId="5708A82D" w:rsidR="00901883" w:rsidRPr="003A01FC" w:rsidRDefault="00901883" w:rsidP="00901883">
      <w:pPr>
        <w:pStyle w:val="BodyText"/>
        <w:ind w:firstLine="720"/>
      </w:pPr>
      <w:r w:rsidRPr="003A01FC">
        <w:t xml:space="preserve">One </w:t>
      </w:r>
      <w:r>
        <w:t>narrative literature review</w:t>
      </w:r>
      <w:r w:rsidRPr="003A01FC">
        <w:t xml:space="preserve">: </w:t>
      </w:r>
      <w:r>
        <w:t xml:space="preserve">Chong </w:t>
      </w:r>
      <w:r w:rsidRPr="003A01FC">
        <w:t>et al., 2019</w:t>
      </w:r>
    </w:p>
    <w:p w14:paraId="773E942A" w14:textId="008DE387" w:rsidR="00004A45" w:rsidRDefault="00004A45" w:rsidP="00004A45">
      <w:pPr>
        <w:pStyle w:val="Heading3"/>
        <w:ind w:left="720"/>
      </w:pPr>
      <w:bookmarkStart w:id="497" w:name="_Toc27665772"/>
      <w:bookmarkStart w:id="498" w:name="_Toc27844572"/>
      <w:bookmarkStart w:id="499" w:name="_Toc27859701"/>
      <w:bookmarkStart w:id="500" w:name="_Toc27904818"/>
      <w:bookmarkStart w:id="501" w:name="_Toc43376369"/>
      <w:r>
        <w:t>Randomized controlled trial</w:t>
      </w:r>
      <w:bookmarkEnd w:id="497"/>
      <w:bookmarkEnd w:id="498"/>
      <w:bookmarkEnd w:id="499"/>
      <w:bookmarkEnd w:id="500"/>
      <w:bookmarkEnd w:id="501"/>
      <w:r>
        <w:t xml:space="preserve"> </w:t>
      </w:r>
    </w:p>
    <w:p w14:paraId="36C70B57" w14:textId="3D44737C" w:rsidR="00004A45" w:rsidRPr="003A01FC" w:rsidRDefault="00004A45" w:rsidP="003A01FC">
      <w:pPr>
        <w:pStyle w:val="BodyText"/>
        <w:ind w:firstLine="720"/>
      </w:pPr>
      <w:r w:rsidRPr="003A01FC">
        <w:t xml:space="preserve">One </w:t>
      </w:r>
      <w:r w:rsidR="003A01FC">
        <w:t>RCT</w:t>
      </w:r>
      <w:r w:rsidRPr="003A01FC">
        <w:t>: Moger et al., 2019</w:t>
      </w:r>
    </w:p>
    <w:p w14:paraId="0D0ADAA8" w14:textId="77777777" w:rsidR="00004A45" w:rsidRDefault="00004A45" w:rsidP="00004A45">
      <w:pPr>
        <w:pStyle w:val="Heading3"/>
        <w:ind w:firstLine="720"/>
      </w:pPr>
      <w:bookmarkStart w:id="502" w:name="_Toc27665773"/>
      <w:bookmarkStart w:id="503" w:name="_Toc27844573"/>
      <w:bookmarkStart w:id="504" w:name="_Toc27859702"/>
      <w:bookmarkStart w:id="505" w:name="_Toc27904819"/>
      <w:bookmarkStart w:id="506" w:name="_Toc43376370"/>
      <w:r>
        <w:t>Observational studies</w:t>
      </w:r>
      <w:bookmarkEnd w:id="502"/>
      <w:bookmarkEnd w:id="503"/>
      <w:bookmarkEnd w:id="504"/>
      <w:bookmarkEnd w:id="505"/>
      <w:bookmarkEnd w:id="506"/>
    </w:p>
    <w:p w14:paraId="3D4222D0" w14:textId="1D9029BE" w:rsidR="00004A45" w:rsidRDefault="00004A45" w:rsidP="003A01FC">
      <w:pPr>
        <w:pStyle w:val="BodyText"/>
        <w:ind w:firstLine="720"/>
      </w:pPr>
      <w:r w:rsidRPr="003A01FC">
        <w:t xml:space="preserve">One </w:t>
      </w:r>
      <w:r w:rsidR="003A01FC">
        <w:t>cost-effectiveness study</w:t>
      </w:r>
      <w:r w:rsidRPr="003A01FC">
        <w:t>: Lowry et al.,</w:t>
      </w:r>
      <w:r w:rsidR="003A01FC">
        <w:t xml:space="preserve"> </w:t>
      </w:r>
      <w:r w:rsidRPr="003A01FC">
        <w:t>2019</w:t>
      </w:r>
    </w:p>
    <w:p w14:paraId="2168DE4C" w14:textId="77777777" w:rsidR="00EC6F2F"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b/>
          <w:bCs/>
          <w:lang w:val="en-US"/>
        </w:rPr>
      </w:pPr>
      <w:r>
        <w:rPr>
          <w:b/>
          <w:bCs/>
          <w:lang w:val="en-US"/>
        </w:rPr>
        <w:t>Summary of key findings published between 1 January 2018 and 31 December 2019</w:t>
      </w:r>
    </w:p>
    <w:p w14:paraId="4F24D343" w14:textId="77777777" w:rsidR="00EC6F2F"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rPr>
          <w:lang w:val="en-US"/>
        </w:rPr>
      </w:pPr>
      <w:r>
        <w:rPr>
          <w:lang w:val="en-US"/>
        </w:rPr>
        <w:t xml:space="preserve">Two studies provided costing analysis (a Norwegian RCT and a US retrospective modelling analysis). Both indicated that DBT (either instead of or in addition to FFDM) required significant additional costs on a micro and macro level and in both the </w:t>
      </w:r>
      <w:r w:rsidRPr="00901883">
        <w:t>short</w:t>
      </w:r>
      <w:r>
        <w:t>-</w:t>
      </w:r>
      <w:r>
        <w:rPr>
          <w:lang w:val="en-US"/>
        </w:rPr>
        <w:t xml:space="preserve"> and long-term. They estimated that increased cost would continue to be the case irrespective of more favorable scenarios such as reduction in connectivity and data storage costs, reduction in the price of DBT capable equipment, reduction in DBT </w:t>
      </w:r>
      <w:r w:rsidRPr="00901883">
        <w:t>reading</w:t>
      </w:r>
      <w:r>
        <w:rPr>
          <w:lang w:val="en-US"/>
        </w:rPr>
        <w:t xml:space="preserve"> time, increased DBT sensitivity and reduced recall rates, and reduced charges for of DBT screening procedures. No Australian cost data was reported in the first (and only) paper from the Maroondah pilot.</w:t>
      </w:r>
    </w:p>
    <w:p w14:paraId="3E9E14A6" w14:textId="52C9A062" w:rsidR="00EC6F2F" w:rsidRPr="003A01FC" w:rsidRDefault="00EC6F2F" w:rsidP="00EC6F2F">
      <w:pPr>
        <w:pStyle w:val="BodyText"/>
        <w:pBdr>
          <w:top w:val="single" w:sz="4" w:space="1" w:color="auto"/>
          <w:left w:val="single" w:sz="4" w:space="4" w:color="auto"/>
          <w:bottom w:val="single" w:sz="4" w:space="1" w:color="auto"/>
          <w:right w:val="single" w:sz="4" w:space="4" w:color="auto"/>
        </w:pBdr>
        <w:shd w:val="clear" w:color="auto" w:fill="E7FFBD" w:themeFill="background2" w:themeFillTint="33"/>
      </w:pPr>
      <w:r>
        <w:rPr>
          <w:lang w:val="en-US"/>
        </w:rPr>
        <w:t>While there is interest in exploring the incremental costs of DBT (+/- s2DM) compared to FFDM, there continues to be a paucity of studies investigating this issue as it pertains to population-based breast screening programs. Further studies are needed to determine if higher costs associated with the investment in machines, connectivity, data storage, and longer times for screen readings of DBT might be balanced against lower recall rates, less extensive diagnostic workup and treatment due to better or earlier detection.</w:t>
      </w:r>
    </w:p>
    <w:p w14:paraId="41DF1D6C" w14:textId="384CC2B0" w:rsidR="00004A45" w:rsidRDefault="00004A45" w:rsidP="006A2832">
      <w:pPr>
        <w:pStyle w:val="Heading3"/>
      </w:pPr>
      <w:bookmarkStart w:id="507" w:name="_Toc27665774"/>
      <w:bookmarkStart w:id="508" w:name="_Toc27844574"/>
      <w:bookmarkStart w:id="509" w:name="_Toc27859703"/>
      <w:bookmarkStart w:id="510" w:name="_Toc27904820"/>
      <w:bookmarkStart w:id="511" w:name="_Toc43376371"/>
      <w:r>
        <w:t>DBT+</w:t>
      </w:r>
      <w:r w:rsidR="00176980">
        <w:t>s2DM</w:t>
      </w:r>
      <w:r>
        <w:t xml:space="preserve"> compared to </w:t>
      </w:r>
      <w:r w:rsidR="00176980">
        <w:t>FFDM+DBT</w:t>
      </w:r>
      <w:r>
        <w:t xml:space="preserve"> and/or FFDM </w:t>
      </w:r>
      <w:r w:rsidRPr="006A2832">
        <w:t>alone</w:t>
      </w:r>
      <w:bookmarkEnd w:id="507"/>
      <w:bookmarkEnd w:id="508"/>
      <w:bookmarkEnd w:id="509"/>
      <w:bookmarkEnd w:id="510"/>
      <w:bookmarkEnd w:id="511"/>
    </w:p>
    <w:p w14:paraId="1198EBEB" w14:textId="35FDD4E6" w:rsidR="004D7F40" w:rsidRPr="004D7F40" w:rsidRDefault="004D7F40" w:rsidP="004D7F40">
      <w:pPr>
        <w:pStyle w:val="BodyText-GREEN"/>
        <w:rPr>
          <w:b/>
          <w:bCs/>
        </w:rPr>
      </w:pPr>
      <w:r w:rsidRPr="004D7F40">
        <w:rPr>
          <w:b/>
          <w:bCs/>
        </w:rPr>
        <w:t>Literature review</w:t>
      </w:r>
    </w:p>
    <w:p w14:paraId="3E2BADB1" w14:textId="77777777" w:rsidR="004D7F40" w:rsidRDefault="00004A45" w:rsidP="004D7F40">
      <w:pPr>
        <w:pStyle w:val="BodyText"/>
      </w:pPr>
      <w:r>
        <w:lastRenderedPageBreak/>
        <w:t>Chong et al</w:t>
      </w:r>
      <w:r w:rsidR="004D7F40">
        <w:t>.</w:t>
      </w:r>
      <w:r>
        <w:t xml:space="preserve"> (2019) propose</w:t>
      </w:r>
      <w:r w:rsidR="004D7F40">
        <w:t>d</w:t>
      </w:r>
      <w:r>
        <w:t xml:space="preserve"> that the main drivers of economic value in implementing DBT at the population level </w:t>
      </w:r>
      <w:r w:rsidR="004D7F40">
        <w:t>we</w:t>
      </w:r>
      <w:r>
        <w:t xml:space="preserve">re: </w:t>
      </w:r>
    </w:p>
    <w:p w14:paraId="42F531A8" w14:textId="1DE74837" w:rsidR="004D7F40" w:rsidRDefault="00004A45" w:rsidP="004D7F40">
      <w:pPr>
        <w:pStyle w:val="List-BulletLvl1"/>
      </w:pPr>
      <w:r>
        <w:t>the reduced</w:t>
      </w:r>
      <w:r w:rsidR="00131D91">
        <w:t xml:space="preserve"> cost associated with a reduction in overall </w:t>
      </w:r>
      <w:r>
        <w:t xml:space="preserve">recall </w:t>
      </w:r>
      <w:r w:rsidR="00131D91">
        <w:t xml:space="preserve">and false positive recall </w:t>
      </w:r>
      <w:r>
        <w:t>rates</w:t>
      </w:r>
      <w:r w:rsidR="00131D91">
        <w:t xml:space="preserve"> (bearing in mind that not all studies from the larger European trials reported a reduction in recall)</w:t>
      </w:r>
    </w:p>
    <w:p w14:paraId="0ADFC152" w14:textId="77777777" w:rsidR="004D7F40" w:rsidRDefault="00004A45" w:rsidP="004D7F40">
      <w:pPr>
        <w:pStyle w:val="List-BulletLvl1"/>
      </w:pPr>
      <w:r>
        <w:t>a more direct or expedited mammographic evaluation at diagnostic or problem-solving imaging</w:t>
      </w:r>
      <w:r w:rsidR="004D7F40">
        <w:t xml:space="preserve">, which </w:t>
      </w:r>
      <w:r>
        <w:t xml:space="preserve">may decrease overall cost, and </w:t>
      </w:r>
    </w:p>
    <w:p w14:paraId="5604A608" w14:textId="545E9E92" w:rsidR="00004A45" w:rsidRDefault="00004A45" w:rsidP="004D7F40">
      <w:pPr>
        <w:pStyle w:val="List-BulletLvl1"/>
      </w:pPr>
      <w:r>
        <w:t xml:space="preserve">the potential to detect cancers at an earlier stage, reducing </w:t>
      </w:r>
      <w:r w:rsidR="00131D91">
        <w:t xml:space="preserve">the </w:t>
      </w:r>
      <w:r>
        <w:t xml:space="preserve">costs </w:t>
      </w:r>
      <w:r w:rsidR="00131D91">
        <w:t xml:space="preserve">associated with </w:t>
      </w:r>
      <w:r>
        <w:t xml:space="preserve">later stage treatments. </w:t>
      </w:r>
    </w:p>
    <w:p w14:paraId="0B626D8E" w14:textId="2E6B9E05" w:rsidR="00004A45" w:rsidRPr="004D7F40" w:rsidRDefault="00004A45" w:rsidP="004D7F40">
      <w:pPr>
        <w:pStyle w:val="BodyText-GREEN"/>
        <w:rPr>
          <w:b/>
          <w:bCs/>
          <w:i/>
          <w:color w:val="36424A" w:themeColor="text2"/>
        </w:rPr>
      </w:pPr>
      <w:r w:rsidRPr="004D7F40">
        <w:rPr>
          <w:b/>
          <w:bCs/>
        </w:rPr>
        <w:t>Randomized controlled trial</w:t>
      </w:r>
    </w:p>
    <w:tbl>
      <w:tblPr>
        <w:tblStyle w:val="ACGreen-BandedTable"/>
        <w:tblpPr w:leftFromText="180" w:rightFromText="180" w:vertAnchor="text" w:horzAnchor="margin" w:tblpXSpec="right" w:tblpY="137"/>
        <w:tblOverlap w:val="never"/>
        <w:tblW w:w="4117" w:type="dxa"/>
        <w:tblLook w:val="04A0" w:firstRow="1" w:lastRow="0" w:firstColumn="1" w:lastColumn="0" w:noHBand="0" w:noVBand="1"/>
        <w:tblDescription w:val="The study design by Moger et al. (2019) To-Be-1 RCT, for Increased costs per woman screened of DBT compared to FFDM &#10;(Euro €; 95%CI) was Screening costs €8.5 (8.4 to 8.6)&#10;Adding recall costs €6.2 (4.6 to 7.9)&#10;Adding treatment costs €9.8 (–56 to 74).&#10;"/>
      </w:tblPr>
      <w:tblGrid>
        <w:gridCol w:w="1135"/>
        <w:gridCol w:w="2982"/>
      </w:tblGrid>
      <w:tr w:rsidR="00004A45" w14:paraId="613DDC39" w14:textId="77777777" w:rsidTr="006A4D64">
        <w:trPr>
          <w:cnfStyle w:val="100000000000" w:firstRow="1" w:lastRow="0" w:firstColumn="0" w:lastColumn="0" w:oddVBand="0" w:evenVBand="0" w:oddHBand="0" w:evenHBand="0" w:firstRowFirstColumn="0" w:firstRowLastColumn="0" w:lastRowFirstColumn="0" w:lastRowLastColumn="0"/>
        </w:trPr>
        <w:tc>
          <w:tcPr>
            <w:tcW w:w="1135"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E013BA6" w14:textId="77777777" w:rsidR="00131D91" w:rsidRDefault="00004A45">
            <w:pPr>
              <w:pStyle w:val="BodyText"/>
              <w:rPr>
                <w:rFonts w:cstheme="majorHAnsi"/>
                <w:b/>
                <w:sz w:val="18"/>
                <w:szCs w:val="18"/>
                <w:lang w:val="en-US"/>
              </w:rPr>
            </w:pPr>
            <w:r>
              <w:rPr>
                <w:rFonts w:cstheme="majorHAnsi"/>
                <w:b/>
                <w:sz w:val="18"/>
                <w:szCs w:val="18"/>
                <w:lang w:val="en-US"/>
              </w:rPr>
              <w:t>Study</w:t>
            </w:r>
          </w:p>
          <w:p w14:paraId="5A11A299" w14:textId="505A295E" w:rsidR="00004A45" w:rsidRDefault="00004A45">
            <w:pPr>
              <w:pStyle w:val="BodyText"/>
              <w:rPr>
                <w:rFonts w:cstheme="majorHAnsi"/>
                <w:b/>
                <w:sz w:val="18"/>
                <w:szCs w:val="18"/>
                <w:lang w:val="en-US"/>
              </w:rPr>
            </w:pPr>
            <w:r>
              <w:rPr>
                <w:rFonts w:cstheme="majorHAnsi"/>
                <w:b/>
                <w:sz w:val="18"/>
                <w:szCs w:val="18"/>
                <w:lang w:val="en-US"/>
              </w:rPr>
              <w:t xml:space="preserve">Design </w:t>
            </w:r>
          </w:p>
        </w:tc>
        <w:tc>
          <w:tcPr>
            <w:tcW w:w="298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5FEB274" w14:textId="77777777" w:rsidR="006A4D64" w:rsidRDefault="00004A45" w:rsidP="006A4D64">
            <w:pPr>
              <w:pStyle w:val="BodyText"/>
              <w:spacing w:after="0"/>
              <w:jc w:val="left"/>
              <w:rPr>
                <w:rFonts w:cstheme="majorHAnsi"/>
                <w:b/>
                <w:sz w:val="18"/>
                <w:szCs w:val="18"/>
                <w:lang w:val="en-US"/>
              </w:rPr>
            </w:pPr>
            <w:r>
              <w:rPr>
                <w:rFonts w:cstheme="majorHAnsi"/>
                <w:b/>
                <w:sz w:val="18"/>
                <w:szCs w:val="18"/>
                <w:lang w:val="en-US"/>
              </w:rPr>
              <w:t xml:space="preserve">Increased costs per woman screened of DBT compared to FFDM </w:t>
            </w:r>
          </w:p>
          <w:p w14:paraId="7197A264" w14:textId="5E992B7F" w:rsidR="00004A45" w:rsidRPr="006A4D64" w:rsidRDefault="00004A45" w:rsidP="006A4D64">
            <w:pPr>
              <w:pStyle w:val="BodyText"/>
              <w:spacing w:before="0"/>
              <w:jc w:val="left"/>
              <w:rPr>
                <w:rFonts w:cstheme="majorHAnsi"/>
                <w:b/>
                <w:sz w:val="18"/>
                <w:szCs w:val="18"/>
                <w:lang w:val="en-US"/>
              </w:rPr>
            </w:pPr>
            <w:r w:rsidRPr="006A4D64">
              <w:rPr>
                <w:rFonts w:cstheme="majorHAnsi"/>
                <w:bCs/>
                <w:sz w:val="18"/>
                <w:szCs w:val="18"/>
                <w:lang w:val="en-US"/>
              </w:rPr>
              <w:t>(Euro €</w:t>
            </w:r>
            <w:r w:rsidR="00176980">
              <w:rPr>
                <w:rFonts w:cstheme="majorHAnsi"/>
                <w:bCs/>
                <w:sz w:val="18"/>
                <w:szCs w:val="18"/>
                <w:lang w:val="en-US"/>
              </w:rPr>
              <w:t>;</w:t>
            </w:r>
            <w:r w:rsidRPr="006A4D64">
              <w:rPr>
                <w:rFonts w:cstheme="majorHAnsi"/>
                <w:bCs/>
                <w:sz w:val="18"/>
                <w:szCs w:val="18"/>
                <w:lang w:val="en-US"/>
              </w:rPr>
              <w:t xml:space="preserve"> 95%CI)</w:t>
            </w:r>
          </w:p>
        </w:tc>
      </w:tr>
      <w:tr w:rsidR="00004A45" w14:paraId="2A94252C" w14:textId="77777777" w:rsidTr="006A4D64">
        <w:trPr>
          <w:trHeight w:val="17"/>
        </w:trPr>
        <w:tc>
          <w:tcPr>
            <w:tcW w:w="1135"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shd w:val="clear" w:color="auto" w:fill="FFFFFF" w:themeFill="background1"/>
            <w:hideMark/>
          </w:tcPr>
          <w:p w14:paraId="3C83C286" w14:textId="77777777" w:rsidR="00131D91" w:rsidRDefault="00004A45">
            <w:pPr>
              <w:pStyle w:val="BodyText"/>
              <w:spacing w:before="0" w:after="0" w:line="240" w:lineRule="auto"/>
              <w:jc w:val="left"/>
              <w:rPr>
                <w:rFonts w:cstheme="majorHAnsi"/>
                <w:sz w:val="18"/>
                <w:szCs w:val="18"/>
                <w:lang w:val="en-US"/>
              </w:rPr>
            </w:pPr>
            <w:r>
              <w:rPr>
                <w:rFonts w:cstheme="majorHAnsi"/>
                <w:sz w:val="18"/>
                <w:szCs w:val="18"/>
                <w:lang w:val="en-US"/>
              </w:rPr>
              <w:t>Moger et al. (2019)</w:t>
            </w:r>
          </w:p>
          <w:p w14:paraId="1D366754" w14:textId="25CA7290" w:rsidR="00004A45" w:rsidRDefault="00815FC2">
            <w:pPr>
              <w:pStyle w:val="BodyText"/>
              <w:spacing w:before="0" w:after="0" w:line="240" w:lineRule="auto"/>
              <w:jc w:val="left"/>
              <w:rPr>
                <w:rFonts w:cstheme="majorHAnsi"/>
                <w:sz w:val="18"/>
                <w:szCs w:val="18"/>
                <w:lang w:val="en-US"/>
              </w:rPr>
            </w:pPr>
            <w:r>
              <w:rPr>
                <w:rFonts w:cstheme="majorHAnsi"/>
                <w:sz w:val="18"/>
                <w:szCs w:val="18"/>
                <w:lang w:val="en-US"/>
              </w:rPr>
              <w:t>To-Be-1</w:t>
            </w:r>
            <w:r w:rsidR="00004A45">
              <w:rPr>
                <w:rFonts w:cstheme="majorHAnsi"/>
                <w:sz w:val="18"/>
                <w:szCs w:val="18"/>
                <w:lang w:val="en-US"/>
              </w:rPr>
              <w:t xml:space="preserve"> RCT</w:t>
            </w:r>
          </w:p>
        </w:tc>
        <w:tc>
          <w:tcPr>
            <w:tcW w:w="298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shd w:val="clear" w:color="auto" w:fill="FFFFFF" w:themeFill="background1"/>
            <w:hideMark/>
          </w:tcPr>
          <w:p w14:paraId="4B26B537" w14:textId="77777777" w:rsidR="00004A45" w:rsidRDefault="00004A45">
            <w:pPr>
              <w:pStyle w:val="BodyText"/>
              <w:spacing w:before="0" w:after="0" w:line="240" w:lineRule="auto"/>
              <w:jc w:val="left"/>
              <w:rPr>
                <w:rFonts w:cstheme="majorHAnsi"/>
                <w:sz w:val="18"/>
                <w:szCs w:val="18"/>
                <w:lang w:val="en-US"/>
              </w:rPr>
            </w:pPr>
            <w:r>
              <w:rPr>
                <w:rFonts w:cstheme="majorHAnsi"/>
                <w:sz w:val="18"/>
                <w:szCs w:val="18"/>
                <w:lang w:val="en-US"/>
              </w:rPr>
              <w:t>Screening costs €8.5 (8.4 to 8.6)</w:t>
            </w:r>
          </w:p>
          <w:p w14:paraId="2702E58F" w14:textId="77777777" w:rsidR="00004A45" w:rsidRDefault="00004A45">
            <w:pPr>
              <w:pStyle w:val="BodyText"/>
              <w:spacing w:before="0" w:after="0" w:line="240" w:lineRule="auto"/>
              <w:jc w:val="left"/>
              <w:rPr>
                <w:rFonts w:cstheme="majorHAnsi"/>
                <w:sz w:val="18"/>
                <w:szCs w:val="18"/>
                <w:lang w:val="en-US"/>
              </w:rPr>
            </w:pPr>
            <w:r>
              <w:rPr>
                <w:rFonts w:cstheme="majorHAnsi"/>
                <w:sz w:val="18"/>
                <w:szCs w:val="18"/>
                <w:lang w:val="en-US"/>
              </w:rPr>
              <w:t>Adding recall costs €6.2 (4.6 to 7.9)</w:t>
            </w:r>
          </w:p>
          <w:p w14:paraId="352D6BFA" w14:textId="77777777" w:rsidR="00004A45" w:rsidRDefault="00004A45">
            <w:pPr>
              <w:pStyle w:val="BodyText"/>
              <w:spacing w:before="0" w:after="0" w:line="240" w:lineRule="auto"/>
              <w:jc w:val="left"/>
              <w:rPr>
                <w:rFonts w:cstheme="majorHAnsi"/>
                <w:sz w:val="18"/>
                <w:szCs w:val="18"/>
                <w:lang w:val="en-US"/>
              </w:rPr>
            </w:pPr>
            <w:r>
              <w:rPr>
                <w:rFonts w:cstheme="majorHAnsi"/>
                <w:sz w:val="18"/>
                <w:szCs w:val="18"/>
                <w:lang w:val="en-US"/>
              </w:rPr>
              <w:t>Adding treatment costs €9.8 (–56 to 74)</w:t>
            </w:r>
          </w:p>
        </w:tc>
      </w:tr>
    </w:tbl>
    <w:p w14:paraId="298AAAC1" w14:textId="39E9762A" w:rsidR="00131D91" w:rsidRDefault="00004A45" w:rsidP="00B125A9">
      <w:pPr>
        <w:pStyle w:val="BodyText"/>
      </w:pPr>
      <w:r>
        <w:t xml:space="preserve">As part of the </w:t>
      </w:r>
      <w:r w:rsidR="00131D91">
        <w:t xml:space="preserve">To-Be-1 </w:t>
      </w:r>
      <w:r>
        <w:t>RCT</w:t>
      </w:r>
      <w:r w:rsidR="00131D91">
        <w:t xml:space="preserve"> (methodology described in </w:t>
      </w:r>
      <w:r w:rsidR="00131D91">
        <w:rPr>
          <w:i/>
          <w:iCs/>
        </w:rPr>
        <w:t>section 3.1.1</w:t>
      </w:r>
      <w:r w:rsidR="00131D91">
        <w:t>)</w:t>
      </w:r>
      <w:r w:rsidR="006A4D64">
        <w:t>,</w:t>
      </w:r>
      <w:r>
        <w:t xml:space="preserve"> Moger </w:t>
      </w:r>
      <w:r w:rsidR="006A4D64">
        <w:t xml:space="preserve">et al. (2019) </w:t>
      </w:r>
      <w:r>
        <w:t xml:space="preserve">undertook a detailed comparison of </w:t>
      </w:r>
      <w:r w:rsidR="006A4D64">
        <w:t xml:space="preserve">incremental Year One </w:t>
      </w:r>
      <w:r>
        <w:t>cost differences between DBT+</w:t>
      </w:r>
      <w:r w:rsidR="00176980">
        <w:t>s2DM</w:t>
      </w:r>
      <w:r>
        <w:t xml:space="preserve"> </w:t>
      </w:r>
      <w:r w:rsidR="006A4D64">
        <w:t>compared to</w:t>
      </w:r>
      <w:r>
        <w:t xml:space="preserve"> FFDM</w:t>
      </w:r>
      <w:r w:rsidR="006A4D64">
        <w:t xml:space="preserve"> alone</w:t>
      </w:r>
      <w:r w:rsidR="00131D91">
        <w:t>. They considered</w:t>
      </w:r>
      <w:r>
        <w:t xml:space="preserve"> the following cos</w:t>
      </w:r>
      <w:r w:rsidR="0019576D">
        <w:t>ts</w:t>
      </w:r>
      <w:r>
        <w:t>: hourly wages of radiologists, imaging equipment, image storage and connectivity, radiology reimbursement tariff</w:t>
      </w:r>
      <w:r w:rsidR="00131D91">
        <w:t>,</w:t>
      </w:r>
      <w:r>
        <w:t xml:space="preserve"> out of pocket fees, in</w:t>
      </w:r>
      <w:r w:rsidR="006A4D64">
        <w:t>-</w:t>
      </w:r>
      <w:r>
        <w:t>hospital treatment  (</w:t>
      </w:r>
      <w:r w:rsidR="00131D91">
        <w:t xml:space="preserve">for example, </w:t>
      </w:r>
      <w:r>
        <w:t xml:space="preserve">planning meetings and 15 radiation therapy treatments), and medication (chemotherapy treatments, endocrine treatment, immune therapy and other medications). Moger </w:t>
      </w:r>
      <w:r w:rsidR="006A4D64">
        <w:t xml:space="preserve">et al. </w:t>
      </w:r>
      <w:r>
        <w:t xml:space="preserve">analysed the cost difference per screened woman using three steps: </w:t>
      </w:r>
    </w:p>
    <w:p w14:paraId="3F44F6DD" w14:textId="2F260327" w:rsidR="00131D91" w:rsidRDefault="00131D91" w:rsidP="007E3481">
      <w:pPr>
        <w:pStyle w:val="List-AlphanumericLvl1"/>
        <w:numPr>
          <w:ilvl w:val="0"/>
          <w:numId w:val="15"/>
        </w:numPr>
      </w:pPr>
      <w:r>
        <w:t>S</w:t>
      </w:r>
      <w:r w:rsidR="00004A45">
        <w:t>creening components only</w:t>
      </w:r>
      <w:r w:rsidR="006A4D64">
        <w:t xml:space="preserve"> </w:t>
      </w:r>
    </w:p>
    <w:p w14:paraId="674E3199" w14:textId="090B46A3" w:rsidR="00131D91" w:rsidRDefault="00131D91" w:rsidP="007E3481">
      <w:pPr>
        <w:pStyle w:val="List-AlphanumericLvl1"/>
        <w:numPr>
          <w:ilvl w:val="0"/>
          <w:numId w:val="15"/>
        </w:numPr>
      </w:pPr>
      <w:r>
        <w:t>A</w:t>
      </w:r>
      <w:r w:rsidR="00004A45">
        <w:t>dding recall assessment costs</w:t>
      </w:r>
      <w:r>
        <w:t>,</w:t>
      </w:r>
      <w:r w:rsidR="00004A45">
        <w:t xml:space="preserve"> and </w:t>
      </w:r>
    </w:p>
    <w:p w14:paraId="7B8E0065" w14:textId="1F0BE393" w:rsidR="00131D91" w:rsidRDefault="00131D91" w:rsidP="007E3481">
      <w:pPr>
        <w:pStyle w:val="List-AlphanumericLvl1"/>
        <w:numPr>
          <w:ilvl w:val="0"/>
          <w:numId w:val="15"/>
        </w:numPr>
      </w:pPr>
      <w:r>
        <w:t>A</w:t>
      </w:r>
      <w:r w:rsidR="00004A45">
        <w:t xml:space="preserve">dding treatment costs. </w:t>
      </w:r>
    </w:p>
    <w:p w14:paraId="25CEB72A" w14:textId="497CE508" w:rsidR="00131D91" w:rsidRDefault="00004A45" w:rsidP="00131D91">
      <w:pPr>
        <w:pStyle w:val="BodyText"/>
        <w:rPr>
          <w:sz w:val="20"/>
          <w:szCs w:val="20"/>
        </w:rPr>
      </w:pPr>
      <w:r>
        <w:t xml:space="preserve">Variation </w:t>
      </w:r>
      <w:r w:rsidR="00131D91">
        <w:t xml:space="preserve">in examination and reading time </w:t>
      </w:r>
      <w:r>
        <w:t xml:space="preserve">was observed </w:t>
      </w:r>
      <w:r w:rsidR="00131D91">
        <w:t>between radiographers/radiologists so a</w:t>
      </w:r>
      <w:r w:rsidR="006A4D64">
        <w:t>dju</w:t>
      </w:r>
      <w:r>
        <w:t xml:space="preserve">stment was made for radiologist fixed effects. </w:t>
      </w:r>
      <w:r w:rsidR="00131D91">
        <w:t>Short-term screening p</w:t>
      </w:r>
      <w:r>
        <w:t>erformance measures</w:t>
      </w:r>
      <w:r w:rsidR="00131D91">
        <w:t xml:space="preserve"> were not covered in this analysis (</w:t>
      </w:r>
      <w:r>
        <w:t xml:space="preserve">such as </w:t>
      </w:r>
      <w:r w:rsidR="00131D91">
        <w:t xml:space="preserve">the impact of reduced </w:t>
      </w:r>
      <w:r>
        <w:t xml:space="preserve">recall </w:t>
      </w:r>
      <w:r w:rsidR="00131D91">
        <w:t xml:space="preserve">rates observed in this RCT, see the analysis from Hofvind et al.’s 2019 paper, </w:t>
      </w:r>
      <w:r w:rsidR="00131D91">
        <w:rPr>
          <w:i/>
          <w:iCs/>
        </w:rPr>
        <w:t>section 3.4.1</w:t>
      </w:r>
      <w:r w:rsidR="00131D91">
        <w:t>). CDR did not differ between the two imaging modalities. Additionally, only direct healthcare costs were included (i.e., all women who required treatment completed it as per recommended in the national guidelines, and follow-up was until the end of treatment for any detected tumours).</w:t>
      </w:r>
      <w:r w:rsidR="00131D91">
        <w:rPr>
          <w:sz w:val="20"/>
          <w:szCs w:val="20"/>
        </w:rPr>
        <w:t xml:space="preserve"> </w:t>
      </w:r>
    </w:p>
    <w:p w14:paraId="0285A25C" w14:textId="065598E8" w:rsidR="009A3039" w:rsidRDefault="00004A45" w:rsidP="00B125A9">
      <w:pPr>
        <w:pStyle w:val="BodyText"/>
      </w:pPr>
      <w:r>
        <w:t xml:space="preserve">Moger </w:t>
      </w:r>
      <w:r w:rsidR="00B125A9">
        <w:t xml:space="preserve">et al. (2019) </w:t>
      </w:r>
      <w:r>
        <w:t>applied three scenarios to the data to determine if these significantly impacted cost differences</w:t>
      </w:r>
      <w:r w:rsidR="00D21259">
        <w:t>:</w:t>
      </w:r>
      <w:r>
        <w:t xml:space="preserve"> </w:t>
      </w:r>
    </w:p>
    <w:p w14:paraId="3F8C202D" w14:textId="54AB9DE8" w:rsidR="009A3039" w:rsidRPr="009A3039" w:rsidRDefault="00CE3204" w:rsidP="009A3039">
      <w:pPr>
        <w:pStyle w:val="List-BulletLvl1"/>
        <w:rPr>
          <w:rFonts w:ascii="STIX-Regular" w:hAnsi="STIX-Regular" w:cs="STIX-Regular"/>
          <w:color w:val="000000"/>
          <w:sz w:val="20"/>
          <w:szCs w:val="20"/>
        </w:rPr>
      </w:pPr>
      <w:r>
        <w:t>A</w:t>
      </w:r>
      <w:r w:rsidR="00004A45">
        <w:t xml:space="preserve"> 50</w:t>
      </w:r>
      <w:r w:rsidR="00D21259">
        <w:t xml:space="preserve"> percent </w:t>
      </w:r>
      <w:r w:rsidR="00004A45">
        <w:t>reduction in storage and connectivity costs</w:t>
      </w:r>
    </w:p>
    <w:p w14:paraId="12F714A5" w14:textId="5CAFEAFC" w:rsidR="009A3039" w:rsidRPr="009A3039" w:rsidRDefault="00CE3204" w:rsidP="009A3039">
      <w:pPr>
        <w:pStyle w:val="List-BulletLvl1"/>
        <w:rPr>
          <w:rFonts w:ascii="STIX-Regular" w:hAnsi="STIX-Regular" w:cs="STIX-Regular"/>
          <w:color w:val="000000"/>
          <w:sz w:val="20"/>
          <w:szCs w:val="20"/>
        </w:rPr>
      </w:pPr>
      <w:r>
        <w:t>A</w:t>
      </w:r>
      <w:r w:rsidR="00004A45">
        <w:t xml:space="preserve"> 30</w:t>
      </w:r>
      <w:r w:rsidR="00D21259">
        <w:t xml:space="preserve"> percent </w:t>
      </w:r>
      <w:r w:rsidR="00004A45">
        <w:t xml:space="preserve">reduction in additional price of tomo-equipped mammograph, and </w:t>
      </w:r>
    </w:p>
    <w:p w14:paraId="2FAE685D" w14:textId="3E98C903" w:rsidR="009A3039" w:rsidRPr="009A3039" w:rsidRDefault="00CE3204" w:rsidP="009A3039">
      <w:pPr>
        <w:pStyle w:val="List-BulletLvl1"/>
        <w:rPr>
          <w:rFonts w:ascii="STIX-Regular" w:hAnsi="STIX-Regular" w:cs="STIX-Regular"/>
          <w:color w:val="000000"/>
          <w:sz w:val="20"/>
          <w:szCs w:val="20"/>
        </w:rPr>
      </w:pPr>
      <w:r>
        <w:t>N</w:t>
      </w:r>
      <w:r w:rsidR="00004A45">
        <w:t>o additional examination time plus a 20</w:t>
      </w:r>
      <w:r w:rsidR="009A3039">
        <w:t xml:space="preserve"> percent </w:t>
      </w:r>
      <w:r w:rsidR="00004A45">
        <w:t xml:space="preserve">reduction in total reading time. </w:t>
      </w:r>
    </w:p>
    <w:p w14:paraId="5E92541E" w14:textId="43B4B468" w:rsidR="00131D91" w:rsidRDefault="00004A45" w:rsidP="00131D91">
      <w:pPr>
        <w:pStyle w:val="BodyText"/>
      </w:pPr>
      <w:r>
        <w:lastRenderedPageBreak/>
        <w:t xml:space="preserve">Results from </w:t>
      </w:r>
      <w:r w:rsidR="009A3039">
        <w:t xml:space="preserve">Moger et al.’s study </w:t>
      </w:r>
      <w:r>
        <w:t xml:space="preserve">indicated that the </w:t>
      </w:r>
      <w:r w:rsidR="009A3039">
        <w:t xml:space="preserve">incremental </w:t>
      </w:r>
      <w:r>
        <w:t xml:space="preserve">cost of equipment, examination and reading time </w:t>
      </w:r>
      <w:r w:rsidR="009A3039">
        <w:t xml:space="preserve">increased when </w:t>
      </w:r>
      <w:r>
        <w:t>DBT</w:t>
      </w:r>
      <w:r w:rsidR="009A3039">
        <w:t>+</w:t>
      </w:r>
      <w:r w:rsidR="00176980">
        <w:t>s2DM</w:t>
      </w:r>
      <w:r>
        <w:t xml:space="preserve"> </w:t>
      </w:r>
      <w:r w:rsidR="009A3039">
        <w:t xml:space="preserve">was used </w:t>
      </w:r>
      <w:r>
        <w:t>compared to FFDM</w:t>
      </w:r>
      <w:r w:rsidR="00131D91">
        <w:t xml:space="preserve">, costing </w:t>
      </w:r>
      <w:r>
        <w:t>€8.5</w:t>
      </w:r>
      <w:r w:rsidR="00131D91">
        <w:rPr>
          <w:rStyle w:val="FootnoteReference"/>
        </w:rPr>
        <w:footnoteReference w:id="31"/>
      </w:r>
      <w:r w:rsidR="00131D91">
        <w:t xml:space="preserve"> </w:t>
      </w:r>
      <w:r>
        <w:t>(95%CI</w:t>
      </w:r>
      <w:r w:rsidR="009A3039">
        <w:t>:</w:t>
      </w:r>
      <w:r>
        <w:t xml:space="preserve"> 8.4−8.6)</w:t>
      </w:r>
      <w:r w:rsidR="009A3039" w:rsidRPr="009A3039">
        <w:t xml:space="preserve"> </w:t>
      </w:r>
      <w:r w:rsidR="009A3039">
        <w:t>more per screened woman</w:t>
      </w:r>
      <w:r>
        <w:t xml:space="preserve">. </w:t>
      </w:r>
      <w:r w:rsidR="00131D91">
        <w:t>The cost per woman screened was still higher</w:t>
      </w:r>
      <w:r>
        <w:t xml:space="preserve"> after </w:t>
      </w:r>
      <w:r w:rsidR="00131D91">
        <w:t xml:space="preserve">accounting for the decrease costs associated with </w:t>
      </w:r>
      <w:r>
        <w:t xml:space="preserve">recall assessment </w:t>
      </w:r>
      <w:r w:rsidR="00131D91">
        <w:t>(bearing in mind that this RCT reported a reduction in recall):</w:t>
      </w:r>
      <w:r w:rsidR="002A6228">
        <w:t xml:space="preserve"> </w:t>
      </w:r>
      <w:r>
        <w:t>€6.2</w:t>
      </w:r>
      <w:r w:rsidR="00131D91">
        <w:rPr>
          <w:rStyle w:val="FootnoteReference"/>
        </w:rPr>
        <w:footnoteReference w:id="32"/>
      </w:r>
      <w:r>
        <w:t xml:space="preserve"> (95%CI</w:t>
      </w:r>
      <w:r w:rsidR="002A6228">
        <w:t>:</w:t>
      </w:r>
      <w:r>
        <w:t xml:space="preserve"> 4.6−7.9)</w:t>
      </w:r>
      <w:r w:rsidR="009A3039">
        <w:t xml:space="preserve"> more per screened woman</w:t>
      </w:r>
      <w:r>
        <w:t xml:space="preserve">. Reductions in either examination and reading times, price of DBT equipment or price of IT storage and connectivity did not change </w:t>
      </w:r>
      <w:r w:rsidR="00131D91">
        <w:t>these results</w:t>
      </w:r>
      <w:r>
        <w:t xml:space="preserve">. </w:t>
      </w:r>
    </w:p>
    <w:p w14:paraId="517D998F" w14:textId="4C67098A" w:rsidR="00004A45" w:rsidRDefault="00004A45" w:rsidP="00131D91">
      <w:pPr>
        <w:pStyle w:val="BodyText"/>
      </w:pPr>
      <w:r>
        <w:t>Adding treatment costs</w:t>
      </w:r>
      <w:r w:rsidR="00131D91">
        <w:t xml:space="preserve"> (step 3)</w:t>
      </w:r>
      <w:r>
        <w:t xml:space="preserve"> resulted in </w:t>
      </w:r>
      <w:r w:rsidR="002A6228">
        <w:t xml:space="preserve">very </w:t>
      </w:r>
      <w:r>
        <w:t>wide confidence intervals</w:t>
      </w:r>
      <w:r w:rsidR="002A6228">
        <w:t>, making it difficult</w:t>
      </w:r>
      <w:r>
        <w:t xml:space="preserve"> to draw definitive conclusions</w:t>
      </w:r>
      <w:r w:rsidR="00131D91">
        <w:t xml:space="preserve">. The </w:t>
      </w:r>
      <w:r>
        <w:t xml:space="preserve">additional costs of </w:t>
      </w:r>
      <w:r w:rsidR="00131D91">
        <w:t xml:space="preserve">using </w:t>
      </w:r>
      <w:r w:rsidR="002A6228">
        <w:t>DBT+</w:t>
      </w:r>
      <w:r w:rsidR="00176980">
        <w:t>s2DM</w:t>
      </w:r>
      <w:r w:rsidR="002A6228">
        <w:t xml:space="preserve"> </w:t>
      </w:r>
      <w:r w:rsidR="00131D91">
        <w:t xml:space="preserve">were </w:t>
      </w:r>
      <w:r>
        <w:t>€9.8</w:t>
      </w:r>
      <w:r w:rsidR="00131D91">
        <w:rPr>
          <w:rStyle w:val="FootnoteReference"/>
        </w:rPr>
        <w:footnoteReference w:id="33"/>
      </w:r>
      <w:r w:rsidR="002A6228">
        <w:t xml:space="preserve"> (</w:t>
      </w:r>
      <w:r>
        <w:t>95%CI</w:t>
      </w:r>
      <w:r w:rsidR="002A6228">
        <w:t>:</w:t>
      </w:r>
      <w:r>
        <w:t xml:space="preserve"> –56</w:t>
      </w:r>
      <w:r w:rsidR="00176980">
        <w:t xml:space="preserve">, </w:t>
      </w:r>
      <w:r>
        <w:t xml:space="preserve">74). An additional finding was that performing biopsy at recall, radiation therapy and chemotherapy was </w:t>
      </w:r>
      <w:r w:rsidR="006A2832">
        <w:t xml:space="preserve">more </w:t>
      </w:r>
      <w:r>
        <w:t xml:space="preserve">frequent </w:t>
      </w:r>
      <w:r w:rsidR="006A2832">
        <w:t xml:space="preserve">for </w:t>
      </w:r>
      <w:r>
        <w:t>women screened with DBT</w:t>
      </w:r>
      <w:r w:rsidR="006A2832">
        <w:t>, which again increased costs</w:t>
      </w:r>
      <w:r>
        <w:t>.</w:t>
      </w:r>
      <w:r w:rsidR="006A2832">
        <w:t xml:space="preserve"> Overall program impacts were an incremental increase of</w:t>
      </w:r>
      <w:r>
        <w:t xml:space="preserve"> </w:t>
      </w:r>
      <w:r w:rsidR="006A2832">
        <w:t>€1.9M</w:t>
      </w:r>
      <w:r w:rsidR="00BC5B19">
        <w:rPr>
          <w:rStyle w:val="FootnoteReference"/>
        </w:rPr>
        <w:footnoteReference w:id="34"/>
      </w:r>
      <w:r w:rsidR="00874B62">
        <w:t xml:space="preserve"> </w:t>
      </w:r>
      <w:r w:rsidR="006A2832">
        <w:t>over one year.</w:t>
      </w:r>
    </w:p>
    <w:p w14:paraId="5A78EA20" w14:textId="79DF6C6E" w:rsidR="00004A45" w:rsidRDefault="006A2832" w:rsidP="006A2832">
      <w:pPr>
        <w:pStyle w:val="BodyText"/>
      </w:pPr>
      <w:r>
        <w:t>While this study provides useful information about the costs of implementing DBT+</w:t>
      </w:r>
      <w:r w:rsidR="00176980">
        <w:t>s2DM</w:t>
      </w:r>
      <w:r>
        <w:t xml:space="preserve"> into a biennial double-read screening program, </w:t>
      </w:r>
      <w:r w:rsidR="00004A45">
        <w:t>there continues to be a need for Australian</w:t>
      </w:r>
      <w:r w:rsidR="00CE3204">
        <w:t>-</w:t>
      </w:r>
      <w:r w:rsidR="00004A45">
        <w:t>based cost effectiveness studies</w:t>
      </w:r>
      <w:r>
        <w:t xml:space="preserve"> that look at Australian breast cancer prevalence/incidence rates, CDR</w:t>
      </w:r>
      <w:r w:rsidR="00131D91">
        <w:t xml:space="preserve"> within the BSA program</w:t>
      </w:r>
      <w:r>
        <w:t>, recall rates, false positive recall rates, etc. (i.e., an Australian cost-effectiveness study)</w:t>
      </w:r>
      <w:r w:rsidR="00004A45">
        <w:t xml:space="preserve">. </w:t>
      </w:r>
    </w:p>
    <w:p w14:paraId="44951FB6" w14:textId="78B8C92F" w:rsidR="00004A45" w:rsidRDefault="00176980" w:rsidP="006A2832">
      <w:pPr>
        <w:pStyle w:val="Heading3"/>
      </w:pPr>
      <w:bookmarkStart w:id="512" w:name="_Toc27665775"/>
      <w:bookmarkStart w:id="513" w:name="_Toc27844575"/>
      <w:bookmarkStart w:id="514" w:name="_Toc27859704"/>
      <w:bookmarkStart w:id="515" w:name="_Toc27904821"/>
      <w:bookmarkStart w:id="516" w:name="_Toc43376372"/>
      <w:r>
        <w:t>FFDM+DBT</w:t>
      </w:r>
      <w:r w:rsidR="00004A45">
        <w:t xml:space="preserve"> compared to FFDM alone</w:t>
      </w:r>
      <w:bookmarkEnd w:id="512"/>
      <w:bookmarkEnd w:id="513"/>
      <w:bookmarkEnd w:id="514"/>
      <w:bookmarkEnd w:id="515"/>
      <w:bookmarkEnd w:id="516"/>
      <w:r w:rsidR="00004A45">
        <w:t xml:space="preserve"> </w:t>
      </w:r>
    </w:p>
    <w:p w14:paraId="27EE753E" w14:textId="1BBDD1DD" w:rsidR="00004A45" w:rsidRPr="006A2832" w:rsidRDefault="006A2832" w:rsidP="006A2832">
      <w:pPr>
        <w:pStyle w:val="BodyText-GREEN"/>
        <w:rPr>
          <w:b/>
          <w:bCs/>
          <w:i/>
        </w:rPr>
      </w:pPr>
      <w:r w:rsidRPr="006A2832">
        <w:rPr>
          <w:b/>
          <w:bCs/>
        </w:rPr>
        <w:t>Cost</w:t>
      </w:r>
      <w:r>
        <w:rPr>
          <w:b/>
          <w:bCs/>
        </w:rPr>
        <w:t>-effectiveness study</w:t>
      </w:r>
    </w:p>
    <w:p w14:paraId="42A48F6A" w14:textId="3B343354" w:rsidR="00131D91" w:rsidRDefault="00004A45" w:rsidP="00004A45">
      <w:pPr>
        <w:pStyle w:val="BodyText"/>
      </w:pPr>
      <w:r>
        <w:t xml:space="preserve">Lowry et al. (2019) </w:t>
      </w:r>
      <w:r w:rsidRPr="006A2832">
        <w:t>undertook</w:t>
      </w:r>
      <w:r>
        <w:t xml:space="preserve"> a comparative modelling analysis of three established breast cancer microsimulation models to predict long term impact </w:t>
      </w:r>
      <w:r w:rsidRPr="006A2832">
        <w:t xml:space="preserve">of integrating DBT into breast cancer screening practices in the US. The study estimated the incremental effect of DBT on breast cancer mortality, </w:t>
      </w:r>
      <w:r w:rsidR="00870ABB">
        <w:t>false positive</w:t>
      </w:r>
      <w:r w:rsidRPr="006A2832">
        <w:t xml:space="preserve"> screens, quality-adjusted life years (QALYs), costs, and cost-effectiveness of breast cancer screening at a population level.</w:t>
      </w:r>
      <w:r>
        <w:t xml:space="preserve"> The three established Cancer Intervention and Surveillance Modelling Network (CISNET) models were Model D (Dana Farber Cancer Institute), Model G-E (Georgetown University Medical Centre and Albert Einstein College of Medicine</w:t>
      </w:r>
      <w:r w:rsidR="006A2832">
        <w:t>)</w:t>
      </w:r>
      <w:r>
        <w:t xml:space="preserve"> and Model W (</w:t>
      </w:r>
      <w:r w:rsidR="00CE3204">
        <w:t>U</w:t>
      </w:r>
      <w:r>
        <w:t xml:space="preserve">niversity of Wisconsin and Harvard Medical School). All models used screening utilisation data from the National Health Interview Survey and the Breast Cancer Surveillance Consortium. Lowry </w:t>
      </w:r>
      <w:r w:rsidR="006A2832">
        <w:t xml:space="preserve">et al. used </w:t>
      </w:r>
      <w:r>
        <w:t xml:space="preserve">performance data </w:t>
      </w:r>
      <w:r w:rsidR="00131D91">
        <w:t xml:space="preserve">for </w:t>
      </w:r>
      <w:r w:rsidR="006A2832">
        <w:t>FFDM+</w:t>
      </w:r>
      <w:r>
        <w:t xml:space="preserve">DBT and FFDM derived from observational data provided by the PROSPR consortium. Outcomes are reported per 1000 simulated US women aged 40-80 years in the year 2011 followed for the </w:t>
      </w:r>
      <w:r w:rsidR="00131D91">
        <w:t>rest</w:t>
      </w:r>
      <w:r>
        <w:t xml:space="preserve"> of their lives. </w:t>
      </w:r>
      <w:r w:rsidRPr="006F585D">
        <w:t>The two screening scenarios were FFDM alone and FFDM+DBT</w:t>
      </w:r>
      <w:r w:rsidR="006F585D" w:rsidRPr="006F585D">
        <w:t xml:space="preserve"> (although </w:t>
      </w:r>
      <w:r w:rsidR="006F585D">
        <w:t xml:space="preserve">the paper is unclear </w:t>
      </w:r>
      <w:r w:rsidR="006F585D" w:rsidRPr="006F585D">
        <w:t>whether the</w:t>
      </w:r>
      <w:r w:rsidR="006F585D">
        <w:t xml:space="preserve"> dual acquisition mode was used in the modelling)</w:t>
      </w:r>
      <w:r>
        <w:t>. Screening patterns, breast density distribution and adjuvant therapy and effectiveness were based on 2011 levels for the duration of the study.</w:t>
      </w:r>
      <w:r w:rsidR="00131D91">
        <w:t xml:space="preserve"> This may result in some slightly out of date costs (especially for adjuvant therapies which are now available</w:t>
      </w:r>
      <w:r w:rsidR="005B1F67">
        <w:t>,</w:t>
      </w:r>
      <w:r w:rsidR="00131D91">
        <w:t xml:space="preserve"> but which may not have been in 2011).</w:t>
      </w:r>
    </w:p>
    <w:p w14:paraId="463108C1" w14:textId="65C4D79F" w:rsidR="00004A45" w:rsidRDefault="006F585D" w:rsidP="00004A45">
      <w:pPr>
        <w:pStyle w:val="BodyText"/>
      </w:pPr>
      <w:r>
        <w:t xml:space="preserve">Lowry et al. </w:t>
      </w:r>
      <w:r w:rsidR="00004A45">
        <w:t xml:space="preserve">compared a </w:t>
      </w:r>
      <w:r>
        <w:t>four percent</w:t>
      </w:r>
      <w:r w:rsidR="00004A45">
        <w:t xml:space="preserve"> improvement in sensitivity against no improvement in their modelling analysis, additionally they applied 50-150</w:t>
      </w:r>
      <w:r>
        <w:t xml:space="preserve"> percent </w:t>
      </w:r>
      <w:r w:rsidR="00004A45">
        <w:t xml:space="preserve">to disutilities due to screening and diagnostic recall. </w:t>
      </w:r>
    </w:p>
    <w:p w14:paraId="54885D8A" w14:textId="65394FCF" w:rsidR="006F585D" w:rsidRDefault="00004A45" w:rsidP="00004A45">
      <w:pPr>
        <w:pStyle w:val="BodyText"/>
      </w:pPr>
      <w:r>
        <w:lastRenderedPageBreak/>
        <w:t xml:space="preserve">Results from the modelling analysis indicated only small improvements in health outcomes when the </w:t>
      </w:r>
      <w:r w:rsidR="006F585D">
        <w:t>four percent</w:t>
      </w:r>
      <w:r>
        <w:t xml:space="preserve"> sensitivity improvement was applied: a reduction in breast cancer deaths by 0.16</w:t>
      </w:r>
      <w:r w:rsidR="00176980">
        <w:t xml:space="preserve"> to </w:t>
      </w:r>
      <w:r>
        <w:t>0.26/1000 women, an increase in life years by 2.17</w:t>
      </w:r>
      <w:r w:rsidR="00176980">
        <w:t xml:space="preserve"> to </w:t>
      </w:r>
      <w:r>
        <w:t>4.36</w:t>
      </w:r>
      <w:r w:rsidR="00B74A78">
        <w:t xml:space="preserve"> per </w:t>
      </w:r>
      <w:r>
        <w:t>1000 women, and an increase in QALYs by 3.61</w:t>
      </w:r>
      <w:r w:rsidR="00176980">
        <w:t xml:space="preserve"> to </w:t>
      </w:r>
      <w:r>
        <w:t>4.97</w:t>
      </w:r>
      <w:r w:rsidR="00B74A78">
        <w:t xml:space="preserve"> per </w:t>
      </w:r>
      <w:r>
        <w:t>1000 women. Similarly</w:t>
      </w:r>
      <w:r w:rsidR="006F585D">
        <w:t>,</w:t>
      </w:r>
      <w:r>
        <w:t xml:space="preserve"> with </w:t>
      </w:r>
      <w:r w:rsidR="006F585D">
        <w:t xml:space="preserve">a four percent </w:t>
      </w:r>
      <w:r>
        <w:t>sensitivity improvement applied</w:t>
      </w:r>
      <w:r w:rsidR="006F585D">
        <w:t>,</w:t>
      </w:r>
      <w:r>
        <w:t xml:space="preserve"> additional costs of implementing DBT were as follows: </w:t>
      </w:r>
    </w:p>
    <w:p w14:paraId="192CDB92" w14:textId="5D87088D" w:rsidR="006F585D" w:rsidRDefault="006F585D" w:rsidP="006F585D">
      <w:pPr>
        <w:pStyle w:val="List-BulletLvl1"/>
      </w:pPr>
      <w:r>
        <w:t>USD</w:t>
      </w:r>
      <w:r w:rsidR="004325AB">
        <w:t xml:space="preserve"> </w:t>
      </w:r>
      <w:r w:rsidR="00004A45">
        <w:t>130,533</w:t>
      </w:r>
      <w:r w:rsidR="00CE3204">
        <w:t xml:space="preserve"> to </w:t>
      </w:r>
      <w:r w:rsidR="00004A45">
        <w:t>156,6248</w:t>
      </w:r>
      <w:r w:rsidR="005B1F67">
        <w:rPr>
          <w:rStyle w:val="FootnoteReference"/>
        </w:rPr>
        <w:footnoteReference w:id="35"/>
      </w:r>
      <w:r w:rsidR="00004A45">
        <w:t xml:space="preserve"> per QALY per 1000 women screened (compared to </w:t>
      </w:r>
      <w:r>
        <w:t>USD</w:t>
      </w:r>
      <w:r w:rsidR="004325AB">
        <w:t xml:space="preserve"> </w:t>
      </w:r>
      <w:r w:rsidR="00004A45">
        <w:t>395,553</w:t>
      </w:r>
      <w:r w:rsidR="00CE3204">
        <w:t xml:space="preserve"> to </w:t>
      </w:r>
      <w:r w:rsidR="00004A45">
        <w:t>445,722</w:t>
      </w:r>
      <w:r w:rsidR="005B1F67">
        <w:rPr>
          <w:rStyle w:val="FootnoteReference"/>
        </w:rPr>
        <w:footnoteReference w:id="36"/>
      </w:r>
      <w:r w:rsidR="00004A45">
        <w:t xml:space="preserve"> at </w:t>
      </w:r>
      <w:r>
        <w:t>zero percent</w:t>
      </w:r>
      <w:r w:rsidR="00004A45">
        <w:t xml:space="preserve"> improvement</w:t>
      </w:r>
      <w:r w:rsidR="005B1F67">
        <w:t>), and</w:t>
      </w:r>
    </w:p>
    <w:p w14:paraId="213D7838" w14:textId="0E49CF28" w:rsidR="005B1F67" w:rsidRDefault="00004A45" w:rsidP="006F585D">
      <w:pPr>
        <w:pStyle w:val="List-BulletLvl1"/>
      </w:pPr>
      <w:r>
        <w:t>I</w:t>
      </w:r>
      <w:r w:rsidR="00874B62">
        <w:t>ncremental Cost Effectiveness Ratios (I</w:t>
      </w:r>
      <w:r>
        <w:t>CERs</w:t>
      </w:r>
      <w:r w:rsidR="0019576D">
        <w:t>)</w:t>
      </w:r>
      <w:r>
        <w:t xml:space="preserve"> improved if disutilities were applied for screening and diagnostic evaluation but generally remained high  at base case values at</w:t>
      </w:r>
      <w:r w:rsidR="005B1F67">
        <w:t>:</w:t>
      </w:r>
    </w:p>
    <w:p w14:paraId="7A49DD08" w14:textId="6EAB9FB6" w:rsidR="005B1F67" w:rsidRDefault="004325AB" w:rsidP="005B1F67">
      <w:pPr>
        <w:pStyle w:val="List-BulletLvl2"/>
      </w:pPr>
      <w:r>
        <w:t xml:space="preserve">50 percent: USD </w:t>
      </w:r>
      <w:r w:rsidR="00004A45">
        <w:t>301,529</w:t>
      </w:r>
      <w:r w:rsidR="00CE3204">
        <w:t xml:space="preserve"> to </w:t>
      </w:r>
      <w:r w:rsidR="00004A45">
        <w:t>530,621</w:t>
      </w:r>
      <w:r w:rsidR="005B1F67">
        <w:rPr>
          <w:rStyle w:val="FootnoteReference"/>
        </w:rPr>
        <w:footnoteReference w:id="37"/>
      </w:r>
    </w:p>
    <w:p w14:paraId="7602E44A" w14:textId="5DE71917" w:rsidR="00004A45" w:rsidRDefault="00004A45" w:rsidP="005B1F67">
      <w:pPr>
        <w:pStyle w:val="List-BulletLvl2"/>
      </w:pPr>
      <w:r>
        <w:t>150</w:t>
      </w:r>
      <w:r w:rsidR="004325AB">
        <w:t xml:space="preserve"> percent</w:t>
      </w:r>
      <w:r>
        <w:t xml:space="preserve"> of</w:t>
      </w:r>
      <w:r w:rsidR="004325AB">
        <w:t xml:space="preserve"> USD </w:t>
      </w:r>
      <w:r>
        <w:t>144,121</w:t>
      </w:r>
      <w:r w:rsidR="00CE3204">
        <w:t xml:space="preserve"> to </w:t>
      </w:r>
      <w:r>
        <w:t>180,820</w:t>
      </w:r>
      <w:r w:rsidR="005B1F67">
        <w:rPr>
          <w:rStyle w:val="FootnoteReference"/>
        </w:rPr>
        <w:footnoteReference w:id="38"/>
      </w:r>
      <w:r>
        <w:t xml:space="preserve">. </w:t>
      </w:r>
    </w:p>
    <w:p w14:paraId="67FCE5FD" w14:textId="4FC9046E" w:rsidR="00004A45" w:rsidRDefault="00004A45" w:rsidP="00004A45">
      <w:pPr>
        <w:pStyle w:val="BodyText"/>
      </w:pPr>
      <w:r>
        <w:t>Lowry suggest</w:t>
      </w:r>
      <w:r w:rsidR="004325AB">
        <w:t>ed</w:t>
      </w:r>
      <w:r>
        <w:t xml:space="preserve"> that with a predicted improvement in DBT specificity, reducing false positive by up to 26</w:t>
      </w:r>
      <w:r w:rsidR="004325AB">
        <w:t xml:space="preserve"> percent</w:t>
      </w:r>
      <w:r>
        <w:t>, and a potential lowering of costs for individual screening examinations, that the cost effectiveness of DBT improve</w:t>
      </w:r>
      <w:r w:rsidR="004325AB">
        <w:t>d; h</w:t>
      </w:r>
      <w:r>
        <w:t xml:space="preserve">owever, as this analysis was undertaken in the US, which does not have a comparable health care system, medical rebate structure or screening program the findings are of interest but are of limited value to BSA. </w:t>
      </w:r>
    </w:p>
    <w:p w14:paraId="7D68DA18" w14:textId="6C100588" w:rsidR="00222F20" w:rsidRDefault="00222F20"/>
    <w:p w14:paraId="795C4D29" w14:textId="77777777" w:rsidR="006A2832" w:rsidRDefault="006A2832">
      <w:pPr>
        <w:rPr>
          <w:rFonts w:asciiTheme="majorHAnsi" w:hAnsiTheme="majorHAnsi"/>
          <w:b/>
          <w:caps/>
          <w:color w:val="36424A" w:themeColor="text2"/>
          <w:sz w:val="28"/>
        </w:rPr>
      </w:pPr>
      <w:r>
        <w:br w:type="page"/>
      </w:r>
    </w:p>
    <w:p w14:paraId="72876510" w14:textId="57086D77" w:rsidR="00222F20" w:rsidRDefault="00222F20" w:rsidP="00222F20">
      <w:pPr>
        <w:pStyle w:val="Heading1"/>
      </w:pPr>
      <w:bookmarkStart w:id="517" w:name="_Toc43376373"/>
      <w:r>
        <w:lastRenderedPageBreak/>
        <w:t>references</w:t>
      </w:r>
      <w:bookmarkEnd w:id="517"/>
    </w:p>
    <w:p w14:paraId="58ED2903" w14:textId="3BAC0E99" w:rsidR="00667B45" w:rsidRPr="00131D91" w:rsidRDefault="00667B45" w:rsidP="006D457E">
      <w:pPr>
        <w:pStyle w:val="BodyText"/>
      </w:pPr>
      <w:r>
        <w:t xml:space="preserve">Aase, H. S., Holen, Å. S., Pedersen, K., Houssami, N., Haldorsen, I. S., Sebuødegård, S., … Hofvind, S. (2019). A randomized controlled trial of digital breast tomosynthesis versus digital mammography in population-based screening in Bergen: Interim analysis of performance indicators from the </w:t>
      </w:r>
      <w:r w:rsidR="00815FC2">
        <w:t>To-Be-1</w:t>
      </w:r>
      <w:r>
        <w:t xml:space="preserve"> trial. </w:t>
      </w:r>
      <w:r>
        <w:rPr>
          <w:i/>
          <w:iCs/>
        </w:rPr>
        <w:t>European Radiology</w:t>
      </w:r>
      <w:r>
        <w:t xml:space="preserve">, </w:t>
      </w:r>
      <w:r>
        <w:rPr>
          <w:i/>
          <w:iCs/>
        </w:rPr>
        <w:t>29</w:t>
      </w:r>
      <w:r>
        <w:t xml:space="preserve">(3), 1175–1186. </w:t>
      </w:r>
      <w:hyperlink r:id="rId29" w:history="1">
        <w:r w:rsidRPr="00131D91">
          <w:rPr>
            <w:rStyle w:val="Hyperlink"/>
          </w:rPr>
          <w:t>https://doi.org/10.1007/s00330-018-5690-x</w:t>
        </w:r>
      </w:hyperlink>
    </w:p>
    <w:p w14:paraId="6C989D29" w14:textId="77777777" w:rsidR="00667B45" w:rsidRDefault="00667B45" w:rsidP="006D457E">
      <w:pPr>
        <w:pStyle w:val="BodyText"/>
      </w:pPr>
      <w:r w:rsidRPr="00131D91">
        <w:t xml:space="preserve">Ambinder, E. B., Harvey, S. C., Panigrahi, B., Li, X., &amp; Woods, R. W. (2018). Synthesized Mammography: The New Standard of Care When Screening for Breast Cancer with Digital Breast Tomosynthesis? </w:t>
      </w:r>
      <w:r w:rsidRPr="00131D91">
        <w:rPr>
          <w:i/>
          <w:iCs/>
        </w:rPr>
        <w:t>Academic Radiology</w:t>
      </w:r>
      <w:r w:rsidRPr="00131D91">
        <w:t xml:space="preserve">, </w:t>
      </w:r>
      <w:r w:rsidRPr="00131D91">
        <w:rPr>
          <w:i/>
          <w:iCs/>
        </w:rPr>
        <w:t>25</w:t>
      </w:r>
      <w:r w:rsidRPr="00131D91">
        <w:t xml:space="preserve">(8), 973–976. </w:t>
      </w:r>
      <w:hyperlink r:id="rId30" w:history="1">
        <w:r w:rsidRPr="00131D91">
          <w:rPr>
            <w:rStyle w:val="Hyperlink"/>
          </w:rPr>
          <w:t>https://doi.org/10.1016/j.acra.2017.12.015</w:t>
        </w:r>
      </w:hyperlink>
    </w:p>
    <w:p w14:paraId="35D21991" w14:textId="77777777" w:rsidR="00667B45" w:rsidRDefault="00667B45" w:rsidP="006D457E">
      <w:pPr>
        <w:pStyle w:val="BodyText"/>
      </w:pPr>
      <w:r>
        <w:t xml:space="preserve">Bahl, M., Pinnamaneni, N., Mercaldo, S., McCarthy, A. M., &amp; Lehman, C. D. (2019). Digital 2D versus Tomosynthesis Screening Mammography among Women Aged 65 and Older in the United States. </w:t>
      </w:r>
      <w:r>
        <w:rPr>
          <w:i/>
          <w:iCs/>
        </w:rPr>
        <w:t>Radiology</w:t>
      </w:r>
      <w:r>
        <w:t xml:space="preserve">, </w:t>
      </w:r>
      <w:r>
        <w:rPr>
          <w:i/>
          <w:iCs/>
        </w:rPr>
        <w:t>291</w:t>
      </w:r>
      <w:r>
        <w:t xml:space="preserve">(3), 582–590. </w:t>
      </w:r>
      <w:hyperlink r:id="rId31" w:history="1">
        <w:r>
          <w:rPr>
            <w:rStyle w:val="Hyperlink"/>
          </w:rPr>
          <w:t>https://doi.org/10.1148/radiol.2019181637</w:t>
        </w:r>
      </w:hyperlink>
    </w:p>
    <w:p w14:paraId="582BAA43" w14:textId="77777777" w:rsidR="00667B45" w:rsidRDefault="00667B45" w:rsidP="006D457E">
      <w:pPr>
        <w:pStyle w:val="BodyText"/>
      </w:pPr>
      <w:r>
        <w:t xml:space="preserve">Bernardi, D., Gentilini, M. A., De Nisi, M., Pellegrini, M., Fantò, C., Valentini, M., … Houssami, N. (2019). Effect of implementing digital breast tomosynthesis (DBT) instead of mammography on population screening outcomes including interval cancer rates: Results of the Trento DBT pilot evaluation. </w:t>
      </w:r>
      <w:r>
        <w:rPr>
          <w:i/>
          <w:iCs/>
        </w:rPr>
        <w:t>Breast (Edinburgh, Scotland)</w:t>
      </w:r>
      <w:r>
        <w:t xml:space="preserve">. </w:t>
      </w:r>
      <w:hyperlink r:id="rId32" w:history="1">
        <w:r>
          <w:rPr>
            <w:rStyle w:val="Hyperlink"/>
          </w:rPr>
          <w:t>https://doi.org/10.1016/j.breast.2019.09.012</w:t>
        </w:r>
      </w:hyperlink>
    </w:p>
    <w:p w14:paraId="1E2FBD56" w14:textId="7DF8D9C3" w:rsidR="00667B45" w:rsidRDefault="00667B45" w:rsidP="006D457E">
      <w:pPr>
        <w:pStyle w:val="BodyText"/>
      </w:pPr>
      <w:r>
        <w:t xml:space="preserve">Bernardi, D., Li, T., Pellegrini, M., Macaskill, P., Valentini, M., Fantò, C., … Houssami, N. (2018). Effect of integrating digital breast tomosynthesis (3D-mammography) with acquired or synthetic 2D-mammography on radiologists’ true-positive and </w:t>
      </w:r>
      <w:r w:rsidR="00870ABB">
        <w:t>false positive</w:t>
      </w:r>
      <w:r>
        <w:t xml:space="preserve"> detection in a population screening trial: A descriptive study. </w:t>
      </w:r>
      <w:r>
        <w:rPr>
          <w:i/>
          <w:iCs/>
        </w:rPr>
        <w:t>European Journal Of Radiology</w:t>
      </w:r>
      <w:r>
        <w:t xml:space="preserve">, </w:t>
      </w:r>
      <w:r>
        <w:rPr>
          <w:i/>
          <w:iCs/>
        </w:rPr>
        <w:t>106</w:t>
      </w:r>
      <w:r>
        <w:t xml:space="preserve">, 26–31. </w:t>
      </w:r>
      <w:hyperlink r:id="rId33" w:history="1">
        <w:r>
          <w:rPr>
            <w:rStyle w:val="Hyperlink"/>
          </w:rPr>
          <w:t>https://doi.org/10.1016/j.ejrad.2018.07.008</w:t>
        </w:r>
      </w:hyperlink>
    </w:p>
    <w:p w14:paraId="29437B58" w14:textId="77777777" w:rsidR="00667B45" w:rsidRPr="003A73F5" w:rsidRDefault="00667B45" w:rsidP="006D457E">
      <w:pPr>
        <w:pStyle w:val="BodyText"/>
      </w:pPr>
      <w:r w:rsidRPr="003A73F5">
        <w:t xml:space="preserve">Bernardi D., Macaskill P., Pellegrini M., Valentini M., Fanto C., Ostillio L., Tuttobene P., Luparia A., and Houssami N. ‘Breast Cancer Screening with Tomosynthesis (3D Mammography) with Acquired or Synthetic 2D Mammography Compared with 2D Mammography Alone (STORM-2): A Population-Based Prospective Study’. </w:t>
      </w:r>
      <w:r w:rsidRPr="003A73F5">
        <w:rPr>
          <w:i/>
          <w:iCs/>
        </w:rPr>
        <w:t>The Lancet Oncology</w:t>
      </w:r>
      <w:r w:rsidRPr="003A73F5">
        <w:t xml:space="preserve"> 17, no. 8 (2016): 1105–13. </w:t>
      </w:r>
      <w:hyperlink r:id="rId34" w:history="1">
        <w:r w:rsidRPr="003A73F5">
          <w:rPr>
            <w:rStyle w:val="Hyperlink"/>
          </w:rPr>
          <w:t>https://doi.org/10.1016/S1470-2045%2816%2930101-2</w:t>
        </w:r>
      </w:hyperlink>
      <w:r w:rsidRPr="003A73F5">
        <w:t>.</w:t>
      </w:r>
    </w:p>
    <w:p w14:paraId="4B913C78" w14:textId="2F2A4661" w:rsidR="00DC4037" w:rsidRDefault="00DC4037" w:rsidP="006D457E">
      <w:pPr>
        <w:pStyle w:val="BodyText"/>
      </w:pPr>
      <w:r w:rsidRPr="003A73F5">
        <w:t xml:space="preserve">Bernardi D </w:t>
      </w:r>
      <w:r>
        <w:t>&amp;</w:t>
      </w:r>
      <w:r w:rsidRPr="003A73F5">
        <w:t xml:space="preserve"> Houssami</w:t>
      </w:r>
      <w:r>
        <w:t xml:space="preserve"> N</w:t>
      </w:r>
      <w:r w:rsidRPr="003A73F5">
        <w:t xml:space="preserve">. ‘Breast Cancers Detected in Only One of Two Arms of a Tomosynthesis (3D-Mammography) Population Screening Trial (STORM-2)’. </w:t>
      </w:r>
      <w:r w:rsidRPr="003A73F5">
        <w:rPr>
          <w:i/>
          <w:iCs/>
        </w:rPr>
        <w:t>Breast</w:t>
      </w:r>
      <w:r w:rsidRPr="003A73F5">
        <w:t xml:space="preserve"> 32 (2017): 98–101. </w:t>
      </w:r>
      <w:hyperlink r:id="rId35" w:history="1">
        <w:r w:rsidRPr="003A73F5">
          <w:rPr>
            <w:rStyle w:val="Hyperlink"/>
          </w:rPr>
          <w:t>https://doi.org/10.1016/j.breast.2017.01.005</w:t>
        </w:r>
      </w:hyperlink>
      <w:r w:rsidRPr="003A73F5">
        <w:t>.</w:t>
      </w:r>
    </w:p>
    <w:p w14:paraId="0CD8D617" w14:textId="7599F4D6" w:rsidR="005866B2" w:rsidRPr="003A73F5" w:rsidRDefault="005866B2" w:rsidP="006D457E">
      <w:pPr>
        <w:pStyle w:val="BodyText"/>
      </w:pPr>
      <w:r w:rsidRPr="00DB21E4">
        <w:t xml:space="preserve">Bernardi D, Ciatto S, Pellegrini M, Anesi V, Burlon S, Cauli E,et al. </w:t>
      </w:r>
      <w:r>
        <w:t xml:space="preserve">(2012) </w:t>
      </w:r>
      <w:r w:rsidRPr="00DB21E4">
        <w:t>Application of breast tomosynthesis in screening: incremental effect on mammography acquisition and reading time.Br J Radiol. 85:e1174---8.57.</w:t>
      </w:r>
    </w:p>
    <w:p w14:paraId="287F3C6C" w14:textId="77777777" w:rsidR="00667B45" w:rsidRDefault="00667B45" w:rsidP="006D457E">
      <w:pPr>
        <w:pStyle w:val="BodyText"/>
      </w:pPr>
      <w:r>
        <w:t xml:space="preserve">Caumo, F., Zorzi, M., Brunelli, S., Romanucci, G., Rella, R., Cugola, L., … Houssami, N. (2018). Digital Breast Tomosynthesis with Synthesized Two-Dimensional Images versus Full-Field Digital Mammography for Population Screening: Outcomes from the Verona Screening Program. </w:t>
      </w:r>
      <w:r>
        <w:rPr>
          <w:i/>
          <w:iCs/>
        </w:rPr>
        <w:t>Radiology</w:t>
      </w:r>
      <w:r>
        <w:t xml:space="preserve">, </w:t>
      </w:r>
      <w:r>
        <w:rPr>
          <w:i/>
          <w:iCs/>
        </w:rPr>
        <w:t>287</w:t>
      </w:r>
      <w:r>
        <w:t xml:space="preserve">(1), 37–46. </w:t>
      </w:r>
      <w:hyperlink r:id="rId36" w:history="1">
        <w:r>
          <w:rPr>
            <w:rStyle w:val="Hyperlink"/>
          </w:rPr>
          <w:t>https://doi.org/10.1148/radiol.2017170745</w:t>
        </w:r>
      </w:hyperlink>
    </w:p>
    <w:p w14:paraId="343DCD35" w14:textId="77777777" w:rsidR="00667B45" w:rsidRDefault="00667B45" w:rsidP="006D457E">
      <w:pPr>
        <w:pStyle w:val="BodyText"/>
      </w:pPr>
      <w:r w:rsidRPr="006D457E">
        <w:t xml:space="preserve">Chae, E. Y., Kim, H. H., Jeong, J.-W., Chae, S.-H., Lee, S., &amp; Choi, Y.-W. (2019). Decrease in interpretation time for both novice and experienced readers using a concurrent computer-aided detection system for digital breast tomosynthesis. </w:t>
      </w:r>
      <w:r w:rsidRPr="006D457E">
        <w:rPr>
          <w:i/>
          <w:iCs/>
        </w:rPr>
        <w:t>European Radiology</w:t>
      </w:r>
      <w:r w:rsidRPr="006D457E">
        <w:t xml:space="preserve">, </w:t>
      </w:r>
      <w:r w:rsidRPr="006D457E">
        <w:rPr>
          <w:i/>
          <w:iCs/>
        </w:rPr>
        <w:t>29</w:t>
      </w:r>
      <w:r w:rsidRPr="006D457E">
        <w:t xml:space="preserve">(5), 2518–2525. </w:t>
      </w:r>
      <w:hyperlink r:id="rId37" w:history="1">
        <w:r w:rsidRPr="006D457E">
          <w:rPr>
            <w:rStyle w:val="Hyperlink"/>
          </w:rPr>
          <w:t>https://doi.org/10.1007/s00330-018-5886-0</w:t>
        </w:r>
      </w:hyperlink>
    </w:p>
    <w:p w14:paraId="41F63927" w14:textId="77777777" w:rsidR="00667B45" w:rsidRDefault="00667B45" w:rsidP="006D457E">
      <w:pPr>
        <w:pStyle w:val="BodyText"/>
      </w:pPr>
      <w:r w:rsidRPr="006A5219">
        <w:lastRenderedPageBreak/>
        <w:t xml:space="preserve">Choi, J. S., Han, B.-K., Ko, E. Y., Kim, G. R., Ko, E. S., &amp; Park, K. W. (2019). Comparison of synthetic and digital mammography with digital breast tomosynthesis or alone for the detection and classification of microcalcifications. </w:t>
      </w:r>
      <w:r w:rsidRPr="006A5219">
        <w:rPr>
          <w:i/>
          <w:iCs/>
        </w:rPr>
        <w:t>European Radiology</w:t>
      </w:r>
      <w:r w:rsidRPr="006A5219">
        <w:t xml:space="preserve">, </w:t>
      </w:r>
      <w:r w:rsidRPr="006A5219">
        <w:rPr>
          <w:i/>
          <w:iCs/>
        </w:rPr>
        <w:t>29</w:t>
      </w:r>
      <w:r w:rsidRPr="006A5219">
        <w:t xml:space="preserve">(1), 319–329. </w:t>
      </w:r>
      <w:hyperlink r:id="rId38" w:history="1">
        <w:r w:rsidRPr="006A5219">
          <w:rPr>
            <w:rStyle w:val="Hyperlink"/>
          </w:rPr>
          <w:t>https://doi.org/10.1007/s00330-018-5585-x</w:t>
        </w:r>
      </w:hyperlink>
    </w:p>
    <w:p w14:paraId="1DFB7146" w14:textId="5E3C0974" w:rsidR="00667B45" w:rsidRDefault="00667B45" w:rsidP="006D457E">
      <w:pPr>
        <w:pStyle w:val="BodyText"/>
      </w:pPr>
      <w:r>
        <w:t xml:space="preserve">Chong, A., Weinstein, S. P., McDonald, E. S., &amp; Conant, E. F. (2019). Digital Breast Tomosynthesis: Concepts and Clinical Practice. </w:t>
      </w:r>
      <w:r>
        <w:rPr>
          <w:i/>
          <w:iCs/>
        </w:rPr>
        <w:t>Radiology</w:t>
      </w:r>
      <w:r>
        <w:t xml:space="preserve">, </w:t>
      </w:r>
      <w:r>
        <w:rPr>
          <w:i/>
          <w:iCs/>
        </w:rPr>
        <w:t>292</w:t>
      </w:r>
      <w:r>
        <w:t xml:space="preserve">(1), 1–14. </w:t>
      </w:r>
      <w:hyperlink r:id="rId39" w:history="1">
        <w:r>
          <w:rPr>
            <w:rStyle w:val="Hyperlink"/>
          </w:rPr>
          <w:t>https://doi.org/10.1148/radiol.2019180760</w:t>
        </w:r>
      </w:hyperlink>
    </w:p>
    <w:p w14:paraId="523557AE" w14:textId="77777777" w:rsidR="00667B45" w:rsidRDefault="00667B45" w:rsidP="006D457E">
      <w:pPr>
        <w:pStyle w:val="BodyText"/>
      </w:pPr>
      <w:r>
        <w:t xml:space="preserve">Conant, E. F., Barlow, W. E., Herschorn, S. D., Weaver, D. L., Beaber, E. F., Tosteson, A. N. A., … Sprague, B. L. (2019). Association of Digital Breast Tomosynthesis vs Digital Mammography With Cancer Detection and Recall Rates by Age and Breast Density. </w:t>
      </w:r>
      <w:r>
        <w:rPr>
          <w:i/>
          <w:iCs/>
        </w:rPr>
        <w:t>JAMA Oncology</w:t>
      </w:r>
      <w:r>
        <w:t xml:space="preserve">, </w:t>
      </w:r>
      <w:r>
        <w:rPr>
          <w:i/>
          <w:iCs/>
        </w:rPr>
        <w:t>5</w:t>
      </w:r>
      <w:r>
        <w:t xml:space="preserve">(5), 635–642. </w:t>
      </w:r>
      <w:hyperlink r:id="rId40" w:history="1">
        <w:r>
          <w:rPr>
            <w:rStyle w:val="Hyperlink"/>
          </w:rPr>
          <w:t>https://doi.org/10.1001/jamaoncol.2018.7078</w:t>
        </w:r>
      </w:hyperlink>
    </w:p>
    <w:p w14:paraId="58D6E06A" w14:textId="77777777" w:rsidR="00B66140" w:rsidRPr="003A73F5" w:rsidRDefault="00B66140" w:rsidP="006D457E">
      <w:pPr>
        <w:pStyle w:val="BodyText"/>
      </w:pPr>
      <w:r w:rsidRPr="003A73F5">
        <w:t>Coop, P, Cowling</w:t>
      </w:r>
      <w:r>
        <w:t xml:space="preserve"> A, </w:t>
      </w:r>
      <w:r w:rsidRPr="003A73F5">
        <w:t>Lawson</w:t>
      </w:r>
      <w:r>
        <w:t xml:space="preserve"> B</w:t>
      </w:r>
      <w:r w:rsidRPr="003A73F5">
        <w:t xml:space="preserve">. ‘Tomosynthesis as a Screening Tool for Breast Cancer: A Systematic Review’. </w:t>
      </w:r>
      <w:r w:rsidRPr="003A73F5">
        <w:rPr>
          <w:i/>
          <w:iCs/>
        </w:rPr>
        <w:t>Radiography</w:t>
      </w:r>
      <w:r w:rsidRPr="003A73F5">
        <w:t xml:space="preserve"> 22, no. 3 (1 August 2016): e190–95. </w:t>
      </w:r>
      <w:hyperlink r:id="rId41" w:history="1">
        <w:r w:rsidRPr="003A73F5">
          <w:rPr>
            <w:rStyle w:val="Hyperlink"/>
          </w:rPr>
          <w:t>https://doi.org/10.1016/j.radi.2016.03.002</w:t>
        </w:r>
      </w:hyperlink>
      <w:r w:rsidRPr="003A73F5">
        <w:t>.</w:t>
      </w:r>
    </w:p>
    <w:p w14:paraId="63719277" w14:textId="77777777" w:rsidR="00667B45" w:rsidRDefault="00667B45" w:rsidP="006D457E">
      <w:pPr>
        <w:pStyle w:val="BodyText"/>
      </w:pPr>
      <w:r>
        <w:t xml:space="preserve">Dang, P. A., Wang, A., Senapati, G. M., Ip, I. K., Lacson, R., Khorasani, R., &amp; Giess, C. S. (2019). Comparing Tumor Characteristics and Rates of Breast Cancers Detected by Screening Digital Breast Tomosynthesis and Full-Field Digital Mammography. </w:t>
      </w:r>
      <w:r>
        <w:rPr>
          <w:i/>
          <w:iCs/>
        </w:rPr>
        <w:t>AJR. American Journal Of Roentgenology</w:t>
      </w:r>
      <w:r>
        <w:t xml:space="preserve">, 1–6. </w:t>
      </w:r>
      <w:hyperlink r:id="rId42" w:history="1">
        <w:r>
          <w:rPr>
            <w:rStyle w:val="Hyperlink"/>
          </w:rPr>
          <w:t>https://doi.org/10.2214/AJR.18.21060</w:t>
        </w:r>
      </w:hyperlink>
    </w:p>
    <w:p w14:paraId="170CBA6C" w14:textId="77777777" w:rsidR="00667B45" w:rsidRDefault="00667B45" w:rsidP="006D457E">
      <w:pPr>
        <w:pStyle w:val="BodyText"/>
      </w:pPr>
      <w:r>
        <w:t xml:space="preserve">Fujii, M. H., Herschorn, S. D., Sowden, M., Hotaling, E. L., Vacek, P. M., Weaver, D. L., &amp; Sprague, B. L. (2019). Detection Rates for Benign and Malignant Diagnoses on Breast Cancer Screening With Digital Breast Tomosynthesis in a Statewide Mammography Registry Study. </w:t>
      </w:r>
      <w:r>
        <w:rPr>
          <w:i/>
          <w:iCs/>
        </w:rPr>
        <w:t>AJR. American Journal Of Roentgenology</w:t>
      </w:r>
      <w:r>
        <w:t xml:space="preserve">, </w:t>
      </w:r>
      <w:r>
        <w:rPr>
          <w:i/>
          <w:iCs/>
        </w:rPr>
        <w:t>212</w:t>
      </w:r>
      <w:r>
        <w:t xml:space="preserve">(3), 706–711. </w:t>
      </w:r>
      <w:hyperlink r:id="rId43" w:history="1">
        <w:r>
          <w:rPr>
            <w:rStyle w:val="Hyperlink"/>
          </w:rPr>
          <w:t>https://doi.org/10.2214/AJR.18.20255</w:t>
        </w:r>
      </w:hyperlink>
    </w:p>
    <w:p w14:paraId="5E5876E2" w14:textId="77777777" w:rsidR="00667B45" w:rsidRDefault="00667B45" w:rsidP="006D457E">
      <w:pPr>
        <w:pStyle w:val="BodyText"/>
      </w:pPr>
      <w:r>
        <w:t xml:space="preserve">Gennaro, G., Bernardi, D., &amp; Houssami, N. (2018). Radiation dose with digital breast tomosynthesis compared to digital mammography: Per-view analysis. </w:t>
      </w:r>
      <w:r>
        <w:rPr>
          <w:i/>
          <w:iCs/>
        </w:rPr>
        <w:t>European Radiology</w:t>
      </w:r>
      <w:r>
        <w:t xml:space="preserve">, </w:t>
      </w:r>
      <w:r>
        <w:rPr>
          <w:i/>
          <w:iCs/>
        </w:rPr>
        <w:t>28</w:t>
      </w:r>
      <w:r>
        <w:t xml:space="preserve">(2), 573–581. </w:t>
      </w:r>
      <w:hyperlink r:id="rId44" w:history="1">
        <w:r>
          <w:rPr>
            <w:rStyle w:val="Hyperlink"/>
          </w:rPr>
          <w:t>https://doi.org/10.1007/s00330-017-5024-4</w:t>
        </w:r>
      </w:hyperlink>
    </w:p>
    <w:p w14:paraId="23B5DF2F" w14:textId="31C901D9" w:rsidR="00B66140" w:rsidRPr="003A73F5" w:rsidRDefault="00B66140" w:rsidP="006D457E">
      <w:pPr>
        <w:pStyle w:val="BodyText"/>
      </w:pPr>
      <w:r w:rsidRPr="003A73F5">
        <w:t>Hodgson</w:t>
      </w:r>
      <w:r>
        <w:t xml:space="preserve"> R</w:t>
      </w:r>
      <w:r w:rsidRPr="003A73F5">
        <w:t>, Heywang-Kobrunner</w:t>
      </w:r>
      <w:r>
        <w:t xml:space="preserve"> SH</w:t>
      </w:r>
      <w:r w:rsidRPr="003A73F5">
        <w:t>, Harvey</w:t>
      </w:r>
      <w:r>
        <w:t xml:space="preserve"> SC</w:t>
      </w:r>
      <w:r w:rsidRPr="003A73F5">
        <w:t>, Edwards</w:t>
      </w:r>
      <w:r>
        <w:t xml:space="preserve"> M</w:t>
      </w:r>
      <w:r w:rsidRPr="003A73F5">
        <w:t>, Shaikh</w:t>
      </w:r>
      <w:r>
        <w:t xml:space="preserve"> M</w:t>
      </w:r>
      <w:r w:rsidRPr="003A73F5">
        <w:t>, Arber</w:t>
      </w:r>
      <w:r>
        <w:t xml:space="preserve"> M</w:t>
      </w:r>
      <w:r w:rsidRPr="003A73F5">
        <w:t>, Glanville</w:t>
      </w:r>
      <w:r>
        <w:t xml:space="preserve"> J</w:t>
      </w:r>
      <w:r w:rsidRPr="003A73F5">
        <w:t xml:space="preserve">. ‘Systematic Review of 3D Mammography for Breast Cancer Screening.’ </w:t>
      </w:r>
      <w:r w:rsidRPr="003A73F5">
        <w:rPr>
          <w:i/>
          <w:iCs/>
        </w:rPr>
        <w:t>Breast (Edinburgh, Scotland)</w:t>
      </w:r>
      <w:r w:rsidRPr="003A73F5">
        <w:t xml:space="preserve"> 27, no. 9213011 (2016): 52–61. </w:t>
      </w:r>
      <w:hyperlink r:id="rId45" w:history="1">
        <w:r w:rsidRPr="003A73F5">
          <w:rPr>
            <w:rStyle w:val="Hyperlink"/>
          </w:rPr>
          <w:t>https://doi.org/10.1016/j.breast.2016.01.002</w:t>
        </w:r>
      </w:hyperlink>
      <w:r w:rsidRPr="003A73F5">
        <w:t>.</w:t>
      </w:r>
    </w:p>
    <w:p w14:paraId="02D5980B" w14:textId="15AC5118" w:rsidR="00667B45" w:rsidRDefault="00667B45" w:rsidP="006D457E">
      <w:pPr>
        <w:pStyle w:val="BodyText"/>
      </w:pPr>
      <w:r>
        <w:t>Hofvind, S, Holen, AS, Aase, HS, Houssami, N, Sebuodegard, S, Moger, TA, Haldorsen, IS, &amp; Akslen, L. (2019). Two-view digital breast tomosynthesis versus digital mammography in a population-based breast cancer screening programme (</w:t>
      </w:r>
      <w:r w:rsidR="00815FC2">
        <w:t>To-Be-1</w:t>
      </w:r>
      <w:r>
        <w:t xml:space="preserve">): A randomised, controlled trial. </w:t>
      </w:r>
      <w:r>
        <w:rPr>
          <w:i/>
          <w:iCs/>
        </w:rPr>
        <w:t>The Lancet. Oncology</w:t>
      </w:r>
      <w:r>
        <w:t xml:space="preserve">. </w:t>
      </w:r>
      <w:hyperlink r:id="rId46" w:history="1">
        <w:r>
          <w:rPr>
            <w:rStyle w:val="Hyperlink"/>
          </w:rPr>
          <w:t>https://doi.org/10.1016/S1470-2045(19)30161-5</w:t>
        </w:r>
      </w:hyperlink>
    </w:p>
    <w:p w14:paraId="57368C9A" w14:textId="77777777" w:rsidR="00667B45" w:rsidRDefault="00667B45" w:rsidP="006D457E">
      <w:pPr>
        <w:pStyle w:val="BodyText"/>
      </w:pPr>
      <w:r>
        <w:t xml:space="preserve">Hofvind, S., Hovda, T., Holen, Å. S., Lee, C. I., Albertsen, J., Bjørndal, H., … Skaane, P. (2018). Digital Breast Tomosynthesis and Synthetic 2D Mammography versus Digital Mammography: Evaluation in a Population-based Screening Program. </w:t>
      </w:r>
      <w:r>
        <w:rPr>
          <w:i/>
          <w:iCs/>
        </w:rPr>
        <w:t>Radiology</w:t>
      </w:r>
      <w:r>
        <w:t xml:space="preserve">, </w:t>
      </w:r>
      <w:r>
        <w:rPr>
          <w:i/>
          <w:iCs/>
        </w:rPr>
        <w:t>287</w:t>
      </w:r>
      <w:r>
        <w:t xml:space="preserve">(3), 787–794. </w:t>
      </w:r>
      <w:hyperlink r:id="rId47" w:history="1">
        <w:r>
          <w:rPr>
            <w:rStyle w:val="Hyperlink"/>
          </w:rPr>
          <w:t>https://doi.org/10.1148/radiol.2018171361</w:t>
        </w:r>
      </w:hyperlink>
    </w:p>
    <w:p w14:paraId="62BCC909" w14:textId="77777777" w:rsidR="00667B45" w:rsidRDefault="00667B45" w:rsidP="006D457E">
      <w:pPr>
        <w:pStyle w:val="BodyText"/>
      </w:pPr>
      <w:r w:rsidRPr="00A33B53">
        <w:t xml:space="preserve">Honig, E. L., Mullen, L. A., Amir, T., Alvin, M. D., Jones, M. K., Ambinder, E. B., … Harvey, S. C. (2019). Factors Impacting False Positive Recall in Screening Mammography. </w:t>
      </w:r>
      <w:r w:rsidRPr="00A33B53">
        <w:rPr>
          <w:i/>
          <w:iCs/>
        </w:rPr>
        <w:t>Academic Radiology</w:t>
      </w:r>
      <w:r w:rsidRPr="00A33B53">
        <w:t xml:space="preserve">. </w:t>
      </w:r>
      <w:hyperlink r:id="rId48" w:history="1">
        <w:r w:rsidRPr="00A33B53">
          <w:rPr>
            <w:rStyle w:val="Hyperlink"/>
          </w:rPr>
          <w:t>https://doi.org/10.1016/j.acra.2019.01.020</w:t>
        </w:r>
      </w:hyperlink>
    </w:p>
    <w:p w14:paraId="7DF7EADB" w14:textId="77777777" w:rsidR="001076E3" w:rsidRDefault="001076E3" w:rsidP="001076E3">
      <w:pPr>
        <w:pStyle w:val="BodyText"/>
      </w:pPr>
      <w:r>
        <w:t xml:space="preserve">Houssami, N., Lockie, D., Clemson, M., Pridmore, V., Taylor, D., Marr, G., … Macaskill, P. (2019). Pilot trial of digital breast tomosynthesis (3D mammography) for population-based screening in BreastScreen Victoria. </w:t>
      </w:r>
      <w:r>
        <w:rPr>
          <w:i/>
          <w:iCs/>
        </w:rPr>
        <w:t>The Medical Journal Of Australia</w:t>
      </w:r>
      <w:r>
        <w:t xml:space="preserve">. </w:t>
      </w:r>
      <w:hyperlink r:id="rId49" w:history="1">
        <w:r>
          <w:rPr>
            <w:rStyle w:val="Hyperlink"/>
          </w:rPr>
          <w:t>https://doi.org/10.5694/mja2.50320</w:t>
        </w:r>
      </w:hyperlink>
    </w:p>
    <w:p w14:paraId="7F794DFC" w14:textId="77777777" w:rsidR="00667B45" w:rsidRDefault="00667B45" w:rsidP="006D457E">
      <w:pPr>
        <w:pStyle w:val="BodyText"/>
      </w:pPr>
      <w:r>
        <w:lastRenderedPageBreak/>
        <w:t xml:space="preserve">Houssami, N., Bernardi, D., Caumo, F., Brunelli, S., Fantò, C., Valentini, M., … Macaskill, P. (2018). Interval breast cancers in the ‘screening with tomosynthesis or standard mammography’ (STORM) population-based trial. </w:t>
      </w:r>
      <w:r>
        <w:rPr>
          <w:i/>
          <w:iCs/>
        </w:rPr>
        <w:t>Breast (Edinburgh, Scotland)</w:t>
      </w:r>
      <w:r>
        <w:t xml:space="preserve">, </w:t>
      </w:r>
      <w:r>
        <w:rPr>
          <w:i/>
          <w:iCs/>
        </w:rPr>
        <w:t>38</w:t>
      </w:r>
      <w:r>
        <w:t xml:space="preserve">, 150–153. </w:t>
      </w:r>
      <w:hyperlink r:id="rId50" w:history="1">
        <w:r>
          <w:rPr>
            <w:rStyle w:val="Hyperlink"/>
          </w:rPr>
          <w:t>https://doi.org/10.1016/j.breast.2018.01.002</w:t>
        </w:r>
      </w:hyperlink>
    </w:p>
    <w:p w14:paraId="532FF11D" w14:textId="77777777" w:rsidR="001076E3" w:rsidRDefault="001076E3" w:rsidP="001076E3">
      <w:pPr>
        <w:pStyle w:val="BodyText"/>
      </w:pPr>
      <w:r>
        <w:t xml:space="preserve">Houssami N., Bernardi D., Pellegrini M., Valentini M., Fanto C., Ostillio L., … Macaskill P. (2017). Breast cancer detection using single-reading of breast tomosynthesis (3D-mammography) compared to double-reading of 2D-mammography: Evidence from a population-based trial. </w:t>
      </w:r>
      <w:r>
        <w:rPr>
          <w:i/>
          <w:iCs/>
        </w:rPr>
        <w:t>Cancer Epidemiology</w:t>
      </w:r>
      <w:r>
        <w:t xml:space="preserve">, </w:t>
      </w:r>
      <w:r>
        <w:rPr>
          <w:i/>
          <w:iCs/>
        </w:rPr>
        <w:t>47</w:t>
      </w:r>
      <w:r>
        <w:t xml:space="preserve">((Houssami, Macaskill) Sydney School of Public Health (A27), Sydney Medical School, University of Sydney, Sydney 2006, Australia), 94–99. </w:t>
      </w:r>
      <w:hyperlink r:id="rId51" w:history="1">
        <w:r>
          <w:rPr>
            <w:rStyle w:val="Hyperlink"/>
          </w:rPr>
          <w:t>https://doi.org/10.1016/j.canep.2017.01.008</w:t>
        </w:r>
      </w:hyperlink>
    </w:p>
    <w:p w14:paraId="517B79CD" w14:textId="77777777" w:rsidR="001076E3" w:rsidRDefault="001076E3" w:rsidP="001076E3">
      <w:pPr>
        <w:pStyle w:val="BodyText"/>
      </w:pPr>
      <w:r>
        <w:t xml:space="preserve">Houssami N., Macaskill P., Bernardi D., Caumo F., Pellegrini M., Brunelli S., … Ciatto S. (2014). Breast screening using 2D-mammography or integrating digital breast tomosynthesis (3D-mammography) for single-reading or double-reading—Evidence to guide future screening strategies. </w:t>
      </w:r>
      <w:r>
        <w:rPr>
          <w:i/>
          <w:iCs/>
        </w:rPr>
        <w:t>European Journal of Cancer</w:t>
      </w:r>
      <w:r>
        <w:t xml:space="preserve">, </w:t>
      </w:r>
      <w:r>
        <w:rPr>
          <w:i/>
          <w:iCs/>
        </w:rPr>
        <w:t>50</w:t>
      </w:r>
      <w:r>
        <w:t xml:space="preserve">(10), 1799–1807. </w:t>
      </w:r>
      <w:hyperlink r:id="rId52" w:history="1">
        <w:r>
          <w:rPr>
            <w:rStyle w:val="Hyperlink"/>
          </w:rPr>
          <w:t>https://doi.org/10.1016/j.ejca.2014.03.017</w:t>
        </w:r>
      </w:hyperlink>
    </w:p>
    <w:p w14:paraId="1BA30F16" w14:textId="77777777" w:rsidR="00667B45" w:rsidRDefault="00667B45" w:rsidP="006D457E">
      <w:pPr>
        <w:pStyle w:val="BodyText"/>
      </w:pPr>
      <w:r>
        <w:t xml:space="preserve">Hovda, T., Brandal, S. H. B., Sebuødegård, S., Holen, Å. S., Bjørndal, H., Skaane, P., &amp; Hofvind, S. (2019). Screening outcome for consecutive examinations with digital breast tomosynthesis versus standard digital mammography in a population-based screening program. </w:t>
      </w:r>
      <w:r>
        <w:rPr>
          <w:i/>
          <w:iCs/>
        </w:rPr>
        <w:t>European Radiology</w:t>
      </w:r>
      <w:r>
        <w:t xml:space="preserve">. </w:t>
      </w:r>
      <w:hyperlink r:id="rId53" w:history="1">
        <w:r>
          <w:rPr>
            <w:rStyle w:val="Hyperlink"/>
          </w:rPr>
          <w:t>https://doi.org/10.1007/s00330-019-06264-y</w:t>
        </w:r>
      </w:hyperlink>
    </w:p>
    <w:p w14:paraId="59866F2B" w14:textId="77777777" w:rsidR="00667B45" w:rsidRDefault="00667B45" w:rsidP="006D457E">
      <w:pPr>
        <w:pStyle w:val="BodyText"/>
      </w:pPr>
      <w:r>
        <w:t xml:space="preserve">Johnson, K., Zackrisson, S., Rosso, A., Sartor, H., Saal, L. H., Andersson, I., &amp; Lång, K. (2019). Tumor Characteristics and Molecular Subtypes in Breast Cancer Screening with Digital Breast Tomosynthesis: The Malmö Breast Tomosynthesis Screening Trial. </w:t>
      </w:r>
      <w:r>
        <w:rPr>
          <w:i/>
          <w:iCs/>
        </w:rPr>
        <w:t>Radiology</w:t>
      </w:r>
      <w:r>
        <w:t xml:space="preserve">, 190132–190132. </w:t>
      </w:r>
      <w:hyperlink r:id="rId54" w:history="1">
        <w:r>
          <w:rPr>
            <w:rStyle w:val="Hyperlink"/>
          </w:rPr>
          <w:t>https://doi.org/10.1148/radiol.2019190132</w:t>
        </w:r>
      </w:hyperlink>
    </w:p>
    <w:p w14:paraId="2E54D1E8" w14:textId="77777777" w:rsidR="00667B45" w:rsidRDefault="00667B45" w:rsidP="006D457E">
      <w:pPr>
        <w:pStyle w:val="BodyText"/>
      </w:pPr>
      <w:r>
        <w:t xml:space="preserve">Lai, Y.-C., Ray, K. M., Lee, A. Y., Hayward, J. H., Freimanis, R. I., Lobach, I. V., &amp; Joe, B. N. (2018). Microcalcifications Detected at Screening Mammography: Synthetic Mammography and Digital Breast Tomosynthesis versus Digital Mammography. </w:t>
      </w:r>
      <w:r>
        <w:rPr>
          <w:i/>
          <w:iCs/>
        </w:rPr>
        <w:t>Radiology</w:t>
      </w:r>
      <w:r>
        <w:t xml:space="preserve">, </w:t>
      </w:r>
      <w:r>
        <w:rPr>
          <w:i/>
          <w:iCs/>
        </w:rPr>
        <w:t>289</w:t>
      </w:r>
      <w:r>
        <w:t xml:space="preserve">(3), 630–638. </w:t>
      </w:r>
      <w:hyperlink r:id="rId55" w:history="1">
        <w:r>
          <w:rPr>
            <w:rStyle w:val="Hyperlink"/>
          </w:rPr>
          <w:t>https://doi.org/10.1148/radiol.2018181180</w:t>
        </w:r>
      </w:hyperlink>
    </w:p>
    <w:p w14:paraId="07056F07" w14:textId="77777777" w:rsidR="00667B45" w:rsidRDefault="00667B45" w:rsidP="006D457E">
      <w:pPr>
        <w:pStyle w:val="BodyText"/>
      </w:pPr>
      <w:r>
        <w:t xml:space="preserve">Lång, K. (2019). The Coming of Age of Breast Tomosynthesis in Screening. </w:t>
      </w:r>
      <w:r>
        <w:rPr>
          <w:i/>
          <w:iCs/>
        </w:rPr>
        <w:t>Radiology</w:t>
      </w:r>
      <w:r>
        <w:t xml:space="preserve">, </w:t>
      </w:r>
      <w:r>
        <w:rPr>
          <w:i/>
          <w:iCs/>
        </w:rPr>
        <w:t>291</w:t>
      </w:r>
      <w:r>
        <w:t xml:space="preserve">(1), 31–33. </w:t>
      </w:r>
      <w:hyperlink r:id="rId56" w:history="1">
        <w:r>
          <w:rPr>
            <w:rStyle w:val="Hyperlink"/>
          </w:rPr>
          <w:t>https://doi.org/10.1148/radiol.2019190181</w:t>
        </w:r>
      </w:hyperlink>
    </w:p>
    <w:p w14:paraId="690084E3" w14:textId="77777777" w:rsidR="00F23A05" w:rsidRDefault="00F23A05" w:rsidP="00F23A05">
      <w:pPr>
        <w:pStyle w:val="BodyText"/>
      </w:pPr>
      <w:r>
        <w:t xml:space="preserve">Li, T., Marinovich, M. L., &amp; Houssami, N. (2018). Digital breast tomosynthesis (3D mammography) for breast cancer screening and for assessment of screen-recalled findings: Review of the evidence. </w:t>
      </w:r>
      <w:r>
        <w:rPr>
          <w:i/>
          <w:iCs/>
        </w:rPr>
        <w:t>Expert Review of Anticancer Therapy</w:t>
      </w:r>
      <w:r>
        <w:t xml:space="preserve">, </w:t>
      </w:r>
      <w:r>
        <w:rPr>
          <w:i/>
          <w:iCs/>
        </w:rPr>
        <w:t>18</w:t>
      </w:r>
      <w:r>
        <w:t xml:space="preserve">(8), 785–791. </w:t>
      </w:r>
      <w:hyperlink r:id="rId57" w:history="1">
        <w:r>
          <w:rPr>
            <w:rStyle w:val="Hyperlink"/>
          </w:rPr>
          <w:t>https://doi.org/10.1080/14737140.2018.1483243</w:t>
        </w:r>
      </w:hyperlink>
    </w:p>
    <w:p w14:paraId="7681066E" w14:textId="77777777" w:rsidR="00667B45" w:rsidRDefault="00667B45" w:rsidP="006D457E">
      <w:pPr>
        <w:pStyle w:val="BodyText"/>
      </w:pPr>
      <w:r w:rsidRPr="00062EF9">
        <w:t xml:space="preserve">Lowry, K. P., Trentham-Dietz, A., Schechter, C. B., Alagoz, O., Barlow, W. E., Burnside, E. S., … Stout, N. K. (2019). Long-term Outcomes and Cost-effectiveness of Breast Cancer Screening with Digital Breast Tomosynthesis in the United States. </w:t>
      </w:r>
      <w:r w:rsidRPr="00062EF9">
        <w:rPr>
          <w:i/>
          <w:iCs/>
        </w:rPr>
        <w:t>Journal Of The National Cancer Institute</w:t>
      </w:r>
      <w:r w:rsidRPr="00062EF9">
        <w:t xml:space="preserve">. </w:t>
      </w:r>
      <w:hyperlink r:id="rId58" w:history="1">
        <w:r w:rsidRPr="00062EF9">
          <w:rPr>
            <w:rStyle w:val="Hyperlink"/>
          </w:rPr>
          <w:t>https://doi.org/10.1093/jnci/djz184</w:t>
        </w:r>
      </w:hyperlink>
    </w:p>
    <w:p w14:paraId="17BCAF52" w14:textId="77777777" w:rsidR="00667B45" w:rsidRDefault="00667B45" w:rsidP="006D457E">
      <w:pPr>
        <w:pStyle w:val="BodyText"/>
      </w:pPr>
      <w:r>
        <w:t xml:space="preserve">Marinovich, M. L., Hunter, K. E., Macaskill, P., &amp; Houssami, N. (2018). Breast Cancer Screening Using Tomosynthesis or Mammography: A Meta-analysis of Cancer Detection and Recall. </w:t>
      </w:r>
      <w:r>
        <w:rPr>
          <w:i/>
          <w:iCs/>
        </w:rPr>
        <w:t>Journal Of The National Cancer Institute</w:t>
      </w:r>
      <w:r>
        <w:t xml:space="preserve">, </w:t>
      </w:r>
      <w:r>
        <w:rPr>
          <w:i/>
          <w:iCs/>
        </w:rPr>
        <w:t>110</w:t>
      </w:r>
      <w:r>
        <w:t xml:space="preserve">(9), 942–949. </w:t>
      </w:r>
      <w:hyperlink r:id="rId59" w:history="1">
        <w:r>
          <w:rPr>
            <w:rStyle w:val="Hyperlink"/>
          </w:rPr>
          <w:t>https://doi.org/10.1093/jnci/djy121</w:t>
        </w:r>
      </w:hyperlink>
    </w:p>
    <w:p w14:paraId="3C9EA060" w14:textId="77777777" w:rsidR="00667B45" w:rsidRDefault="00667B45" w:rsidP="006D457E">
      <w:pPr>
        <w:pStyle w:val="BodyText"/>
      </w:pPr>
      <w:r w:rsidRPr="006D457E">
        <w:lastRenderedPageBreak/>
        <w:t xml:space="preserve">Miglioretti, D. L., Abraham, L., Lee, C. I., Buist, D. S. M., Herschorn, S. D., Sprague, B. L., … Kerlikowske, K. (2019). Digital Breast Tomosynthesis: Radiologist Learning Curve. </w:t>
      </w:r>
      <w:r w:rsidRPr="006D457E">
        <w:rPr>
          <w:i/>
          <w:iCs/>
        </w:rPr>
        <w:t>Radiology</w:t>
      </w:r>
      <w:r w:rsidRPr="006D457E">
        <w:t xml:space="preserve">, </w:t>
      </w:r>
      <w:r w:rsidRPr="006D457E">
        <w:rPr>
          <w:i/>
          <w:iCs/>
        </w:rPr>
        <w:t>291</w:t>
      </w:r>
      <w:r w:rsidRPr="006D457E">
        <w:t xml:space="preserve">(1), 34–42. </w:t>
      </w:r>
      <w:hyperlink r:id="rId60" w:history="1">
        <w:r w:rsidRPr="006D457E">
          <w:rPr>
            <w:rStyle w:val="Hyperlink"/>
          </w:rPr>
          <w:t>https://doi.org/10.1148/radiol.2019182305</w:t>
        </w:r>
      </w:hyperlink>
    </w:p>
    <w:p w14:paraId="2C7B5692" w14:textId="09770146" w:rsidR="00667B45" w:rsidRPr="00062EF9" w:rsidRDefault="00667B45" w:rsidP="006D457E">
      <w:pPr>
        <w:pStyle w:val="BodyText"/>
      </w:pPr>
      <w:r w:rsidRPr="00062EF9">
        <w:t xml:space="preserve">Moger, TA, Swanson, JO, Holen, AS, Hanestad, B., &amp; Hofvind, S. (2019). Cost differences between digital tomosynthesis and standard digital mammography in a breast cancer screening programme: Results from the </w:t>
      </w:r>
      <w:r w:rsidR="00815FC2">
        <w:t>To-Be-1</w:t>
      </w:r>
      <w:r w:rsidRPr="00062EF9">
        <w:t xml:space="preserve"> trial in Norway. </w:t>
      </w:r>
      <w:r w:rsidRPr="00062EF9">
        <w:rPr>
          <w:i/>
          <w:iCs/>
        </w:rPr>
        <w:t>European Journal of Health Economics</w:t>
      </w:r>
      <w:r w:rsidRPr="00062EF9">
        <w:t xml:space="preserve">. </w:t>
      </w:r>
      <w:hyperlink r:id="rId61" w:history="1">
        <w:r w:rsidRPr="00062EF9">
          <w:rPr>
            <w:rStyle w:val="Hyperlink"/>
          </w:rPr>
          <w:t>https://doi.org/10.1007/s10198-019-01094-7</w:t>
        </w:r>
      </w:hyperlink>
    </w:p>
    <w:p w14:paraId="12B4F4C3" w14:textId="77777777" w:rsidR="00667B45" w:rsidRDefault="00667B45" w:rsidP="006D457E">
      <w:pPr>
        <w:pStyle w:val="BodyText"/>
      </w:pPr>
      <w:r w:rsidRPr="00062EF9">
        <w:t>Østerås, B. H., Skaane, P., Gullien, R., &amp; Martinsen, A. C. T. (2018). Average glandular dose in</w:t>
      </w:r>
      <w:r>
        <w:t xml:space="preserve"> paired digital mammography and digital breast tomosynthesis acquisitions in a population based screening program: Effects of measuring breast density, air kerma and beam quality. </w:t>
      </w:r>
      <w:r>
        <w:rPr>
          <w:i/>
          <w:iCs/>
        </w:rPr>
        <w:t>Physics In Medicine And Biology</w:t>
      </w:r>
      <w:r>
        <w:t xml:space="preserve">, </w:t>
      </w:r>
      <w:r>
        <w:rPr>
          <w:i/>
          <w:iCs/>
        </w:rPr>
        <w:t>63</w:t>
      </w:r>
      <w:r>
        <w:t xml:space="preserve">(3), 035006–035006. </w:t>
      </w:r>
      <w:hyperlink r:id="rId62" w:history="1">
        <w:r>
          <w:rPr>
            <w:rStyle w:val="Hyperlink"/>
          </w:rPr>
          <w:t>https://doi.org/10.1088/1361-6560/aaa614</w:t>
        </w:r>
      </w:hyperlink>
    </w:p>
    <w:p w14:paraId="431E8886" w14:textId="77777777" w:rsidR="00667B45" w:rsidRDefault="00667B45" w:rsidP="006D457E">
      <w:pPr>
        <w:pStyle w:val="BodyText"/>
      </w:pPr>
      <w:r>
        <w:t xml:space="preserve">Pattacini, P., Nitrosi, A., Giorgi Rossi, P., Iotti, V., Ginocchi, V., Ravaioli, S., … Campari, C. (2018). Digital Mammography versus Digital Mammography Plus Tomosynthesis for Breast Cancer Screening: The Reggio Emilia Tomosynthesis Randomized Trial. </w:t>
      </w:r>
      <w:r>
        <w:rPr>
          <w:i/>
          <w:iCs/>
        </w:rPr>
        <w:t>Radiology</w:t>
      </w:r>
      <w:r>
        <w:t xml:space="preserve">, </w:t>
      </w:r>
      <w:r>
        <w:rPr>
          <w:i/>
          <w:iCs/>
        </w:rPr>
        <w:t>288</w:t>
      </w:r>
      <w:r>
        <w:t xml:space="preserve">(2), 375–385. </w:t>
      </w:r>
      <w:hyperlink r:id="rId63" w:history="1">
        <w:r>
          <w:rPr>
            <w:rStyle w:val="Hyperlink"/>
          </w:rPr>
          <w:t>https://doi.org/10.1148/radiol.2018172119</w:t>
        </w:r>
      </w:hyperlink>
    </w:p>
    <w:p w14:paraId="0568528D" w14:textId="77777777" w:rsidR="00667B45" w:rsidRDefault="00667B45" w:rsidP="006D457E">
      <w:pPr>
        <w:pStyle w:val="BodyText"/>
      </w:pPr>
      <w:r>
        <w:t xml:space="preserve">Phi, X.-A., Tagliafico, A., Houssami, N., Greuter, M. J. W., &amp; de Bock, G. H. (2018). Digital breast tomosynthesis for breast cancer screening and diagnosis in women with dense breasts—A systematic review and meta-analysis. </w:t>
      </w:r>
      <w:r>
        <w:rPr>
          <w:i/>
          <w:iCs/>
        </w:rPr>
        <w:t>BMC Cancer</w:t>
      </w:r>
      <w:r>
        <w:t xml:space="preserve">, </w:t>
      </w:r>
      <w:r>
        <w:rPr>
          <w:i/>
          <w:iCs/>
        </w:rPr>
        <w:t>18</w:t>
      </w:r>
      <w:r>
        <w:t xml:space="preserve">(1), 380–380. </w:t>
      </w:r>
      <w:hyperlink r:id="rId64" w:history="1">
        <w:r>
          <w:rPr>
            <w:rStyle w:val="Hyperlink"/>
          </w:rPr>
          <w:t>https://doi.org/10.1186/s12885-018-4263-3</w:t>
        </w:r>
      </w:hyperlink>
    </w:p>
    <w:p w14:paraId="0E33A4D9" w14:textId="77777777" w:rsidR="00667B45" w:rsidRDefault="00667B45" w:rsidP="006D457E">
      <w:pPr>
        <w:pStyle w:val="BodyText"/>
      </w:pPr>
      <w:r>
        <w:t xml:space="preserve">Rocha García, A. M., &amp; Mera Fernández, D. (2019). Breast tomosynthesis: State of the art. </w:t>
      </w:r>
      <w:r>
        <w:rPr>
          <w:i/>
          <w:iCs/>
        </w:rPr>
        <w:t>Radiologia</w:t>
      </w:r>
      <w:r>
        <w:t xml:space="preserve">, </w:t>
      </w:r>
      <w:r>
        <w:rPr>
          <w:i/>
          <w:iCs/>
        </w:rPr>
        <w:t>61</w:t>
      </w:r>
      <w:r>
        <w:t xml:space="preserve">(4), 274–285. </w:t>
      </w:r>
      <w:hyperlink r:id="rId65" w:history="1">
        <w:r>
          <w:rPr>
            <w:rStyle w:val="Hyperlink"/>
          </w:rPr>
          <w:t>https://doi.org/10.1016/j.rx.2019.01.002</w:t>
        </w:r>
      </w:hyperlink>
    </w:p>
    <w:p w14:paraId="6E47C018" w14:textId="77777777" w:rsidR="00667B45" w:rsidRDefault="00667B45" w:rsidP="006D457E">
      <w:pPr>
        <w:pStyle w:val="BodyText"/>
      </w:pPr>
      <w:r>
        <w:t xml:space="preserve">Romero Martín, S., Raya Povedano, J. L., Cara García, M., Santos Romero, A. L., Pedrosa Garriguet, M., &amp; Álvarez Benito, M. (2018). Prospective study aiming to compare 2D mammography and tomosynthesis + synthesized mammography in terms of cancer detection and recall. From double reading of 2D mammography to single reading of tomosynthesis. </w:t>
      </w:r>
      <w:r>
        <w:rPr>
          <w:i/>
          <w:iCs/>
        </w:rPr>
        <w:t>European Radiology</w:t>
      </w:r>
      <w:r>
        <w:t xml:space="preserve">, </w:t>
      </w:r>
      <w:r>
        <w:rPr>
          <w:i/>
          <w:iCs/>
        </w:rPr>
        <w:t>28</w:t>
      </w:r>
      <w:r>
        <w:t xml:space="preserve">(6), 2484–2491. </w:t>
      </w:r>
      <w:hyperlink r:id="rId66" w:history="1">
        <w:r>
          <w:rPr>
            <w:rStyle w:val="Hyperlink"/>
          </w:rPr>
          <w:t>https://doi.org/10.1007/s00330-017-5219-8</w:t>
        </w:r>
      </w:hyperlink>
    </w:p>
    <w:p w14:paraId="51A13973" w14:textId="3042771F" w:rsidR="00667B45" w:rsidRDefault="00667B45" w:rsidP="006D457E">
      <w:pPr>
        <w:pStyle w:val="BodyText"/>
        <w:rPr>
          <w:rStyle w:val="Hyperlink"/>
        </w:rPr>
      </w:pPr>
      <w:r>
        <w:t xml:space="preserve">Rose, S. L., &amp; Shisler, J. L. (2018). Tomosynthesis Impact on Breast Cancer Screening in Patients Younger Than 50 Years Old. </w:t>
      </w:r>
      <w:r>
        <w:rPr>
          <w:i/>
          <w:iCs/>
        </w:rPr>
        <w:t>AJR. American Journal of Roentgenology</w:t>
      </w:r>
      <w:r>
        <w:t xml:space="preserve">, </w:t>
      </w:r>
      <w:r>
        <w:rPr>
          <w:i/>
          <w:iCs/>
        </w:rPr>
        <w:t>210</w:t>
      </w:r>
      <w:r>
        <w:t xml:space="preserve">(6), 1401–1404. </w:t>
      </w:r>
      <w:hyperlink r:id="rId67" w:history="1">
        <w:r>
          <w:rPr>
            <w:rStyle w:val="Hyperlink"/>
          </w:rPr>
          <w:t>https://doi.org/10.2214/AJR.17.18839</w:t>
        </w:r>
      </w:hyperlink>
    </w:p>
    <w:p w14:paraId="26BA699E" w14:textId="19526455" w:rsidR="006D457E" w:rsidRDefault="006D457E" w:rsidP="006D457E">
      <w:pPr>
        <w:pStyle w:val="BodyText"/>
      </w:pPr>
      <w:r>
        <w:t xml:space="preserve">Simon, K., Dodelzon, K., Drotman, M., Levy, A., Arleo, E. K., Askin, G., &amp; Katzen, J. (2019). Accuracy of Synthetic 2D Mammography Compared With Conventional 2D Digital Mammography Obtained With 3D Tomosynthesis. </w:t>
      </w:r>
      <w:r>
        <w:rPr>
          <w:i/>
          <w:iCs/>
        </w:rPr>
        <w:t>AJR. American Journal Of Roentgenology</w:t>
      </w:r>
      <w:r>
        <w:t xml:space="preserve">, 1–6. </w:t>
      </w:r>
      <w:hyperlink r:id="rId68" w:history="1">
        <w:r>
          <w:rPr>
            <w:rStyle w:val="Hyperlink"/>
          </w:rPr>
          <w:t>https://doi.org/10.2214/AJR.18.20520</w:t>
        </w:r>
      </w:hyperlink>
    </w:p>
    <w:p w14:paraId="3125DDCD" w14:textId="7C25699B" w:rsidR="00667B45" w:rsidRDefault="00667B45" w:rsidP="006D457E">
      <w:pPr>
        <w:pStyle w:val="BodyText"/>
      </w:pPr>
      <w:r>
        <w:t xml:space="preserve">Skaane, P., Bandos, A. I., Niklason, L. T., Sebuødegård, S., Østerås, B. H., Gullien, R., … Hofvind, S. (2019). Digital Mammography versus Digital Mammography Plus Tomosynthesis in Breast Cancer Screening: The Oslo Tomosynthesis Screening Trial. </w:t>
      </w:r>
      <w:r>
        <w:rPr>
          <w:i/>
          <w:iCs/>
        </w:rPr>
        <w:t>Radiology</w:t>
      </w:r>
      <w:r>
        <w:t xml:space="preserve">, </w:t>
      </w:r>
      <w:r>
        <w:rPr>
          <w:i/>
          <w:iCs/>
        </w:rPr>
        <w:t>291</w:t>
      </w:r>
      <w:r>
        <w:t xml:space="preserve">(1), 23–30. </w:t>
      </w:r>
      <w:hyperlink r:id="rId69" w:history="1">
        <w:r>
          <w:rPr>
            <w:rStyle w:val="Hyperlink"/>
          </w:rPr>
          <w:t>https://doi.org/10.1148/radiol.2019182394</w:t>
        </w:r>
      </w:hyperlink>
    </w:p>
    <w:p w14:paraId="14BABFF7" w14:textId="77777777" w:rsidR="00667B45" w:rsidRDefault="00667B45" w:rsidP="006D457E">
      <w:pPr>
        <w:pStyle w:val="BodyText"/>
      </w:pPr>
      <w:r>
        <w:t xml:space="preserve">Skaane, P., Sebuødegård, S., Bandos, A. I., Gur, D., Østerås, B. H., Gullien, R., &amp; Hofvind, S. (2018). Performance of breast cancer screening using digital breast tomosynthesis: Results from the prospective population-based Oslo Tomosynthesis Screening Trial. </w:t>
      </w:r>
      <w:r>
        <w:rPr>
          <w:i/>
          <w:iCs/>
        </w:rPr>
        <w:t>Breast Cancer Research And Treatment</w:t>
      </w:r>
      <w:r>
        <w:t xml:space="preserve">, </w:t>
      </w:r>
      <w:r>
        <w:rPr>
          <w:i/>
          <w:iCs/>
        </w:rPr>
        <w:t>169</w:t>
      </w:r>
      <w:r>
        <w:t xml:space="preserve">(3), 489–496. </w:t>
      </w:r>
      <w:hyperlink r:id="rId70" w:history="1">
        <w:r>
          <w:rPr>
            <w:rStyle w:val="Hyperlink"/>
          </w:rPr>
          <w:t>https://doi.org/10.1007/s10549-018-4705-2</w:t>
        </w:r>
      </w:hyperlink>
    </w:p>
    <w:p w14:paraId="274417AE" w14:textId="77777777" w:rsidR="00667B45" w:rsidRPr="00E44152" w:rsidRDefault="00667B45" w:rsidP="006D457E">
      <w:pPr>
        <w:pStyle w:val="BodyText"/>
      </w:pPr>
      <w:r w:rsidRPr="00E44152">
        <w:lastRenderedPageBreak/>
        <w:t xml:space="preserve">Strudley CJ, Looney P, Young KC. 2014. </w:t>
      </w:r>
      <w:r w:rsidRPr="00E44152">
        <w:rPr>
          <w:i/>
        </w:rPr>
        <w:t>Technical evaluation of Hologic Selenia Dimensions digital breast tomosynthesis system</w:t>
      </w:r>
      <w:r w:rsidRPr="00E44152">
        <w:t>. NHS.</w:t>
      </w:r>
    </w:p>
    <w:p w14:paraId="5B632CF0" w14:textId="77777777" w:rsidR="00667B45" w:rsidRPr="007A16CF" w:rsidRDefault="00667B45" w:rsidP="006D457E">
      <w:pPr>
        <w:pStyle w:val="BodyText"/>
      </w:pPr>
      <w:r w:rsidRPr="007A16CF">
        <w:t xml:space="preserve">Upadhyay, N., Soneji, N., Stewart, V., &amp; Ralleigh, G. (2018). The effect of the addition of tomosynthesis to digital mammography on reader recall rate and reader confidence in the UK prevalent screening round. </w:t>
      </w:r>
      <w:r w:rsidRPr="007A16CF">
        <w:rPr>
          <w:i/>
          <w:iCs/>
        </w:rPr>
        <w:t>Clinical Radiology</w:t>
      </w:r>
      <w:r w:rsidRPr="007A16CF">
        <w:t xml:space="preserve">, </w:t>
      </w:r>
      <w:r w:rsidRPr="007A16CF">
        <w:rPr>
          <w:i/>
          <w:iCs/>
        </w:rPr>
        <w:t>73</w:t>
      </w:r>
      <w:r w:rsidRPr="007A16CF">
        <w:t xml:space="preserve">(8), 744–749. </w:t>
      </w:r>
      <w:hyperlink r:id="rId71" w:history="1">
        <w:r w:rsidRPr="007A16CF">
          <w:rPr>
            <w:rStyle w:val="Hyperlink"/>
          </w:rPr>
          <w:t>https://doi.org/10.1016/j.crad.2018.03.013</w:t>
        </w:r>
      </w:hyperlink>
    </w:p>
    <w:p w14:paraId="06BFD499" w14:textId="77777777" w:rsidR="00667B45" w:rsidRDefault="00667B45" w:rsidP="006D457E">
      <w:pPr>
        <w:pStyle w:val="BodyText"/>
      </w:pPr>
      <w:r w:rsidRPr="007A16CF">
        <w:t>Wahab, R. A., Lee, S.-J., Zhang, B., Sobel, L., &amp; Mahoney, M. C. (2018). A comparison of full-field digital mammograms versus 2D synthesized mammograms for detection of microcalcifications on</w:t>
      </w:r>
      <w:r>
        <w:t xml:space="preserve"> screening. </w:t>
      </w:r>
      <w:r>
        <w:rPr>
          <w:i/>
          <w:iCs/>
        </w:rPr>
        <w:t>European Journal Of Radiology</w:t>
      </w:r>
      <w:r>
        <w:t xml:space="preserve">, </w:t>
      </w:r>
      <w:r>
        <w:rPr>
          <w:i/>
          <w:iCs/>
        </w:rPr>
        <w:t>107</w:t>
      </w:r>
      <w:r>
        <w:t xml:space="preserve">, 14–19. </w:t>
      </w:r>
      <w:hyperlink r:id="rId72" w:history="1">
        <w:r>
          <w:rPr>
            <w:rStyle w:val="Hyperlink"/>
          </w:rPr>
          <w:t>https://doi.org/10.1016/j.ejrad.2018.08.004</w:t>
        </w:r>
      </w:hyperlink>
    </w:p>
    <w:p w14:paraId="084BAA28" w14:textId="77777777" w:rsidR="00667B45" w:rsidRDefault="00667B45" w:rsidP="006D457E">
      <w:pPr>
        <w:pStyle w:val="BodyText"/>
      </w:pPr>
      <w:r>
        <w:t xml:space="preserve">Wasan, R. K., Morel, J. C., Iqbal, A., Michell, M. J., Rahim, R. R., Peacock, C., … Satchithananda, K. (2019). Can digital breast tomosynthesis accurately predict whether circumscribed masses are benign or malignant in a screening population? </w:t>
      </w:r>
      <w:r>
        <w:rPr>
          <w:i/>
          <w:iCs/>
        </w:rPr>
        <w:t>Clinical Radiology</w:t>
      </w:r>
      <w:r>
        <w:t xml:space="preserve">, </w:t>
      </w:r>
      <w:r>
        <w:rPr>
          <w:i/>
          <w:iCs/>
        </w:rPr>
        <w:t>74</w:t>
      </w:r>
      <w:r>
        <w:t xml:space="preserve">(4), 327.e1-327.e5. </w:t>
      </w:r>
      <w:hyperlink r:id="rId73" w:history="1">
        <w:r>
          <w:rPr>
            <w:rStyle w:val="Hyperlink"/>
          </w:rPr>
          <w:t>https://doi.org/10.1016/j.crad.2018.12.020</w:t>
        </w:r>
      </w:hyperlink>
    </w:p>
    <w:p w14:paraId="59CB7953" w14:textId="77777777" w:rsidR="00667B45" w:rsidRDefault="00667B45" w:rsidP="006D457E">
      <w:pPr>
        <w:pStyle w:val="BodyText"/>
      </w:pPr>
      <w:r>
        <w:t xml:space="preserve">Zackrisson, S. (2019). Tomosynthesis in breast screening: Great expectations? </w:t>
      </w:r>
      <w:r>
        <w:rPr>
          <w:i/>
          <w:iCs/>
        </w:rPr>
        <w:t>The Lancet. Oncology</w:t>
      </w:r>
      <w:r>
        <w:t xml:space="preserve">, </w:t>
      </w:r>
      <w:r>
        <w:rPr>
          <w:i/>
          <w:iCs/>
        </w:rPr>
        <w:t>20</w:t>
      </w:r>
      <w:r>
        <w:t xml:space="preserve">(6), 745–746. </w:t>
      </w:r>
      <w:hyperlink r:id="rId74" w:history="1">
        <w:r>
          <w:rPr>
            <w:rStyle w:val="Hyperlink"/>
          </w:rPr>
          <w:t>https://doi.org/10.1016/S1470-2045(19)30287-6</w:t>
        </w:r>
      </w:hyperlink>
    </w:p>
    <w:p w14:paraId="6DFA5937" w14:textId="77777777" w:rsidR="00667B45" w:rsidRDefault="00667B45" w:rsidP="006D457E">
      <w:pPr>
        <w:pStyle w:val="BodyText"/>
      </w:pPr>
      <w:r>
        <w:t xml:space="preserve">Zackrisson, S., Lång, K., Rosso, A., Johnson, K., Dustler, M., Förnvik, D., … Andersson, I. (2018). One-view breast tomosynthesis versus two-view mammography in the Malmö Breast Tomosynthesis Screening Trial (MBTST): A prospective, population-based, diagnostic accuracy study. </w:t>
      </w:r>
      <w:r>
        <w:rPr>
          <w:i/>
          <w:iCs/>
        </w:rPr>
        <w:t>The Lancet. Oncology</w:t>
      </w:r>
      <w:r>
        <w:t xml:space="preserve">, </w:t>
      </w:r>
      <w:r>
        <w:rPr>
          <w:i/>
          <w:iCs/>
        </w:rPr>
        <w:t>19</w:t>
      </w:r>
      <w:r>
        <w:t xml:space="preserve">(11), 1493–1503. </w:t>
      </w:r>
      <w:hyperlink r:id="rId75" w:history="1">
        <w:r>
          <w:rPr>
            <w:rStyle w:val="Hyperlink"/>
          </w:rPr>
          <w:t>https://doi.org/10.1016/S1470-2045(18)30521-7</w:t>
        </w:r>
      </w:hyperlink>
    </w:p>
    <w:p w14:paraId="7210EF95" w14:textId="0C2F9682" w:rsidR="00BC43DB" w:rsidRDefault="00BC43DB" w:rsidP="00BC43DB">
      <w:pPr>
        <w:pStyle w:val="BodyText"/>
      </w:pPr>
    </w:p>
    <w:p w14:paraId="2C666CE9" w14:textId="77777777" w:rsidR="006A5219" w:rsidRDefault="006A5219">
      <w:pPr>
        <w:rPr>
          <w:rFonts w:asciiTheme="majorHAnsi" w:hAnsiTheme="majorHAnsi"/>
          <w:b/>
          <w:caps/>
          <w:color w:val="36424A" w:themeColor="text2"/>
          <w:sz w:val="28"/>
        </w:rPr>
      </w:pPr>
      <w:r>
        <w:br w:type="page"/>
      </w:r>
    </w:p>
    <w:p w14:paraId="314B2D15" w14:textId="56249871" w:rsidR="002462DE" w:rsidRDefault="00222F20" w:rsidP="00222F20">
      <w:pPr>
        <w:pStyle w:val="Heading1"/>
      </w:pPr>
      <w:bookmarkStart w:id="518" w:name="_Toc43376374"/>
      <w:r>
        <w:lastRenderedPageBreak/>
        <w:t>annex a</w:t>
      </w:r>
      <w:r w:rsidR="00134AA4">
        <w:t xml:space="preserve">: </w:t>
      </w:r>
      <w:r w:rsidR="002462DE">
        <w:t>2018 dashboard</w:t>
      </w:r>
      <w:bookmarkEnd w:id="518"/>
    </w:p>
    <w:tbl>
      <w:tblPr>
        <w:tblStyle w:val="ACGreen-BasicTable"/>
        <w:tblW w:w="0" w:type="auto"/>
        <w:tblLook w:val="04A0" w:firstRow="1" w:lastRow="0" w:firstColumn="1" w:lastColumn="0" w:noHBand="0" w:noVBand="1"/>
        <w:tblDescription w:val="ANNEX A: 2018 DASHBOARD&#10;The current evidence base comparing tomosynthesis to digital mammography reports that:&#10;Fast - Image acquisition time - FFDB+DBT - Between 3 and 25 sec to capture DBT image, which is time on top of FDDM image acquisition.&#10;Fast - Image acquisition time - DBT+s2DM - Between 3 and 25 sec to capture both DBT and 2D images.&#10;Fast Compression time - FFDM+DBT - Up to one minute longer than FFDM alone if using Hologic's Dimensions system.&#10;Fast Compression time - DBT+s2DM - Does not use FFDM so faster than dual acquisition and may be able to acquire acceptable images with lower compression.&#10;Fast - Interpretation time - FFDM+DBT - Depends on radiologist experience but is generally more than 25% longer than that required to review FFDM images alone.&#10;Fast - Interpretation time - DBT+s2DM - Depends on radiologist experience but is generally more than 25% longer than that required to review FFDM images alone.&#10;&#10;Sensitive - Reduction in mortality - FFDM+DBT - No evidence available.&#10;Sensitive - Reduction in mortality - DBT+s2DM - No evidence available.&#10;Sensitive - Cancer detection rate - FFDM+DBT - Strong evidence that DBT as an adjunct screen to FFDM increases in CDR. More evidence on the association between CDR across different screening strategies is needed.&#10;Sensitive - Cancer detection rate - DBT+s2DM - Low (but emerging) evidence of an increase in CDR screening examinations compared to FFDM alone. Emerging evidence of comparable CDR compared to FFDM+DBT.&#10;Sensitive - PPV - FFDM+DBT - Low evidence of an increase in PPV 1-5 with DBT compared to FFDM alone.&#10;Sensitive PPV - DBT+s2DM - Low evidence of an increase in PPV1 compared to both FFDM+DBT and FFDM alone. Limited evidence of an increase in PPV2+3.&#10;Sensitive - Sensitivity - FFDM+DBT - More studies with longer-term follow-u are needed to determine this. &#10;Sensitive - Sensitivity - DBT+s2DM - More studies with long-term follow-up are needed to determine this.&#10;Sensitive - Interval cancer - FFDM+DBT - More studies with longer-term follow-up are needed to determine this. &#10;Sensitive - Interval cancer - DBT+s2DM - No evidence available.&#10;&#10;Specific - Recall rate - FFDM+DBT - Some evidence that DBT as an adjunct to FFDM decreases recall rates. More evidence to confirm this finding is needed. &#10;Specific - Recall rate - DBT+s2DM - Some evidence that DTB+2DM decreases recall rates. More evidence to confirm this finding is needed.&#10;Specific - False positive - FFDM+DBT - Some evidence that DBT as an adjunct to FFDM reduces false Positive recall rates. More evidence to confirm this finding is needed.&#10;Specific - False Positive - DBT+s2DM - Some evidence that DBT+s2DM decreases recall rates. More evidence to confirm this finding is needed.&#10;&#10;Radiation dose - Within BSA accreditation standards - FFDM+DBT - MGD is almost double compared to FFDM but is still within acceptable limits.&#10;Radiation dose - Within BSA accreditation standards - DBT+s2DM - MGD is 20% lower than FFDM alone and 50% lower than FFDM+DBT but further information on image quality is needed.&#10;&#10;Acceptability - To women - FFDM+DBT - More evidence validating women's experiences is needed.&#10;Acceptability - To women - DBT+s2DM - More evidence validating women's experiences is needed.&#10;Acceptability - To clinicians and health practitioners - FFDM+DBT - More evidence validating practitioners experience is needed.&#10;Acceptability - To clinicians and health practitioners - DBT+s2DM - More evidence validating practitioners experience is needed.&#10;&#10;Financial implications - To women and health systems - FFDM+DBT - Some evidence of cost effectiveness but more cost analysis is needed.&#10;Financial implications - To women and health systems - DBT+s2DM - More cost analysis is needed.&#10;&#10;Cost-effectiveness - FFDM+DBT - Limited available evidence&#10;Cost-effectiveness - DBT+s2DM - Limited available evidence.&#10;"/>
      </w:tblPr>
      <w:tblGrid>
        <w:gridCol w:w="1270"/>
        <w:gridCol w:w="1362"/>
        <w:gridCol w:w="3163"/>
        <w:gridCol w:w="3164"/>
      </w:tblGrid>
      <w:tr w:rsidR="002462DE" w:rsidRPr="00BB08AB" w14:paraId="032EAB0B" w14:textId="77777777" w:rsidTr="00236D7C">
        <w:trPr>
          <w:cnfStyle w:val="100000000000" w:firstRow="1" w:lastRow="0" w:firstColumn="0" w:lastColumn="0" w:oddVBand="0" w:evenVBand="0" w:oddHBand="0" w:evenHBand="0" w:firstRowFirstColumn="0" w:firstRowLastColumn="0" w:lastRowFirstColumn="0" w:lastRowLastColumn="0"/>
        </w:trPr>
        <w:tc>
          <w:tcPr>
            <w:tcW w:w="8959" w:type="dxa"/>
            <w:gridSpan w:val="4"/>
          </w:tcPr>
          <w:p w14:paraId="2FF91F33"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The current evidence base comparing tomosynthesis to digital mammography reports that …</w:t>
            </w:r>
          </w:p>
        </w:tc>
      </w:tr>
      <w:tr w:rsidR="002462DE" w:rsidRPr="00BB08AB" w14:paraId="0044C2C8" w14:textId="77777777" w:rsidTr="00236D7C">
        <w:trPr>
          <w:trHeight w:val="186"/>
        </w:trPr>
        <w:tc>
          <w:tcPr>
            <w:tcW w:w="2632" w:type="dxa"/>
            <w:gridSpan w:val="2"/>
            <w:shd w:val="clear" w:color="auto" w:fill="E7FFBD" w:themeFill="background2" w:themeFillTint="33"/>
          </w:tcPr>
          <w:p w14:paraId="30646B5C" w14:textId="77777777" w:rsidR="002462DE" w:rsidRPr="00BB08AB" w:rsidRDefault="002462DE" w:rsidP="00236D7C">
            <w:pPr>
              <w:pStyle w:val="BodyText"/>
              <w:spacing w:before="0" w:after="0" w:line="240" w:lineRule="auto"/>
              <w:rPr>
                <w:rFonts w:cstheme="majorHAnsi"/>
                <w:sz w:val="18"/>
                <w:szCs w:val="18"/>
              </w:rPr>
            </w:pPr>
          </w:p>
        </w:tc>
        <w:tc>
          <w:tcPr>
            <w:tcW w:w="3163" w:type="dxa"/>
            <w:shd w:val="clear" w:color="auto" w:fill="E7FFBD" w:themeFill="background2" w:themeFillTint="33"/>
          </w:tcPr>
          <w:p w14:paraId="17778244" w14:textId="06788810" w:rsidR="002462DE" w:rsidRPr="00BB08AB" w:rsidRDefault="00A41257" w:rsidP="00236D7C">
            <w:pPr>
              <w:pStyle w:val="BodyText"/>
              <w:spacing w:before="0" w:after="0" w:line="240" w:lineRule="auto"/>
              <w:rPr>
                <w:rFonts w:cstheme="majorHAnsi"/>
                <w:b/>
                <w:sz w:val="18"/>
                <w:szCs w:val="18"/>
              </w:rPr>
            </w:pPr>
            <w:r>
              <w:rPr>
                <w:rFonts w:cstheme="majorHAnsi"/>
                <w:b/>
                <w:sz w:val="18"/>
                <w:szCs w:val="18"/>
              </w:rPr>
              <w:t>FFDM+DBT</w:t>
            </w:r>
          </w:p>
        </w:tc>
        <w:tc>
          <w:tcPr>
            <w:tcW w:w="3164" w:type="dxa"/>
            <w:shd w:val="clear" w:color="auto" w:fill="E7FFBD" w:themeFill="background2" w:themeFillTint="33"/>
          </w:tcPr>
          <w:p w14:paraId="5ECD2D03" w14:textId="0CEB8E7D" w:rsidR="002462DE" w:rsidRPr="00BB08AB" w:rsidRDefault="00A41257" w:rsidP="00236D7C">
            <w:pPr>
              <w:pStyle w:val="BodyText"/>
              <w:spacing w:before="0" w:after="0" w:line="240" w:lineRule="auto"/>
              <w:rPr>
                <w:rFonts w:cstheme="majorHAnsi"/>
                <w:b/>
                <w:sz w:val="18"/>
                <w:szCs w:val="18"/>
              </w:rPr>
            </w:pPr>
            <w:r>
              <w:rPr>
                <w:rFonts w:cstheme="majorHAnsi"/>
                <w:b/>
                <w:sz w:val="18"/>
                <w:szCs w:val="18"/>
              </w:rPr>
              <w:t>DBT+</w:t>
            </w:r>
            <w:r w:rsidR="00176980">
              <w:rPr>
                <w:rFonts w:cstheme="majorHAnsi"/>
                <w:b/>
                <w:sz w:val="18"/>
                <w:szCs w:val="18"/>
              </w:rPr>
              <w:t>s2DM</w:t>
            </w:r>
          </w:p>
        </w:tc>
      </w:tr>
      <w:tr w:rsidR="002462DE" w:rsidRPr="00BB08AB" w14:paraId="53226454" w14:textId="77777777" w:rsidTr="00236D7C">
        <w:trPr>
          <w:trHeight w:val="17"/>
        </w:trPr>
        <w:tc>
          <w:tcPr>
            <w:tcW w:w="1270" w:type="dxa"/>
            <w:vMerge w:val="restart"/>
          </w:tcPr>
          <w:p w14:paraId="68F11B57"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Fast</w:t>
            </w:r>
          </w:p>
        </w:tc>
        <w:tc>
          <w:tcPr>
            <w:tcW w:w="1362" w:type="dxa"/>
          </w:tcPr>
          <w:p w14:paraId="04B2CAA7"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Image acquisition time</w:t>
            </w:r>
          </w:p>
        </w:tc>
        <w:tc>
          <w:tcPr>
            <w:tcW w:w="3163" w:type="dxa"/>
          </w:tcPr>
          <w:p w14:paraId="5A1515B3" w14:textId="51775431"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Between 3 and 25 </w:t>
            </w:r>
            <w:r w:rsidR="008B4003">
              <w:rPr>
                <w:rFonts w:cstheme="majorHAnsi"/>
                <w:sz w:val="18"/>
                <w:szCs w:val="18"/>
              </w:rPr>
              <w:t>sec</w:t>
            </w:r>
            <w:r w:rsidRPr="00BB08AB">
              <w:rPr>
                <w:rFonts w:cstheme="majorHAnsi"/>
                <w:sz w:val="18"/>
                <w:szCs w:val="18"/>
              </w:rPr>
              <w:t xml:space="preserve"> to capture DBT image, which is time on top of FFDM image acquisition</w:t>
            </w:r>
          </w:p>
        </w:tc>
        <w:tc>
          <w:tcPr>
            <w:tcW w:w="3164" w:type="dxa"/>
          </w:tcPr>
          <w:p w14:paraId="75EE543B" w14:textId="3061591E"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Between 3 and 25 </w:t>
            </w:r>
            <w:r w:rsidR="008B4003">
              <w:rPr>
                <w:rFonts w:cstheme="majorHAnsi"/>
                <w:sz w:val="18"/>
                <w:szCs w:val="18"/>
              </w:rPr>
              <w:t>sec</w:t>
            </w:r>
            <w:r w:rsidRPr="00BB08AB">
              <w:rPr>
                <w:rFonts w:cstheme="majorHAnsi"/>
                <w:sz w:val="18"/>
                <w:szCs w:val="18"/>
              </w:rPr>
              <w:t xml:space="preserve"> to capture both DBT and 2D images</w:t>
            </w:r>
          </w:p>
        </w:tc>
      </w:tr>
      <w:tr w:rsidR="002462DE" w:rsidRPr="00BB08AB" w14:paraId="103A874C" w14:textId="77777777" w:rsidTr="00236D7C">
        <w:trPr>
          <w:trHeight w:val="17"/>
        </w:trPr>
        <w:tc>
          <w:tcPr>
            <w:tcW w:w="1270" w:type="dxa"/>
            <w:vMerge/>
          </w:tcPr>
          <w:p w14:paraId="696FBEF5" w14:textId="77777777" w:rsidR="002462DE" w:rsidRPr="00BB08AB" w:rsidRDefault="002462DE" w:rsidP="00236D7C">
            <w:pPr>
              <w:pStyle w:val="BodyText"/>
              <w:spacing w:before="0" w:after="0" w:line="240" w:lineRule="auto"/>
              <w:rPr>
                <w:rFonts w:cstheme="majorHAnsi"/>
                <w:sz w:val="18"/>
                <w:szCs w:val="18"/>
              </w:rPr>
            </w:pPr>
          </w:p>
        </w:tc>
        <w:tc>
          <w:tcPr>
            <w:tcW w:w="1362" w:type="dxa"/>
          </w:tcPr>
          <w:p w14:paraId="7EFDB20A"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Compression time</w:t>
            </w:r>
          </w:p>
        </w:tc>
        <w:tc>
          <w:tcPr>
            <w:tcW w:w="3163" w:type="dxa"/>
          </w:tcPr>
          <w:p w14:paraId="65A41F31"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Up to one minute longer than FFDM alone if using Hologic’s Dimensions system</w:t>
            </w:r>
          </w:p>
        </w:tc>
        <w:tc>
          <w:tcPr>
            <w:tcW w:w="3164" w:type="dxa"/>
          </w:tcPr>
          <w:p w14:paraId="644D9ADA" w14:textId="77777777" w:rsidR="002462DE" w:rsidRPr="00BB08AB" w:rsidRDefault="002462DE" w:rsidP="00236D7C">
            <w:pPr>
              <w:pStyle w:val="BodyText"/>
              <w:spacing w:before="0" w:after="0" w:line="240" w:lineRule="auto"/>
              <w:rPr>
                <w:rFonts w:cstheme="majorHAnsi"/>
                <w:sz w:val="18"/>
                <w:szCs w:val="18"/>
                <w:highlight w:val="yellow"/>
              </w:rPr>
            </w:pPr>
            <w:r w:rsidRPr="00BB08AB">
              <w:rPr>
                <w:rFonts w:cstheme="majorHAnsi"/>
                <w:sz w:val="18"/>
                <w:szCs w:val="18"/>
              </w:rPr>
              <w:t>Does not use FFDM so faster</w:t>
            </w:r>
            <w:r>
              <w:rPr>
                <w:rFonts w:cstheme="majorHAnsi"/>
                <w:sz w:val="18"/>
                <w:szCs w:val="18"/>
              </w:rPr>
              <w:t xml:space="preserve"> than dual acquisition and may be able to acquire acceptable images with lower compression</w:t>
            </w:r>
          </w:p>
        </w:tc>
      </w:tr>
      <w:tr w:rsidR="002462DE" w:rsidRPr="00BB08AB" w14:paraId="62B37B08" w14:textId="77777777" w:rsidTr="00236D7C">
        <w:trPr>
          <w:trHeight w:val="17"/>
        </w:trPr>
        <w:tc>
          <w:tcPr>
            <w:tcW w:w="1270" w:type="dxa"/>
            <w:vMerge/>
          </w:tcPr>
          <w:p w14:paraId="306529E1" w14:textId="77777777" w:rsidR="002462DE" w:rsidRPr="00BB08AB" w:rsidRDefault="002462DE" w:rsidP="00236D7C">
            <w:pPr>
              <w:pStyle w:val="BodyText"/>
              <w:spacing w:before="0" w:after="0" w:line="240" w:lineRule="auto"/>
              <w:rPr>
                <w:rFonts w:cstheme="majorHAnsi"/>
                <w:sz w:val="18"/>
                <w:szCs w:val="18"/>
              </w:rPr>
            </w:pPr>
          </w:p>
        </w:tc>
        <w:tc>
          <w:tcPr>
            <w:tcW w:w="1362" w:type="dxa"/>
          </w:tcPr>
          <w:p w14:paraId="34046A37"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Interpretation time</w:t>
            </w:r>
          </w:p>
        </w:tc>
        <w:tc>
          <w:tcPr>
            <w:tcW w:w="3163" w:type="dxa"/>
          </w:tcPr>
          <w:p w14:paraId="286B92C7" w14:textId="77777777" w:rsidR="002462DE" w:rsidRPr="00BB08AB" w:rsidRDefault="002462DE" w:rsidP="00236D7C">
            <w:pPr>
              <w:pStyle w:val="BodyText"/>
              <w:spacing w:before="0" w:after="0" w:line="240" w:lineRule="auto"/>
              <w:rPr>
                <w:rFonts w:cstheme="majorHAnsi"/>
                <w:b/>
                <w:sz w:val="18"/>
                <w:szCs w:val="18"/>
              </w:rPr>
            </w:pPr>
            <w:r w:rsidRPr="00BB08AB">
              <w:rPr>
                <w:rFonts w:cstheme="majorHAnsi"/>
                <w:sz w:val="18"/>
                <w:szCs w:val="18"/>
              </w:rPr>
              <w:t>Depends on radiologist experience but is generally more than 25% longer than that required to review FFDM images alone</w:t>
            </w:r>
          </w:p>
        </w:tc>
        <w:tc>
          <w:tcPr>
            <w:tcW w:w="3164" w:type="dxa"/>
          </w:tcPr>
          <w:p w14:paraId="41EAAB1E" w14:textId="77777777" w:rsidR="002462DE" w:rsidRPr="00BB08AB" w:rsidRDefault="002462DE" w:rsidP="00236D7C">
            <w:pPr>
              <w:pStyle w:val="BodyText"/>
              <w:spacing w:before="0" w:after="0" w:line="240" w:lineRule="auto"/>
              <w:rPr>
                <w:rFonts w:cstheme="majorHAnsi"/>
                <w:b/>
                <w:sz w:val="18"/>
                <w:szCs w:val="18"/>
                <w:highlight w:val="yellow"/>
              </w:rPr>
            </w:pPr>
            <w:r w:rsidRPr="00BB08AB">
              <w:rPr>
                <w:rFonts w:cstheme="majorHAnsi"/>
                <w:sz w:val="18"/>
                <w:szCs w:val="18"/>
              </w:rPr>
              <w:t>Depends on radiologist experience but is generally more than 25% longer than that required to review FFDM images alone</w:t>
            </w:r>
          </w:p>
        </w:tc>
      </w:tr>
      <w:tr w:rsidR="002462DE" w:rsidRPr="00BB08AB" w14:paraId="5A7A1ADC" w14:textId="77777777" w:rsidTr="00236D7C">
        <w:trPr>
          <w:trHeight w:val="134"/>
        </w:trPr>
        <w:tc>
          <w:tcPr>
            <w:tcW w:w="1270" w:type="dxa"/>
            <w:vMerge w:val="restart"/>
          </w:tcPr>
          <w:p w14:paraId="1A83D9A5"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Sensitive</w:t>
            </w:r>
          </w:p>
        </w:tc>
        <w:tc>
          <w:tcPr>
            <w:tcW w:w="1362" w:type="dxa"/>
          </w:tcPr>
          <w:p w14:paraId="4F414C75" w14:textId="77777777" w:rsidR="002462DE" w:rsidRPr="00BB08AB" w:rsidRDefault="002462DE" w:rsidP="00236D7C">
            <w:pPr>
              <w:pStyle w:val="BodyText"/>
              <w:spacing w:before="0" w:after="0" w:line="240" w:lineRule="auto"/>
              <w:rPr>
                <w:rFonts w:cstheme="majorHAnsi"/>
                <w:sz w:val="18"/>
                <w:szCs w:val="18"/>
              </w:rPr>
            </w:pPr>
            <w:r>
              <w:rPr>
                <w:rFonts w:cstheme="majorHAnsi"/>
                <w:sz w:val="18"/>
                <w:szCs w:val="18"/>
              </w:rPr>
              <w:t>Reduction in mortality</w:t>
            </w:r>
          </w:p>
        </w:tc>
        <w:tc>
          <w:tcPr>
            <w:tcW w:w="3163" w:type="dxa"/>
          </w:tcPr>
          <w:p w14:paraId="171F0337" w14:textId="77777777" w:rsidR="002462DE" w:rsidRPr="00BB08AB" w:rsidRDefault="002462DE" w:rsidP="00236D7C">
            <w:pPr>
              <w:pStyle w:val="BodyText"/>
              <w:tabs>
                <w:tab w:val="right" w:pos="2456"/>
              </w:tabs>
              <w:spacing w:before="0" w:after="0" w:line="240" w:lineRule="auto"/>
              <w:rPr>
                <w:rFonts w:cstheme="majorHAnsi"/>
                <w:sz w:val="18"/>
                <w:szCs w:val="18"/>
              </w:rPr>
            </w:pPr>
            <w:r>
              <w:rPr>
                <w:rFonts w:cstheme="majorHAnsi"/>
                <w:sz w:val="18"/>
                <w:szCs w:val="18"/>
              </w:rPr>
              <w:t>No evidence available</w:t>
            </w:r>
          </w:p>
        </w:tc>
        <w:tc>
          <w:tcPr>
            <w:tcW w:w="3164" w:type="dxa"/>
          </w:tcPr>
          <w:p w14:paraId="1BCB1F3D" w14:textId="77777777" w:rsidR="002462DE" w:rsidRPr="00BB08AB" w:rsidRDefault="002462DE" w:rsidP="00236D7C">
            <w:pPr>
              <w:pStyle w:val="BodyText"/>
              <w:spacing w:before="0" w:after="0" w:line="240" w:lineRule="auto"/>
              <w:rPr>
                <w:rFonts w:cstheme="majorHAnsi"/>
                <w:sz w:val="18"/>
                <w:szCs w:val="18"/>
              </w:rPr>
            </w:pPr>
            <w:r>
              <w:rPr>
                <w:rFonts w:cstheme="majorHAnsi"/>
                <w:sz w:val="18"/>
                <w:szCs w:val="18"/>
              </w:rPr>
              <w:t>No evidence available</w:t>
            </w:r>
          </w:p>
        </w:tc>
      </w:tr>
      <w:tr w:rsidR="002462DE" w:rsidRPr="00BB08AB" w14:paraId="41DBB08C" w14:textId="77777777" w:rsidTr="00236D7C">
        <w:trPr>
          <w:trHeight w:val="134"/>
        </w:trPr>
        <w:tc>
          <w:tcPr>
            <w:tcW w:w="1270" w:type="dxa"/>
            <w:vMerge/>
          </w:tcPr>
          <w:p w14:paraId="19655080" w14:textId="77777777" w:rsidR="002462DE" w:rsidRPr="00BB08AB" w:rsidRDefault="002462DE" w:rsidP="00236D7C">
            <w:pPr>
              <w:pStyle w:val="BodyText"/>
              <w:spacing w:before="0" w:after="0" w:line="240" w:lineRule="auto"/>
              <w:rPr>
                <w:rFonts w:cstheme="majorHAnsi"/>
                <w:sz w:val="18"/>
                <w:szCs w:val="18"/>
              </w:rPr>
            </w:pPr>
          </w:p>
        </w:tc>
        <w:tc>
          <w:tcPr>
            <w:tcW w:w="1362" w:type="dxa"/>
          </w:tcPr>
          <w:p w14:paraId="5ECE0B86"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Cancer detection rate</w:t>
            </w:r>
          </w:p>
        </w:tc>
        <w:tc>
          <w:tcPr>
            <w:tcW w:w="3163" w:type="dxa"/>
          </w:tcPr>
          <w:p w14:paraId="219D0965" w14:textId="77777777" w:rsidR="002462DE" w:rsidRPr="00BB08AB" w:rsidRDefault="002462DE" w:rsidP="00236D7C">
            <w:pPr>
              <w:pStyle w:val="BodyText"/>
              <w:tabs>
                <w:tab w:val="right" w:pos="2456"/>
              </w:tabs>
              <w:spacing w:before="0" w:after="0" w:line="240" w:lineRule="auto"/>
              <w:rPr>
                <w:rFonts w:cstheme="majorHAnsi"/>
                <w:sz w:val="18"/>
                <w:szCs w:val="18"/>
              </w:rPr>
            </w:pPr>
            <w:r w:rsidRPr="00BB08AB">
              <w:rPr>
                <w:rFonts w:cstheme="majorHAnsi"/>
                <w:sz w:val="18"/>
                <w:szCs w:val="18"/>
              </w:rPr>
              <w:t xml:space="preserve">Strong evidence that DBT as an adjunct screen to FFDM increases in CDR </w:t>
            </w:r>
          </w:p>
          <w:p w14:paraId="207E28E2" w14:textId="77777777" w:rsidR="002462DE" w:rsidRPr="00BB08AB" w:rsidRDefault="002462DE" w:rsidP="00236D7C">
            <w:pPr>
              <w:pStyle w:val="BodyText"/>
              <w:tabs>
                <w:tab w:val="right" w:pos="2456"/>
              </w:tabs>
              <w:spacing w:before="0" w:after="0" w:line="240" w:lineRule="auto"/>
              <w:rPr>
                <w:rFonts w:cstheme="majorHAnsi"/>
                <w:sz w:val="18"/>
                <w:szCs w:val="18"/>
              </w:rPr>
            </w:pPr>
            <w:r w:rsidRPr="00BB08AB">
              <w:rPr>
                <w:rFonts w:cstheme="majorHAnsi"/>
                <w:sz w:val="18"/>
                <w:szCs w:val="18"/>
              </w:rPr>
              <w:t xml:space="preserve">More evidence on the association between CDR across different screening strategies is needed </w:t>
            </w:r>
          </w:p>
        </w:tc>
        <w:tc>
          <w:tcPr>
            <w:tcW w:w="3164" w:type="dxa"/>
          </w:tcPr>
          <w:p w14:paraId="22F31AA1"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Low (but emerging) evidence of an increase in CDR screening examinations compared to FFDM alone</w:t>
            </w:r>
          </w:p>
          <w:p w14:paraId="635152A0" w14:textId="3751BA2D"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Emerging evidence of comparable CDR compared to </w:t>
            </w:r>
            <w:r w:rsidR="00A41257">
              <w:rPr>
                <w:rFonts w:cstheme="majorHAnsi"/>
                <w:sz w:val="18"/>
                <w:szCs w:val="18"/>
              </w:rPr>
              <w:t>FFDM+DBT</w:t>
            </w:r>
            <w:r w:rsidRPr="00BB08AB">
              <w:rPr>
                <w:rFonts w:cstheme="majorHAnsi"/>
                <w:sz w:val="18"/>
                <w:szCs w:val="18"/>
              </w:rPr>
              <w:tab/>
            </w:r>
          </w:p>
        </w:tc>
      </w:tr>
      <w:tr w:rsidR="002462DE" w:rsidRPr="00BB08AB" w14:paraId="55A16778" w14:textId="77777777" w:rsidTr="00236D7C">
        <w:trPr>
          <w:trHeight w:val="134"/>
        </w:trPr>
        <w:tc>
          <w:tcPr>
            <w:tcW w:w="1270" w:type="dxa"/>
            <w:vMerge/>
          </w:tcPr>
          <w:p w14:paraId="2410BE55" w14:textId="77777777" w:rsidR="002462DE" w:rsidRPr="00BB08AB" w:rsidRDefault="002462DE" w:rsidP="00236D7C">
            <w:pPr>
              <w:pStyle w:val="BodyText"/>
              <w:spacing w:before="0" w:after="0" w:line="240" w:lineRule="auto"/>
              <w:rPr>
                <w:rFonts w:cstheme="majorHAnsi"/>
                <w:sz w:val="18"/>
                <w:szCs w:val="18"/>
              </w:rPr>
            </w:pPr>
          </w:p>
        </w:tc>
        <w:tc>
          <w:tcPr>
            <w:tcW w:w="1362" w:type="dxa"/>
          </w:tcPr>
          <w:p w14:paraId="316283B1"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PPV</w:t>
            </w:r>
          </w:p>
        </w:tc>
        <w:tc>
          <w:tcPr>
            <w:tcW w:w="3163" w:type="dxa"/>
          </w:tcPr>
          <w:p w14:paraId="2B62FBB6" w14:textId="77777777" w:rsidR="002462DE" w:rsidRPr="00BB08AB" w:rsidRDefault="002462DE" w:rsidP="00236D7C">
            <w:pPr>
              <w:pStyle w:val="BodyText"/>
              <w:spacing w:before="0" w:after="0" w:line="240" w:lineRule="auto"/>
              <w:rPr>
                <w:rFonts w:cstheme="majorHAnsi"/>
                <w:sz w:val="18"/>
                <w:szCs w:val="18"/>
                <w:vertAlign w:val="subscript"/>
              </w:rPr>
            </w:pPr>
            <w:r w:rsidRPr="00BB08AB">
              <w:rPr>
                <w:rFonts w:cstheme="majorHAnsi"/>
                <w:sz w:val="18"/>
                <w:szCs w:val="18"/>
              </w:rPr>
              <w:t>Low evidence of an increase in PPV</w:t>
            </w:r>
            <w:r w:rsidRPr="00BB08AB">
              <w:rPr>
                <w:rFonts w:cstheme="majorHAnsi"/>
                <w:sz w:val="18"/>
                <w:szCs w:val="18"/>
                <w:vertAlign w:val="subscript"/>
              </w:rPr>
              <w:t xml:space="preserve">1-3 </w:t>
            </w:r>
            <w:r w:rsidRPr="00BB08AB">
              <w:rPr>
                <w:rFonts w:cstheme="majorHAnsi"/>
                <w:sz w:val="18"/>
                <w:szCs w:val="18"/>
              </w:rPr>
              <w:t>with DBT compared to FFDM alone</w:t>
            </w:r>
          </w:p>
        </w:tc>
        <w:tc>
          <w:tcPr>
            <w:tcW w:w="3164" w:type="dxa"/>
          </w:tcPr>
          <w:p w14:paraId="0F5F49DD" w14:textId="629323E3"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Low evidence of an increase in PPV</w:t>
            </w:r>
            <w:r w:rsidRPr="00BB08AB">
              <w:rPr>
                <w:rFonts w:cstheme="majorHAnsi"/>
                <w:sz w:val="18"/>
                <w:szCs w:val="18"/>
                <w:vertAlign w:val="subscript"/>
              </w:rPr>
              <w:t xml:space="preserve">1 </w:t>
            </w:r>
            <w:r w:rsidRPr="00BB08AB">
              <w:rPr>
                <w:rFonts w:cstheme="majorHAnsi"/>
                <w:sz w:val="18"/>
                <w:szCs w:val="18"/>
              </w:rPr>
              <w:t xml:space="preserve">compared to both </w:t>
            </w:r>
            <w:r w:rsidR="00A41257">
              <w:rPr>
                <w:rFonts w:cstheme="majorHAnsi"/>
                <w:sz w:val="18"/>
                <w:szCs w:val="18"/>
              </w:rPr>
              <w:t>FFDM+DBT</w:t>
            </w:r>
            <w:r w:rsidRPr="00BB08AB">
              <w:rPr>
                <w:rFonts w:cstheme="majorHAnsi"/>
                <w:sz w:val="18"/>
                <w:szCs w:val="18"/>
              </w:rPr>
              <w:t xml:space="preserve"> and FFDM alone.</w:t>
            </w:r>
            <w:r w:rsidRPr="00BB08AB">
              <w:rPr>
                <w:rFonts w:cstheme="majorHAnsi"/>
                <w:sz w:val="18"/>
                <w:szCs w:val="18"/>
                <w:vertAlign w:val="subscript"/>
              </w:rPr>
              <w:t xml:space="preserve"> </w:t>
            </w:r>
            <w:r w:rsidRPr="00BB08AB">
              <w:rPr>
                <w:rFonts w:cstheme="majorHAnsi"/>
                <w:sz w:val="18"/>
                <w:szCs w:val="18"/>
              </w:rPr>
              <w:t>Limited evidence of an increase in PPV</w:t>
            </w:r>
            <w:r w:rsidRPr="00BB08AB">
              <w:rPr>
                <w:rFonts w:cstheme="majorHAnsi"/>
                <w:sz w:val="18"/>
                <w:szCs w:val="18"/>
                <w:vertAlign w:val="subscript"/>
              </w:rPr>
              <w:t>2+3</w:t>
            </w:r>
          </w:p>
        </w:tc>
      </w:tr>
      <w:tr w:rsidR="002462DE" w:rsidRPr="00BB08AB" w14:paraId="2C0EC3AB" w14:textId="77777777" w:rsidTr="00236D7C">
        <w:trPr>
          <w:trHeight w:val="134"/>
        </w:trPr>
        <w:tc>
          <w:tcPr>
            <w:tcW w:w="1270" w:type="dxa"/>
            <w:vMerge/>
          </w:tcPr>
          <w:p w14:paraId="2C0B4BAC" w14:textId="77777777" w:rsidR="002462DE" w:rsidRPr="00BB08AB" w:rsidRDefault="002462DE" w:rsidP="00236D7C">
            <w:pPr>
              <w:pStyle w:val="BodyText"/>
              <w:spacing w:before="0" w:after="0" w:line="240" w:lineRule="auto"/>
              <w:rPr>
                <w:rFonts w:cstheme="majorHAnsi"/>
                <w:sz w:val="18"/>
                <w:szCs w:val="18"/>
              </w:rPr>
            </w:pPr>
          </w:p>
        </w:tc>
        <w:tc>
          <w:tcPr>
            <w:tcW w:w="1362" w:type="dxa"/>
          </w:tcPr>
          <w:p w14:paraId="4862E099"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Sensitivity</w:t>
            </w:r>
          </w:p>
        </w:tc>
        <w:tc>
          <w:tcPr>
            <w:tcW w:w="3163" w:type="dxa"/>
          </w:tcPr>
          <w:p w14:paraId="144F22A1"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More studies with longer-term follow-up are needed to determine this</w:t>
            </w:r>
          </w:p>
        </w:tc>
        <w:tc>
          <w:tcPr>
            <w:tcW w:w="3164" w:type="dxa"/>
          </w:tcPr>
          <w:p w14:paraId="3AF0342F"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More studies with longer-term follow-up are needed to determine this</w:t>
            </w:r>
          </w:p>
        </w:tc>
      </w:tr>
      <w:tr w:rsidR="002462DE" w:rsidRPr="00BB08AB" w14:paraId="2FAD8230" w14:textId="77777777" w:rsidTr="00236D7C">
        <w:trPr>
          <w:trHeight w:val="134"/>
        </w:trPr>
        <w:tc>
          <w:tcPr>
            <w:tcW w:w="1270" w:type="dxa"/>
            <w:vMerge/>
          </w:tcPr>
          <w:p w14:paraId="4D7553BB" w14:textId="77777777" w:rsidR="002462DE" w:rsidRPr="00BB08AB" w:rsidRDefault="002462DE" w:rsidP="00236D7C">
            <w:pPr>
              <w:pStyle w:val="BodyText"/>
              <w:spacing w:before="0" w:after="0" w:line="240" w:lineRule="auto"/>
              <w:rPr>
                <w:rFonts w:cstheme="majorHAnsi"/>
                <w:sz w:val="18"/>
                <w:szCs w:val="18"/>
              </w:rPr>
            </w:pPr>
          </w:p>
        </w:tc>
        <w:tc>
          <w:tcPr>
            <w:tcW w:w="1362" w:type="dxa"/>
          </w:tcPr>
          <w:p w14:paraId="291A1A41"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Interval cancer</w:t>
            </w:r>
          </w:p>
        </w:tc>
        <w:tc>
          <w:tcPr>
            <w:tcW w:w="3163" w:type="dxa"/>
          </w:tcPr>
          <w:p w14:paraId="696E09F9"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More studies with longer-term follow-up are needed to determine this</w:t>
            </w:r>
          </w:p>
        </w:tc>
        <w:tc>
          <w:tcPr>
            <w:tcW w:w="3164" w:type="dxa"/>
          </w:tcPr>
          <w:p w14:paraId="3D8197E8"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No evidence available </w:t>
            </w:r>
          </w:p>
        </w:tc>
      </w:tr>
      <w:tr w:rsidR="002462DE" w:rsidRPr="00BB08AB" w14:paraId="50525A41" w14:textId="77777777" w:rsidTr="00236D7C">
        <w:trPr>
          <w:trHeight w:val="134"/>
        </w:trPr>
        <w:tc>
          <w:tcPr>
            <w:tcW w:w="1270" w:type="dxa"/>
            <w:vMerge w:val="restart"/>
          </w:tcPr>
          <w:p w14:paraId="2E683C49"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Specific</w:t>
            </w:r>
          </w:p>
        </w:tc>
        <w:tc>
          <w:tcPr>
            <w:tcW w:w="1362" w:type="dxa"/>
          </w:tcPr>
          <w:p w14:paraId="6FDD95FB"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Recall rate</w:t>
            </w:r>
          </w:p>
        </w:tc>
        <w:tc>
          <w:tcPr>
            <w:tcW w:w="3163" w:type="dxa"/>
          </w:tcPr>
          <w:p w14:paraId="22CFB9BE"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Some evidence that DBT as an adjunct to FFDM decreases recall rates. More evidence to confirm this finding is needed. </w:t>
            </w:r>
          </w:p>
        </w:tc>
        <w:tc>
          <w:tcPr>
            <w:tcW w:w="3164" w:type="dxa"/>
          </w:tcPr>
          <w:p w14:paraId="161575BC" w14:textId="1DFB728C"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Some evidence that </w:t>
            </w:r>
            <w:r w:rsidR="00A41257">
              <w:rPr>
                <w:rFonts w:cstheme="majorHAnsi"/>
                <w:sz w:val="18"/>
                <w:szCs w:val="18"/>
              </w:rPr>
              <w:t>DBT+</w:t>
            </w:r>
            <w:r w:rsidR="00176980">
              <w:rPr>
                <w:rFonts w:cstheme="majorHAnsi"/>
                <w:sz w:val="18"/>
                <w:szCs w:val="18"/>
              </w:rPr>
              <w:t>s2DM</w:t>
            </w:r>
            <w:r w:rsidRPr="00BB08AB">
              <w:rPr>
                <w:rFonts w:cstheme="majorHAnsi"/>
                <w:sz w:val="18"/>
                <w:szCs w:val="18"/>
              </w:rPr>
              <w:t xml:space="preserve"> decreases recall rates. More evidence to confirm this finding is needed. </w:t>
            </w:r>
          </w:p>
        </w:tc>
      </w:tr>
      <w:tr w:rsidR="002462DE" w:rsidRPr="00BB08AB" w14:paraId="2DF6AFBF" w14:textId="77777777" w:rsidTr="00236D7C">
        <w:trPr>
          <w:trHeight w:val="134"/>
        </w:trPr>
        <w:tc>
          <w:tcPr>
            <w:tcW w:w="1270" w:type="dxa"/>
            <w:vMerge/>
          </w:tcPr>
          <w:p w14:paraId="025D48DB" w14:textId="77777777" w:rsidR="002462DE" w:rsidRPr="00BB08AB" w:rsidRDefault="002462DE" w:rsidP="00236D7C">
            <w:pPr>
              <w:pStyle w:val="BodyText"/>
              <w:spacing w:before="0" w:after="0" w:line="240" w:lineRule="auto"/>
              <w:rPr>
                <w:rFonts w:cstheme="majorHAnsi"/>
                <w:sz w:val="18"/>
                <w:szCs w:val="18"/>
              </w:rPr>
            </w:pPr>
          </w:p>
        </w:tc>
        <w:tc>
          <w:tcPr>
            <w:tcW w:w="1362" w:type="dxa"/>
          </w:tcPr>
          <w:p w14:paraId="4FC0B9D9"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False positive</w:t>
            </w:r>
          </w:p>
        </w:tc>
        <w:tc>
          <w:tcPr>
            <w:tcW w:w="3163" w:type="dxa"/>
          </w:tcPr>
          <w:p w14:paraId="2FA68DD5"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Some evidence that DBT as an adjunct to FFDM reduces false positive recall rates. More evidence to confirm this finding is needed. </w:t>
            </w:r>
          </w:p>
        </w:tc>
        <w:tc>
          <w:tcPr>
            <w:tcW w:w="3164" w:type="dxa"/>
          </w:tcPr>
          <w:p w14:paraId="239BE040" w14:textId="31954EDB"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Some evidence that </w:t>
            </w:r>
            <w:r w:rsidR="00A41257">
              <w:rPr>
                <w:rFonts w:cstheme="majorHAnsi"/>
                <w:sz w:val="18"/>
                <w:szCs w:val="18"/>
              </w:rPr>
              <w:t>DBT+</w:t>
            </w:r>
            <w:r w:rsidR="00176980">
              <w:rPr>
                <w:rFonts w:cstheme="majorHAnsi"/>
                <w:sz w:val="18"/>
                <w:szCs w:val="18"/>
              </w:rPr>
              <w:t>s2DM</w:t>
            </w:r>
            <w:r w:rsidRPr="00BB08AB">
              <w:rPr>
                <w:rFonts w:cstheme="majorHAnsi"/>
                <w:sz w:val="18"/>
                <w:szCs w:val="18"/>
              </w:rPr>
              <w:t xml:space="preserve"> decreases recall rates. More evidence to confirm this finding is needed. </w:t>
            </w:r>
          </w:p>
        </w:tc>
      </w:tr>
      <w:tr w:rsidR="002462DE" w:rsidRPr="00BB08AB" w14:paraId="47481DEE" w14:textId="77777777" w:rsidTr="00236D7C">
        <w:trPr>
          <w:trHeight w:val="134"/>
        </w:trPr>
        <w:tc>
          <w:tcPr>
            <w:tcW w:w="1270" w:type="dxa"/>
          </w:tcPr>
          <w:p w14:paraId="6BC10A93"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Radiation dose</w:t>
            </w:r>
          </w:p>
        </w:tc>
        <w:tc>
          <w:tcPr>
            <w:tcW w:w="1362" w:type="dxa"/>
          </w:tcPr>
          <w:p w14:paraId="67BFA196"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Within BSA accreditation standards</w:t>
            </w:r>
          </w:p>
        </w:tc>
        <w:tc>
          <w:tcPr>
            <w:tcW w:w="3163" w:type="dxa"/>
          </w:tcPr>
          <w:p w14:paraId="3DA6DED2"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MGD is almost double compared to FFDM but is still within acceptable limits</w:t>
            </w:r>
          </w:p>
        </w:tc>
        <w:tc>
          <w:tcPr>
            <w:tcW w:w="3164" w:type="dxa"/>
          </w:tcPr>
          <w:p w14:paraId="45BEE446" w14:textId="16A0FE48"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MGD is 20% lower than FFDM alone and 50% lower than </w:t>
            </w:r>
            <w:r w:rsidR="00A41257">
              <w:rPr>
                <w:rFonts w:cstheme="majorHAnsi"/>
                <w:sz w:val="18"/>
                <w:szCs w:val="18"/>
              </w:rPr>
              <w:t>FFDM+DBT</w:t>
            </w:r>
            <w:r w:rsidRPr="00BB08AB">
              <w:rPr>
                <w:rFonts w:cstheme="majorHAnsi"/>
                <w:sz w:val="18"/>
                <w:szCs w:val="18"/>
              </w:rPr>
              <w:t xml:space="preserve"> but further information on image quality is needed</w:t>
            </w:r>
          </w:p>
        </w:tc>
      </w:tr>
      <w:tr w:rsidR="002462DE" w:rsidRPr="00BB08AB" w14:paraId="300BDD04" w14:textId="77777777" w:rsidTr="00236D7C">
        <w:trPr>
          <w:trHeight w:val="134"/>
        </w:trPr>
        <w:tc>
          <w:tcPr>
            <w:tcW w:w="1270" w:type="dxa"/>
            <w:vMerge w:val="restart"/>
          </w:tcPr>
          <w:p w14:paraId="0235AACA"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Acceptability</w:t>
            </w:r>
          </w:p>
        </w:tc>
        <w:tc>
          <w:tcPr>
            <w:tcW w:w="1362" w:type="dxa"/>
          </w:tcPr>
          <w:p w14:paraId="5FE5B5FD"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To women</w:t>
            </w:r>
          </w:p>
        </w:tc>
        <w:tc>
          <w:tcPr>
            <w:tcW w:w="3163" w:type="dxa"/>
          </w:tcPr>
          <w:p w14:paraId="0A838401"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More evidence validating women’s experiences is needed</w:t>
            </w:r>
          </w:p>
        </w:tc>
        <w:tc>
          <w:tcPr>
            <w:tcW w:w="3164" w:type="dxa"/>
          </w:tcPr>
          <w:p w14:paraId="726BE3B7"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More evidence validating women’s experiences is needed</w:t>
            </w:r>
          </w:p>
        </w:tc>
      </w:tr>
      <w:tr w:rsidR="002462DE" w:rsidRPr="00BB08AB" w14:paraId="2538AE15" w14:textId="77777777" w:rsidTr="00236D7C">
        <w:trPr>
          <w:trHeight w:val="134"/>
        </w:trPr>
        <w:tc>
          <w:tcPr>
            <w:tcW w:w="1270" w:type="dxa"/>
            <w:vMerge/>
          </w:tcPr>
          <w:p w14:paraId="522AADE8" w14:textId="77777777" w:rsidR="002462DE" w:rsidRPr="00BB08AB" w:rsidRDefault="002462DE" w:rsidP="00236D7C">
            <w:pPr>
              <w:pStyle w:val="BodyText"/>
              <w:spacing w:before="0" w:after="0" w:line="240" w:lineRule="auto"/>
              <w:rPr>
                <w:rFonts w:cstheme="majorHAnsi"/>
                <w:sz w:val="18"/>
                <w:szCs w:val="18"/>
              </w:rPr>
            </w:pPr>
          </w:p>
        </w:tc>
        <w:tc>
          <w:tcPr>
            <w:tcW w:w="1362" w:type="dxa"/>
          </w:tcPr>
          <w:p w14:paraId="4A5E73C0"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To clinicians and health practitioners</w:t>
            </w:r>
          </w:p>
        </w:tc>
        <w:tc>
          <w:tcPr>
            <w:tcW w:w="3163" w:type="dxa"/>
          </w:tcPr>
          <w:p w14:paraId="248B57C1"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More evidence validating practitioners’ experience is needed</w:t>
            </w:r>
          </w:p>
        </w:tc>
        <w:tc>
          <w:tcPr>
            <w:tcW w:w="3164" w:type="dxa"/>
          </w:tcPr>
          <w:p w14:paraId="10B25A23"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More evidence validating practitioners’ experiences is needed</w:t>
            </w:r>
          </w:p>
        </w:tc>
      </w:tr>
      <w:tr w:rsidR="002462DE" w:rsidRPr="00BB08AB" w14:paraId="4A687205" w14:textId="77777777" w:rsidTr="00236D7C">
        <w:trPr>
          <w:trHeight w:val="134"/>
        </w:trPr>
        <w:tc>
          <w:tcPr>
            <w:tcW w:w="1270" w:type="dxa"/>
          </w:tcPr>
          <w:p w14:paraId="0A7B2C68" w14:textId="77777777" w:rsidR="002462DE" w:rsidRPr="00BB08AB" w:rsidRDefault="002462DE" w:rsidP="00236D7C">
            <w:pPr>
              <w:pStyle w:val="BodyText"/>
              <w:spacing w:before="0" w:after="0" w:line="240" w:lineRule="auto"/>
              <w:rPr>
                <w:rFonts w:cstheme="majorHAnsi"/>
                <w:sz w:val="18"/>
                <w:szCs w:val="18"/>
              </w:rPr>
            </w:pPr>
            <w:r>
              <w:rPr>
                <w:rFonts w:cstheme="majorHAnsi"/>
                <w:sz w:val="18"/>
                <w:szCs w:val="18"/>
              </w:rPr>
              <w:t>Financial implications</w:t>
            </w:r>
          </w:p>
        </w:tc>
        <w:tc>
          <w:tcPr>
            <w:tcW w:w="1362" w:type="dxa"/>
          </w:tcPr>
          <w:p w14:paraId="32633DEA"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To women and health systems</w:t>
            </w:r>
          </w:p>
        </w:tc>
        <w:tc>
          <w:tcPr>
            <w:tcW w:w="3163" w:type="dxa"/>
          </w:tcPr>
          <w:p w14:paraId="244B1353" w14:textId="77777777" w:rsidR="002462DE" w:rsidRPr="00BB08AB" w:rsidRDefault="002462DE" w:rsidP="00236D7C">
            <w:pPr>
              <w:pStyle w:val="BodyText"/>
              <w:spacing w:before="0" w:after="0" w:line="240" w:lineRule="auto"/>
              <w:rPr>
                <w:rFonts w:cstheme="majorHAnsi"/>
                <w:sz w:val="18"/>
                <w:szCs w:val="18"/>
              </w:rPr>
            </w:pPr>
            <w:r w:rsidRPr="00BB08AB">
              <w:rPr>
                <w:rStyle w:val="CommentReference"/>
                <w:rFonts w:cstheme="majorHAnsi"/>
                <w:sz w:val="18"/>
                <w:szCs w:val="18"/>
              </w:rPr>
              <w:t xml:space="preserve">Some evidence of cost effectiveness but more cost analysis is needed. </w:t>
            </w:r>
          </w:p>
        </w:tc>
        <w:tc>
          <w:tcPr>
            <w:tcW w:w="3164" w:type="dxa"/>
          </w:tcPr>
          <w:p w14:paraId="6F311E68" w14:textId="77777777" w:rsidR="002462DE" w:rsidRPr="00BB08AB" w:rsidRDefault="002462DE" w:rsidP="00236D7C">
            <w:pPr>
              <w:pStyle w:val="BodyText"/>
              <w:spacing w:before="0" w:after="0" w:line="240" w:lineRule="auto"/>
              <w:rPr>
                <w:rFonts w:cstheme="majorHAnsi"/>
                <w:sz w:val="18"/>
                <w:szCs w:val="18"/>
              </w:rPr>
            </w:pPr>
            <w:r w:rsidRPr="00BB08AB">
              <w:rPr>
                <w:rFonts w:cstheme="majorHAnsi"/>
                <w:sz w:val="18"/>
                <w:szCs w:val="18"/>
              </w:rPr>
              <w:t xml:space="preserve">More cost analysis is needed. </w:t>
            </w:r>
          </w:p>
        </w:tc>
      </w:tr>
      <w:tr w:rsidR="002462DE" w:rsidRPr="00BB08AB" w14:paraId="1C0CA7C4" w14:textId="77777777" w:rsidTr="00236D7C">
        <w:trPr>
          <w:trHeight w:val="134"/>
        </w:trPr>
        <w:tc>
          <w:tcPr>
            <w:tcW w:w="2632" w:type="dxa"/>
            <w:gridSpan w:val="2"/>
          </w:tcPr>
          <w:p w14:paraId="23EAF592" w14:textId="77777777" w:rsidR="002462DE" w:rsidRPr="00BB08AB" w:rsidRDefault="002462DE" w:rsidP="00236D7C">
            <w:pPr>
              <w:pStyle w:val="BodyText"/>
              <w:spacing w:before="0" w:after="0" w:line="240" w:lineRule="auto"/>
              <w:rPr>
                <w:rFonts w:cstheme="majorHAnsi"/>
                <w:sz w:val="18"/>
                <w:szCs w:val="18"/>
              </w:rPr>
            </w:pPr>
            <w:r>
              <w:rPr>
                <w:rFonts w:cstheme="majorHAnsi"/>
                <w:sz w:val="18"/>
                <w:szCs w:val="18"/>
              </w:rPr>
              <w:t>Cost-effectiveness</w:t>
            </w:r>
          </w:p>
        </w:tc>
        <w:tc>
          <w:tcPr>
            <w:tcW w:w="3163" w:type="dxa"/>
          </w:tcPr>
          <w:p w14:paraId="07DBAE05" w14:textId="77777777" w:rsidR="002462DE" w:rsidRPr="00BB08AB" w:rsidRDefault="002462DE" w:rsidP="00236D7C">
            <w:pPr>
              <w:pStyle w:val="BodyText"/>
              <w:spacing w:before="0" w:after="0" w:line="240" w:lineRule="auto"/>
              <w:rPr>
                <w:rStyle w:val="CommentReference"/>
                <w:rFonts w:cstheme="majorHAnsi"/>
                <w:sz w:val="18"/>
                <w:szCs w:val="18"/>
              </w:rPr>
            </w:pPr>
            <w:r>
              <w:rPr>
                <w:rStyle w:val="CommentReference"/>
                <w:rFonts w:cstheme="majorHAnsi"/>
                <w:sz w:val="18"/>
                <w:szCs w:val="18"/>
              </w:rPr>
              <w:t>L</w:t>
            </w:r>
            <w:r>
              <w:rPr>
                <w:rStyle w:val="CommentReference"/>
              </w:rPr>
              <w:t>imited available evidence</w:t>
            </w:r>
          </w:p>
        </w:tc>
        <w:tc>
          <w:tcPr>
            <w:tcW w:w="3164" w:type="dxa"/>
          </w:tcPr>
          <w:p w14:paraId="11AFB057" w14:textId="77777777" w:rsidR="002462DE" w:rsidRPr="00BB08AB" w:rsidRDefault="002462DE" w:rsidP="00236D7C">
            <w:pPr>
              <w:pStyle w:val="BodyText"/>
              <w:spacing w:before="0" w:after="0" w:line="240" w:lineRule="auto"/>
              <w:rPr>
                <w:rFonts w:cstheme="majorHAnsi"/>
                <w:sz w:val="18"/>
                <w:szCs w:val="18"/>
              </w:rPr>
            </w:pPr>
            <w:r>
              <w:rPr>
                <w:rStyle w:val="CommentReference"/>
                <w:rFonts w:cstheme="majorHAnsi"/>
                <w:sz w:val="18"/>
                <w:szCs w:val="18"/>
              </w:rPr>
              <w:t>L</w:t>
            </w:r>
            <w:r>
              <w:rPr>
                <w:rStyle w:val="CommentReference"/>
              </w:rPr>
              <w:t>imited available evidence</w:t>
            </w:r>
          </w:p>
        </w:tc>
      </w:tr>
    </w:tbl>
    <w:p w14:paraId="2C8CB97C" w14:textId="77777777" w:rsidR="002462DE" w:rsidRPr="00E44152" w:rsidRDefault="002462DE" w:rsidP="002462DE">
      <w:pPr>
        <w:pStyle w:val="Heading1"/>
        <w:sectPr w:rsidR="002462DE" w:rsidRPr="00E44152" w:rsidSect="00236D7C">
          <w:footerReference w:type="even" r:id="rId76"/>
          <w:footerReference w:type="default" r:id="rId77"/>
          <w:pgSz w:w="11906" w:h="16838"/>
          <w:pgMar w:top="1440" w:right="1440" w:bottom="1440" w:left="1440" w:header="708" w:footer="708" w:gutter="0"/>
          <w:cols w:space="708"/>
          <w:docGrid w:linePitch="360"/>
        </w:sectPr>
      </w:pPr>
    </w:p>
    <w:p w14:paraId="4B741F63" w14:textId="2D87ACEB" w:rsidR="009C2E3B" w:rsidRDefault="003369CE" w:rsidP="003369CE">
      <w:pPr>
        <w:pStyle w:val="Heading1"/>
      </w:pPr>
      <w:bookmarkStart w:id="519" w:name="_Toc43376375"/>
      <w:r>
        <w:lastRenderedPageBreak/>
        <w:t xml:space="preserve">Annex </w:t>
      </w:r>
      <w:r w:rsidR="00134AA4">
        <w:t>B</w:t>
      </w:r>
      <w:r>
        <w:t>:</w:t>
      </w:r>
      <w:r w:rsidR="009C2E3B">
        <w:t xml:space="preserve"> Study populations</w:t>
      </w:r>
      <w:bookmarkEnd w:id="519"/>
    </w:p>
    <w:tbl>
      <w:tblPr>
        <w:tblStyle w:val="ACGreen-BasicTable"/>
        <w:tblW w:w="0" w:type="auto"/>
        <w:tblLook w:val="04A0" w:firstRow="1" w:lastRow="0" w:firstColumn="1" w:lastColumn="0" w:noHBand="0" w:noVBand="1"/>
        <w:tblDescription w:val="Annex B: Study Populations&#10;Screening-only populations were:&#10;Aase et al. (2019)&#10;Bahl et al. (2019)&#10;Bernardi et al. (2019)&#10;Bernardi et al. (2018)&#10;Bernardi et al. (2016)&#10;Bernardi + Houssami (2017)&#10;Bernardi et al. (2012)&#10;Caumo et al. (2018)&#10;Conant et al. (2019)&#10;Dang et al. (2019)&#10;Hofvind et al. (2019)&#10;Hofvind et al. (2018)&#10;Honig et al. (2019)&#10;Houssami et al. (2019)&#10;Houssami et al. (2018)&#10;Houssami et al. (2017)&#10;Houssami et al. (2014)&#10;Hovda et al. (2019)&#10;Fuiji et al. (2019)&#10;Gennaro et al. (2018)&#10;Johnson et al. (2019)&#10;Lai et al. (2018)&#10;Lowry et al. (2019)&#10;Marinovich et al. (2018)&#10;Miglioretti et al. (2019)&#10;Moger et al. (2019)&#10;Østerås et al. (2018)&#10;Pattacini et al. (2018)&#10;Romero Martín et al. (2018)&#10;Rose + Shisler (2018)&#10;Simon et al. (2019)&#10;Skaane et al. (2019)&#10;Skaane et al. (2018)&#10;Upadhyay et al. (2018)&#10;Wahab et al. (2018)&#10;Wasan et al. (2019)&#10;Zackrisson et al. (2018)&#10;Mixed (screening + diagnosis) populations were:&#10;Chae et al. (2019)&#10;Choi et al. (2019)&#10;Phi et al. (2018)&#10;NB most of these mixed studies describe cancer characteristics detected with DBT + s2DM or FFDM/FFDM alone or reading time"/>
      </w:tblPr>
      <w:tblGrid>
        <w:gridCol w:w="3020"/>
        <w:gridCol w:w="3020"/>
      </w:tblGrid>
      <w:tr w:rsidR="002747F6" w14:paraId="69A4131A" w14:textId="77777777" w:rsidTr="009C2E3B">
        <w:trPr>
          <w:cnfStyle w:val="100000000000" w:firstRow="1" w:lastRow="0" w:firstColumn="0" w:lastColumn="0" w:oddVBand="0" w:evenVBand="0" w:oddHBand="0" w:evenHBand="0" w:firstRowFirstColumn="0" w:firstRowLastColumn="0" w:lastRowFirstColumn="0" w:lastRowLastColumn="0"/>
        </w:trPr>
        <w:tc>
          <w:tcPr>
            <w:tcW w:w="3020" w:type="dxa"/>
          </w:tcPr>
          <w:p w14:paraId="74A11940" w14:textId="57599D31" w:rsidR="002747F6" w:rsidRDefault="002747F6" w:rsidP="009C2E3B">
            <w:pPr>
              <w:pStyle w:val="BodyText"/>
            </w:pPr>
            <w:r>
              <w:t>Screening-only</w:t>
            </w:r>
          </w:p>
        </w:tc>
        <w:tc>
          <w:tcPr>
            <w:tcW w:w="3020" w:type="dxa"/>
          </w:tcPr>
          <w:p w14:paraId="6352984B" w14:textId="1C2B69FA" w:rsidR="002747F6" w:rsidRDefault="002747F6" w:rsidP="009C2E3B">
            <w:pPr>
              <w:pStyle w:val="BodyText"/>
            </w:pPr>
            <w:r>
              <w:t>Mixed (screening + diagnostic)</w:t>
            </w:r>
          </w:p>
        </w:tc>
      </w:tr>
      <w:tr w:rsidR="002747F6" w14:paraId="55DF5C3E" w14:textId="77777777" w:rsidTr="009C2E3B">
        <w:tc>
          <w:tcPr>
            <w:tcW w:w="3020" w:type="dxa"/>
          </w:tcPr>
          <w:p w14:paraId="53D5D8AA" w14:textId="77777777" w:rsidR="002747F6" w:rsidRDefault="002747F6" w:rsidP="001160FE">
            <w:pPr>
              <w:pStyle w:val="BodyText"/>
              <w:spacing w:before="0" w:after="0"/>
            </w:pPr>
            <w:r>
              <w:t>Aase et al. (2019)</w:t>
            </w:r>
          </w:p>
          <w:p w14:paraId="0D9A9B66" w14:textId="77777777" w:rsidR="002747F6" w:rsidRDefault="002747F6" w:rsidP="001160FE">
            <w:pPr>
              <w:pStyle w:val="BodyText"/>
              <w:spacing w:before="0" w:after="0"/>
            </w:pPr>
            <w:r>
              <w:t>Bahl et al. (2019)</w:t>
            </w:r>
          </w:p>
          <w:p w14:paraId="1E2387A8" w14:textId="77777777" w:rsidR="002747F6" w:rsidRDefault="002747F6" w:rsidP="001160FE">
            <w:pPr>
              <w:pStyle w:val="BodyText"/>
              <w:spacing w:before="0" w:after="0"/>
            </w:pPr>
            <w:r>
              <w:t>Bernardi et al. (2019)</w:t>
            </w:r>
          </w:p>
          <w:p w14:paraId="3D9FA57A" w14:textId="77777777" w:rsidR="002747F6" w:rsidRDefault="002747F6" w:rsidP="001160FE">
            <w:pPr>
              <w:pStyle w:val="BodyText"/>
              <w:spacing w:before="0" w:after="0"/>
            </w:pPr>
            <w:r>
              <w:t>Bernardi et al. (2018)</w:t>
            </w:r>
          </w:p>
          <w:p w14:paraId="6738CBAA" w14:textId="77777777" w:rsidR="002747F6" w:rsidRDefault="002747F6" w:rsidP="001160FE">
            <w:pPr>
              <w:pStyle w:val="BodyText"/>
              <w:spacing w:before="0" w:after="0"/>
            </w:pPr>
            <w:r>
              <w:t>Bernardi et al. (2016)</w:t>
            </w:r>
          </w:p>
          <w:p w14:paraId="19B82826" w14:textId="77777777" w:rsidR="002747F6" w:rsidRDefault="002747F6" w:rsidP="001160FE">
            <w:pPr>
              <w:pStyle w:val="BodyText"/>
              <w:spacing w:before="0" w:after="0"/>
            </w:pPr>
            <w:r>
              <w:t>Bernardi + Houssami (2017)</w:t>
            </w:r>
          </w:p>
          <w:p w14:paraId="66F870B2" w14:textId="77777777" w:rsidR="002747F6" w:rsidRDefault="002747F6" w:rsidP="001160FE">
            <w:pPr>
              <w:pStyle w:val="BodyText"/>
              <w:spacing w:before="0" w:after="0"/>
            </w:pPr>
            <w:r>
              <w:t>Bernardi et al. (2012)</w:t>
            </w:r>
          </w:p>
          <w:p w14:paraId="64085AE4" w14:textId="4949128E" w:rsidR="002747F6" w:rsidRDefault="002747F6" w:rsidP="001160FE">
            <w:pPr>
              <w:pStyle w:val="BodyText"/>
              <w:spacing w:before="0" w:after="0"/>
            </w:pPr>
            <w:r>
              <w:t>Caumo et al. (2018)</w:t>
            </w:r>
          </w:p>
          <w:p w14:paraId="1359B877" w14:textId="60CDBBCC" w:rsidR="002747F6" w:rsidRDefault="002747F6" w:rsidP="001160FE">
            <w:pPr>
              <w:pStyle w:val="BodyText"/>
              <w:spacing w:before="0" w:after="0"/>
            </w:pPr>
            <w:r>
              <w:t>Conant et al. (2019)</w:t>
            </w:r>
          </w:p>
          <w:p w14:paraId="4FAA7BEB" w14:textId="6AD3EF18" w:rsidR="002747F6" w:rsidRDefault="002747F6" w:rsidP="001160FE">
            <w:pPr>
              <w:pStyle w:val="BodyText"/>
              <w:spacing w:before="0" w:after="0"/>
            </w:pPr>
            <w:r>
              <w:t>Dang et al. (2019)</w:t>
            </w:r>
          </w:p>
          <w:p w14:paraId="497A9FAF" w14:textId="77777777" w:rsidR="002747F6" w:rsidRDefault="002747F6" w:rsidP="001160FE">
            <w:pPr>
              <w:pStyle w:val="BodyText"/>
              <w:spacing w:before="0" w:after="0"/>
            </w:pPr>
            <w:r>
              <w:t>Hofvind et al. (2019)</w:t>
            </w:r>
          </w:p>
          <w:p w14:paraId="260D10CC" w14:textId="77777777" w:rsidR="002747F6" w:rsidRDefault="002747F6" w:rsidP="001160FE">
            <w:pPr>
              <w:pStyle w:val="BodyText"/>
              <w:spacing w:before="0" w:after="0"/>
            </w:pPr>
            <w:r>
              <w:t>Hofvind et al. (2018)</w:t>
            </w:r>
          </w:p>
          <w:p w14:paraId="73A0E6D1" w14:textId="77777777" w:rsidR="002747F6" w:rsidRDefault="002747F6" w:rsidP="001160FE">
            <w:pPr>
              <w:pStyle w:val="BodyText"/>
              <w:spacing w:before="0" w:after="0"/>
            </w:pPr>
            <w:r>
              <w:t>Honig et al. (2019)</w:t>
            </w:r>
          </w:p>
          <w:p w14:paraId="04BC4F0D" w14:textId="4A9C922F" w:rsidR="002747F6" w:rsidRDefault="002747F6" w:rsidP="001160FE">
            <w:pPr>
              <w:pStyle w:val="BodyText"/>
              <w:spacing w:before="0" w:after="0"/>
            </w:pPr>
            <w:r>
              <w:t>Houssami et al. (2019)</w:t>
            </w:r>
          </w:p>
          <w:p w14:paraId="74076B5B" w14:textId="77777777" w:rsidR="002747F6" w:rsidRDefault="002747F6" w:rsidP="001160FE">
            <w:pPr>
              <w:pStyle w:val="BodyText"/>
              <w:spacing w:before="0" w:after="0"/>
            </w:pPr>
            <w:r>
              <w:t>Houssami et al. (2018)</w:t>
            </w:r>
          </w:p>
          <w:p w14:paraId="298ED910" w14:textId="77777777" w:rsidR="002747F6" w:rsidRDefault="002747F6" w:rsidP="001160FE">
            <w:pPr>
              <w:pStyle w:val="BodyText"/>
              <w:spacing w:before="0" w:after="0"/>
            </w:pPr>
            <w:r>
              <w:t>Houssami et al. (2017)</w:t>
            </w:r>
          </w:p>
          <w:p w14:paraId="4790F617" w14:textId="77777777" w:rsidR="002747F6" w:rsidRDefault="002747F6" w:rsidP="001160FE">
            <w:pPr>
              <w:pStyle w:val="BodyText"/>
              <w:spacing w:before="0" w:after="0"/>
            </w:pPr>
            <w:r>
              <w:t>Houssami et al. (2014)</w:t>
            </w:r>
          </w:p>
          <w:p w14:paraId="78AB24B2" w14:textId="77777777" w:rsidR="002747F6" w:rsidRDefault="002747F6" w:rsidP="001160FE">
            <w:pPr>
              <w:pStyle w:val="BodyText"/>
              <w:spacing w:before="0" w:after="0"/>
            </w:pPr>
            <w:r>
              <w:t>Hovda et al. (2019)</w:t>
            </w:r>
          </w:p>
          <w:p w14:paraId="0F1154F3" w14:textId="1B049959" w:rsidR="002747F6" w:rsidRDefault="002747F6" w:rsidP="001160FE">
            <w:pPr>
              <w:pStyle w:val="BodyText"/>
              <w:spacing w:before="0" w:after="0"/>
            </w:pPr>
            <w:r>
              <w:t>Fuiji et al. (2019)</w:t>
            </w:r>
          </w:p>
          <w:p w14:paraId="1A7BA58E" w14:textId="48699BA2" w:rsidR="002747F6" w:rsidRDefault="002747F6" w:rsidP="001160FE">
            <w:pPr>
              <w:pStyle w:val="BodyText"/>
              <w:spacing w:before="0" w:after="0"/>
            </w:pPr>
            <w:r>
              <w:t>Gennaro et al. (2018)</w:t>
            </w:r>
          </w:p>
          <w:p w14:paraId="1E4FBE47" w14:textId="77777777" w:rsidR="002747F6" w:rsidRDefault="002747F6" w:rsidP="001160FE">
            <w:pPr>
              <w:pStyle w:val="BodyText"/>
              <w:spacing w:before="0" w:after="0"/>
            </w:pPr>
            <w:r>
              <w:t>Johnson et al. (2019)</w:t>
            </w:r>
          </w:p>
          <w:p w14:paraId="08A93B69" w14:textId="46623682" w:rsidR="002747F6" w:rsidRDefault="002747F6" w:rsidP="001160FE">
            <w:pPr>
              <w:pStyle w:val="BodyText"/>
              <w:spacing w:before="0" w:after="0"/>
            </w:pPr>
            <w:r>
              <w:t>Lai et al. (2018)</w:t>
            </w:r>
          </w:p>
          <w:p w14:paraId="40D205A6" w14:textId="353BBEC9" w:rsidR="002747F6" w:rsidRDefault="002747F6" w:rsidP="001160FE">
            <w:pPr>
              <w:pStyle w:val="BodyText"/>
              <w:spacing w:before="0" w:after="0"/>
            </w:pPr>
            <w:r>
              <w:t>Lowry et al. (2019)</w:t>
            </w:r>
          </w:p>
          <w:p w14:paraId="5012FDA9" w14:textId="606AACB2" w:rsidR="002747F6" w:rsidRDefault="002747F6" w:rsidP="001160FE">
            <w:pPr>
              <w:pStyle w:val="BodyText"/>
              <w:spacing w:before="0" w:after="0"/>
            </w:pPr>
            <w:r>
              <w:t>Marinovich et al. (2018)</w:t>
            </w:r>
          </w:p>
          <w:p w14:paraId="77701BE7" w14:textId="668D8FC8" w:rsidR="002747F6" w:rsidRDefault="002747F6" w:rsidP="001160FE">
            <w:pPr>
              <w:pStyle w:val="BodyText"/>
              <w:spacing w:before="0" w:after="0"/>
            </w:pPr>
            <w:r>
              <w:t>Miglioretti et al. (2019)</w:t>
            </w:r>
          </w:p>
          <w:p w14:paraId="451DE8BD" w14:textId="262C32E5" w:rsidR="002747F6" w:rsidRDefault="002747F6" w:rsidP="001160FE">
            <w:pPr>
              <w:pStyle w:val="BodyText"/>
              <w:spacing w:before="0" w:after="0"/>
            </w:pPr>
            <w:r>
              <w:t>Moger et al. (2019)</w:t>
            </w:r>
          </w:p>
          <w:p w14:paraId="50C6895A" w14:textId="77777777" w:rsidR="002747F6" w:rsidRDefault="002747F6" w:rsidP="001160FE">
            <w:pPr>
              <w:pStyle w:val="BodyText"/>
              <w:spacing w:before="0" w:after="0"/>
              <w:rPr>
                <w:rFonts w:cstheme="majorHAnsi"/>
              </w:rPr>
            </w:pPr>
            <w:r>
              <w:rPr>
                <w:rFonts w:cstheme="majorHAnsi"/>
              </w:rPr>
              <w:t>Ø</w:t>
            </w:r>
            <w:r>
              <w:t>ster</w:t>
            </w:r>
            <w:r>
              <w:rPr>
                <w:rFonts w:cstheme="majorHAnsi"/>
              </w:rPr>
              <w:t>ås et al. (2018)</w:t>
            </w:r>
          </w:p>
          <w:p w14:paraId="21A1B2F1" w14:textId="675A5FE7" w:rsidR="002747F6" w:rsidRDefault="002747F6" w:rsidP="001160FE">
            <w:pPr>
              <w:pStyle w:val="BodyText"/>
              <w:spacing w:before="0" w:after="0"/>
              <w:rPr>
                <w:rFonts w:cstheme="majorHAnsi"/>
              </w:rPr>
            </w:pPr>
            <w:r>
              <w:rPr>
                <w:rFonts w:cstheme="majorHAnsi"/>
              </w:rPr>
              <w:t>Pattacini et al. (2018)</w:t>
            </w:r>
          </w:p>
          <w:p w14:paraId="111E1596" w14:textId="7B297E02" w:rsidR="002747F6" w:rsidRDefault="002747F6" w:rsidP="001160FE">
            <w:pPr>
              <w:pStyle w:val="BodyText"/>
              <w:spacing w:before="0" w:after="0"/>
              <w:rPr>
                <w:rFonts w:cstheme="majorHAnsi"/>
              </w:rPr>
            </w:pPr>
            <w:r>
              <w:rPr>
                <w:rFonts w:cstheme="majorHAnsi"/>
              </w:rPr>
              <w:t>Romero Martín et al. (2018)</w:t>
            </w:r>
          </w:p>
          <w:p w14:paraId="01D4048C" w14:textId="32C569A0" w:rsidR="002747F6" w:rsidRDefault="002747F6" w:rsidP="001160FE">
            <w:pPr>
              <w:pStyle w:val="BodyText"/>
              <w:spacing w:before="0" w:after="0"/>
              <w:rPr>
                <w:rFonts w:cstheme="majorHAnsi"/>
              </w:rPr>
            </w:pPr>
            <w:r>
              <w:rPr>
                <w:rFonts w:cstheme="majorHAnsi"/>
              </w:rPr>
              <w:t>Rose + Shisler (2018)</w:t>
            </w:r>
          </w:p>
          <w:p w14:paraId="5A71E5A2" w14:textId="571F150A" w:rsidR="002747F6" w:rsidRDefault="002747F6" w:rsidP="001160FE">
            <w:pPr>
              <w:pStyle w:val="BodyText"/>
              <w:spacing w:before="0" w:after="0"/>
              <w:rPr>
                <w:rFonts w:cstheme="majorHAnsi"/>
              </w:rPr>
            </w:pPr>
            <w:r>
              <w:rPr>
                <w:rFonts w:cstheme="majorHAnsi"/>
              </w:rPr>
              <w:t>Simon et al. (2019)</w:t>
            </w:r>
          </w:p>
          <w:p w14:paraId="51DFC1BB" w14:textId="77777777" w:rsidR="002747F6" w:rsidRDefault="002747F6" w:rsidP="001160FE">
            <w:pPr>
              <w:pStyle w:val="BodyText"/>
              <w:spacing w:before="0" w:after="0"/>
              <w:rPr>
                <w:rFonts w:cstheme="majorHAnsi"/>
              </w:rPr>
            </w:pPr>
            <w:r>
              <w:t xml:space="preserve">Skaane </w:t>
            </w:r>
            <w:r>
              <w:rPr>
                <w:rFonts w:cstheme="majorHAnsi"/>
              </w:rPr>
              <w:t>et al. (2019)</w:t>
            </w:r>
          </w:p>
          <w:p w14:paraId="1D40E2C3" w14:textId="5E77167E" w:rsidR="002747F6" w:rsidRDefault="002747F6" w:rsidP="001160FE">
            <w:pPr>
              <w:pStyle w:val="BodyText"/>
              <w:spacing w:before="0" w:after="0"/>
              <w:rPr>
                <w:rFonts w:cstheme="majorHAnsi"/>
              </w:rPr>
            </w:pPr>
            <w:r>
              <w:t xml:space="preserve">Skaane </w:t>
            </w:r>
            <w:r>
              <w:rPr>
                <w:rFonts w:cstheme="majorHAnsi"/>
              </w:rPr>
              <w:t>et al. (2018)</w:t>
            </w:r>
          </w:p>
          <w:p w14:paraId="19A6D543" w14:textId="45535353" w:rsidR="002747F6" w:rsidRDefault="002747F6" w:rsidP="001160FE">
            <w:pPr>
              <w:pStyle w:val="BodyText"/>
              <w:spacing w:before="0" w:after="0"/>
              <w:rPr>
                <w:rFonts w:cstheme="majorHAnsi"/>
              </w:rPr>
            </w:pPr>
            <w:r>
              <w:rPr>
                <w:rFonts w:cstheme="majorHAnsi"/>
              </w:rPr>
              <w:t>Upadhyay et al. (2018)</w:t>
            </w:r>
          </w:p>
          <w:p w14:paraId="28B075E7" w14:textId="2F1F0547" w:rsidR="002747F6" w:rsidRDefault="002747F6" w:rsidP="001160FE">
            <w:pPr>
              <w:pStyle w:val="BodyText"/>
              <w:spacing w:before="0" w:after="0"/>
              <w:rPr>
                <w:rFonts w:cstheme="majorHAnsi"/>
              </w:rPr>
            </w:pPr>
            <w:r>
              <w:rPr>
                <w:rFonts w:cstheme="majorHAnsi"/>
              </w:rPr>
              <w:t>Wahab et al. (2018)</w:t>
            </w:r>
          </w:p>
          <w:p w14:paraId="541A3BF9" w14:textId="53E97DC7" w:rsidR="002747F6" w:rsidRDefault="002747F6" w:rsidP="001160FE">
            <w:pPr>
              <w:pStyle w:val="BodyText"/>
              <w:spacing w:before="0" w:after="0"/>
              <w:rPr>
                <w:rFonts w:cstheme="majorHAnsi"/>
              </w:rPr>
            </w:pPr>
            <w:r>
              <w:rPr>
                <w:rFonts w:cstheme="majorHAnsi"/>
              </w:rPr>
              <w:t>Wasan et al. (2019)</w:t>
            </w:r>
          </w:p>
          <w:p w14:paraId="567DC740" w14:textId="63BCB5C5" w:rsidR="002747F6" w:rsidRDefault="002747F6" w:rsidP="001160FE">
            <w:pPr>
              <w:pStyle w:val="BodyText"/>
              <w:spacing w:before="0" w:after="0"/>
            </w:pPr>
            <w:r>
              <w:t>Zackrisson et al. (2018)</w:t>
            </w:r>
          </w:p>
        </w:tc>
        <w:tc>
          <w:tcPr>
            <w:tcW w:w="3020" w:type="dxa"/>
          </w:tcPr>
          <w:p w14:paraId="29FBCB9E" w14:textId="6A6E2A0D" w:rsidR="002747F6" w:rsidRDefault="002747F6" w:rsidP="001160FE">
            <w:pPr>
              <w:pStyle w:val="BodyText"/>
              <w:spacing w:before="0" w:after="0"/>
              <w:rPr>
                <w:i/>
                <w:iCs/>
              </w:rPr>
            </w:pPr>
            <w:r>
              <w:rPr>
                <w:i/>
                <w:iCs/>
              </w:rPr>
              <w:t xml:space="preserve">NB most of these studies describe cancer characteristics detected with DBT </w:t>
            </w:r>
            <w:r>
              <w:rPr>
                <w:i/>
                <w:iCs/>
                <w:u w:val="single"/>
              </w:rPr>
              <w:t>+</w:t>
            </w:r>
            <w:r>
              <w:rPr>
                <w:i/>
                <w:iCs/>
              </w:rPr>
              <w:t xml:space="preserve"> s2DM or FFDM/FFDM alone or reading time</w:t>
            </w:r>
          </w:p>
          <w:p w14:paraId="1F5024BE" w14:textId="77777777" w:rsidR="002747F6" w:rsidRDefault="002747F6" w:rsidP="001160FE">
            <w:pPr>
              <w:pStyle w:val="BodyText"/>
              <w:spacing w:before="0" w:after="0"/>
              <w:rPr>
                <w:i/>
                <w:iCs/>
              </w:rPr>
            </w:pPr>
          </w:p>
          <w:p w14:paraId="354ABB93" w14:textId="77777777" w:rsidR="002747F6" w:rsidRDefault="002747F6" w:rsidP="001160FE">
            <w:pPr>
              <w:pStyle w:val="BodyText"/>
              <w:spacing w:before="0" w:after="0"/>
            </w:pPr>
            <w:r>
              <w:t>Chae et al. (2019)</w:t>
            </w:r>
          </w:p>
          <w:p w14:paraId="59A07780" w14:textId="5FD1E02B" w:rsidR="002747F6" w:rsidRDefault="002747F6" w:rsidP="001160FE">
            <w:pPr>
              <w:pStyle w:val="BodyText"/>
              <w:spacing w:before="0" w:after="0"/>
            </w:pPr>
            <w:r>
              <w:t>Choi et al. (2019)</w:t>
            </w:r>
          </w:p>
          <w:p w14:paraId="1191BCC6" w14:textId="7955B053" w:rsidR="002747F6" w:rsidRDefault="002747F6" w:rsidP="001160FE">
            <w:pPr>
              <w:pStyle w:val="BodyText"/>
              <w:spacing w:before="0" w:after="0"/>
            </w:pPr>
            <w:r>
              <w:t>Phi et al. (2018)</w:t>
            </w:r>
          </w:p>
          <w:p w14:paraId="3251D74A" w14:textId="08AC6B63" w:rsidR="002747F6" w:rsidRPr="002747F6" w:rsidRDefault="002747F6" w:rsidP="001160FE">
            <w:pPr>
              <w:pStyle w:val="BodyText"/>
              <w:spacing w:before="0" w:after="0"/>
            </w:pPr>
          </w:p>
        </w:tc>
      </w:tr>
    </w:tbl>
    <w:p w14:paraId="49018B43" w14:textId="77777777" w:rsidR="009C2E3B" w:rsidRPr="009C2E3B" w:rsidRDefault="009C2E3B" w:rsidP="009C2E3B">
      <w:pPr>
        <w:pStyle w:val="BodyText"/>
      </w:pPr>
    </w:p>
    <w:p w14:paraId="35762979" w14:textId="77777777" w:rsidR="009C2E3B" w:rsidRDefault="009C2E3B" w:rsidP="003369CE">
      <w:pPr>
        <w:pStyle w:val="Heading1"/>
        <w:sectPr w:rsidR="009C2E3B" w:rsidSect="009C2E3B">
          <w:pgSz w:w="11907" w:h="16839" w:code="9"/>
          <w:pgMar w:top="1418" w:right="1418" w:bottom="1418" w:left="1418" w:header="964" w:footer="964" w:gutter="0"/>
          <w:cols w:space="708"/>
          <w:docGrid w:linePitch="360"/>
        </w:sectPr>
      </w:pPr>
    </w:p>
    <w:p w14:paraId="4EEB2D56" w14:textId="0E0A1FE4" w:rsidR="00222F20" w:rsidRDefault="009C2E3B" w:rsidP="003369CE">
      <w:pPr>
        <w:pStyle w:val="Heading1"/>
      </w:pPr>
      <w:bookmarkStart w:id="520" w:name="_Toc43376376"/>
      <w:r>
        <w:lastRenderedPageBreak/>
        <w:t>ANNEX C:</w:t>
      </w:r>
      <w:r w:rsidR="003369CE">
        <w:t xml:space="preserve"> quality assessment for each included SYStematic review</w:t>
      </w:r>
      <w:bookmarkEnd w:id="520"/>
    </w:p>
    <w:p w14:paraId="627DB576" w14:textId="67502BF9" w:rsidR="003369CE" w:rsidRDefault="003369CE" w:rsidP="003369CE">
      <w:pPr>
        <w:pStyle w:val="Heading3"/>
      </w:pPr>
      <w:bookmarkStart w:id="521" w:name="_Toc27904825"/>
      <w:bookmarkStart w:id="522" w:name="_Toc43376377"/>
      <w:r>
        <w:t>Marinovich et al. (2019)</w:t>
      </w:r>
      <w:bookmarkEnd w:id="521"/>
      <w:bookmarkEnd w:id="522"/>
    </w:p>
    <w:tbl>
      <w:tblPr>
        <w:tblStyle w:val="ACGreen-BandedTable"/>
        <w:tblW w:w="13905" w:type="dxa"/>
        <w:tblLayout w:type="fixed"/>
        <w:tblLook w:val="04A0" w:firstRow="1" w:lastRow="0" w:firstColumn="1" w:lastColumn="0" w:noHBand="0" w:noVBand="1"/>
        <w:tblDescription w:val="Annex C: Quality Assessment for each included systematic review of Marinovich et al. (2019):&#10;AMSTRAR2 Tool Question 1 - Did the research questions and inclusion criteria for the review include the components of the PICO(T/S)?&#10;Answer - Yes, No comment&#10;&#10;AMSTRAR2 Tool Question 2 - Did the report of the review contain an explicit statement that the review methods were established prior to the conduct of the review and did the report justify any significant deviations from the protocol? Answer - Yes, No comment.&#10;&#10;AMSTRAR2 Tool Question 3 - Did the review authors explain their selection of the study designs for inclusion in the review? &#10;Answer - Yes, No comment.&#10;&#10;AMSTRAR2 Tool Question 4 - Did the review authors use a comprehensive literature search strategy?&#10;Answer - Yes.&#10;Comment - Medline, Embase, PreMedline, HTA, NHSSEED, SCP Journal Club, Cochrane.&#10;&#10;AMSTRAR2 Tool Question 5 - Was there duplicate study selection and data extraction?&#10;Answer -  Yes, No comment&#10;&#10;AMSTRAR2 Tool Question 6 - Did the review authors provide a list of excluded studies and justify the exclusion?&#10;Answer - No.&#10;Comment - But supplementary material available online described clear inclusion and exclusion criteria.&#10;&#10;AMSTRAR2 Tool Question 7 - Did the review authors describe the included studies in adequate detail?&#10;Answer - Yes, No comment.&#10;&#10;AMSTRAR2 Tool Question 8 - Did the review authors use a satisfactory technique for assessing the risk of bias (RoB) in individual studies that were included in the review?&#10;Answer - Yes.&#10;Comment - QUADAS 2 was used.&#10;&#10;AMSTRAR2 Tool Question 9 - Did the review authors report on the sources of funding for the studies included in the review?&#10;Answer - No, No comment&#10;&#10;AMSTRAR2 Tool Question 10 - If meta-analysis was performed did the review authors use appropriate methods for statistical combination of results?&#10;Answer - Yes&#10;Comment - Logistic regression models with random effects were used. DerSimoneon and Laird methods, PROC GENMOD for paired study data and forest plots. &#10;&#10;AMSTRAR2 Tool Question 11 - If meta-analysis was performed, did the review authors assess the potential impact of RoB in individual studies on the results of the meta-analysis or other evidence synthesis?&#10;Answer - Yes.&#10;Comment - Logistic regression models with random effects were used. DerSimoneon and Laird methods, PROC GENMOD for paired study data and forest plots. &#10;&#10;AMSTRAR2 Tool Question 12 - Did the review authors account for RoB in individual studies when interpreting/discussing the results of review?&#10;Answer - Yes, No comment.&#10;&#10;AMSTRAR2 Tool Question 13 - Did the review authors provide a satisfactory explanation for, and discussion of, any heterogeneity observed in the results of the review?&#10;Answer - Yes, No comment.&#10;&#10;AMSTRAR2 Tool Question 14 - If they performed quantitative synthesis did the review authors carry out an adequate investigation of publication bias (small study bias) and discuss its likely impact on the results of the review?&#10;Answer - No&#10;Comment - Most included studies were large.&#10;&#10;AMSTRAR2 Tool Question 15 - did the review authors report any potential sources of conflict of interest, including any funding they received for conduction the review?&#10;Answer - No, No comment."/>
      </w:tblPr>
      <w:tblGrid>
        <w:gridCol w:w="442"/>
        <w:gridCol w:w="6357"/>
        <w:gridCol w:w="1134"/>
        <w:gridCol w:w="5972"/>
      </w:tblGrid>
      <w:tr w:rsidR="003369CE" w14:paraId="19B90729" w14:textId="77777777" w:rsidTr="00645C4F">
        <w:trPr>
          <w:cnfStyle w:val="100000000000" w:firstRow="1" w:lastRow="0" w:firstColumn="0" w:lastColumn="0" w:oddVBand="0" w:evenVBand="0" w:oddHBand="0" w:evenHBand="0"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0BA76CC7" w14:textId="77777777" w:rsidR="003369CE" w:rsidRDefault="003369CE" w:rsidP="00645C4F">
            <w:pPr>
              <w:pStyle w:val="BodyText"/>
              <w:spacing w:before="0" w:after="0"/>
              <w:rPr>
                <w:sz w:val="20"/>
                <w:szCs w:val="20"/>
                <w:lang w:val="en-US"/>
              </w:rPr>
            </w:pP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104B9E7" w14:textId="77777777" w:rsidR="003369CE" w:rsidRDefault="003369CE" w:rsidP="00645C4F">
            <w:pPr>
              <w:pStyle w:val="BodyText"/>
              <w:spacing w:before="0" w:after="0"/>
              <w:jc w:val="center"/>
              <w:rPr>
                <w:sz w:val="20"/>
                <w:szCs w:val="20"/>
                <w:lang w:val="en-US"/>
              </w:rPr>
            </w:pPr>
            <w:r>
              <w:rPr>
                <w:sz w:val="20"/>
                <w:szCs w:val="20"/>
                <w:lang w:val="en-US"/>
              </w:rPr>
              <w:t>AMSTAR2 TOOL QUESTION</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D5CA1D2" w14:textId="77777777" w:rsidR="003369CE" w:rsidRDefault="003369CE" w:rsidP="00645C4F">
            <w:pPr>
              <w:pStyle w:val="BodyText"/>
              <w:spacing w:before="0" w:after="0"/>
              <w:jc w:val="center"/>
              <w:rPr>
                <w:sz w:val="20"/>
                <w:szCs w:val="20"/>
                <w:lang w:val="en-US"/>
              </w:rPr>
            </w:pPr>
            <w:r>
              <w:rPr>
                <w:sz w:val="20"/>
                <w:szCs w:val="20"/>
                <w:lang w:val="en-US"/>
              </w:rPr>
              <w:t>Answer</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5B8B309" w14:textId="77777777" w:rsidR="003369CE" w:rsidRDefault="003369CE" w:rsidP="00645C4F">
            <w:pPr>
              <w:pStyle w:val="BodyText"/>
              <w:spacing w:before="0" w:after="0"/>
              <w:jc w:val="center"/>
              <w:rPr>
                <w:sz w:val="20"/>
                <w:szCs w:val="20"/>
                <w:lang w:val="en-US"/>
              </w:rPr>
            </w:pPr>
            <w:r>
              <w:rPr>
                <w:sz w:val="20"/>
                <w:szCs w:val="20"/>
                <w:lang w:val="en-US"/>
              </w:rPr>
              <w:t>Comment</w:t>
            </w:r>
          </w:p>
        </w:tc>
      </w:tr>
      <w:tr w:rsidR="003369CE" w14:paraId="7FE9989E" w14:textId="77777777" w:rsidTr="003369CE">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A546DC8" w14:textId="77777777" w:rsidR="003369CE" w:rsidRDefault="003369CE" w:rsidP="00645C4F">
            <w:pPr>
              <w:pStyle w:val="BodyText"/>
              <w:spacing w:before="0" w:after="0"/>
              <w:rPr>
                <w:sz w:val="20"/>
                <w:szCs w:val="20"/>
                <w:lang w:val="en-US"/>
              </w:rPr>
            </w:pPr>
            <w:r>
              <w:rPr>
                <w:sz w:val="20"/>
                <w:szCs w:val="20"/>
                <w:lang w:val="en-US"/>
              </w:rPr>
              <w:t>1</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4049335" w14:textId="6FA4FECC" w:rsidR="003369CE" w:rsidRDefault="003369CE" w:rsidP="00645C4F">
            <w:pPr>
              <w:contextualSpacing/>
              <w:rPr>
                <w:sz w:val="20"/>
                <w:szCs w:val="20"/>
                <w:lang w:val="en-US"/>
              </w:rPr>
            </w:pPr>
            <w:r>
              <w:rPr>
                <w:sz w:val="20"/>
                <w:szCs w:val="20"/>
                <w:lang w:val="en-US"/>
              </w:rPr>
              <w:t>Did the research questions and inclusion criteria for the review include the components of the PICO</w:t>
            </w:r>
            <w:r w:rsidR="005D3634">
              <w:rPr>
                <w:sz w:val="20"/>
                <w:szCs w:val="20"/>
                <w:lang w:val="en-US"/>
              </w:rPr>
              <w:t>(T/S)</w:t>
            </w:r>
            <w:r>
              <w:rPr>
                <w:sz w:val="20"/>
                <w:szCs w:val="20"/>
                <w:lang w:val="en-US"/>
              </w:rPr>
              <w:t>?</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E903443" w14:textId="018B8D36"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D31F0A3" w14:textId="77777777" w:rsidR="003369CE" w:rsidRDefault="003369CE" w:rsidP="00645C4F">
            <w:pPr>
              <w:pStyle w:val="BodyText"/>
              <w:spacing w:before="0" w:after="0"/>
              <w:rPr>
                <w:sz w:val="20"/>
                <w:szCs w:val="20"/>
                <w:lang w:val="en-US"/>
              </w:rPr>
            </w:pPr>
          </w:p>
        </w:tc>
      </w:tr>
      <w:tr w:rsidR="003369CE" w14:paraId="7253B29F" w14:textId="77777777" w:rsidTr="003369CE">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F90EBE5" w14:textId="77777777" w:rsidR="003369CE" w:rsidRDefault="003369CE" w:rsidP="00645C4F">
            <w:pPr>
              <w:pStyle w:val="BodyText"/>
              <w:spacing w:before="0" w:after="0"/>
              <w:rPr>
                <w:sz w:val="20"/>
                <w:szCs w:val="20"/>
                <w:lang w:val="en-US"/>
              </w:rPr>
            </w:pPr>
            <w:r>
              <w:rPr>
                <w:sz w:val="20"/>
                <w:szCs w:val="20"/>
                <w:lang w:val="en-US"/>
              </w:rPr>
              <w:t>2</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5B68BD4" w14:textId="77777777" w:rsidR="003369CE" w:rsidRDefault="003369CE" w:rsidP="00645C4F">
            <w:pPr>
              <w:contextualSpacing/>
              <w:rPr>
                <w:sz w:val="20"/>
                <w:szCs w:val="20"/>
                <w:lang w:val="en-US"/>
              </w:rPr>
            </w:pPr>
            <w:r>
              <w:rPr>
                <w:sz w:val="20"/>
                <w:szCs w:val="20"/>
                <w:lang w:val="en-US"/>
              </w:rPr>
              <w:t>Did the report of the review contain an explicit statement that the review methods were established prior to the conduct of the review and did the report justify any significant deviations from the protocol?</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371F237A" w14:textId="7FCEE0C9"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40A0C288" w14:textId="77777777" w:rsidR="003369CE" w:rsidRDefault="003369CE" w:rsidP="00645C4F">
            <w:pPr>
              <w:pStyle w:val="BodyText"/>
              <w:spacing w:before="0" w:after="0"/>
              <w:rPr>
                <w:sz w:val="20"/>
                <w:szCs w:val="20"/>
                <w:lang w:val="en-US"/>
              </w:rPr>
            </w:pPr>
          </w:p>
        </w:tc>
      </w:tr>
      <w:tr w:rsidR="003369CE" w14:paraId="7B182ECE" w14:textId="77777777" w:rsidTr="003369CE">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FF86817" w14:textId="77777777" w:rsidR="003369CE" w:rsidRDefault="003369CE" w:rsidP="00645C4F">
            <w:pPr>
              <w:pStyle w:val="BodyText"/>
              <w:spacing w:before="0" w:after="0"/>
              <w:rPr>
                <w:sz w:val="20"/>
                <w:szCs w:val="20"/>
                <w:lang w:val="en-US"/>
              </w:rPr>
            </w:pPr>
            <w:r>
              <w:rPr>
                <w:sz w:val="20"/>
                <w:szCs w:val="20"/>
                <w:lang w:val="en-US"/>
              </w:rPr>
              <w:t>3</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7BDE43E" w14:textId="77777777" w:rsidR="003369CE" w:rsidRDefault="003369CE" w:rsidP="00645C4F">
            <w:pPr>
              <w:contextualSpacing/>
              <w:rPr>
                <w:sz w:val="20"/>
                <w:szCs w:val="20"/>
                <w:lang w:val="en-US"/>
              </w:rPr>
            </w:pPr>
            <w:r>
              <w:rPr>
                <w:sz w:val="20"/>
                <w:szCs w:val="20"/>
                <w:lang w:val="en-US"/>
              </w:rPr>
              <w:t>Did the review authors explain their selection of the study designs for inclusion in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AE9E69A" w14:textId="3E9285AB"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A40981B" w14:textId="77777777" w:rsidR="003369CE" w:rsidRDefault="003369CE" w:rsidP="00645C4F">
            <w:pPr>
              <w:pStyle w:val="BodyText"/>
              <w:spacing w:before="0" w:after="0"/>
              <w:rPr>
                <w:sz w:val="20"/>
                <w:szCs w:val="20"/>
                <w:lang w:val="en-US"/>
              </w:rPr>
            </w:pPr>
          </w:p>
        </w:tc>
      </w:tr>
      <w:tr w:rsidR="003369CE" w14:paraId="1C0F7977" w14:textId="77777777" w:rsidTr="003369CE">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9C87D5C" w14:textId="77777777" w:rsidR="003369CE" w:rsidRDefault="003369CE" w:rsidP="00645C4F">
            <w:pPr>
              <w:pStyle w:val="BodyText"/>
              <w:spacing w:before="0" w:after="0"/>
              <w:rPr>
                <w:sz w:val="20"/>
                <w:szCs w:val="20"/>
                <w:lang w:val="en-US"/>
              </w:rPr>
            </w:pPr>
            <w:r>
              <w:rPr>
                <w:sz w:val="20"/>
                <w:szCs w:val="20"/>
                <w:lang w:val="en-US"/>
              </w:rPr>
              <w:t>4</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B7E1B3F" w14:textId="77777777" w:rsidR="003369CE" w:rsidRDefault="003369CE" w:rsidP="00645C4F">
            <w:pPr>
              <w:contextualSpacing/>
              <w:rPr>
                <w:sz w:val="20"/>
                <w:szCs w:val="20"/>
                <w:lang w:val="en-US"/>
              </w:rPr>
            </w:pPr>
            <w:r>
              <w:rPr>
                <w:sz w:val="20"/>
                <w:szCs w:val="20"/>
                <w:lang w:val="en-US"/>
              </w:rPr>
              <w:t>Did the review authors use a comprehensive literature search strategy?</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3FE81E26" w14:textId="161EB456"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46D95E9D" w14:textId="19733861" w:rsidR="003369CE" w:rsidRDefault="00DC58DA" w:rsidP="00645C4F">
            <w:pPr>
              <w:pStyle w:val="BodyText"/>
              <w:spacing w:before="0" w:after="0"/>
              <w:rPr>
                <w:sz w:val="20"/>
                <w:szCs w:val="20"/>
                <w:lang w:val="en-US"/>
              </w:rPr>
            </w:pPr>
            <w:r>
              <w:rPr>
                <w:sz w:val="20"/>
                <w:szCs w:val="20"/>
                <w:lang w:val="en-US"/>
              </w:rPr>
              <w:t>Medline, Embase, PreMedline, HTA, NHSSEED, SCP Journal Club, Cochrane</w:t>
            </w:r>
          </w:p>
        </w:tc>
      </w:tr>
      <w:tr w:rsidR="003369CE" w14:paraId="2B878A21" w14:textId="77777777" w:rsidTr="003369CE">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8B38833" w14:textId="77777777" w:rsidR="003369CE" w:rsidRDefault="003369CE" w:rsidP="00645C4F">
            <w:pPr>
              <w:pStyle w:val="BodyText"/>
              <w:spacing w:before="0" w:after="0"/>
              <w:rPr>
                <w:sz w:val="20"/>
                <w:szCs w:val="20"/>
                <w:lang w:val="en-US"/>
              </w:rPr>
            </w:pPr>
            <w:r>
              <w:rPr>
                <w:sz w:val="20"/>
                <w:szCs w:val="20"/>
                <w:lang w:val="en-US"/>
              </w:rPr>
              <w:t>5</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A7CC852" w14:textId="77777777" w:rsidR="003369CE" w:rsidRDefault="003369CE" w:rsidP="00645C4F">
            <w:pPr>
              <w:contextualSpacing/>
              <w:rPr>
                <w:sz w:val="20"/>
                <w:szCs w:val="20"/>
                <w:lang w:val="en-US"/>
              </w:rPr>
            </w:pPr>
            <w:r>
              <w:rPr>
                <w:sz w:val="20"/>
                <w:szCs w:val="20"/>
                <w:lang w:val="en-US"/>
              </w:rPr>
              <w:t>Was there duplicate study selection and data extraction?</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601DC9AE" w14:textId="32F8F819"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1CEF485" w14:textId="77777777" w:rsidR="003369CE" w:rsidRDefault="003369CE" w:rsidP="00645C4F">
            <w:pPr>
              <w:pStyle w:val="BodyText"/>
              <w:spacing w:before="0" w:after="0"/>
              <w:rPr>
                <w:sz w:val="20"/>
                <w:szCs w:val="20"/>
                <w:lang w:val="en-US"/>
              </w:rPr>
            </w:pPr>
          </w:p>
        </w:tc>
      </w:tr>
      <w:tr w:rsidR="003369CE" w14:paraId="6EC1D7FB" w14:textId="77777777" w:rsidTr="003369CE">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9CAD88D" w14:textId="77777777" w:rsidR="003369CE" w:rsidRDefault="003369CE" w:rsidP="00645C4F">
            <w:pPr>
              <w:pStyle w:val="BodyText"/>
              <w:spacing w:before="0" w:after="0"/>
              <w:rPr>
                <w:sz w:val="20"/>
                <w:szCs w:val="20"/>
                <w:lang w:val="en-US"/>
              </w:rPr>
            </w:pPr>
            <w:r>
              <w:rPr>
                <w:sz w:val="20"/>
                <w:szCs w:val="20"/>
                <w:lang w:val="en-US"/>
              </w:rPr>
              <w:t>6</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5E2546A" w14:textId="77777777" w:rsidR="003369CE" w:rsidRDefault="003369CE" w:rsidP="00645C4F">
            <w:pPr>
              <w:contextualSpacing/>
              <w:rPr>
                <w:sz w:val="20"/>
                <w:szCs w:val="20"/>
                <w:lang w:val="en-US"/>
              </w:rPr>
            </w:pPr>
            <w:r>
              <w:rPr>
                <w:sz w:val="20"/>
                <w:szCs w:val="20"/>
                <w:lang w:val="en-US"/>
              </w:rPr>
              <w:t>Did the review authors provide a list of excluded studies and justify the exclusion?</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16CD5362" w14:textId="4012C52B" w:rsidR="003369CE" w:rsidRDefault="00DC58DA" w:rsidP="00DC58DA">
            <w:pPr>
              <w:pStyle w:val="BodyText"/>
              <w:spacing w:before="0" w:after="0"/>
              <w:jc w:val="center"/>
              <w:rPr>
                <w:sz w:val="20"/>
                <w:szCs w:val="20"/>
                <w:lang w:val="en-US"/>
              </w:rPr>
            </w:pPr>
            <w:r>
              <w:rPr>
                <w:sz w:val="20"/>
                <w:szCs w:val="20"/>
                <w:lang w:val="en-US"/>
              </w:rPr>
              <w:t>No</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E048727" w14:textId="627BDA15" w:rsidR="003369CE" w:rsidRDefault="00DC58DA" w:rsidP="00645C4F">
            <w:pPr>
              <w:pStyle w:val="BodyText"/>
              <w:spacing w:after="0"/>
              <w:rPr>
                <w:sz w:val="20"/>
                <w:szCs w:val="20"/>
                <w:lang w:val="en-US"/>
              </w:rPr>
            </w:pPr>
            <w:r>
              <w:rPr>
                <w:sz w:val="20"/>
                <w:szCs w:val="20"/>
                <w:lang w:val="en-US"/>
              </w:rPr>
              <w:t>But supplementary material available online described clear inclusion and exclusion criteria</w:t>
            </w:r>
          </w:p>
        </w:tc>
      </w:tr>
      <w:tr w:rsidR="003369CE" w14:paraId="7D4DDE51" w14:textId="77777777" w:rsidTr="003369CE">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D8798D8" w14:textId="77777777" w:rsidR="003369CE" w:rsidRDefault="003369CE" w:rsidP="00645C4F">
            <w:pPr>
              <w:pStyle w:val="BodyText"/>
              <w:spacing w:before="0" w:after="0"/>
              <w:rPr>
                <w:sz w:val="20"/>
                <w:szCs w:val="20"/>
                <w:lang w:val="en-US"/>
              </w:rPr>
            </w:pPr>
            <w:r>
              <w:rPr>
                <w:sz w:val="20"/>
                <w:szCs w:val="20"/>
                <w:lang w:val="en-US"/>
              </w:rPr>
              <w:t>7</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5FF563B" w14:textId="77777777" w:rsidR="003369CE" w:rsidRDefault="003369CE" w:rsidP="00645C4F">
            <w:pPr>
              <w:pStyle w:val="BodyText"/>
              <w:spacing w:before="0" w:after="0"/>
              <w:rPr>
                <w:sz w:val="20"/>
                <w:szCs w:val="20"/>
                <w:lang w:val="en-US"/>
              </w:rPr>
            </w:pPr>
            <w:r>
              <w:rPr>
                <w:sz w:val="20"/>
                <w:szCs w:val="20"/>
                <w:lang w:val="en-US"/>
              </w:rPr>
              <w:t>Did the review authors describe the included studies in adequate detail?</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F9C0560" w14:textId="14BCB51D"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F871C19" w14:textId="77777777" w:rsidR="003369CE" w:rsidRDefault="003369CE" w:rsidP="00645C4F">
            <w:pPr>
              <w:pStyle w:val="BodyText"/>
              <w:spacing w:before="0" w:after="0"/>
              <w:rPr>
                <w:sz w:val="20"/>
                <w:szCs w:val="20"/>
                <w:lang w:val="en-US"/>
              </w:rPr>
            </w:pPr>
          </w:p>
        </w:tc>
      </w:tr>
      <w:tr w:rsidR="003369CE" w14:paraId="2F592BB7" w14:textId="77777777" w:rsidTr="003369CE">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2F56D7B7" w14:textId="77777777" w:rsidR="003369CE" w:rsidRDefault="003369CE" w:rsidP="00645C4F">
            <w:pPr>
              <w:pStyle w:val="BodyText"/>
              <w:spacing w:before="0" w:after="0"/>
              <w:rPr>
                <w:sz w:val="20"/>
                <w:szCs w:val="20"/>
                <w:lang w:val="en-US"/>
              </w:rPr>
            </w:pPr>
            <w:r>
              <w:rPr>
                <w:sz w:val="20"/>
                <w:szCs w:val="20"/>
                <w:lang w:val="en-US"/>
              </w:rPr>
              <w:t>8</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19E5EEC" w14:textId="77777777" w:rsidR="003369CE" w:rsidRDefault="003369CE" w:rsidP="00645C4F">
            <w:pPr>
              <w:contextualSpacing/>
              <w:rPr>
                <w:sz w:val="20"/>
                <w:szCs w:val="20"/>
                <w:lang w:val="en-US"/>
              </w:rPr>
            </w:pPr>
            <w:r>
              <w:rPr>
                <w:sz w:val="20"/>
                <w:szCs w:val="20"/>
                <w:lang w:val="en-US"/>
              </w:rPr>
              <w:t>Did the review authors use a satisfactory technique for assessing the risk of bias (RoB) in individual studies that were included in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23AC5C9A" w14:textId="53283B41"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266943C2" w14:textId="1C43620D" w:rsidR="003369CE" w:rsidRDefault="00DC58DA" w:rsidP="00645C4F">
            <w:pPr>
              <w:pStyle w:val="BodyText"/>
              <w:spacing w:before="0" w:after="0"/>
              <w:rPr>
                <w:sz w:val="20"/>
                <w:szCs w:val="20"/>
                <w:lang w:val="en-US"/>
              </w:rPr>
            </w:pPr>
            <w:r>
              <w:rPr>
                <w:sz w:val="20"/>
                <w:szCs w:val="20"/>
                <w:lang w:val="en-US"/>
              </w:rPr>
              <w:t>QUADAS-2 was used</w:t>
            </w:r>
          </w:p>
        </w:tc>
      </w:tr>
      <w:tr w:rsidR="003369CE" w14:paraId="7CA86F76" w14:textId="77777777" w:rsidTr="003369CE">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AEED4D7" w14:textId="77777777" w:rsidR="003369CE" w:rsidRDefault="003369CE" w:rsidP="00645C4F">
            <w:pPr>
              <w:pStyle w:val="BodyText"/>
              <w:spacing w:before="0" w:after="0"/>
              <w:rPr>
                <w:sz w:val="20"/>
                <w:szCs w:val="20"/>
                <w:lang w:val="en-US"/>
              </w:rPr>
            </w:pPr>
            <w:r>
              <w:rPr>
                <w:sz w:val="20"/>
                <w:szCs w:val="20"/>
                <w:lang w:val="en-US"/>
              </w:rPr>
              <w:t>9</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767E8EB" w14:textId="77777777" w:rsidR="003369CE" w:rsidRDefault="003369CE" w:rsidP="00645C4F">
            <w:pPr>
              <w:contextualSpacing/>
              <w:rPr>
                <w:sz w:val="20"/>
                <w:szCs w:val="20"/>
                <w:lang w:val="en-US"/>
              </w:rPr>
            </w:pPr>
            <w:r>
              <w:rPr>
                <w:sz w:val="20"/>
                <w:szCs w:val="20"/>
                <w:lang w:val="en-US"/>
              </w:rPr>
              <w:t>Did the review authors report on the sources of funding for the studies included in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385F2450" w14:textId="2D9F8FEC" w:rsidR="003369CE" w:rsidRDefault="00DC58DA" w:rsidP="00DC58DA">
            <w:pPr>
              <w:pStyle w:val="BodyText"/>
              <w:spacing w:before="0" w:after="0"/>
              <w:jc w:val="center"/>
              <w:rPr>
                <w:sz w:val="20"/>
                <w:szCs w:val="20"/>
                <w:lang w:val="en-US"/>
              </w:rPr>
            </w:pPr>
            <w:r>
              <w:rPr>
                <w:sz w:val="20"/>
                <w:szCs w:val="20"/>
                <w:lang w:val="en-US"/>
              </w:rPr>
              <w:t>No</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3500D998" w14:textId="77777777" w:rsidR="003369CE" w:rsidRDefault="003369CE" w:rsidP="00645C4F">
            <w:pPr>
              <w:pStyle w:val="BodyText"/>
              <w:spacing w:before="0" w:after="0"/>
              <w:rPr>
                <w:sz w:val="20"/>
                <w:szCs w:val="20"/>
                <w:lang w:val="en-US"/>
              </w:rPr>
            </w:pPr>
          </w:p>
        </w:tc>
      </w:tr>
      <w:tr w:rsidR="003369CE" w14:paraId="2CA7E588" w14:textId="77777777" w:rsidTr="003369CE">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4C8FA80" w14:textId="77777777" w:rsidR="003369CE" w:rsidRDefault="003369CE" w:rsidP="00645C4F">
            <w:pPr>
              <w:pStyle w:val="BodyText"/>
              <w:spacing w:before="0" w:after="0"/>
              <w:rPr>
                <w:sz w:val="20"/>
                <w:szCs w:val="20"/>
                <w:lang w:val="en-US"/>
              </w:rPr>
            </w:pPr>
            <w:r>
              <w:rPr>
                <w:sz w:val="20"/>
                <w:szCs w:val="20"/>
                <w:lang w:val="en-US"/>
              </w:rPr>
              <w:t>10</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D3EEB6D" w14:textId="77777777" w:rsidR="003369CE" w:rsidRDefault="003369CE" w:rsidP="00645C4F">
            <w:pPr>
              <w:contextualSpacing/>
              <w:rPr>
                <w:sz w:val="20"/>
                <w:szCs w:val="20"/>
                <w:lang w:val="en-US"/>
              </w:rPr>
            </w:pPr>
            <w:r>
              <w:rPr>
                <w:sz w:val="20"/>
                <w:szCs w:val="20"/>
                <w:lang w:val="en-US"/>
              </w:rPr>
              <w:t>If meta-analysis was performed did the review authors use appropriate methods for statistical combination of results?</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41DA6FCB" w14:textId="305B428F"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3FF8540" w14:textId="0AFA3B8B" w:rsidR="003369CE" w:rsidRDefault="00DC58DA" w:rsidP="00645C4F">
            <w:pPr>
              <w:pStyle w:val="BodyText"/>
              <w:spacing w:before="0" w:after="0"/>
              <w:rPr>
                <w:sz w:val="20"/>
                <w:szCs w:val="20"/>
                <w:lang w:val="en-US"/>
              </w:rPr>
            </w:pPr>
            <w:r>
              <w:rPr>
                <w:sz w:val="20"/>
                <w:szCs w:val="20"/>
                <w:lang w:val="en-US"/>
              </w:rPr>
              <w:t>Logistic regression models with random effects were used, DerSimoneon and Laird methods, PROC GENMOD for paired study data and forest plots</w:t>
            </w:r>
          </w:p>
        </w:tc>
      </w:tr>
      <w:tr w:rsidR="003369CE" w14:paraId="6EC7270B" w14:textId="77777777" w:rsidTr="003369CE">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01D60DB" w14:textId="77777777" w:rsidR="003369CE" w:rsidRDefault="003369CE" w:rsidP="00645C4F">
            <w:pPr>
              <w:pStyle w:val="BodyText"/>
              <w:spacing w:before="0" w:after="0"/>
              <w:rPr>
                <w:sz w:val="20"/>
                <w:szCs w:val="20"/>
                <w:lang w:val="en-US"/>
              </w:rPr>
            </w:pPr>
            <w:r>
              <w:rPr>
                <w:sz w:val="20"/>
                <w:szCs w:val="20"/>
                <w:lang w:val="en-US"/>
              </w:rPr>
              <w:lastRenderedPageBreak/>
              <w:t>11</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2199237" w14:textId="77777777" w:rsidR="003369CE" w:rsidRDefault="003369CE" w:rsidP="00645C4F">
            <w:pPr>
              <w:contextualSpacing/>
              <w:rPr>
                <w:sz w:val="20"/>
                <w:szCs w:val="20"/>
                <w:lang w:val="en-US"/>
              </w:rPr>
            </w:pPr>
            <w:r>
              <w:rPr>
                <w:sz w:val="20"/>
                <w:szCs w:val="20"/>
                <w:lang w:val="en-US"/>
              </w:rPr>
              <w:t>If meta-analysis was performed, did the review authors assess the potential impact of RoB in individual studies on the results of the meta-analysis or other evidence synthesis?</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6A0B2DF5" w14:textId="730B59BB"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49EEF203" w14:textId="455FCBE9" w:rsidR="003369CE" w:rsidRDefault="00DC58DA" w:rsidP="00645C4F">
            <w:pPr>
              <w:pStyle w:val="BodyText"/>
              <w:spacing w:before="0" w:after="0"/>
              <w:rPr>
                <w:sz w:val="20"/>
                <w:szCs w:val="20"/>
                <w:lang w:val="en-US"/>
              </w:rPr>
            </w:pPr>
            <w:r>
              <w:rPr>
                <w:sz w:val="20"/>
                <w:szCs w:val="20"/>
                <w:lang w:val="en-US"/>
              </w:rPr>
              <w:t>See above</w:t>
            </w:r>
          </w:p>
        </w:tc>
      </w:tr>
      <w:tr w:rsidR="003369CE" w14:paraId="0DCDCF96" w14:textId="77777777" w:rsidTr="003369CE">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931B58C" w14:textId="77777777" w:rsidR="003369CE" w:rsidRDefault="003369CE" w:rsidP="00645C4F">
            <w:pPr>
              <w:pStyle w:val="BodyText"/>
              <w:spacing w:before="0" w:after="0"/>
              <w:rPr>
                <w:sz w:val="20"/>
                <w:szCs w:val="20"/>
                <w:lang w:val="en-US"/>
              </w:rPr>
            </w:pPr>
            <w:r>
              <w:rPr>
                <w:sz w:val="20"/>
                <w:szCs w:val="20"/>
                <w:lang w:val="en-US"/>
              </w:rPr>
              <w:t>12</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30EB312" w14:textId="77777777" w:rsidR="003369CE" w:rsidRDefault="003369CE" w:rsidP="00645C4F">
            <w:pPr>
              <w:contextualSpacing/>
              <w:rPr>
                <w:sz w:val="20"/>
                <w:szCs w:val="20"/>
                <w:lang w:val="en-US"/>
              </w:rPr>
            </w:pPr>
            <w:r>
              <w:rPr>
                <w:sz w:val="20"/>
                <w:szCs w:val="20"/>
                <w:lang w:val="en-US"/>
              </w:rPr>
              <w:t>Did the review authors account for RoB in individual studies when interpreting/discussing the results of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5F89301" w14:textId="59BAF124"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3C2C628F" w14:textId="77777777" w:rsidR="003369CE" w:rsidRDefault="003369CE" w:rsidP="00645C4F">
            <w:pPr>
              <w:pStyle w:val="BodyText"/>
              <w:spacing w:before="0" w:after="0"/>
              <w:rPr>
                <w:sz w:val="20"/>
                <w:szCs w:val="20"/>
                <w:lang w:val="en-US"/>
              </w:rPr>
            </w:pPr>
          </w:p>
        </w:tc>
      </w:tr>
      <w:tr w:rsidR="003369CE" w14:paraId="5F00D2BF" w14:textId="77777777" w:rsidTr="003369CE">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2BA1537B" w14:textId="77777777" w:rsidR="003369CE" w:rsidRDefault="003369CE" w:rsidP="00645C4F">
            <w:pPr>
              <w:pStyle w:val="BodyText"/>
              <w:spacing w:before="0" w:after="0"/>
              <w:rPr>
                <w:sz w:val="20"/>
                <w:szCs w:val="20"/>
                <w:lang w:val="en-US"/>
              </w:rPr>
            </w:pPr>
            <w:r>
              <w:rPr>
                <w:sz w:val="20"/>
                <w:szCs w:val="20"/>
                <w:lang w:val="en-US"/>
              </w:rPr>
              <w:t>13</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70C730B" w14:textId="77777777" w:rsidR="003369CE" w:rsidRDefault="003369CE" w:rsidP="00645C4F">
            <w:pPr>
              <w:contextualSpacing/>
              <w:rPr>
                <w:sz w:val="20"/>
                <w:szCs w:val="20"/>
                <w:lang w:val="en-US"/>
              </w:rPr>
            </w:pPr>
            <w:r>
              <w:rPr>
                <w:sz w:val="20"/>
                <w:szCs w:val="20"/>
                <w:lang w:val="en-US"/>
              </w:rPr>
              <w:t>Did the review authors provide a satisfactory explanation for, and discussion of, any heterogeneity observed in the results of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63A65345" w14:textId="250215F4" w:rsidR="003369CE" w:rsidRDefault="00DC58DA" w:rsidP="00DC58DA">
            <w:pPr>
              <w:pStyle w:val="BodyText"/>
              <w:spacing w:before="0" w:after="0"/>
              <w:jc w:val="center"/>
              <w:rPr>
                <w:sz w:val="20"/>
                <w:szCs w:val="20"/>
                <w:lang w:val="en-US"/>
              </w:rPr>
            </w:pPr>
            <w:r>
              <w:rPr>
                <w:sz w:val="20"/>
                <w:szCs w:val="20"/>
                <w:lang w:val="en-US"/>
              </w:rPr>
              <w:t>Yes</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ED57BF1" w14:textId="77777777" w:rsidR="003369CE" w:rsidRDefault="003369CE" w:rsidP="00645C4F">
            <w:pPr>
              <w:pStyle w:val="BodyText"/>
              <w:spacing w:before="0" w:after="0"/>
              <w:rPr>
                <w:sz w:val="20"/>
                <w:szCs w:val="20"/>
                <w:lang w:val="en-US"/>
              </w:rPr>
            </w:pPr>
          </w:p>
        </w:tc>
      </w:tr>
      <w:tr w:rsidR="003369CE" w14:paraId="3A3AFF91" w14:textId="77777777" w:rsidTr="00645C4F">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DA1CF84" w14:textId="77777777" w:rsidR="003369CE" w:rsidRDefault="003369CE" w:rsidP="00645C4F">
            <w:pPr>
              <w:pStyle w:val="BodyText"/>
              <w:spacing w:before="0" w:after="0"/>
              <w:rPr>
                <w:sz w:val="20"/>
                <w:szCs w:val="20"/>
                <w:lang w:val="en-US"/>
              </w:rPr>
            </w:pPr>
            <w:r>
              <w:rPr>
                <w:sz w:val="20"/>
                <w:szCs w:val="20"/>
                <w:lang w:val="en-US"/>
              </w:rPr>
              <w:t>14</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3A2C489" w14:textId="77777777" w:rsidR="003369CE" w:rsidRDefault="003369CE" w:rsidP="00645C4F">
            <w:pPr>
              <w:contextualSpacing/>
              <w:rPr>
                <w:sz w:val="20"/>
                <w:szCs w:val="20"/>
                <w:lang w:val="en-US"/>
              </w:rPr>
            </w:pPr>
            <w:r>
              <w:rPr>
                <w:sz w:val="20"/>
                <w:szCs w:val="20"/>
                <w:lang w:val="en-US"/>
              </w:rPr>
              <w:t>If they performed quantitative synthesis did the review authors carry out an adequate investigation of publication bias (small study bias) and discuss its likely impact on the results of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165A7D7C" w14:textId="14D580A7" w:rsidR="003369CE" w:rsidRDefault="00DC58DA" w:rsidP="00DC58DA">
            <w:pPr>
              <w:pStyle w:val="BodyText"/>
              <w:spacing w:before="0" w:after="0"/>
              <w:jc w:val="center"/>
              <w:rPr>
                <w:sz w:val="20"/>
                <w:szCs w:val="20"/>
                <w:lang w:val="en-US"/>
              </w:rPr>
            </w:pPr>
            <w:r>
              <w:rPr>
                <w:sz w:val="20"/>
                <w:szCs w:val="20"/>
                <w:lang w:val="en-US"/>
              </w:rPr>
              <w:t>No</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288CBCFD" w14:textId="7C671A2E" w:rsidR="003369CE" w:rsidRDefault="00DC58DA" w:rsidP="00645C4F">
            <w:pPr>
              <w:pStyle w:val="BodyText"/>
              <w:spacing w:before="0" w:after="0"/>
              <w:rPr>
                <w:sz w:val="20"/>
                <w:szCs w:val="20"/>
                <w:lang w:val="en-US"/>
              </w:rPr>
            </w:pPr>
            <w:r>
              <w:rPr>
                <w:sz w:val="20"/>
                <w:szCs w:val="20"/>
                <w:lang w:val="en-US"/>
              </w:rPr>
              <w:t>Most included studies were large.</w:t>
            </w:r>
          </w:p>
        </w:tc>
      </w:tr>
      <w:tr w:rsidR="003369CE" w14:paraId="03D215F8" w14:textId="77777777" w:rsidTr="003369CE">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46B265C" w14:textId="77777777" w:rsidR="003369CE" w:rsidRDefault="003369CE" w:rsidP="00645C4F">
            <w:pPr>
              <w:pStyle w:val="BodyText"/>
              <w:spacing w:before="0" w:after="0"/>
              <w:rPr>
                <w:sz w:val="20"/>
                <w:szCs w:val="20"/>
                <w:lang w:val="en-US"/>
              </w:rPr>
            </w:pPr>
            <w:r>
              <w:rPr>
                <w:sz w:val="20"/>
                <w:szCs w:val="20"/>
                <w:lang w:val="en-US"/>
              </w:rPr>
              <w:t>15</w:t>
            </w:r>
          </w:p>
        </w:tc>
        <w:tc>
          <w:tcPr>
            <w:tcW w:w="6357"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DAB523E" w14:textId="77777777" w:rsidR="003369CE" w:rsidRDefault="003369CE" w:rsidP="00645C4F">
            <w:pPr>
              <w:contextualSpacing/>
              <w:rPr>
                <w:sz w:val="20"/>
                <w:szCs w:val="20"/>
                <w:lang w:val="en-US"/>
              </w:rPr>
            </w:pPr>
            <w:r>
              <w:rPr>
                <w:sz w:val="20"/>
                <w:szCs w:val="20"/>
                <w:lang w:val="en-US"/>
              </w:rPr>
              <w:t>Did the review authors report any potential sources of conflict of interest, including any funding they received for conducting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07EDE8D" w14:textId="15E006C3" w:rsidR="003369CE" w:rsidRDefault="00DC58DA" w:rsidP="00DC58DA">
            <w:pPr>
              <w:pStyle w:val="BodyText"/>
              <w:spacing w:before="0" w:after="0"/>
              <w:jc w:val="center"/>
              <w:rPr>
                <w:sz w:val="20"/>
                <w:szCs w:val="20"/>
                <w:lang w:val="en-US"/>
              </w:rPr>
            </w:pPr>
            <w:r>
              <w:rPr>
                <w:sz w:val="20"/>
                <w:szCs w:val="20"/>
                <w:lang w:val="en-US"/>
              </w:rPr>
              <w:t>No</w:t>
            </w:r>
          </w:p>
        </w:tc>
        <w:tc>
          <w:tcPr>
            <w:tcW w:w="597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2E2CB2BF" w14:textId="0920208E" w:rsidR="003369CE" w:rsidRDefault="003369CE" w:rsidP="00645C4F">
            <w:pPr>
              <w:pStyle w:val="BodyText"/>
              <w:spacing w:before="0" w:after="0"/>
              <w:rPr>
                <w:sz w:val="20"/>
                <w:szCs w:val="20"/>
                <w:lang w:val="en-US"/>
              </w:rPr>
            </w:pPr>
          </w:p>
        </w:tc>
      </w:tr>
    </w:tbl>
    <w:p w14:paraId="0E373C7E" w14:textId="495BDDFA" w:rsidR="003369CE" w:rsidRDefault="003369CE" w:rsidP="003369CE">
      <w:pPr>
        <w:pStyle w:val="Heading3"/>
      </w:pPr>
      <w:bookmarkStart w:id="523" w:name="_Toc527812619"/>
      <w:bookmarkStart w:id="524" w:name="_Toc27904826"/>
      <w:bookmarkStart w:id="525" w:name="_Toc43376378"/>
      <w:r>
        <w:t>Phi et al. (2018</w:t>
      </w:r>
      <w:bookmarkEnd w:id="523"/>
      <w:r>
        <w:t>)</w:t>
      </w:r>
      <w:bookmarkEnd w:id="524"/>
      <w:bookmarkEnd w:id="525"/>
    </w:p>
    <w:tbl>
      <w:tblPr>
        <w:tblStyle w:val="ACGreen-BandedTable"/>
        <w:tblW w:w="13905" w:type="dxa"/>
        <w:tblLayout w:type="fixed"/>
        <w:tblLook w:val="04A0" w:firstRow="1" w:lastRow="0" w:firstColumn="1" w:lastColumn="0" w:noHBand="0" w:noVBand="1"/>
        <w:tblDescription w:val="Annex C: Quality Assessment for each included systematic review of Phi et al. (2018).&#10;AMSTAR2 Tool Question 1 - Did the research questions and inclusion criteria for the review include the components of the PICO(T/S)?&#10;Answer - Yes&#10;Comment - Included studies set in both diagnostic and screening settings and which reported on at least one of the four outcomes: CDR, recall rate, sensitivity, ad/or specificity); studies included at least 100 women with dense breasts.&#10;&#10;AMSTAR2 Tool Question 2 - Did the report of the review contain an explicit statement that the review methods were established prior to the conduct of the review and did the report justify any significant deviations from the protocol?&#10;Answer - Yes&#10;Comment - Used PRISMA guidelines, discordance between reviewers and consensus reached or mediated by a third reviewer.&#10;&#10;AMSTAR2 Tool Question 3 - Did the review authors explain their selection of the study designs for inclusion in the review?&#10;Answer - Yes, No comment.&#10;&#10;AMSTAR2 Tool Question 4 - Did the review authors use a comprehensive literature search strategy?&#10;Answer - Not sure&#10;Comment - Only looked at PubMed and Scopus (Jan 2017 - May 2017) plus a manual bibliography check of included articles.&#10;&#10;AMSTAR2 Tool Question 5 - Was there duplicate study selection and data extraction?&#10;Answer - Not sure, No comment.&#10;&#10;AMSTAR2 Tool Question 6 - Did the review author provide a list of excluded studies and justify the exclusion?&#10;Answer - No.&#10;Comment - Exclusion criteria were described; did not contain original data, simulation studies.&#10;&#10;AMSTAR2 Tool Question 7 - Did the review authors describe the included studies in adequate details?&#10;Answer - Yes, No comment.&#10;&#10;AMSTAR2 Tool Question 8 - Did the review authors use a satisfactory technique for assessing the risk of bias (RoB) in individual studies that were included in the review?&#10;Answer - Yes&#10;Comment - Modified QUADAS 2 used by two reviewers independently; domains used were patient selection, index test, reference standard, flow and timing, applicability.&#10;&#10;AMSTAR2 Tool Question 9 - Did the review authors report on the sources of funding for the studies included in the review?&#10;Answer - No, No comment.&#10;&#10;AMSTAR2 Tool Question 10 - If meta-analysis was performed did the review authors use appropriate methods for statistical combination of results?&#10;Answer - Yes&#10;Comment - Random effects model (RevMan 5.3); analysis completed separately on screening and diagnostic populations; sub-group analysis completed to examine effect of covariates, modality, reading protocol and outcome; heterogeneity was quantified with I2 for CDR and recall rate.&#10;&#10;AMSTAR2 Tool Question 11 - If meta-analysis was performed, did the review authors assess the potential impact of RoB in individual studies on the results of the meta-analysis or other evidence synthesis?&#10;Answer - Not sure &#10;Comment - RoB is not discussed.&#10;&#10;AMSTAR2 Tool Question 12 - Did the review authors account for RoB in individual studies when interpreting/discussing the results of the review?&#10;Answer - Not clear&#10;Comment - RoB is not discussed.&#10;&#10;AMSTAR2 Tool Question 13 - Did the review authors provide a satisfactory explanation for, and discussion of, any heterogeneity observed in the results of the review?&#10;Answer - Yes, No comment.&#10;&#10;AMSTAR2 Tool Question 14 - If they performed quantitative synthesis did the review authors carry out an adequate investigation of publication bias (small study bias) and discuss its likely impact on the results of the review?&#10;Answer - NA, No comment.&#10;&#10;AMSTAR2 Tool Question 15 - Did the review authors report any potential sources of conflict of interest, including any funding they received for conducting the review?&#10;Answer No, No comment.&#10;&#10;"/>
      </w:tblPr>
      <w:tblGrid>
        <w:gridCol w:w="442"/>
        <w:gridCol w:w="6216"/>
        <w:gridCol w:w="1134"/>
        <w:gridCol w:w="6113"/>
      </w:tblGrid>
      <w:tr w:rsidR="003369CE" w14:paraId="1EA1EE8A" w14:textId="77777777" w:rsidTr="00645C4F">
        <w:trPr>
          <w:cnfStyle w:val="100000000000" w:firstRow="1" w:lastRow="0" w:firstColumn="0" w:lastColumn="0" w:oddVBand="0" w:evenVBand="0" w:oddHBand="0" w:evenHBand="0"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81869B7" w14:textId="77777777" w:rsidR="003369CE" w:rsidRDefault="003369CE" w:rsidP="00645C4F">
            <w:pPr>
              <w:pStyle w:val="BodyText"/>
              <w:spacing w:before="0" w:after="0"/>
              <w:rPr>
                <w:sz w:val="20"/>
                <w:szCs w:val="20"/>
                <w:lang w:val="en-US"/>
              </w:rPr>
            </w:pP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5B9C774F" w14:textId="77777777" w:rsidR="003369CE" w:rsidRDefault="003369CE" w:rsidP="00645C4F">
            <w:pPr>
              <w:pStyle w:val="BodyText"/>
              <w:spacing w:before="0" w:after="0"/>
              <w:jc w:val="center"/>
              <w:rPr>
                <w:sz w:val="20"/>
                <w:szCs w:val="20"/>
                <w:lang w:val="en-US"/>
              </w:rPr>
            </w:pPr>
            <w:r>
              <w:rPr>
                <w:sz w:val="20"/>
                <w:szCs w:val="20"/>
                <w:lang w:val="en-US"/>
              </w:rPr>
              <w:t>AMSTAR2 TOOL QUESTION</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C99E5D9" w14:textId="77777777" w:rsidR="003369CE" w:rsidRDefault="003369CE" w:rsidP="00645C4F">
            <w:pPr>
              <w:pStyle w:val="BodyText"/>
              <w:spacing w:before="0" w:after="0"/>
              <w:jc w:val="center"/>
              <w:rPr>
                <w:sz w:val="20"/>
                <w:szCs w:val="20"/>
                <w:lang w:val="en-US"/>
              </w:rPr>
            </w:pPr>
            <w:r>
              <w:rPr>
                <w:sz w:val="20"/>
                <w:szCs w:val="20"/>
                <w:lang w:val="en-US"/>
              </w:rPr>
              <w:t>Answer</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571368A2" w14:textId="77777777" w:rsidR="003369CE" w:rsidRDefault="003369CE" w:rsidP="00645C4F">
            <w:pPr>
              <w:pStyle w:val="BodyText"/>
              <w:spacing w:before="0" w:after="0"/>
              <w:jc w:val="center"/>
              <w:rPr>
                <w:sz w:val="20"/>
                <w:szCs w:val="20"/>
                <w:lang w:val="en-US"/>
              </w:rPr>
            </w:pPr>
            <w:r>
              <w:rPr>
                <w:sz w:val="20"/>
                <w:szCs w:val="20"/>
                <w:lang w:val="en-US"/>
              </w:rPr>
              <w:t>Comment</w:t>
            </w:r>
          </w:p>
        </w:tc>
      </w:tr>
      <w:tr w:rsidR="003369CE" w14:paraId="4898BF92" w14:textId="77777777" w:rsidTr="00645C4F">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548D5E3" w14:textId="77777777" w:rsidR="003369CE" w:rsidRDefault="003369CE" w:rsidP="00645C4F">
            <w:pPr>
              <w:pStyle w:val="BodyText"/>
              <w:spacing w:before="0" w:after="0"/>
              <w:rPr>
                <w:sz w:val="20"/>
                <w:szCs w:val="20"/>
                <w:lang w:val="en-US"/>
              </w:rPr>
            </w:pPr>
            <w:r>
              <w:rPr>
                <w:sz w:val="20"/>
                <w:szCs w:val="20"/>
                <w:lang w:val="en-US"/>
              </w:rPr>
              <w:t>1</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6423052" w14:textId="48B0266A" w:rsidR="003369CE" w:rsidRDefault="003369CE" w:rsidP="00645C4F">
            <w:pPr>
              <w:contextualSpacing/>
              <w:rPr>
                <w:sz w:val="20"/>
                <w:szCs w:val="20"/>
                <w:lang w:val="en-US"/>
              </w:rPr>
            </w:pPr>
            <w:r>
              <w:rPr>
                <w:sz w:val="20"/>
                <w:szCs w:val="20"/>
                <w:lang w:val="en-US"/>
              </w:rPr>
              <w:t>Did the research questions and inclusion criteria for the review include the components of the PICO</w:t>
            </w:r>
            <w:r w:rsidR="005D3634">
              <w:rPr>
                <w:sz w:val="20"/>
                <w:szCs w:val="20"/>
                <w:lang w:val="en-US"/>
              </w:rPr>
              <w:t>(T/S)</w:t>
            </w:r>
            <w:r>
              <w:rPr>
                <w:sz w:val="20"/>
                <w:szCs w:val="20"/>
                <w:lang w:val="en-US"/>
              </w:rPr>
              <w:t>?</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4447EE0" w14:textId="77777777" w:rsidR="003369CE" w:rsidRDefault="003369CE" w:rsidP="00645C4F">
            <w:pPr>
              <w:pStyle w:val="BodyText"/>
              <w:spacing w:before="0" w:after="0"/>
              <w:rPr>
                <w:sz w:val="20"/>
                <w:szCs w:val="20"/>
                <w:lang w:val="en-US"/>
              </w:rPr>
            </w:pPr>
            <w:r>
              <w:rPr>
                <w:sz w:val="20"/>
                <w:szCs w:val="20"/>
                <w:lang w:val="en-US"/>
              </w:rPr>
              <w:t>Yes</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2C41CFC" w14:textId="77777777" w:rsidR="003369CE" w:rsidRDefault="003369CE" w:rsidP="00645C4F">
            <w:pPr>
              <w:pStyle w:val="BodyText"/>
              <w:spacing w:before="0" w:after="0"/>
              <w:rPr>
                <w:sz w:val="20"/>
                <w:szCs w:val="20"/>
                <w:lang w:val="en-US"/>
              </w:rPr>
            </w:pPr>
            <w:r>
              <w:rPr>
                <w:sz w:val="20"/>
                <w:szCs w:val="20"/>
                <w:lang w:val="en-US"/>
              </w:rPr>
              <w:t>Included studies set in both diagnostic and screening settings and which reported on at least one of four outcomes: CDR, recall rate, sensitivity, ad/or specificity); studies included at least 100 women with dense breasts</w:t>
            </w:r>
          </w:p>
        </w:tc>
      </w:tr>
      <w:tr w:rsidR="003369CE" w14:paraId="3EA8DCEA" w14:textId="77777777" w:rsidTr="00645C4F">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26FA1D95" w14:textId="77777777" w:rsidR="003369CE" w:rsidRDefault="003369CE" w:rsidP="00645C4F">
            <w:pPr>
              <w:pStyle w:val="BodyText"/>
              <w:spacing w:before="0" w:after="0"/>
              <w:rPr>
                <w:sz w:val="20"/>
                <w:szCs w:val="20"/>
                <w:lang w:val="en-US"/>
              </w:rPr>
            </w:pPr>
            <w:r>
              <w:rPr>
                <w:sz w:val="20"/>
                <w:szCs w:val="20"/>
                <w:lang w:val="en-US"/>
              </w:rPr>
              <w:t>2</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44D92ED" w14:textId="77777777" w:rsidR="003369CE" w:rsidRDefault="003369CE" w:rsidP="00645C4F">
            <w:pPr>
              <w:contextualSpacing/>
              <w:rPr>
                <w:sz w:val="20"/>
                <w:szCs w:val="20"/>
                <w:lang w:val="en-US"/>
              </w:rPr>
            </w:pPr>
            <w:r>
              <w:rPr>
                <w:sz w:val="20"/>
                <w:szCs w:val="20"/>
                <w:lang w:val="en-US"/>
              </w:rPr>
              <w:t>Did the report of the review contain an explicit statement that the review methods were established prior to the conduct of the review and did the report justify any significant deviations from the protocol?</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F0A77FA" w14:textId="77777777" w:rsidR="003369CE" w:rsidRDefault="003369CE" w:rsidP="00645C4F">
            <w:pPr>
              <w:pStyle w:val="BodyText"/>
              <w:spacing w:before="0" w:after="0"/>
              <w:rPr>
                <w:sz w:val="20"/>
                <w:szCs w:val="20"/>
                <w:lang w:val="en-US"/>
              </w:rPr>
            </w:pPr>
            <w:r>
              <w:rPr>
                <w:sz w:val="20"/>
                <w:szCs w:val="20"/>
                <w:lang w:val="en-US"/>
              </w:rPr>
              <w:t>Yes</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1FA95830" w14:textId="77777777" w:rsidR="003369CE" w:rsidRDefault="003369CE" w:rsidP="00645C4F">
            <w:pPr>
              <w:pStyle w:val="BodyText"/>
              <w:spacing w:before="0" w:after="0"/>
              <w:rPr>
                <w:sz w:val="20"/>
                <w:szCs w:val="20"/>
                <w:lang w:val="en-US"/>
              </w:rPr>
            </w:pPr>
            <w:r>
              <w:rPr>
                <w:sz w:val="20"/>
                <w:szCs w:val="20"/>
                <w:lang w:val="en-US"/>
              </w:rPr>
              <w:t>Used PRISMA guidelines, discordance between reviewers and consensus reached or mediated by a third reviewer</w:t>
            </w:r>
          </w:p>
        </w:tc>
      </w:tr>
      <w:tr w:rsidR="003369CE" w14:paraId="613EBB87" w14:textId="77777777" w:rsidTr="00645C4F">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F2FCEAD" w14:textId="77777777" w:rsidR="003369CE" w:rsidRDefault="003369CE" w:rsidP="00645C4F">
            <w:pPr>
              <w:pStyle w:val="BodyText"/>
              <w:spacing w:before="0" w:after="0"/>
              <w:rPr>
                <w:sz w:val="20"/>
                <w:szCs w:val="20"/>
                <w:lang w:val="en-US"/>
              </w:rPr>
            </w:pPr>
            <w:r>
              <w:rPr>
                <w:sz w:val="20"/>
                <w:szCs w:val="20"/>
                <w:lang w:val="en-US"/>
              </w:rPr>
              <w:t>3</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818C29A" w14:textId="77777777" w:rsidR="003369CE" w:rsidRDefault="003369CE" w:rsidP="00645C4F">
            <w:pPr>
              <w:contextualSpacing/>
              <w:rPr>
                <w:sz w:val="20"/>
                <w:szCs w:val="20"/>
                <w:lang w:val="en-US"/>
              </w:rPr>
            </w:pPr>
            <w:r>
              <w:rPr>
                <w:sz w:val="20"/>
                <w:szCs w:val="20"/>
                <w:lang w:val="en-US"/>
              </w:rPr>
              <w:t>Did the review authors explain their selection of the study designs for inclusion in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8EE5C40" w14:textId="77777777" w:rsidR="003369CE" w:rsidRDefault="003369CE" w:rsidP="00645C4F">
            <w:pPr>
              <w:pStyle w:val="BodyText"/>
              <w:spacing w:before="0" w:after="0"/>
              <w:rPr>
                <w:sz w:val="20"/>
                <w:szCs w:val="20"/>
                <w:lang w:val="en-US"/>
              </w:rPr>
            </w:pPr>
            <w:r>
              <w:rPr>
                <w:sz w:val="20"/>
                <w:szCs w:val="20"/>
                <w:lang w:val="en-US"/>
              </w:rPr>
              <w:t>Yes</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3B55AF9C" w14:textId="77777777" w:rsidR="003369CE" w:rsidRDefault="003369CE" w:rsidP="00645C4F">
            <w:pPr>
              <w:pStyle w:val="BodyText"/>
              <w:spacing w:before="0" w:after="0"/>
              <w:rPr>
                <w:sz w:val="20"/>
                <w:szCs w:val="20"/>
                <w:lang w:val="en-US"/>
              </w:rPr>
            </w:pPr>
          </w:p>
        </w:tc>
      </w:tr>
      <w:tr w:rsidR="003369CE" w14:paraId="1597B1BD" w14:textId="77777777" w:rsidTr="00645C4F">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EAD0B4D" w14:textId="77777777" w:rsidR="003369CE" w:rsidRDefault="003369CE" w:rsidP="00645C4F">
            <w:pPr>
              <w:pStyle w:val="BodyText"/>
              <w:spacing w:before="0" w:after="0"/>
              <w:rPr>
                <w:sz w:val="20"/>
                <w:szCs w:val="20"/>
                <w:lang w:val="en-US"/>
              </w:rPr>
            </w:pPr>
            <w:r>
              <w:rPr>
                <w:sz w:val="20"/>
                <w:szCs w:val="20"/>
                <w:lang w:val="en-US"/>
              </w:rPr>
              <w:lastRenderedPageBreak/>
              <w:t>4</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F9759F9" w14:textId="77777777" w:rsidR="003369CE" w:rsidRDefault="003369CE" w:rsidP="00645C4F">
            <w:pPr>
              <w:contextualSpacing/>
              <w:rPr>
                <w:sz w:val="20"/>
                <w:szCs w:val="20"/>
                <w:lang w:val="en-US"/>
              </w:rPr>
            </w:pPr>
            <w:r>
              <w:rPr>
                <w:sz w:val="20"/>
                <w:szCs w:val="20"/>
                <w:lang w:val="en-US"/>
              </w:rPr>
              <w:t>Did the review authors use a comprehensive literature search strategy?</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C63667F" w14:textId="77777777" w:rsidR="003369CE" w:rsidRDefault="003369CE" w:rsidP="00645C4F">
            <w:pPr>
              <w:pStyle w:val="BodyText"/>
              <w:spacing w:before="0" w:after="0"/>
              <w:rPr>
                <w:sz w:val="20"/>
                <w:szCs w:val="20"/>
                <w:lang w:val="en-US"/>
              </w:rPr>
            </w:pPr>
            <w:r>
              <w:rPr>
                <w:sz w:val="20"/>
                <w:szCs w:val="20"/>
                <w:lang w:val="en-US"/>
              </w:rPr>
              <w:t>Not sure</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4C5FE316" w14:textId="77777777" w:rsidR="003369CE" w:rsidRDefault="003369CE" w:rsidP="00645C4F">
            <w:pPr>
              <w:pStyle w:val="BodyText"/>
              <w:spacing w:before="0" w:after="0"/>
              <w:rPr>
                <w:sz w:val="20"/>
                <w:szCs w:val="20"/>
                <w:lang w:val="en-US"/>
              </w:rPr>
            </w:pPr>
            <w:r>
              <w:rPr>
                <w:sz w:val="20"/>
                <w:szCs w:val="20"/>
                <w:lang w:val="en-US"/>
              </w:rPr>
              <w:t>Only looked at PubMed and Scopus (Jan 2017 – May 2017) plus a manual bibliography check of included articles</w:t>
            </w:r>
          </w:p>
        </w:tc>
      </w:tr>
      <w:tr w:rsidR="003369CE" w14:paraId="471D7D18" w14:textId="77777777" w:rsidTr="00645C4F">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78A64F7" w14:textId="77777777" w:rsidR="003369CE" w:rsidRDefault="003369CE" w:rsidP="00645C4F">
            <w:pPr>
              <w:pStyle w:val="BodyText"/>
              <w:spacing w:before="0" w:after="0"/>
              <w:rPr>
                <w:sz w:val="20"/>
                <w:szCs w:val="20"/>
                <w:lang w:val="en-US"/>
              </w:rPr>
            </w:pPr>
            <w:r>
              <w:rPr>
                <w:sz w:val="20"/>
                <w:szCs w:val="20"/>
                <w:lang w:val="en-US"/>
              </w:rPr>
              <w:t>5</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350589C" w14:textId="77777777" w:rsidR="003369CE" w:rsidRDefault="003369CE" w:rsidP="00645C4F">
            <w:pPr>
              <w:contextualSpacing/>
              <w:rPr>
                <w:sz w:val="20"/>
                <w:szCs w:val="20"/>
                <w:lang w:val="en-US"/>
              </w:rPr>
            </w:pPr>
            <w:r>
              <w:rPr>
                <w:sz w:val="20"/>
                <w:szCs w:val="20"/>
                <w:lang w:val="en-US"/>
              </w:rPr>
              <w:t>Was there duplicate study selection and data extraction?</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C641C56" w14:textId="77777777" w:rsidR="003369CE" w:rsidRDefault="003369CE" w:rsidP="00645C4F">
            <w:pPr>
              <w:pStyle w:val="BodyText"/>
              <w:spacing w:before="0" w:after="0"/>
              <w:rPr>
                <w:sz w:val="20"/>
                <w:szCs w:val="20"/>
                <w:lang w:val="en-US"/>
              </w:rPr>
            </w:pPr>
            <w:r>
              <w:rPr>
                <w:sz w:val="20"/>
                <w:szCs w:val="20"/>
                <w:lang w:val="en-US"/>
              </w:rPr>
              <w:t>Not sure</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79FC38A" w14:textId="77777777" w:rsidR="003369CE" w:rsidRDefault="003369CE" w:rsidP="00645C4F">
            <w:pPr>
              <w:pStyle w:val="BodyText"/>
              <w:spacing w:before="0" w:after="0"/>
              <w:rPr>
                <w:sz w:val="20"/>
                <w:szCs w:val="20"/>
                <w:lang w:val="en-US"/>
              </w:rPr>
            </w:pPr>
          </w:p>
        </w:tc>
      </w:tr>
      <w:tr w:rsidR="003369CE" w14:paraId="42BFA548" w14:textId="77777777" w:rsidTr="00645C4F">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5154D437" w14:textId="77777777" w:rsidR="003369CE" w:rsidRDefault="003369CE" w:rsidP="00645C4F">
            <w:pPr>
              <w:pStyle w:val="BodyText"/>
              <w:spacing w:before="0" w:after="0"/>
              <w:rPr>
                <w:sz w:val="20"/>
                <w:szCs w:val="20"/>
                <w:lang w:val="en-US"/>
              </w:rPr>
            </w:pPr>
            <w:r>
              <w:rPr>
                <w:sz w:val="20"/>
                <w:szCs w:val="20"/>
                <w:lang w:val="en-US"/>
              </w:rPr>
              <w:t>6</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E5E1B4C" w14:textId="77777777" w:rsidR="003369CE" w:rsidRDefault="003369CE" w:rsidP="00645C4F">
            <w:pPr>
              <w:contextualSpacing/>
              <w:rPr>
                <w:sz w:val="20"/>
                <w:szCs w:val="20"/>
                <w:lang w:val="en-US"/>
              </w:rPr>
            </w:pPr>
            <w:r>
              <w:rPr>
                <w:sz w:val="20"/>
                <w:szCs w:val="20"/>
                <w:lang w:val="en-US"/>
              </w:rPr>
              <w:t>Did the review authors provide a list of excluded studies and justify the exclusion?</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B49F9DE" w14:textId="77777777" w:rsidR="003369CE" w:rsidRDefault="003369CE" w:rsidP="00645C4F">
            <w:pPr>
              <w:pStyle w:val="BodyText"/>
              <w:spacing w:before="0" w:after="0"/>
              <w:rPr>
                <w:sz w:val="20"/>
                <w:szCs w:val="20"/>
                <w:lang w:val="en-US"/>
              </w:rPr>
            </w:pPr>
            <w:r>
              <w:rPr>
                <w:sz w:val="20"/>
                <w:szCs w:val="20"/>
                <w:lang w:val="en-US"/>
              </w:rPr>
              <w:t>No</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20038986" w14:textId="77777777" w:rsidR="003369CE" w:rsidRDefault="003369CE" w:rsidP="00645C4F">
            <w:pPr>
              <w:pStyle w:val="BodyText"/>
              <w:spacing w:before="0" w:after="0"/>
              <w:rPr>
                <w:sz w:val="20"/>
                <w:szCs w:val="20"/>
                <w:lang w:val="en-US"/>
              </w:rPr>
            </w:pPr>
            <w:r>
              <w:rPr>
                <w:sz w:val="20"/>
                <w:szCs w:val="20"/>
                <w:lang w:val="en-US"/>
              </w:rPr>
              <w:t>Exclusion criteria were described: did not contain original data, simulation studies</w:t>
            </w:r>
          </w:p>
        </w:tc>
      </w:tr>
      <w:tr w:rsidR="003369CE" w14:paraId="7E30EAA6" w14:textId="77777777" w:rsidTr="00645C4F">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D349F8F" w14:textId="77777777" w:rsidR="003369CE" w:rsidRDefault="003369CE" w:rsidP="00645C4F">
            <w:pPr>
              <w:pStyle w:val="BodyText"/>
              <w:spacing w:before="0" w:after="0"/>
              <w:rPr>
                <w:sz w:val="20"/>
                <w:szCs w:val="20"/>
                <w:lang w:val="en-US"/>
              </w:rPr>
            </w:pPr>
            <w:r>
              <w:rPr>
                <w:sz w:val="20"/>
                <w:szCs w:val="20"/>
                <w:lang w:val="en-US"/>
              </w:rPr>
              <w:t>7</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6DA1A12" w14:textId="77777777" w:rsidR="003369CE" w:rsidRDefault="003369CE" w:rsidP="00645C4F">
            <w:pPr>
              <w:pStyle w:val="BodyText"/>
              <w:spacing w:before="0" w:after="0"/>
              <w:rPr>
                <w:sz w:val="20"/>
                <w:szCs w:val="20"/>
                <w:lang w:val="en-US"/>
              </w:rPr>
            </w:pPr>
            <w:r>
              <w:rPr>
                <w:sz w:val="20"/>
                <w:szCs w:val="20"/>
                <w:lang w:val="en-US"/>
              </w:rPr>
              <w:t>Did the review authors describe the included studies in adequate detail?</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28271EAD" w14:textId="77777777" w:rsidR="003369CE" w:rsidRDefault="003369CE" w:rsidP="00645C4F">
            <w:pPr>
              <w:pStyle w:val="BodyText"/>
              <w:spacing w:before="0" w:after="0"/>
              <w:rPr>
                <w:sz w:val="20"/>
                <w:szCs w:val="20"/>
                <w:lang w:val="en-US"/>
              </w:rPr>
            </w:pPr>
            <w:r>
              <w:rPr>
                <w:sz w:val="20"/>
                <w:szCs w:val="20"/>
                <w:lang w:val="en-US"/>
              </w:rPr>
              <w:t>Yes</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FD08951" w14:textId="77777777" w:rsidR="003369CE" w:rsidRDefault="003369CE" w:rsidP="00645C4F">
            <w:pPr>
              <w:pStyle w:val="BodyText"/>
              <w:spacing w:before="0" w:after="0"/>
              <w:rPr>
                <w:sz w:val="20"/>
                <w:szCs w:val="20"/>
                <w:lang w:val="en-US"/>
              </w:rPr>
            </w:pPr>
          </w:p>
        </w:tc>
      </w:tr>
      <w:tr w:rsidR="003369CE" w14:paraId="4D3E9B79" w14:textId="77777777" w:rsidTr="00645C4F">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35A6D6D2" w14:textId="77777777" w:rsidR="003369CE" w:rsidRDefault="003369CE" w:rsidP="00645C4F">
            <w:pPr>
              <w:pStyle w:val="BodyText"/>
              <w:spacing w:before="0" w:after="0"/>
              <w:rPr>
                <w:sz w:val="20"/>
                <w:szCs w:val="20"/>
                <w:lang w:val="en-US"/>
              </w:rPr>
            </w:pPr>
            <w:r>
              <w:rPr>
                <w:sz w:val="20"/>
                <w:szCs w:val="20"/>
                <w:lang w:val="en-US"/>
              </w:rPr>
              <w:t>8</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5C8BFB26" w14:textId="77777777" w:rsidR="003369CE" w:rsidRDefault="003369CE" w:rsidP="00645C4F">
            <w:pPr>
              <w:contextualSpacing/>
              <w:rPr>
                <w:sz w:val="20"/>
                <w:szCs w:val="20"/>
                <w:lang w:val="en-US"/>
              </w:rPr>
            </w:pPr>
            <w:r>
              <w:rPr>
                <w:sz w:val="20"/>
                <w:szCs w:val="20"/>
                <w:lang w:val="en-US"/>
              </w:rPr>
              <w:t>Did the review authors use a satisfactory technique for assessing the risk of bias (RoB) in individual studies that were included in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12EB7E0" w14:textId="77777777" w:rsidR="003369CE" w:rsidRDefault="003369CE" w:rsidP="00645C4F">
            <w:pPr>
              <w:pStyle w:val="BodyText"/>
              <w:spacing w:before="0" w:after="0"/>
              <w:rPr>
                <w:sz w:val="20"/>
                <w:szCs w:val="20"/>
                <w:lang w:val="en-US"/>
              </w:rPr>
            </w:pPr>
            <w:r>
              <w:rPr>
                <w:sz w:val="20"/>
                <w:szCs w:val="20"/>
                <w:lang w:val="en-US"/>
              </w:rPr>
              <w:t>Yes</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850C265" w14:textId="77777777" w:rsidR="003369CE" w:rsidRDefault="003369CE" w:rsidP="00645C4F">
            <w:pPr>
              <w:pStyle w:val="BodyText"/>
              <w:spacing w:before="0" w:after="0"/>
              <w:rPr>
                <w:sz w:val="20"/>
                <w:szCs w:val="20"/>
                <w:lang w:val="en-US"/>
              </w:rPr>
            </w:pPr>
            <w:r>
              <w:rPr>
                <w:sz w:val="20"/>
                <w:szCs w:val="20"/>
                <w:lang w:val="en-US"/>
              </w:rPr>
              <w:t>Modified QUADAS-2 used by two reviewers independently: domains used were patient selection, index test, reference standard, flow and timing, applicability</w:t>
            </w:r>
          </w:p>
        </w:tc>
      </w:tr>
      <w:tr w:rsidR="003369CE" w14:paraId="415BF89D" w14:textId="77777777" w:rsidTr="00645C4F">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5DF3CDB" w14:textId="77777777" w:rsidR="003369CE" w:rsidRDefault="003369CE" w:rsidP="00645C4F">
            <w:pPr>
              <w:pStyle w:val="BodyText"/>
              <w:spacing w:before="0" w:after="0"/>
              <w:rPr>
                <w:sz w:val="20"/>
                <w:szCs w:val="20"/>
                <w:lang w:val="en-US"/>
              </w:rPr>
            </w:pPr>
            <w:r>
              <w:rPr>
                <w:sz w:val="20"/>
                <w:szCs w:val="20"/>
                <w:lang w:val="en-US"/>
              </w:rPr>
              <w:t>9</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02E9DD7" w14:textId="77777777" w:rsidR="003369CE" w:rsidRDefault="003369CE" w:rsidP="00645C4F">
            <w:pPr>
              <w:contextualSpacing/>
              <w:rPr>
                <w:sz w:val="20"/>
                <w:szCs w:val="20"/>
                <w:lang w:val="en-US"/>
              </w:rPr>
            </w:pPr>
            <w:r>
              <w:rPr>
                <w:sz w:val="20"/>
                <w:szCs w:val="20"/>
                <w:lang w:val="en-US"/>
              </w:rPr>
              <w:t>Did the review authors report on the sources of funding for the studies included in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769F361" w14:textId="77777777" w:rsidR="003369CE" w:rsidRDefault="003369CE" w:rsidP="00645C4F">
            <w:pPr>
              <w:pStyle w:val="BodyText"/>
              <w:spacing w:before="0" w:after="0"/>
              <w:rPr>
                <w:sz w:val="20"/>
                <w:szCs w:val="20"/>
                <w:lang w:val="en-US"/>
              </w:rPr>
            </w:pPr>
            <w:r>
              <w:rPr>
                <w:sz w:val="20"/>
                <w:szCs w:val="20"/>
                <w:lang w:val="en-US"/>
              </w:rPr>
              <w:t>No</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66AACBDE" w14:textId="77777777" w:rsidR="003369CE" w:rsidRDefault="003369CE" w:rsidP="00645C4F">
            <w:pPr>
              <w:pStyle w:val="BodyText"/>
              <w:spacing w:before="0" w:after="0"/>
              <w:rPr>
                <w:sz w:val="20"/>
                <w:szCs w:val="20"/>
                <w:lang w:val="en-US"/>
              </w:rPr>
            </w:pPr>
          </w:p>
        </w:tc>
      </w:tr>
      <w:tr w:rsidR="003369CE" w14:paraId="00C79915" w14:textId="77777777" w:rsidTr="00645C4F">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05D6745" w14:textId="77777777" w:rsidR="003369CE" w:rsidRDefault="003369CE" w:rsidP="00645C4F">
            <w:pPr>
              <w:pStyle w:val="BodyText"/>
              <w:spacing w:before="0" w:after="0"/>
              <w:rPr>
                <w:sz w:val="20"/>
                <w:szCs w:val="20"/>
                <w:lang w:val="en-US"/>
              </w:rPr>
            </w:pPr>
            <w:r>
              <w:rPr>
                <w:sz w:val="20"/>
                <w:szCs w:val="20"/>
                <w:lang w:val="en-US"/>
              </w:rPr>
              <w:t>10</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A4F7971" w14:textId="77777777" w:rsidR="003369CE" w:rsidRDefault="003369CE" w:rsidP="00645C4F">
            <w:pPr>
              <w:contextualSpacing/>
              <w:rPr>
                <w:sz w:val="20"/>
                <w:szCs w:val="20"/>
                <w:lang w:val="en-US"/>
              </w:rPr>
            </w:pPr>
            <w:r>
              <w:rPr>
                <w:sz w:val="20"/>
                <w:szCs w:val="20"/>
                <w:lang w:val="en-US"/>
              </w:rPr>
              <w:t>If meta-analysis was performed did the review authors use appropriate methods for statistical combination of results?</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5F2A071" w14:textId="77777777" w:rsidR="003369CE" w:rsidRDefault="003369CE" w:rsidP="00645C4F">
            <w:pPr>
              <w:pStyle w:val="BodyText"/>
              <w:spacing w:before="0" w:after="0"/>
              <w:rPr>
                <w:sz w:val="20"/>
                <w:szCs w:val="20"/>
                <w:lang w:val="en-US"/>
              </w:rPr>
            </w:pPr>
            <w:r>
              <w:rPr>
                <w:sz w:val="20"/>
                <w:szCs w:val="20"/>
                <w:lang w:val="en-US"/>
              </w:rPr>
              <w:t>Yes</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80206B0" w14:textId="77777777" w:rsidR="003369CE" w:rsidRPr="00AA1C32" w:rsidRDefault="003369CE" w:rsidP="00645C4F">
            <w:pPr>
              <w:pStyle w:val="BodyText"/>
              <w:spacing w:before="0" w:after="0"/>
              <w:rPr>
                <w:sz w:val="20"/>
                <w:szCs w:val="20"/>
                <w:vertAlign w:val="superscript"/>
                <w:lang w:val="en-US"/>
              </w:rPr>
            </w:pPr>
            <w:r>
              <w:rPr>
                <w:sz w:val="20"/>
                <w:szCs w:val="20"/>
                <w:lang w:val="en-US"/>
              </w:rPr>
              <w:t>Random effects model (RevMan 5.3); analysis completed separately on screening and diagnostic populations; sub-group analysis completed to examine effect of covariates, modality, reading protocol and outcome; heterogeneity was quantified with I</w:t>
            </w:r>
            <w:r>
              <w:rPr>
                <w:sz w:val="20"/>
                <w:szCs w:val="20"/>
                <w:vertAlign w:val="superscript"/>
                <w:lang w:val="en-US"/>
              </w:rPr>
              <w:t xml:space="preserve">2 </w:t>
            </w:r>
            <w:r w:rsidRPr="00AA1C32">
              <w:rPr>
                <w:sz w:val="20"/>
                <w:szCs w:val="20"/>
                <w:lang w:val="en-US"/>
              </w:rPr>
              <w:t>for</w:t>
            </w:r>
            <w:r>
              <w:rPr>
                <w:sz w:val="20"/>
                <w:szCs w:val="20"/>
                <w:lang w:val="en-US"/>
              </w:rPr>
              <w:t xml:space="preserve"> CDR and recall rate</w:t>
            </w:r>
            <w:r>
              <w:rPr>
                <w:sz w:val="20"/>
                <w:szCs w:val="20"/>
                <w:vertAlign w:val="superscript"/>
                <w:lang w:val="en-US"/>
              </w:rPr>
              <w:t xml:space="preserve"> </w:t>
            </w:r>
          </w:p>
        </w:tc>
      </w:tr>
      <w:tr w:rsidR="003369CE" w14:paraId="4C3FD978" w14:textId="77777777" w:rsidTr="00645C4F">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044879F3" w14:textId="77777777" w:rsidR="003369CE" w:rsidRDefault="003369CE" w:rsidP="00645C4F">
            <w:pPr>
              <w:pStyle w:val="BodyText"/>
              <w:spacing w:before="0" w:after="0"/>
              <w:rPr>
                <w:sz w:val="20"/>
                <w:szCs w:val="20"/>
                <w:lang w:val="en-US"/>
              </w:rPr>
            </w:pPr>
            <w:r>
              <w:rPr>
                <w:sz w:val="20"/>
                <w:szCs w:val="20"/>
                <w:lang w:val="en-US"/>
              </w:rPr>
              <w:t>11</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B7AFF0C" w14:textId="77777777" w:rsidR="003369CE" w:rsidRDefault="003369CE" w:rsidP="00645C4F">
            <w:pPr>
              <w:contextualSpacing/>
              <w:rPr>
                <w:sz w:val="20"/>
                <w:szCs w:val="20"/>
                <w:lang w:val="en-US"/>
              </w:rPr>
            </w:pPr>
            <w:r>
              <w:rPr>
                <w:sz w:val="20"/>
                <w:szCs w:val="20"/>
                <w:lang w:val="en-US"/>
              </w:rPr>
              <w:t>If meta-analysis was performed, did the review authors assess the potential impact of RoB in individual studies on the results of the meta-analysis or other evidence synthesis?</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6897554B" w14:textId="77777777" w:rsidR="003369CE" w:rsidRDefault="003369CE" w:rsidP="00645C4F">
            <w:pPr>
              <w:pStyle w:val="BodyText"/>
              <w:spacing w:before="0" w:after="0"/>
              <w:rPr>
                <w:sz w:val="20"/>
                <w:szCs w:val="20"/>
                <w:lang w:val="en-US"/>
              </w:rPr>
            </w:pPr>
            <w:r>
              <w:rPr>
                <w:sz w:val="20"/>
                <w:szCs w:val="20"/>
                <w:lang w:val="en-US"/>
              </w:rPr>
              <w:t>Not sure</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10B0086C" w14:textId="77777777" w:rsidR="003369CE" w:rsidRDefault="003369CE" w:rsidP="00645C4F">
            <w:pPr>
              <w:pStyle w:val="BodyText"/>
              <w:spacing w:before="0" w:after="0"/>
              <w:rPr>
                <w:sz w:val="20"/>
                <w:szCs w:val="20"/>
                <w:lang w:val="en-US"/>
              </w:rPr>
            </w:pPr>
            <w:r>
              <w:rPr>
                <w:sz w:val="20"/>
                <w:szCs w:val="20"/>
                <w:lang w:val="en-US"/>
              </w:rPr>
              <w:t>RoB is not discussed</w:t>
            </w:r>
          </w:p>
        </w:tc>
      </w:tr>
      <w:tr w:rsidR="003369CE" w14:paraId="01B0A3F1" w14:textId="77777777" w:rsidTr="00645C4F">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886C050" w14:textId="77777777" w:rsidR="003369CE" w:rsidRDefault="003369CE" w:rsidP="00645C4F">
            <w:pPr>
              <w:pStyle w:val="BodyText"/>
              <w:spacing w:before="0" w:after="0"/>
              <w:rPr>
                <w:sz w:val="20"/>
                <w:szCs w:val="20"/>
                <w:lang w:val="en-US"/>
              </w:rPr>
            </w:pPr>
            <w:r>
              <w:rPr>
                <w:sz w:val="20"/>
                <w:szCs w:val="20"/>
                <w:lang w:val="en-US"/>
              </w:rPr>
              <w:t>12</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48C903B" w14:textId="77777777" w:rsidR="003369CE" w:rsidRDefault="003369CE" w:rsidP="00645C4F">
            <w:pPr>
              <w:contextualSpacing/>
              <w:rPr>
                <w:sz w:val="20"/>
                <w:szCs w:val="20"/>
                <w:lang w:val="en-US"/>
              </w:rPr>
            </w:pPr>
            <w:r>
              <w:rPr>
                <w:sz w:val="20"/>
                <w:szCs w:val="20"/>
                <w:lang w:val="en-US"/>
              </w:rPr>
              <w:t>Did the review authors account for RoB in individual studies when interpreting/discussing the results of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F861919" w14:textId="77777777" w:rsidR="003369CE" w:rsidRDefault="003369CE" w:rsidP="00645C4F">
            <w:pPr>
              <w:pStyle w:val="BodyText"/>
              <w:spacing w:before="0" w:after="0"/>
              <w:rPr>
                <w:sz w:val="20"/>
                <w:szCs w:val="20"/>
                <w:lang w:val="en-US"/>
              </w:rPr>
            </w:pPr>
            <w:r>
              <w:rPr>
                <w:sz w:val="20"/>
                <w:szCs w:val="20"/>
                <w:lang w:val="en-US"/>
              </w:rPr>
              <w:t>Not clear</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667DC30C" w14:textId="77777777" w:rsidR="003369CE" w:rsidRDefault="003369CE" w:rsidP="00645C4F">
            <w:pPr>
              <w:pStyle w:val="BodyText"/>
              <w:spacing w:before="0" w:after="0"/>
              <w:rPr>
                <w:sz w:val="20"/>
                <w:szCs w:val="20"/>
                <w:lang w:val="en-US"/>
              </w:rPr>
            </w:pPr>
            <w:r>
              <w:rPr>
                <w:sz w:val="20"/>
                <w:szCs w:val="20"/>
                <w:lang w:val="en-US"/>
              </w:rPr>
              <w:t>RoB is not discussed</w:t>
            </w:r>
          </w:p>
        </w:tc>
      </w:tr>
      <w:tr w:rsidR="003369CE" w14:paraId="7897D62C" w14:textId="77777777" w:rsidTr="00645C4F">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08DFC56" w14:textId="77777777" w:rsidR="003369CE" w:rsidRDefault="003369CE" w:rsidP="00645C4F">
            <w:pPr>
              <w:pStyle w:val="BodyText"/>
              <w:spacing w:before="0" w:after="0"/>
              <w:rPr>
                <w:sz w:val="20"/>
                <w:szCs w:val="20"/>
                <w:lang w:val="en-US"/>
              </w:rPr>
            </w:pPr>
            <w:r>
              <w:rPr>
                <w:sz w:val="20"/>
                <w:szCs w:val="20"/>
                <w:lang w:val="en-US"/>
              </w:rPr>
              <w:t>13</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2165A65" w14:textId="77777777" w:rsidR="003369CE" w:rsidRDefault="003369CE" w:rsidP="00645C4F">
            <w:pPr>
              <w:contextualSpacing/>
              <w:rPr>
                <w:sz w:val="20"/>
                <w:szCs w:val="20"/>
                <w:lang w:val="en-US"/>
              </w:rPr>
            </w:pPr>
            <w:r>
              <w:rPr>
                <w:sz w:val="20"/>
                <w:szCs w:val="20"/>
                <w:lang w:val="en-US"/>
              </w:rPr>
              <w:t>Did the review authors provide a satisfactory explanation for, and discussion of, any heterogeneity observed in the results of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E969580" w14:textId="77777777" w:rsidR="003369CE" w:rsidRDefault="003369CE" w:rsidP="00645C4F">
            <w:pPr>
              <w:pStyle w:val="BodyText"/>
              <w:spacing w:before="0" w:after="0"/>
              <w:rPr>
                <w:sz w:val="20"/>
                <w:szCs w:val="20"/>
                <w:lang w:val="en-US"/>
              </w:rPr>
            </w:pPr>
            <w:r>
              <w:rPr>
                <w:sz w:val="20"/>
                <w:szCs w:val="20"/>
                <w:lang w:val="en-US"/>
              </w:rPr>
              <w:t>Yes</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71F25445" w14:textId="77777777" w:rsidR="003369CE" w:rsidRDefault="003369CE" w:rsidP="00645C4F">
            <w:pPr>
              <w:pStyle w:val="BodyText"/>
              <w:spacing w:before="0" w:after="0"/>
              <w:rPr>
                <w:sz w:val="20"/>
                <w:szCs w:val="20"/>
                <w:lang w:val="en-US"/>
              </w:rPr>
            </w:pPr>
          </w:p>
        </w:tc>
      </w:tr>
      <w:tr w:rsidR="003369CE" w14:paraId="51E86BB5" w14:textId="77777777" w:rsidTr="00645C4F">
        <w:trPr>
          <w:cnfStyle w:val="000000010000" w:firstRow="0" w:lastRow="0" w:firstColumn="0" w:lastColumn="0" w:oddVBand="0" w:evenVBand="0" w:oddHBand="0" w:evenHBand="1" w:firstRowFirstColumn="0" w:firstRowLastColumn="0" w:lastRowFirstColumn="0" w:lastRowLastColumn="0"/>
        </w:trPr>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7400409B" w14:textId="77777777" w:rsidR="003369CE" w:rsidRDefault="003369CE" w:rsidP="00645C4F">
            <w:pPr>
              <w:pStyle w:val="BodyText"/>
              <w:spacing w:before="0" w:after="0"/>
              <w:rPr>
                <w:sz w:val="20"/>
                <w:szCs w:val="20"/>
                <w:lang w:val="en-US"/>
              </w:rPr>
            </w:pPr>
            <w:r>
              <w:rPr>
                <w:sz w:val="20"/>
                <w:szCs w:val="20"/>
                <w:lang w:val="en-US"/>
              </w:rPr>
              <w:lastRenderedPageBreak/>
              <w:t>14</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8BB666E" w14:textId="77777777" w:rsidR="003369CE" w:rsidRDefault="003369CE" w:rsidP="00645C4F">
            <w:pPr>
              <w:contextualSpacing/>
              <w:rPr>
                <w:sz w:val="20"/>
                <w:szCs w:val="20"/>
                <w:lang w:val="en-US"/>
              </w:rPr>
            </w:pPr>
            <w:r>
              <w:rPr>
                <w:sz w:val="20"/>
                <w:szCs w:val="20"/>
                <w:lang w:val="en-US"/>
              </w:rPr>
              <w:t>If they performed quantitative synthesis did the review authors carry out an adequate investigation of publication bias (small study bias) and discuss its likely impact on the results of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85567FF" w14:textId="77777777" w:rsidR="003369CE" w:rsidRDefault="003369CE" w:rsidP="00645C4F">
            <w:pPr>
              <w:pStyle w:val="BodyText"/>
              <w:spacing w:before="0" w:after="0"/>
              <w:rPr>
                <w:sz w:val="20"/>
                <w:szCs w:val="20"/>
                <w:lang w:val="en-US"/>
              </w:rPr>
            </w:pPr>
            <w:r>
              <w:rPr>
                <w:sz w:val="20"/>
                <w:szCs w:val="20"/>
                <w:lang w:val="en-US"/>
              </w:rPr>
              <w:t>NA</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tcPr>
          <w:p w14:paraId="5F8379E7" w14:textId="77777777" w:rsidR="003369CE" w:rsidRDefault="003369CE" w:rsidP="00645C4F">
            <w:pPr>
              <w:pStyle w:val="BodyText"/>
              <w:spacing w:before="0" w:after="0"/>
              <w:rPr>
                <w:sz w:val="20"/>
                <w:szCs w:val="20"/>
                <w:lang w:val="en-US"/>
              </w:rPr>
            </w:pPr>
          </w:p>
        </w:tc>
      </w:tr>
      <w:tr w:rsidR="003369CE" w14:paraId="19AB73EB" w14:textId="77777777" w:rsidTr="00645C4F">
        <w:tc>
          <w:tcPr>
            <w:tcW w:w="442"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5C78E1F5" w14:textId="77777777" w:rsidR="003369CE" w:rsidRDefault="003369CE" w:rsidP="00645C4F">
            <w:pPr>
              <w:pStyle w:val="BodyText"/>
              <w:spacing w:before="0" w:after="0"/>
              <w:rPr>
                <w:sz w:val="20"/>
                <w:szCs w:val="20"/>
                <w:lang w:val="en-US"/>
              </w:rPr>
            </w:pPr>
            <w:r>
              <w:rPr>
                <w:sz w:val="20"/>
                <w:szCs w:val="20"/>
                <w:lang w:val="en-US"/>
              </w:rPr>
              <w:t>15</w:t>
            </w:r>
          </w:p>
        </w:tc>
        <w:tc>
          <w:tcPr>
            <w:tcW w:w="6216"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248160BA" w14:textId="77777777" w:rsidR="003369CE" w:rsidRDefault="003369CE" w:rsidP="00645C4F">
            <w:pPr>
              <w:contextualSpacing/>
              <w:rPr>
                <w:sz w:val="20"/>
                <w:szCs w:val="20"/>
                <w:lang w:val="en-US"/>
              </w:rPr>
            </w:pPr>
            <w:r>
              <w:rPr>
                <w:sz w:val="20"/>
                <w:szCs w:val="20"/>
                <w:lang w:val="en-US"/>
              </w:rPr>
              <w:t>Did the review authors report any potential sources of conflict of interest, including any funding they received for conducting the review?</w:t>
            </w:r>
          </w:p>
        </w:tc>
        <w:tc>
          <w:tcPr>
            <w:tcW w:w="1134"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1268888E" w14:textId="77777777" w:rsidR="003369CE" w:rsidRDefault="003369CE" w:rsidP="00645C4F">
            <w:pPr>
              <w:pStyle w:val="BodyText"/>
              <w:spacing w:before="0" w:after="0"/>
              <w:rPr>
                <w:sz w:val="20"/>
                <w:szCs w:val="20"/>
                <w:lang w:val="en-US"/>
              </w:rPr>
            </w:pPr>
            <w:r>
              <w:rPr>
                <w:sz w:val="20"/>
                <w:szCs w:val="20"/>
                <w:lang w:val="en-US"/>
              </w:rPr>
              <w:t>No</w:t>
            </w:r>
          </w:p>
        </w:tc>
        <w:tc>
          <w:tcPr>
            <w:tcW w:w="6113" w:type="dxa"/>
            <w:tcBorders>
              <w:top w:val="single" w:sz="4" w:space="0" w:color="77B800" w:themeColor="background2"/>
              <w:left w:val="single" w:sz="4" w:space="0" w:color="77B800" w:themeColor="background2"/>
              <w:bottom w:val="single" w:sz="4" w:space="0" w:color="77B800" w:themeColor="background2"/>
              <w:right w:val="single" w:sz="4" w:space="0" w:color="77B800" w:themeColor="background2"/>
            </w:tcBorders>
            <w:hideMark/>
          </w:tcPr>
          <w:p w14:paraId="4F4B5FEA" w14:textId="77777777" w:rsidR="003369CE" w:rsidRDefault="003369CE" w:rsidP="00645C4F">
            <w:pPr>
              <w:pStyle w:val="BodyText"/>
              <w:spacing w:before="0" w:after="0"/>
              <w:rPr>
                <w:sz w:val="20"/>
                <w:szCs w:val="20"/>
                <w:lang w:val="en-US"/>
              </w:rPr>
            </w:pPr>
          </w:p>
        </w:tc>
      </w:tr>
    </w:tbl>
    <w:p w14:paraId="52FEA61B" w14:textId="77777777" w:rsidR="003369CE" w:rsidRPr="003369CE" w:rsidRDefault="003369CE" w:rsidP="003369CE">
      <w:pPr>
        <w:pStyle w:val="BodyText"/>
      </w:pPr>
    </w:p>
    <w:sectPr w:rsidR="003369CE" w:rsidRPr="003369CE" w:rsidSect="007A16CF">
      <w:pgSz w:w="16839" w:h="11907" w:orient="landscape"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A2F48" w14:textId="77777777" w:rsidR="00387823" w:rsidRDefault="00387823" w:rsidP="005839ED">
      <w:r>
        <w:separator/>
      </w:r>
    </w:p>
    <w:p w14:paraId="05948BC4" w14:textId="77777777" w:rsidR="00387823" w:rsidRDefault="00387823"/>
  </w:endnote>
  <w:endnote w:type="continuationSeparator" w:id="0">
    <w:p w14:paraId="793ED32C" w14:textId="77777777" w:rsidR="00387823" w:rsidRDefault="00387823" w:rsidP="005839ED">
      <w:r>
        <w:continuationSeparator/>
      </w:r>
    </w:p>
    <w:p w14:paraId="7A384195" w14:textId="77777777" w:rsidR="00387823" w:rsidRDefault="00387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PTimes">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T Serif">
    <w:altName w:val="Arial"/>
    <w:panose1 w:val="00000000000000000000"/>
    <w:charset w:val="00"/>
    <w:family w:val="roman"/>
    <w:notTrueType/>
    <w:pitch w:val="default"/>
  </w:font>
  <w:font w:name="WwmttcAdvTT3713a231">
    <w:altName w:val="Cambria"/>
    <w:panose1 w:val="00000000000000000000"/>
    <w:charset w:val="00"/>
    <w:family w:val="roman"/>
    <w:notTrueType/>
    <w:pitch w:val="default"/>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GuardianAgateSans1GR-Regular">
    <w:altName w:val="Calibri"/>
    <w:panose1 w:val="00000000000000000000"/>
    <w:charset w:val="00"/>
    <w:family w:val="auto"/>
    <w:notTrueType/>
    <w:pitch w:val="default"/>
    <w:sig w:usb0="00000003" w:usb1="00000000" w:usb2="00000000" w:usb3="00000000" w:csb0="00000001" w:csb1="00000000"/>
  </w:font>
  <w:font w:name="Universal-GreekwithMathPi">
    <w:altName w:val="Calibri"/>
    <w:panose1 w:val="00000000000000000000"/>
    <w:charset w:val="00"/>
    <w:family w:val="auto"/>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Shaker2Lancet-Regular">
    <w:altName w:val="Yu Gothic"/>
    <w:panose1 w:val="00000000000000000000"/>
    <w:charset w:val="80"/>
    <w:family w:val="swiss"/>
    <w:notTrueType/>
    <w:pitch w:val="default"/>
    <w:sig w:usb0="00000001" w:usb1="08070000" w:usb2="00000010" w:usb3="00000000" w:csb0="00020000" w:csb1="00000000"/>
  </w:font>
  <w:font w:name="STIX-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A320" w14:textId="77777777" w:rsidR="00387823" w:rsidRDefault="00387823" w:rsidP="00EC2A6D">
    <w:pPr>
      <w:pStyle w:val="Footer"/>
    </w:pPr>
  </w:p>
  <w:p w14:paraId="6A75EDB2" w14:textId="6A48245C" w:rsidR="00387823" w:rsidRPr="00EC2A6D" w:rsidRDefault="00387823"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sidR="00A1058E">
      <w:rPr>
        <w:noProof/>
      </w:rPr>
      <w:t>2</w:t>
    </w:r>
    <w:r w:rsidRPr="00724798">
      <w:fldChar w:fldCharType="end"/>
    </w:r>
    <w:r w:rsidRPr="00724798">
      <w:rPr>
        <w:noProof/>
        <w:lang w:val="en-AU" w:eastAsia="en-AU"/>
      </w:rPr>
      <w:drawing>
        <wp:anchor distT="0" distB="0" distL="114300" distR="114300" simplePos="0" relativeHeight="251657728" behindDoc="1" locked="1" layoutInCell="1" allowOverlap="1" wp14:anchorId="46EDE364" wp14:editId="14C9C3AE">
          <wp:simplePos x="0" y="0"/>
          <wp:positionH relativeFrom="page">
            <wp:posOffset>3060700</wp:posOffset>
          </wp:positionH>
          <wp:positionV relativeFrom="bottomMargin">
            <wp:posOffset>360045</wp:posOffset>
          </wp:positionV>
          <wp:extent cx="1443600" cy="327600"/>
          <wp:effectExtent l="0" t="0" r="4445" b="0"/>
          <wp:wrapNone/>
          <wp:docPr id="10" name="Picture 10" descr="Allen +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p w14:paraId="3662CF35" w14:textId="77777777" w:rsidR="00387823" w:rsidRDefault="00387823"/>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7D63" w14:textId="77777777" w:rsidR="00387823" w:rsidRDefault="00387823" w:rsidP="00D553C1">
    <w:pPr>
      <w:pStyle w:val="Footer"/>
    </w:pPr>
  </w:p>
  <w:p w14:paraId="05C73249" w14:textId="21646810" w:rsidR="00387823" w:rsidRPr="00E17DEB" w:rsidRDefault="00387823" w:rsidP="00C928D8">
    <w:pPr>
      <w:pStyle w:val="Footer-OddPage"/>
      <w:pBdr>
        <w:top w:val="single" w:sz="4" w:space="1" w:color="77B800" w:themeColor="background2"/>
      </w:pBdr>
      <w:tabs>
        <w:tab w:val="left" w:pos="820"/>
      </w:tabs>
    </w:pPr>
    <w:r>
      <w:tab/>
      <w:t>DRAFT UPDATED REVIEW OF EVIDENCE: TOMOSYNTHESIS AS A SCREENING TOOL FOR BREAST CANCER</w:t>
    </w:r>
    <w:r>
      <w:tab/>
    </w:r>
    <w:r w:rsidRPr="00E17DEB">
      <w:fldChar w:fldCharType="begin"/>
    </w:r>
    <w:r w:rsidRPr="00E17DEB">
      <w:instrText xml:space="preserve"> PAGE  \* Arabic  \* MERGEFORMAT </w:instrText>
    </w:r>
    <w:r w:rsidRPr="00E17DEB">
      <w:fldChar w:fldCharType="separate"/>
    </w:r>
    <w:r w:rsidR="00A1058E">
      <w:rPr>
        <w:noProof/>
      </w:rPr>
      <w:t>119</w:t>
    </w:r>
    <w:r w:rsidRPr="00E17DEB">
      <w:fldChar w:fldCharType="end"/>
    </w:r>
  </w:p>
  <w:p w14:paraId="45E0BC89" w14:textId="77777777" w:rsidR="00387823" w:rsidRDefault="00387823"/>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00D45" w14:textId="340DE5EC" w:rsidR="00387823" w:rsidRDefault="00387823" w:rsidP="00236D7C">
    <w:pPr>
      <w:pStyle w:val="Footer-OddPage"/>
      <w:pBdr>
        <w:top w:val="single" w:sz="4" w:space="0" w:color="77B800" w:themeColor="background2"/>
      </w:pBdr>
    </w:pPr>
    <w:r>
      <w:tab/>
      <w:t>REVIEW OF EVIDENCE: TOMOSYNTHESIS AS A SCREENING TOOL FOR BREAST CANCER</w:t>
    </w:r>
    <w:r>
      <w:tab/>
    </w:r>
    <w:r w:rsidRPr="00E17DEB">
      <w:fldChar w:fldCharType="begin"/>
    </w:r>
    <w:r w:rsidRPr="00E17DEB">
      <w:instrText xml:space="preserve"> PAGE  \* Arabic  \* MERGEFORMAT </w:instrText>
    </w:r>
    <w:r w:rsidRPr="00E17DEB">
      <w:fldChar w:fldCharType="separate"/>
    </w:r>
    <w:r w:rsidR="00A1058E">
      <w:rPr>
        <w:noProof/>
      </w:rPr>
      <w:t>148</w:t>
    </w:r>
    <w:r w:rsidRPr="00E17DEB">
      <w:fldChar w:fldCharType="end"/>
    </w:r>
  </w:p>
  <w:p w14:paraId="1929F42C" w14:textId="77777777" w:rsidR="00387823" w:rsidRDefault="00387823">
    <w:pPr>
      <w:pStyle w:val="Footer"/>
    </w:pPr>
  </w:p>
  <w:p w14:paraId="0A61F941" w14:textId="4B7B329D" w:rsidR="00387823" w:rsidRDefault="00387823"/>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32126"/>
      <w:docPartObj>
        <w:docPartGallery w:val="Page Numbers (Bottom of Page)"/>
        <w:docPartUnique/>
      </w:docPartObj>
    </w:sdtPr>
    <w:sdtEndPr>
      <w:rPr>
        <w:noProof/>
      </w:rPr>
    </w:sdtEndPr>
    <w:sdtContent>
      <w:p w14:paraId="1934270E" w14:textId="0782802E" w:rsidR="00387823" w:rsidRDefault="00387823" w:rsidP="00236D7C">
        <w:pPr>
          <w:pStyle w:val="Footer-OddPage"/>
          <w:pBdr>
            <w:top w:val="single" w:sz="4" w:space="0" w:color="77B800" w:themeColor="background2"/>
          </w:pBdr>
        </w:pPr>
        <w:r>
          <w:tab/>
          <w:t>REVIEW OF EVIDENCE: TOMOSYNTHESIS AS A SCREENING TOOL FOR BREAST CANCER</w:t>
        </w:r>
        <w:r>
          <w:tab/>
        </w:r>
        <w:r w:rsidRPr="00E17DEB">
          <w:fldChar w:fldCharType="begin"/>
        </w:r>
        <w:r w:rsidRPr="00E17DEB">
          <w:instrText xml:space="preserve"> PAGE  \* Arabic  \* MERGEFORMAT </w:instrText>
        </w:r>
        <w:r w:rsidRPr="00E17DEB">
          <w:fldChar w:fldCharType="separate"/>
        </w:r>
        <w:r w:rsidR="00A1058E">
          <w:rPr>
            <w:noProof/>
          </w:rPr>
          <w:t>149</w:t>
        </w:r>
        <w:r w:rsidRPr="00E17DEB">
          <w:fldChar w:fldCharType="end"/>
        </w:r>
      </w:p>
    </w:sdtContent>
  </w:sdt>
  <w:p w14:paraId="00CAF910" w14:textId="77777777" w:rsidR="00387823" w:rsidRDefault="00387823">
    <w:pPr>
      <w:pStyle w:val="Footer"/>
    </w:pPr>
  </w:p>
  <w:p w14:paraId="4FD7E78D" w14:textId="1587B62E" w:rsidR="00387823" w:rsidRDefault="003878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A429" w14:textId="77777777" w:rsidR="00387823" w:rsidRDefault="00387823" w:rsidP="00D553C1">
    <w:pPr>
      <w:pStyle w:val="Footer"/>
    </w:pPr>
  </w:p>
  <w:p w14:paraId="3F5C9090" w14:textId="03E4C359" w:rsidR="00387823" w:rsidRPr="00E17DEB" w:rsidRDefault="00387823" w:rsidP="00C928D8">
    <w:pPr>
      <w:pStyle w:val="Footer-OddPage"/>
      <w:pBdr>
        <w:top w:val="single" w:sz="4" w:space="1" w:color="77B800" w:themeColor="background2"/>
      </w:pBdr>
      <w:tabs>
        <w:tab w:val="left" w:pos="820"/>
      </w:tabs>
    </w:pPr>
    <w:r>
      <w:tab/>
      <w:t>DRAFT UPDATED REVIEW OF EVIDENCE: TOMOSYNTHESIS AS A SCREENING TOOL FOR BREAST CANCER</w:t>
    </w:r>
    <w:r>
      <w:tab/>
    </w:r>
    <w:r w:rsidRPr="00E17DEB">
      <w:fldChar w:fldCharType="begin"/>
    </w:r>
    <w:r w:rsidRPr="00E17DEB">
      <w:instrText xml:space="preserve"> PAGE  \* Arabic  \* MERGEFORMAT </w:instrText>
    </w:r>
    <w:r w:rsidRPr="00E17DEB">
      <w:fldChar w:fldCharType="separate"/>
    </w:r>
    <w:r w:rsidR="00A1058E">
      <w:rPr>
        <w:noProof/>
      </w:rPr>
      <w:t>1</w:t>
    </w:r>
    <w:r w:rsidRPr="00E17DEB">
      <w:fldChar w:fldCharType="end"/>
    </w:r>
  </w:p>
  <w:p w14:paraId="0F93C05C" w14:textId="77777777" w:rsidR="00387823" w:rsidRDefault="0038782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31F4" w14:textId="77777777" w:rsidR="00387823" w:rsidRDefault="00387823" w:rsidP="00EC2A6D">
    <w:pPr>
      <w:pStyle w:val="Footer"/>
    </w:pPr>
  </w:p>
  <w:p w14:paraId="502949E9" w14:textId="173163E2" w:rsidR="00387823" w:rsidRPr="00EC2A6D" w:rsidRDefault="00387823"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sidR="00A1058E">
      <w:rPr>
        <w:noProof/>
      </w:rPr>
      <w:t>90</w:t>
    </w:r>
    <w:r w:rsidRPr="00724798">
      <w:fldChar w:fldCharType="end"/>
    </w:r>
    <w:r w:rsidRPr="00724798">
      <w:rPr>
        <w:noProof/>
        <w:lang w:val="en-AU" w:eastAsia="en-AU"/>
      </w:rPr>
      <w:drawing>
        <wp:anchor distT="0" distB="0" distL="114300" distR="114300" simplePos="0" relativeHeight="251693568" behindDoc="1" locked="1" layoutInCell="1" allowOverlap="1" wp14:anchorId="3D997AFC" wp14:editId="05208993">
          <wp:simplePos x="0" y="0"/>
          <wp:positionH relativeFrom="page">
            <wp:posOffset>3060700</wp:posOffset>
          </wp:positionH>
          <wp:positionV relativeFrom="bottomMargin">
            <wp:posOffset>360045</wp:posOffset>
          </wp:positionV>
          <wp:extent cx="1443600" cy="327600"/>
          <wp:effectExtent l="0" t="0" r="4445" b="0"/>
          <wp:wrapNone/>
          <wp:docPr id="17" name="Picture 17" descr="Allen +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p w14:paraId="5B055B8A" w14:textId="77777777" w:rsidR="00387823" w:rsidRDefault="0038782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7AE2" w14:textId="77777777" w:rsidR="00387823" w:rsidRDefault="00387823" w:rsidP="00D553C1">
    <w:pPr>
      <w:pStyle w:val="Footer"/>
    </w:pPr>
  </w:p>
  <w:p w14:paraId="3ABC0C0A" w14:textId="5C8851BC" w:rsidR="00387823" w:rsidRPr="00E17DEB" w:rsidRDefault="00387823" w:rsidP="00C928D8">
    <w:pPr>
      <w:pStyle w:val="Footer-OddPage"/>
      <w:pBdr>
        <w:top w:val="single" w:sz="4" w:space="1" w:color="77B800" w:themeColor="background2"/>
      </w:pBdr>
      <w:tabs>
        <w:tab w:val="left" w:pos="820"/>
      </w:tabs>
    </w:pPr>
    <w:r>
      <w:tab/>
      <w:t>DRAFT UPDATED REVIEW OF EVIDENCE: TOMOSYNTHESIS AS A SCREENING TOOL FOR BREAST CANCER</w:t>
    </w:r>
    <w:r>
      <w:tab/>
    </w:r>
    <w:r w:rsidRPr="00E17DEB">
      <w:fldChar w:fldCharType="begin"/>
    </w:r>
    <w:r w:rsidRPr="00E17DEB">
      <w:instrText xml:space="preserve"> PAGE  \* Arabic  \* MERGEFORMAT </w:instrText>
    </w:r>
    <w:r w:rsidRPr="00E17DEB">
      <w:fldChar w:fldCharType="separate"/>
    </w:r>
    <w:r w:rsidR="00A1058E">
      <w:rPr>
        <w:noProof/>
      </w:rPr>
      <w:t>91</w:t>
    </w:r>
    <w:r w:rsidRPr="00E17DEB">
      <w:fldChar w:fldCharType="end"/>
    </w:r>
  </w:p>
  <w:p w14:paraId="5B26B09A" w14:textId="77777777" w:rsidR="00387823" w:rsidRDefault="0038782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5E1E" w14:textId="77777777" w:rsidR="00387823" w:rsidRDefault="00387823" w:rsidP="00EC2A6D">
    <w:pPr>
      <w:pStyle w:val="Footer"/>
    </w:pPr>
  </w:p>
  <w:p w14:paraId="413F912C" w14:textId="33A156D4" w:rsidR="00387823" w:rsidRPr="00EC2A6D" w:rsidRDefault="00387823"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sidR="00A1058E">
      <w:rPr>
        <w:noProof/>
      </w:rPr>
      <w:t>92</w:t>
    </w:r>
    <w:r w:rsidRPr="00724798">
      <w:fldChar w:fldCharType="end"/>
    </w:r>
    <w:r w:rsidRPr="00724798">
      <w:rPr>
        <w:noProof/>
        <w:lang w:val="en-AU" w:eastAsia="en-AU"/>
      </w:rPr>
      <w:drawing>
        <wp:anchor distT="0" distB="0" distL="114300" distR="114300" simplePos="0" relativeHeight="251689472" behindDoc="1" locked="1" layoutInCell="1" allowOverlap="1" wp14:anchorId="10D210FF" wp14:editId="54228E86">
          <wp:simplePos x="0" y="0"/>
          <wp:positionH relativeFrom="page">
            <wp:posOffset>3060700</wp:posOffset>
          </wp:positionH>
          <wp:positionV relativeFrom="bottomMargin">
            <wp:posOffset>360045</wp:posOffset>
          </wp:positionV>
          <wp:extent cx="1443600" cy="327600"/>
          <wp:effectExtent l="0" t="0" r="4445" b="0"/>
          <wp:wrapNone/>
          <wp:docPr id="7" name="Picture 7" descr="Allen +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p w14:paraId="3EB10A85" w14:textId="77777777" w:rsidR="00387823" w:rsidRDefault="0038782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6F2C" w14:textId="77777777" w:rsidR="00387823" w:rsidRDefault="00387823" w:rsidP="00D553C1">
    <w:pPr>
      <w:pStyle w:val="Footer"/>
    </w:pPr>
  </w:p>
  <w:p w14:paraId="3DD7C6C6" w14:textId="1398E55F" w:rsidR="00387823" w:rsidRPr="00E17DEB" w:rsidRDefault="00387823" w:rsidP="00C928D8">
    <w:pPr>
      <w:pStyle w:val="Footer-OddPage"/>
      <w:pBdr>
        <w:top w:val="single" w:sz="4" w:space="1" w:color="77B800" w:themeColor="background2"/>
      </w:pBdr>
      <w:tabs>
        <w:tab w:val="left" w:pos="820"/>
      </w:tabs>
    </w:pPr>
    <w:r>
      <w:tab/>
      <w:t>DRAFT UPDATED REVIEW OF EVIDENCE: TOMOSYNTHESIS AS A SCREENING TOOL FOR BREAST CANCER</w:t>
    </w:r>
    <w:r>
      <w:tab/>
    </w:r>
    <w:r w:rsidRPr="00E17DEB">
      <w:fldChar w:fldCharType="begin"/>
    </w:r>
    <w:r w:rsidRPr="00E17DEB">
      <w:instrText xml:space="preserve"> PAGE  \* Arabic  \* MERGEFORMAT </w:instrText>
    </w:r>
    <w:r w:rsidRPr="00E17DEB">
      <w:fldChar w:fldCharType="separate"/>
    </w:r>
    <w:r w:rsidR="00A1058E">
      <w:rPr>
        <w:noProof/>
      </w:rPr>
      <w:t>95</w:t>
    </w:r>
    <w:r w:rsidRPr="00E17DEB">
      <w:fldChar w:fldCharType="end"/>
    </w:r>
  </w:p>
  <w:p w14:paraId="19F160F7" w14:textId="77777777" w:rsidR="00387823" w:rsidRDefault="0038782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8DC2" w14:textId="77777777" w:rsidR="00387823" w:rsidRDefault="00387823" w:rsidP="00EC2A6D">
    <w:pPr>
      <w:pStyle w:val="Footer"/>
    </w:pPr>
  </w:p>
  <w:p w14:paraId="51813C65" w14:textId="20EE33B4" w:rsidR="00387823" w:rsidRPr="00EC2A6D" w:rsidRDefault="00387823"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sidR="00A1058E">
      <w:rPr>
        <w:noProof/>
      </w:rPr>
      <w:t>116</w:t>
    </w:r>
    <w:r w:rsidRPr="00724798">
      <w:fldChar w:fldCharType="end"/>
    </w:r>
    <w:r w:rsidRPr="00724798">
      <w:rPr>
        <w:noProof/>
        <w:lang w:val="en-AU" w:eastAsia="en-AU"/>
      </w:rPr>
      <w:drawing>
        <wp:anchor distT="0" distB="0" distL="114300" distR="114300" simplePos="0" relativeHeight="251680256" behindDoc="1" locked="1" layoutInCell="1" allowOverlap="1" wp14:anchorId="5468485E" wp14:editId="0058BCDE">
          <wp:simplePos x="0" y="0"/>
          <wp:positionH relativeFrom="page">
            <wp:posOffset>3060700</wp:posOffset>
          </wp:positionH>
          <wp:positionV relativeFrom="bottomMargin">
            <wp:posOffset>360045</wp:posOffset>
          </wp:positionV>
          <wp:extent cx="1443600" cy="327600"/>
          <wp:effectExtent l="0" t="0" r="4445" b="0"/>
          <wp:wrapNone/>
          <wp:docPr id="6" name="Picture 6" descr="Allen +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p w14:paraId="65F6BE43" w14:textId="77777777" w:rsidR="00387823" w:rsidRDefault="00387823"/>
  <w:p w14:paraId="777E065F" w14:textId="6A4E4172" w:rsidR="00387823" w:rsidRDefault="0038782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BCA2" w14:textId="77777777" w:rsidR="00387823" w:rsidRDefault="00387823" w:rsidP="00D553C1">
    <w:pPr>
      <w:pStyle w:val="Footer"/>
    </w:pPr>
  </w:p>
  <w:p w14:paraId="04EA7A7B" w14:textId="164C67BF" w:rsidR="00387823" w:rsidRPr="00E17DEB" w:rsidRDefault="00387823" w:rsidP="00C928D8">
    <w:pPr>
      <w:pStyle w:val="Footer-OddPage"/>
      <w:pBdr>
        <w:top w:val="single" w:sz="4" w:space="1" w:color="77B800" w:themeColor="background2"/>
      </w:pBdr>
      <w:tabs>
        <w:tab w:val="left" w:pos="820"/>
      </w:tabs>
    </w:pPr>
    <w:r>
      <w:tab/>
      <w:t>DRAFT UPDATED REVIEW OF EVIDENCE: TOMOSYNTHESIS AS A SCREENING TOOL FOR BREAST CANCER</w:t>
    </w:r>
    <w:r>
      <w:tab/>
    </w:r>
    <w:r w:rsidRPr="00E17DEB">
      <w:fldChar w:fldCharType="begin"/>
    </w:r>
    <w:r w:rsidRPr="00E17DEB">
      <w:instrText xml:space="preserve"> PAGE  \* Arabic  \* MERGEFORMAT </w:instrText>
    </w:r>
    <w:r w:rsidRPr="00E17DEB">
      <w:fldChar w:fldCharType="separate"/>
    </w:r>
    <w:r w:rsidR="00A1058E">
      <w:rPr>
        <w:noProof/>
      </w:rPr>
      <w:t>117</w:t>
    </w:r>
    <w:r w:rsidRPr="00E17DEB">
      <w:fldChar w:fldCharType="end"/>
    </w:r>
  </w:p>
  <w:p w14:paraId="38A77AAD" w14:textId="44FF6CA7" w:rsidR="00387823" w:rsidRDefault="0038782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04C8" w14:textId="77777777" w:rsidR="00387823" w:rsidRDefault="00387823" w:rsidP="00EC2A6D">
    <w:pPr>
      <w:pStyle w:val="Footer"/>
    </w:pPr>
  </w:p>
  <w:p w14:paraId="2EB84406" w14:textId="18DAF450" w:rsidR="00387823" w:rsidRPr="00EC2A6D" w:rsidRDefault="00387823"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sidR="00A1058E">
      <w:rPr>
        <w:noProof/>
      </w:rPr>
      <w:t>118</w:t>
    </w:r>
    <w:r w:rsidRPr="00724798">
      <w:fldChar w:fldCharType="end"/>
    </w:r>
    <w:r w:rsidRPr="00724798">
      <w:rPr>
        <w:noProof/>
        <w:lang w:val="en-AU" w:eastAsia="en-AU"/>
      </w:rPr>
      <w:drawing>
        <wp:anchor distT="0" distB="0" distL="114300" distR="114300" simplePos="0" relativeHeight="251678208" behindDoc="1" locked="1" layoutInCell="1" allowOverlap="1" wp14:anchorId="79962C90" wp14:editId="61C4DEB6">
          <wp:simplePos x="0" y="0"/>
          <wp:positionH relativeFrom="page">
            <wp:posOffset>3060700</wp:posOffset>
          </wp:positionH>
          <wp:positionV relativeFrom="bottomMargin">
            <wp:posOffset>360045</wp:posOffset>
          </wp:positionV>
          <wp:extent cx="1443600" cy="327600"/>
          <wp:effectExtent l="0" t="0" r="4445" b="0"/>
          <wp:wrapNone/>
          <wp:docPr id="14" name="Picture 14" descr="Allen +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p w14:paraId="6E166C13" w14:textId="77777777" w:rsidR="00387823" w:rsidRDefault="003878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BAD6" w14:textId="77777777" w:rsidR="00387823" w:rsidRDefault="00387823" w:rsidP="005839ED">
      <w:r>
        <w:separator/>
      </w:r>
    </w:p>
  </w:footnote>
  <w:footnote w:type="continuationSeparator" w:id="0">
    <w:p w14:paraId="27A66251" w14:textId="77777777" w:rsidR="00387823" w:rsidRDefault="00387823" w:rsidP="005839ED">
      <w:r>
        <w:continuationSeparator/>
      </w:r>
    </w:p>
    <w:p w14:paraId="35167240" w14:textId="77777777" w:rsidR="00387823" w:rsidRDefault="00387823"/>
  </w:footnote>
  <w:footnote w:id="1">
    <w:p w14:paraId="663A5D5E" w14:textId="7D682052" w:rsidR="00387823" w:rsidRPr="00FB4822" w:rsidRDefault="00387823" w:rsidP="00A03872">
      <w:pPr>
        <w:pStyle w:val="FootnoteText"/>
      </w:pPr>
      <w:r w:rsidRPr="00086AEE">
        <w:rPr>
          <w:rStyle w:val="FootnoteReference"/>
          <w:sz w:val="18"/>
          <w:szCs w:val="18"/>
        </w:rPr>
        <w:footnoteRef/>
      </w:r>
      <w:r w:rsidRPr="00086AEE">
        <w:t xml:space="preserve"> </w:t>
      </w:r>
      <w:r>
        <w:t>s2DM</w:t>
      </w:r>
      <w:r w:rsidRPr="00086AEE">
        <w:t xml:space="preserve"> is a two-dimensional mammo</w:t>
      </w:r>
      <w:r w:rsidRPr="00FB4822">
        <w:t>gram that is generated from a DBT source data</w:t>
      </w:r>
      <w:r>
        <w:t>. These reconstructed images</w:t>
      </w:r>
      <w:r w:rsidRPr="00FB4822">
        <w:t xml:space="preserve"> </w:t>
      </w:r>
      <w:r>
        <w:t>are like those captured in the mediolateral (MLO) and craniocaudal (CC) views used in a standard FFDM screening examination</w:t>
      </w:r>
      <w:r w:rsidRPr="00FB4822">
        <w:rPr>
          <w:rFonts w:ascii="AdvPTimes" w:hAnsi="AdvPTimes" w:cs="AdvPTimes"/>
          <w:color w:val="000000"/>
        </w:rPr>
        <w:t>.</w:t>
      </w:r>
      <w:r>
        <w:rPr>
          <w:rFonts w:ascii="AdvPTimes" w:hAnsi="AdvPTimes" w:cs="AdvPTimes"/>
          <w:color w:val="000000"/>
        </w:rPr>
        <w:t xml:space="preserve"> </w:t>
      </w:r>
    </w:p>
  </w:footnote>
  <w:footnote w:id="2">
    <w:p w14:paraId="681CDC6D" w14:textId="77777777" w:rsidR="00387823" w:rsidRPr="00FB4822" w:rsidRDefault="00387823" w:rsidP="00A03872">
      <w:pPr>
        <w:pStyle w:val="FootnoteText"/>
      </w:pPr>
      <w:r w:rsidRPr="00FB4822">
        <w:rPr>
          <w:rStyle w:val="FootnoteReference"/>
          <w:sz w:val="18"/>
          <w:szCs w:val="18"/>
        </w:rPr>
        <w:footnoteRef/>
      </w:r>
      <w:r w:rsidRPr="00FB4822">
        <w:t xml:space="preserve"> FFDM is also known as two-view digital mammography.</w:t>
      </w:r>
    </w:p>
  </w:footnote>
  <w:footnote w:id="3">
    <w:p w14:paraId="7E4F0745" w14:textId="1804D0EC" w:rsidR="00387823" w:rsidRPr="00566354" w:rsidRDefault="00387823" w:rsidP="00A03872">
      <w:pPr>
        <w:pStyle w:val="FootnoteText"/>
      </w:pPr>
      <w:r w:rsidRPr="0083772F">
        <w:rPr>
          <w:rStyle w:val="FootnoteReference"/>
        </w:rPr>
        <w:footnoteRef/>
      </w:r>
      <w:r w:rsidRPr="0083772F">
        <w:t xml:space="preserve"> This </w:t>
      </w:r>
      <w:r>
        <w:t xml:space="preserve">study </w:t>
      </w:r>
      <w:r w:rsidRPr="00566354">
        <w:rPr>
          <w:shd w:val="clear" w:color="auto" w:fill="FFFFFF"/>
        </w:rPr>
        <w:t>began in January 2016 and p</w:t>
      </w:r>
      <w:r w:rsidRPr="00566354">
        <w:rPr>
          <w:rFonts w:eastAsia="Times New Roman"/>
          <w:lang w:eastAsia="en-NZ"/>
        </w:rPr>
        <w:t>rimary study completion is set for January 2020.</w:t>
      </w:r>
      <w:r>
        <w:rPr>
          <w:rFonts w:eastAsia="Times New Roman"/>
          <w:lang w:eastAsia="en-NZ"/>
        </w:rPr>
        <w:t xml:space="preserve"> Interim results are reported in this review.</w:t>
      </w:r>
    </w:p>
  </w:footnote>
  <w:footnote w:id="4">
    <w:p w14:paraId="34D9E7E8" w14:textId="0437A436" w:rsidR="00387823" w:rsidRPr="0083772F" w:rsidRDefault="00387823" w:rsidP="00815FC2">
      <w:pPr>
        <w:shd w:val="clear" w:color="auto" w:fill="FFFFFF"/>
        <w:spacing w:after="0" w:line="240" w:lineRule="auto"/>
        <w:jc w:val="both"/>
        <w:rPr>
          <w:rFonts w:eastAsia="Times New Roman" w:cs="Arial"/>
          <w:color w:val="000000"/>
          <w:sz w:val="16"/>
          <w:szCs w:val="16"/>
          <w:lang w:eastAsia="en-NZ"/>
        </w:rPr>
      </w:pPr>
      <w:r w:rsidRPr="0083772F">
        <w:rPr>
          <w:rStyle w:val="FootnoteReference"/>
          <w:sz w:val="16"/>
          <w:szCs w:val="16"/>
        </w:rPr>
        <w:footnoteRef/>
      </w:r>
      <w:r w:rsidRPr="0083772F">
        <w:rPr>
          <w:sz w:val="16"/>
          <w:szCs w:val="16"/>
        </w:rPr>
        <w:t xml:space="preserve"> </w:t>
      </w:r>
      <w:r>
        <w:rPr>
          <w:sz w:val="16"/>
          <w:szCs w:val="16"/>
        </w:rPr>
        <w:t xml:space="preserve">This is a five-year extension of the To-Be-1 trial and will cover one more screening round plus three years of follow-up. In this prospective cohort study, 32,400 women (est) will be screened with DBT+s2DM compared to prior screening with DBT+s2DM or FFDM alone (i.e., participants in To-Be-1). Key outcome measures focus on cancer detection rate, recall rates, PPV, prognostic and </w:t>
      </w:r>
      <w:r w:rsidRPr="0083772F">
        <w:rPr>
          <w:sz w:val="16"/>
          <w:szCs w:val="16"/>
        </w:rPr>
        <w:t>predictive tumour characteristics interval cancer rates, missed cancers, interpretation time, economic evaluation and pain/discomfort.</w:t>
      </w:r>
    </w:p>
  </w:footnote>
  <w:footnote w:id="5">
    <w:p w14:paraId="6EE90790" w14:textId="72F23B81" w:rsidR="00387823" w:rsidRPr="00566354" w:rsidRDefault="00387823" w:rsidP="00A03872">
      <w:pPr>
        <w:pStyle w:val="FootnoteText"/>
      </w:pPr>
      <w:r w:rsidRPr="00566354">
        <w:rPr>
          <w:rStyle w:val="FootnoteReference"/>
        </w:rPr>
        <w:footnoteRef/>
      </w:r>
      <w:r w:rsidRPr="00566354">
        <w:t xml:space="preserve"> This</w:t>
      </w:r>
      <w:r>
        <w:t xml:space="preserve"> is a</w:t>
      </w:r>
      <w:r w:rsidRPr="00566354">
        <w:t xml:space="preserve"> randomized controlled trial</w:t>
      </w:r>
      <w:r>
        <w:t xml:space="preserve"> (RCT)</w:t>
      </w:r>
      <w:r w:rsidRPr="00566354">
        <w:t xml:space="preserve"> of 92000 Italian women. Key outcomes include </w:t>
      </w:r>
      <w:r>
        <w:t>a</w:t>
      </w:r>
      <w:r w:rsidRPr="00566354">
        <w:rPr>
          <w:shd w:val="clear" w:color="auto" w:fill="FFFFFF"/>
        </w:rPr>
        <w:t>dvanced cancers detected at the subsequent round</w:t>
      </w:r>
      <w:r>
        <w:rPr>
          <w:shd w:val="clear" w:color="auto" w:fill="FFFFFF"/>
        </w:rPr>
        <w:t>,</w:t>
      </w:r>
      <w:r w:rsidRPr="00566354">
        <w:rPr>
          <w:shd w:val="clear" w:color="auto" w:fill="FFFFFF"/>
        </w:rPr>
        <w:t xml:space="preserve"> pathologic and biological characteristics of screen-detected cancers</w:t>
      </w:r>
      <w:r>
        <w:rPr>
          <w:shd w:val="clear" w:color="auto" w:fill="FFFFFF"/>
        </w:rPr>
        <w:t>,</w:t>
      </w:r>
      <w:r w:rsidRPr="00566354">
        <w:rPr>
          <w:shd w:val="clear" w:color="auto" w:fill="FFFFFF"/>
        </w:rPr>
        <w:t xml:space="preserve"> interval cancers</w:t>
      </w:r>
      <w:r>
        <w:rPr>
          <w:shd w:val="clear" w:color="auto" w:fill="FFFFFF"/>
        </w:rPr>
        <w:t xml:space="preserve">, </w:t>
      </w:r>
      <w:r w:rsidRPr="00566354">
        <w:rPr>
          <w:shd w:val="clear" w:color="auto" w:fill="FFFFFF"/>
        </w:rPr>
        <w:t xml:space="preserve">cancer detection rate, recall rate, false positive rate, </w:t>
      </w:r>
      <w:r>
        <w:rPr>
          <w:shd w:val="clear" w:color="auto" w:fill="FFFFFF"/>
        </w:rPr>
        <w:t xml:space="preserve">PPV, and </w:t>
      </w:r>
      <w:r w:rsidRPr="00566354">
        <w:rPr>
          <w:shd w:val="clear" w:color="auto" w:fill="FFFFFF"/>
        </w:rPr>
        <w:t>cost-effectiveness analysis.</w:t>
      </w:r>
    </w:p>
  </w:footnote>
  <w:footnote w:id="6">
    <w:p w14:paraId="7F33CCBA" w14:textId="48BFEDAA" w:rsidR="00387823" w:rsidRPr="0083772F" w:rsidRDefault="00387823" w:rsidP="00A03872">
      <w:pPr>
        <w:pStyle w:val="FootnoteText"/>
      </w:pPr>
      <w:r>
        <w:rPr>
          <w:rStyle w:val="FootnoteReference"/>
        </w:rPr>
        <w:footnoteRef/>
      </w:r>
      <w:r>
        <w:t xml:space="preserve"> This is a prospective randomized controlled trial of 100,000 women aged 50-70 years recruited from National Health Service Breast-screening Program sites. The trial will investigate the impact and cost effectiveness of FFDM+DBT (including s2DM images) compared to FFDM alone (the current screening test). A non-inferiority test will be applied to FFDM+DBT compared to DBT+s2DM. Key outcomes include sensitivity, prognostic features, cancer size at detection, interval cancer rate and modelling of cancer </w:t>
      </w:r>
      <w:r w:rsidRPr="0083772F">
        <w:t>mortality reduction. It will also look at impact by population group. The study is due for completion in July 2024. Michael Michell is the lead investigator.</w:t>
      </w:r>
    </w:p>
  </w:footnote>
  <w:footnote w:id="7">
    <w:p w14:paraId="502A3E5A" w14:textId="461F867F" w:rsidR="00387823" w:rsidRPr="0083772F" w:rsidRDefault="00387823" w:rsidP="00A03872">
      <w:pPr>
        <w:pStyle w:val="FootnoteText"/>
      </w:pPr>
      <w:r w:rsidRPr="0083772F">
        <w:rPr>
          <w:rStyle w:val="FootnoteReference"/>
        </w:rPr>
        <w:footnoteRef/>
      </w:r>
      <w:r w:rsidRPr="0083772F">
        <w:t xml:space="preserve"> This prospective, randomi</w:t>
      </w:r>
      <w:r>
        <w:t>z</w:t>
      </w:r>
      <w:r w:rsidRPr="0083772F">
        <w:t xml:space="preserve">ed trial of 80,000 asymptomatic women </w:t>
      </w:r>
      <w:r>
        <w:t xml:space="preserve">began </w:t>
      </w:r>
      <w:r w:rsidRPr="0083772F">
        <w:t xml:space="preserve">recruiting in March 2018. It will investigate </w:t>
      </w:r>
      <w:r>
        <w:t>DBT+s2DM</w:t>
      </w:r>
      <w:r w:rsidRPr="0083772F">
        <w:t xml:space="preserve"> compared to FFDM. Study completion is proposed for </w:t>
      </w:r>
      <w:r>
        <w:t>July</w:t>
      </w:r>
      <w:r w:rsidRPr="0083772F">
        <w:t xml:space="preserve"> 2023. Key outcome measures focus on cancer detection rates including by cancer type and category, interval cancer rate, recall rate and PPV.</w:t>
      </w:r>
    </w:p>
  </w:footnote>
  <w:footnote w:id="8">
    <w:p w14:paraId="06670DDC" w14:textId="38611607" w:rsidR="00387823" w:rsidRDefault="00387823" w:rsidP="00A03872">
      <w:pPr>
        <w:pStyle w:val="FootnoteText"/>
      </w:pPr>
      <w:r>
        <w:rPr>
          <w:rStyle w:val="FootnoteReference"/>
        </w:rPr>
        <w:footnoteRef/>
      </w:r>
      <w:r>
        <w:t xml:space="preserve"> This is a randomized phase III trial of 164,946 women. Initial results are expected in 2025 with final results reported in 2030. Women will undergo annual screening with either DBT or FFDM. Outcome measures include women diagnosed with advanced breast cancer, BIRADS imaging features, </w:t>
      </w:r>
      <w:r w:rsidRPr="00566354">
        <w:rPr>
          <w:color w:val="000000"/>
          <w:shd w:val="clear" w:color="auto" w:fill="FFFFFF"/>
        </w:rPr>
        <w:t>pathologic and biological characteristics of screen-detected cancers</w:t>
      </w:r>
      <w:r>
        <w:t xml:space="preserve"> (including cancer sub-type), pathologist agreement, breast cancer mortality, image quality, diagnostic and predictive performance, PPV, NPV, sensitivity and specificity, interval cancer, recall rates, biopsy rates, and healthcare cost.</w:t>
      </w:r>
    </w:p>
  </w:footnote>
  <w:footnote w:id="9">
    <w:p w14:paraId="602581E0" w14:textId="79EF6592" w:rsidR="00387823" w:rsidRDefault="00387823" w:rsidP="00A03872">
      <w:pPr>
        <w:pStyle w:val="FootnoteText"/>
      </w:pPr>
      <w:r w:rsidRPr="00A82369">
        <w:rPr>
          <w:rStyle w:val="FootnoteReference"/>
        </w:rPr>
        <w:footnoteRef/>
      </w:r>
      <w:r w:rsidRPr="00A82369">
        <w:t xml:space="preserve"> </w:t>
      </w:r>
      <w:hyperlink r:id="rId1" w:history="1">
        <w:r w:rsidR="00DB0743" w:rsidRPr="00005642">
          <w:rPr>
            <w:rStyle w:val="Hyperlink"/>
          </w:rPr>
          <w:t>www.cancerscreening.gov.au/internet/screening/publishing.nsf/Content/dbt</w:t>
        </w:r>
      </w:hyperlink>
    </w:p>
  </w:footnote>
  <w:footnote w:id="10">
    <w:p w14:paraId="3F6CEC7B" w14:textId="1D6B3511" w:rsidR="00387823" w:rsidRDefault="00387823" w:rsidP="00B52464">
      <w:pPr>
        <w:spacing w:after="0" w:line="240" w:lineRule="auto"/>
        <w:jc w:val="both"/>
      </w:pPr>
      <w:r w:rsidRPr="00701EDE">
        <w:rPr>
          <w:rStyle w:val="FootnoteReference"/>
          <w:sz w:val="16"/>
          <w:szCs w:val="16"/>
        </w:rPr>
        <w:footnoteRef/>
      </w:r>
      <w:r w:rsidRPr="00701EDE">
        <w:rPr>
          <w:sz w:val="16"/>
          <w:szCs w:val="16"/>
        </w:rPr>
        <w:t xml:space="preserve"> </w:t>
      </w:r>
      <w:r>
        <w:rPr>
          <w:sz w:val="16"/>
          <w:szCs w:val="16"/>
        </w:rPr>
        <w:t xml:space="preserve">Citations from these studies are listed here: </w:t>
      </w:r>
      <w:r w:rsidRPr="00701EDE">
        <w:rPr>
          <w:rFonts w:eastAsia="Times New Roman" w:cs="Times New Roman"/>
          <w:b/>
          <w:bCs/>
          <w:sz w:val="16"/>
          <w:szCs w:val="16"/>
          <w:lang w:eastAsia="en-NZ"/>
        </w:rPr>
        <w:t>Ariaratnam</w:t>
      </w:r>
      <w:r w:rsidRPr="00701EDE">
        <w:rPr>
          <w:rFonts w:eastAsia="Times New Roman" w:cs="Times New Roman"/>
          <w:sz w:val="16"/>
          <w:szCs w:val="16"/>
          <w:lang w:eastAsia="en-NZ"/>
        </w:rPr>
        <w:t xml:space="preserve"> NS, Little ST, Whitley MA, Ferguson K. (2018). Digital breast Tomosynthesis vacuum assisted biopsy for Tomosynthesis-detected Sonographically occult lesions. </w:t>
      </w:r>
      <w:r w:rsidRPr="00701EDE">
        <w:rPr>
          <w:rFonts w:eastAsia="Times New Roman" w:cs="Times New Roman"/>
          <w:i/>
          <w:iCs/>
          <w:sz w:val="16"/>
          <w:szCs w:val="16"/>
          <w:lang w:eastAsia="en-NZ"/>
        </w:rPr>
        <w:t>Clinical Imaging</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47</w:t>
      </w:r>
      <w:r w:rsidRPr="00701EDE">
        <w:rPr>
          <w:rFonts w:eastAsia="Times New Roman" w:cs="Times New Roman"/>
          <w:sz w:val="16"/>
          <w:szCs w:val="16"/>
          <w:lang w:eastAsia="en-NZ"/>
        </w:rPr>
        <w:t xml:space="preserve">, 4–8. </w:t>
      </w:r>
      <w:hyperlink r:id="rId2" w:history="1">
        <w:r w:rsidRPr="00701EDE">
          <w:rPr>
            <w:rFonts w:eastAsia="Times New Roman" w:cs="Times New Roman"/>
            <w:color w:val="0000FF"/>
            <w:sz w:val="16"/>
            <w:szCs w:val="16"/>
            <w:u w:val="single"/>
            <w:lang w:eastAsia="en-NZ"/>
          </w:rPr>
          <w:t>https://doi.org/10.1016/j.clinimag.2017.08.002</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Bahl</w:t>
      </w:r>
      <w:r w:rsidRPr="00701EDE">
        <w:rPr>
          <w:rFonts w:eastAsia="Times New Roman" w:cs="Times New Roman"/>
          <w:sz w:val="16"/>
          <w:szCs w:val="16"/>
          <w:lang w:eastAsia="en-NZ"/>
        </w:rPr>
        <w:t xml:space="preserve"> M, Gaffney S, McCarthy AM</w:t>
      </w:r>
      <w:r>
        <w:rPr>
          <w:rFonts w:eastAsia="Times New Roman" w:cs="Times New Roman"/>
          <w:sz w:val="16"/>
          <w:szCs w:val="16"/>
          <w:lang w:eastAsia="en-NZ"/>
        </w:rPr>
        <w:t>,</w:t>
      </w:r>
      <w:r w:rsidRPr="00701EDE">
        <w:rPr>
          <w:rFonts w:eastAsia="Times New Roman" w:cs="Times New Roman"/>
          <w:sz w:val="16"/>
          <w:szCs w:val="16"/>
          <w:lang w:eastAsia="en-NZ"/>
        </w:rPr>
        <w:t xml:space="preserve"> Lowry KP, Dang PA, Lehman CD. (2018). Breast Cancer Characteristics Associated with 2D Digital Mammography versus Digital Breast Tomosynthesis for Screening-detected and Interval Cancers. </w:t>
      </w:r>
      <w:r w:rsidRPr="00701EDE">
        <w:rPr>
          <w:rFonts w:eastAsia="Times New Roman" w:cs="Times New Roman"/>
          <w:i/>
          <w:iCs/>
          <w:sz w:val="16"/>
          <w:szCs w:val="16"/>
          <w:lang w:eastAsia="en-NZ"/>
        </w:rPr>
        <w:t>Radiology</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287</w:t>
      </w:r>
      <w:r w:rsidRPr="00701EDE">
        <w:rPr>
          <w:rFonts w:eastAsia="Times New Roman" w:cs="Times New Roman"/>
          <w:sz w:val="16"/>
          <w:szCs w:val="16"/>
          <w:lang w:eastAsia="en-NZ"/>
        </w:rPr>
        <w:t xml:space="preserve">(1), 49–57. </w:t>
      </w:r>
      <w:hyperlink r:id="rId3" w:history="1">
        <w:r w:rsidRPr="00701EDE">
          <w:rPr>
            <w:rFonts w:eastAsia="Times New Roman" w:cs="Times New Roman"/>
            <w:color w:val="0000FF"/>
            <w:sz w:val="16"/>
            <w:szCs w:val="16"/>
            <w:u w:val="single"/>
            <w:lang w:eastAsia="en-NZ"/>
          </w:rPr>
          <w:t>https://doi.org/10.1148/radiol.2017171148</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Bahrs</w:t>
      </w:r>
      <w:r w:rsidRPr="00701EDE">
        <w:rPr>
          <w:rFonts w:eastAsia="Times New Roman" w:cs="Times New Roman"/>
          <w:sz w:val="16"/>
          <w:szCs w:val="16"/>
          <w:lang w:eastAsia="en-NZ"/>
        </w:rPr>
        <w:t xml:space="preserve"> SD, Otto V, Hattermann V, Klumpp B, Hahn M, Nikolaou K, Siegmann-Luz K. (2018). Breast tomosynthesis for the clarification of mammographic </w:t>
      </w:r>
      <w:r>
        <w:rPr>
          <w:rFonts w:eastAsia="Times New Roman" w:cs="Times New Roman"/>
          <w:sz w:val="16"/>
          <w:szCs w:val="16"/>
          <w:lang w:eastAsia="en-NZ"/>
        </w:rPr>
        <w:t>BIRADS</w:t>
      </w:r>
      <w:r w:rsidRPr="00701EDE">
        <w:rPr>
          <w:rFonts w:eastAsia="Times New Roman" w:cs="Times New Roman"/>
          <w:sz w:val="16"/>
          <w:szCs w:val="16"/>
          <w:lang w:eastAsia="en-NZ"/>
        </w:rPr>
        <w:t xml:space="preserve"> 3 lesions can decrease follow-up examinations and enables immediate cancer diagnosis. </w:t>
      </w:r>
      <w:r w:rsidRPr="00701EDE">
        <w:rPr>
          <w:rFonts w:eastAsia="Times New Roman" w:cs="Times New Roman"/>
          <w:i/>
          <w:iCs/>
          <w:sz w:val="16"/>
          <w:szCs w:val="16"/>
          <w:lang w:eastAsia="en-NZ"/>
        </w:rPr>
        <w:t>Acta Radiologica (Stockholm, Sweden: 1987)</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59</w:t>
      </w:r>
      <w:r w:rsidRPr="00701EDE">
        <w:rPr>
          <w:rFonts w:eastAsia="Times New Roman" w:cs="Times New Roman"/>
          <w:sz w:val="16"/>
          <w:szCs w:val="16"/>
          <w:lang w:eastAsia="en-NZ"/>
        </w:rPr>
        <w:t xml:space="preserve">(10), 1176–1183. </w:t>
      </w:r>
      <w:hyperlink r:id="rId4" w:history="1">
        <w:r w:rsidRPr="00701EDE">
          <w:rPr>
            <w:rFonts w:eastAsia="Times New Roman" w:cs="Times New Roman"/>
            <w:color w:val="0000FF"/>
            <w:sz w:val="16"/>
            <w:szCs w:val="16"/>
            <w:u w:val="single"/>
            <w:lang w:eastAsia="en-NZ"/>
          </w:rPr>
          <w:t>https://doi.org/10.1177/0284185118756458</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Caumo</w:t>
      </w:r>
      <w:r w:rsidRPr="00701EDE">
        <w:rPr>
          <w:rFonts w:eastAsia="Times New Roman" w:cs="Times New Roman"/>
          <w:sz w:val="16"/>
          <w:szCs w:val="16"/>
          <w:lang w:eastAsia="en-NZ"/>
        </w:rPr>
        <w:t xml:space="preserve"> F, Romanucci G, Hunter K, Zorzi M, Brunelli S, Macaskil</w:t>
      </w:r>
      <w:r>
        <w:rPr>
          <w:rFonts w:eastAsia="Times New Roman" w:cs="Times New Roman"/>
          <w:sz w:val="16"/>
          <w:szCs w:val="16"/>
          <w:lang w:eastAsia="en-NZ"/>
        </w:rPr>
        <w:t>l</w:t>
      </w:r>
      <w:r w:rsidRPr="00701EDE">
        <w:rPr>
          <w:rFonts w:eastAsia="Times New Roman" w:cs="Times New Roman"/>
          <w:sz w:val="16"/>
          <w:szCs w:val="16"/>
          <w:lang w:eastAsia="en-NZ"/>
        </w:rPr>
        <w:t xml:space="preserve"> P, Houssami N. (2018). Comparison of breast cancers detected in the Verona screening program following transition to digital breast tomosynthesis screening with cancers detected at digital mammography screening. </w:t>
      </w:r>
      <w:r w:rsidRPr="00701EDE">
        <w:rPr>
          <w:rFonts w:eastAsia="Times New Roman" w:cs="Times New Roman"/>
          <w:i/>
          <w:iCs/>
          <w:sz w:val="16"/>
          <w:szCs w:val="16"/>
          <w:lang w:eastAsia="en-NZ"/>
        </w:rPr>
        <w:t>Breast Cancer Research And Treatment</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170</w:t>
      </w:r>
      <w:r w:rsidRPr="00701EDE">
        <w:rPr>
          <w:rFonts w:eastAsia="Times New Roman" w:cs="Times New Roman"/>
          <w:sz w:val="16"/>
          <w:szCs w:val="16"/>
          <w:lang w:eastAsia="en-NZ"/>
        </w:rPr>
        <w:t xml:space="preserve">(2), 391–397. </w:t>
      </w:r>
      <w:hyperlink r:id="rId5" w:history="1">
        <w:r w:rsidRPr="00701EDE">
          <w:rPr>
            <w:rFonts w:eastAsia="Times New Roman" w:cs="Times New Roman"/>
            <w:color w:val="0000FF"/>
            <w:sz w:val="16"/>
            <w:szCs w:val="16"/>
            <w:u w:val="single"/>
            <w:lang w:eastAsia="en-NZ"/>
          </w:rPr>
          <w:t>https://doi.org/10.1007/s10549-018-4756-4</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Destounis</w:t>
      </w:r>
      <w:r w:rsidRPr="00701EDE">
        <w:rPr>
          <w:rFonts w:eastAsia="Times New Roman" w:cs="Times New Roman"/>
          <w:sz w:val="16"/>
          <w:szCs w:val="16"/>
          <w:lang w:eastAsia="en-NZ"/>
        </w:rPr>
        <w:t xml:space="preserve"> S. (2018). Role of Digital Breast Tomosynthesis in Screening and Diagnostic Breast Imaging. </w:t>
      </w:r>
      <w:r w:rsidRPr="00701EDE">
        <w:rPr>
          <w:rFonts w:eastAsia="Times New Roman" w:cs="Times New Roman"/>
          <w:i/>
          <w:iCs/>
          <w:sz w:val="16"/>
          <w:szCs w:val="16"/>
          <w:lang w:eastAsia="en-NZ"/>
        </w:rPr>
        <w:t>Seminars In Ultrasound, CT, And MR</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39</w:t>
      </w:r>
      <w:r w:rsidRPr="00701EDE">
        <w:rPr>
          <w:rFonts w:eastAsia="Times New Roman" w:cs="Times New Roman"/>
          <w:sz w:val="16"/>
          <w:szCs w:val="16"/>
          <w:lang w:eastAsia="en-NZ"/>
        </w:rPr>
        <w:t xml:space="preserve">(1), 35–44. </w:t>
      </w:r>
      <w:hyperlink r:id="rId6" w:history="1">
        <w:r w:rsidRPr="00701EDE">
          <w:rPr>
            <w:rFonts w:eastAsia="Times New Roman" w:cs="Times New Roman"/>
            <w:color w:val="0000FF"/>
            <w:sz w:val="16"/>
            <w:szCs w:val="16"/>
            <w:u w:val="single"/>
            <w:lang w:eastAsia="en-NZ"/>
          </w:rPr>
          <w:t>https://doi.org/10.1053/j.sult.2017.08.002</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Dibble</w:t>
      </w:r>
      <w:r w:rsidRPr="00701EDE">
        <w:rPr>
          <w:rFonts w:eastAsia="Times New Roman" w:cs="Times New Roman"/>
          <w:sz w:val="16"/>
          <w:szCs w:val="16"/>
          <w:lang w:eastAsia="en-NZ"/>
        </w:rPr>
        <w:t xml:space="preserve"> EH, Lourenco AP, Baird</w:t>
      </w:r>
      <w:r>
        <w:rPr>
          <w:rFonts w:eastAsia="Times New Roman" w:cs="Times New Roman"/>
          <w:sz w:val="16"/>
          <w:szCs w:val="16"/>
          <w:lang w:eastAsia="en-NZ"/>
        </w:rPr>
        <w:t xml:space="preserve"> </w:t>
      </w:r>
      <w:r w:rsidRPr="00701EDE">
        <w:rPr>
          <w:rFonts w:eastAsia="Times New Roman" w:cs="Times New Roman"/>
          <w:sz w:val="16"/>
          <w:szCs w:val="16"/>
          <w:lang w:eastAsia="en-NZ"/>
        </w:rPr>
        <w:t xml:space="preserve">GL, Ward RC, Maynard AS, Mainiero MB. (2018). Comparison of digital mammography and digital breast tomosynthesis in the detection of architectural distortion. </w:t>
      </w:r>
      <w:r w:rsidRPr="00701EDE">
        <w:rPr>
          <w:rFonts w:eastAsia="Times New Roman" w:cs="Times New Roman"/>
          <w:i/>
          <w:iCs/>
          <w:sz w:val="16"/>
          <w:szCs w:val="16"/>
          <w:lang w:eastAsia="en-NZ"/>
        </w:rPr>
        <w:t>European Radiology</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28</w:t>
      </w:r>
      <w:r w:rsidRPr="00701EDE">
        <w:rPr>
          <w:rFonts w:eastAsia="Times New Roman" w:cs="Times New Roman"/>
          <w:sz w:val="16"/>
          <w:szCs w:val="16"/>
          <w:lang w:eastAsia="en-NZ"/>
        </w:rPr>
        <w:t xml:space="preserve">(1), 3–10. </w:t>
      </w:r>
      <w:hyperlink r:id="rId7" w:history="1">
        <w:r w:rsidRPr="00701EDE">
          <w:rPr>
            <w:rFonts w:eastAsia="Times New Roman" w:cs="Times New Roman"/>
            <w:color w:val="0000FF"/>
            <w:sz w:val="16"/>
            <w:szCs w:val="16"/>
            <w:u w:val="single"/>
            <w:lang w:eastAsia="en-NZ"/>
          </w:rPr>
          <w:t>https://doi.org/10.1007/s00330-017-4968-8</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Endo</w:t>
      </w:r>
      <w:r w:rsidRPr="00701EDE">
        <w:rPr>
          <w:rFonts w:eastAsia="Times New Roman" w:cs="Times New Roman"/>
          <w:sz w:val="16"/>
          <w:szCs w:val="16"/>
          <w:lang w:eastAsia="en-NZ"/>
        </w:rPr>
        <w:t xml:space="preserve"> T, Morita T, Oiwa M, Suda N, Sato Y, Ichihara S, </w:t>
      </w:r>
      <w:r>
        <w:rPr>
          <w:rFonts w:eastAsia="Times New Roman" w:cs="Times New Roman"/>
          <w:sz w:val="16"/>
          <w:szCs w:val="16"/>
          <w:lang w:eastAsia="en-NZ"/>
        </w:rPr>
        <w:t>A</w:t>
      </w:r>
      <w:r w:rsidRPr="00701EDE">
        <w:rPr>
          <w:rFonts w:eastAsia="Times New Roman" w:cs="Times New Roman"/>
          <w:sz w:val="16"/>
          <w:szCs w:val="16"/>
          <w:lang w:eastAsia="en-NZ"/>
        </w:rPr>
        <w:t xml:space="preserve">rai, T. (2018). Diagnostic performance of digital breast tomosynthesis and full-field digital mammography with new reconstruction and new processing for dose reduction. </w:t>
      </w:r>
      <w:r w:rsidRPr="00701EDE">
        <w:rPr>
          <w:rFonts w:eastAsia="Times New Roman" w:cs="Times New Roman"/>
          <w:i/>
          <w:iCs/>
          <w:sz w:val="16"/>
          <w:szCs w:val="16"/>
          <w:lang w:eastAsia="en-NZ"/>
        </w:rPr>
        <w:t>Breast Cancer (Tokyo, Japan)</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25</w:t>
      </w:r>
      <w:r w:rsidRPr="00701EDE">
        <w:rPr>
          <w:rFonts w:eastAsia="Times New Roman" w:cs="Times New Roman"/>
          <w:sz w:val="16"/>
          <w:szCs w:val="16"/>
          <w:lang w:eastAsia="en-NZ"/>
        </w:rPr>
        <w:t xml:space="preserve">(2), 159–166. </w:t>
      </w:r>
      <w:hyperlink r:id="rId8" w:history="1">
        <w:r w:rsidRPr="00701EDE">
          <w:rPr>
            <w:rFonts w:eastAsia="Times New Roman" w:cs="Times New Roman"/>
            <w:color w:val="0000FF"/>
            <w:sz w:val="16"/>
            <w:szCs w:val="16"/>
            <w:u w:val="single"/>
            <w:lang w:eastAsia="en-NZ"/>
          </w:rPr>
          <w:t>https://doi.org/10.1007/s12282-017-0805-9</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Förnvik</w:t>
      </w:r>
      <w:r w:rsidRPr="00701EDE">
        <w:rPr>
          <w:rFonts w:eastAsia="Times New Roman" w:cs="Times New Roman"/>
          <w:sz w:val="16"/>
          <w:szCs w:val="16"/>
          <w:lang w:eastAsia="en-NZ"/>
        </w:rPr>
        <w:t xml:space="preserve"> D, Kataoka M, Iima M, Ohashi A, Kanao S, Toi M,  Togashi K. (2018). The role of breast tomosynthesis in a predominantly dense breast population at a tertiary breast centre: Breast density assessment and diagnostic performance in comparison with MRI. </w:t>
      </w:r>
      <w:r w:rsidRPr="00701EDE">
        <w:rPr>
          <w:rFonts w:eastAsia="Times New Roman" w:cs="Times New Roman"/>
          <w:i/>
          <w:iCs/>
          <w:sz w:val="16"/>
          <w:szCs w:val="16"/>
          <w:lang w:eastAsia="en-NZ"/>
        </w:rPr>
        <w:t>European Radiology</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28</w:t>
      </w:r>
      <w:r w:rsidRPr="00701EDE">
        <w:rPr>
          <w:rFonts w:eastAsia="Times New Roman" w:cs="Times New Roman"/>
          <w:sz w:val="16"/>
          <w:szCs w:val="16"/>
          <w:lang w:eastAsia="en-NZ"/>
        </w:rPr>
        <w:t xml:space="preserve">(8), 3194–3203. </w:t>
      </w:r>
      <w:hyperlink r:id="rId9" w:history="1">
        <w:r w:rsidRPr="00701EDE">
          <w:rPr>
            <w:rFonts w:eastAsia="Times New Roman" w:cs="Times New Roman"/>
            <w:color w:val="0000FF"/>
            <w:sz w:val="16"/>
            <w:szCs w:val="16"/>
            <w:u w:val="single"/>
            <w:lang w:eastAsia="en-NZ"/>
          </w:rPr>
          <w:t>https://doi.org/10.1007/s00330-017-5297-7</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Garayoa</w:t>
      </w:r>
      <w:r w:rsidRPr="00701EDE">
        <w:rPr>
          <w:rFonts w:eastAsia="Times New Roman" w:cs="Times New Roman"/>
          <w:sz w:val="16"/>
          <w:szCs w:val="16"/>
          <w:lang w:eastAsia="en-NZ"/>
        </w:rPr>
        <w:t xml:space="preserve"> J, Chevalier M, Castillo M, Mahillo-Fernández I, Amallal El Ouahabi N, Estrada C, Valverde J. (2018). Diagnostic value of the stand-alone synthetic image in digital breast tomosynthesis examinations. </w:t>
      </w:r>
      <w:r w:rsidRPr="00701EDE">
        <w:rPr>
          <w:rFonts w:eastAsia="Times New Roman" w:cs="Times New Roman"/>
          <w:i/>
          <w:iCs/>
          <w:sz w:val="16"/>
          <w:szCs w:val="16"/>
          <w:lang w:eastAsia="en-NZ"/>
        </w:rPr>
        <w:t>European Radiology</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28</w:t>
      </w:r>
      <w:r w:rsidRPr="00701EDE">
        <w:rPr>
          <w:rFonts w:eastAsia="Times New Roman" w:cs="Times New Roman"/>
          <w:sz w:val="16"/>
          <w:szCs w:val="16"/>
          <w:lang w:eastAsia="en-NZ"/>
        </w:rPr>
        <w:t xml:space="preserve">(2), 565–572. </w:t>
      </w:r>
      <w:hyperlink r:id="rId10" w:history="1">
        <w:r w:rsidRPr="00701EDE">
          <w:rPr>
            <w:rStyle w:val="Hyperlink"/>
            <w:rFonts w:eastAsia="Times New Roman" w:cs="Times New Roman"/>
            <w:sz w:val="16"/>
            <w:szCs w:val="16"/>
            <w:lang w:eastAsia="en-NZ"/>
          </w:rPr>
          <w:t>https://doi.org/10.1007/s00330-017-4991-9</w:t>
        </w:r>
      </w:hyperlink>
      <w:r>
        <w:rPr>
          <w:rFonts w:eastAsia="Times New Roman" w:cs="Times New Roman"/>
          <w:color w:val="0000FF"/>
          <w:sz w:val="16"/>
          <w:szCs w:val="16"/>
          <w:u w:val="single"/>
          <w:lang w:eastAsia="en-NZ"/>
        </w:rPr>
        <w:t xml:space="preserve">; </w:t>
      </w:r>
      <w:r w:rsidRPr="00701EDE">
        <w:rPr>
          <w:rFonts w:eastAsia="Times New Roman" w:cs="Times New Roman"/>
          <w:b/>
          <w:bCs/>
          <w:sz w:val="16"/>
          <w:szCs w:val="16"/>
          <w:lang w:eastAsia="en-NZ"/>
        </w:rPr>
        <w:t>Heywang-Köbrunner</w:t>
      </w:r>
      <w:r w:rsidRPr="00701EDE">
        <w:rPr>
          <w:rFonts w:eastAsia="Times New Roman" w:cs="Times New Roman"/>
          <w:sz w:val="16"/>
          <w:szCs w:val="16"/>
          <w:lang w:eastAsia="en-NZ"/>
        </w:rPr>
        <w:t xml:space="preserve"> SH, Hacker A, Jänsch A, Kates R, Wulz-Horber S, German Reader Team. (2018). Use of single-view digital breast tomosynthesis (DBT) and ultrasound vs. Additional views and ultrasound for the assessment of screen-detected abnormalities: German multi-reader study. </w:t>
      </w:r>
      <w:r w:rsidRPr="00701EDE">
        <w:rPr>
          <w:rFonts w:eastAsia="Times New Roman" w:cs="Times New Roman"/>
          <w:i/>
          <w:iCs/>
          <w:sz w:val="16"/>
          <w:szCs w:val="16"/>
          <w:lang w:eastAsia="en-NZ"/>
        </w:rPr>
        <w:t>Acta Radiologica (Stockholm, Sweden: 1987)</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59</w:t>
      </w:r>
      <w:r w:rsidRPr="00701EDE">
        <w:rPr>
          <w:rFonts w:eastAsia="Times New Roman" w:cs="Times New Roman"/>
          <w:sz w:val="16"/>
          <w:szCs w:val="16"/>
          <w:lang w:eastAsia="en-NZ"/>
        </w:rPr>
        <w:t xml:space="preserve">(7), 782–788. </w:t>
      </w:r>
      <w:hyperlink r:id="rId11" w:history="1">
        <w:r w:rsidRPr="00701EDE">
          <w:rPr>
            <w:rFonts w:eastAsia="Times New Roman" w:cs="Times New Roman"/>
            <w:color w:val="0000FF"/>
            <w:sz w:val="16"/>
            <w:szCs w:val="16"/>
            <w:u w:val="single"/>
            <w:lang w:eastAsia="en-NZ"/>
          </w:rPr>
          <w:t>https://doi.org/10.1177/0284185117732600</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Houssami</w:t>
      </w:r>
      <w:r w:rsidRPr="00701EDE">
        <w:rPr>
          <w:rFonts w:eastAsia="Times New Roman" w:cs="Times New Roman"/>
          <w:sz w:val="16"/>
          <w:szCs w:val="16"/>
          <w:lang w:eastAsia="en-NZ"/>
        </w:rPr>
        <w:t xml:space="preserve"> N. (2018). Evidence on Synthesized Two-dimensional Mammography Versus Digital Mammography When Using Tomosynthesis (Three-dimensional Mammography) for Population Breast Cancer Screening. </w:t>
      </w:r>
      <w:r w:rsidRPr="00701EDE">
        <w:rPr>
          <w:rFonts w:eastAsia="Times New Roman" w:cs="Times New Roman"/>
          <w:i/>
          <w:iCs/>
          <w:sz w:val="16"/>
          <w:szCs w:val="16"/>
          <w:lang w:eastAsia="en-NZ"/>
        </w:rPr>
        <w:t>Clinical Breast Cancer</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18</w:t>
      </w:r>
      <w:r w:rsidRPr="00701EDE">
        <w:rPr>
          <w:rFonts w:eastAsia="Times New Roman" w:cs="Times New Roman"/>
          <w:sz w:val="16"/>
          <w:szCs w:val="16"/>
          <w:lang w:eastAsia="en-NZ"/>
        </w:rPr>
        <w:t xml:space="preserve">(4), 255-260.e1. </w:t>
      </w:r>
      <w:hyperlink r:id="rId12" w:history="1">
        <w:r w:rsidRPr="00701EDE">
          <w:rPr>
            <w:rStyle w:val="Hyperlink"/>
            <w:rFonts w:eastAsia="Times New Roman" w:cs="Times New Roman"/>
            <w:sz w:val="16"/>
            <w:szCs w:val="16"/>
            <w:lang w:eastAsia="en-NZ"/>
          </w:rPr>
          <w:t>https://doi.org/10.1016/j.clbc.2017.09.012</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Michell</w:t>
      </w:r>
      <w:r w:rsidRPr="00701EDE">
        <w:rPr>
          <w:rFonts w:eastAsia="Times New Roman" w:cs="Times New Roman"/>
          <w:sz w:val="16"/>
          <w:szCs w:val="16"/>
          <w:lang w:eastAsia="en-NZ"/>
        </w:rPr>
        <w:t xml:space="preserve"> M</w:t>
      </w:r>
      <w:r>
        <w:rPr>
          <w:rFonts w:eastAsia="Times New Roman" w:cs="Times New Roman"/>
          <w:sz w:val="16"/>
          <w:szCs w:val="16"/>
          <w:lang w:eastAsia="en-NZ"/>
        </w:rPr>
        <w:t>J,</w:t>
      </w:r>
      <w:r w:rsidRPr="00701EDE">
        <w:rPr>
          <w:rFonts w:eastAsia="Times New Roman" w:cs="Times New Roman"/>
          <w:sz w:val="16"/>
          <w:szCs w:val="16"/>
          <w:lang w:eastAsia="en-NZ"/>
        </w:rPr>
        <w:t xml:space="preserve"> Batohi B. (2018). Role of tomosynthesis in breast imaging going forward. </w:t>
      </w:r>
      <w:r w:rsidRPr="00701EDE">
        <w:rPr>
          <w:rFonts w:eastAsia="Times New Roman" w:cs="Times New Roman"/>
          <w:i/>
          <w:iCs/>
          <w:sz w:val="16"/>
          <w:szCs w:val="16"/>
          <w:lang w:eastAsia="en-NZ"/>
        </w:rPr>
        <w:t>Clinical Radiology</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73</w:t>
      </w:r>
      <w:r w:rsidRPr="00701EDE">
        <w:rPr>
          <w:rFonts w:eastAsia="Times New Roman" w:cs="Times New Roman"/>
          <w:sz w:val="16"/>
          <w:szCs w:val="16"/>
          <w:lang w:eastAsia="en-NZ"/>
        </w:rPr>
        <w:t xml:space="preserve">(4), 358–371. </w:t>
      </w:r>
      <w:hyperlink r:id="rId13" w:history="1">
        <w:r w:rsidRPr="00701EDE">
          <w:rPr>
            <w:rFonts w:eastAsia="Times New Roman" w:cs="Times New Roman"/>
            <w:color w:val="0000FF"/>
            <w:sz w:val="16"/>
            <w:szCs w:val="16"/>
            <w:u w:val="single"/>
            <w:lang w:eastAsia="en-NZ"/>
          </w:rPr>
          <w:t>https://doi.org/10.1016/j.crad.2018.01.001</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Pan</w:t>
      </w:r>
      <w:r w:rsidRPr="00701EDE">
        <w:rPr>
          <w:rFonts w:eastAsia="Times New Roman" w:cs="Times New Roman"/>
          <w:sz w:val="16"/>
          <w:szCs w:val="16"/>
          <w:lang w:eastAsia="en-NZ"/>
        </w:rPr>
        <w:t xml:space="preserve"> HB, Wong KF, Yao A, Hsu GC, Chou CP, Liang HL,</w:t>
      </w:r>
      <w:r>
        <w:rPr>
          <w:rFonts w:eastAsia="Times New Roman" w:cs="Times New Roman"/>
          <w:sz w:val="16"/>
          <w:szCs w:val="16"/>
          <w:lang w:eastAsia="en-NZ"/>
        </w:rPr>
        <w:t xml:space="preserve"> </w:t>
      </w:r>
      <w:r w:rsidRPr="00701EDE">
        <w:rPr>
          <w:rFonts w:eastAsia="Times New Roman" w:cs="Times New Roman"/>
          <w:sz w:val="16"/>
          <w:szCs w:val="16"/>
          <w:lang w:eastAsia="en-NZ"/>
        </w:rPr>
        <w:t xml:space="preserve">Yang TL. (2018). Breast cancer screening with digital breast tomosynthesis—4 year experience and comparison with national data. </w:t>
      </w:r>
      <w:r w:rsidRPr="00701EDE">
        <w:rPr>
          <w:rFonts w:eastAsia="Times New Roman" w:cs="Times New Roman"/>
          <w:i/>
          <w:iCs/>
          <w:sz w:val="16"/>
          <w:szCs w:val="16"/>
          <w:lang w:eastAsia="en-NZ"/>
        </w:rPr>
        <w:t>Journal Of The Chinese Medical Association: JCMA</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81</w:t>
      </w:r>
      <w:r w:rsidRPr="00701EDE">
        <w:rPr>
          <w:rFonts w:eastAsia="Times New Roman" w:cs="Times New Roman"/>
          <w:sz w:val="16"/>
          <w:szCs w:val="16"/>
          <w:lang w:eastAsia="en-NZ"/>
        </w:rPr>
        <w:t xml:space="preserve">(1), 70–80. </w:t>
      </w:r>
      <w:hyperlink r:id="rId14" w:history="1">
        <w:r w:rsidRPr="00701EDE">
          <w:rPr>
            <w:rFonts w:eastAsia="Times New Roman" w:cs="Times New Roman"/>
            <w:color w:val="0000FF"/>
            <w:sz w:val="16"/>
            <w:szCs w:val="16"/>
            <w:u w:val="single"/>
            <w:lang w:eastAsia="en-NZ"/>
          </w:rPr>
          <w:t>https://doi.org/10.1016/j.jcma.2017.05.013</w:t>
        </w:r>
      </w:hyperlink>
      <w:r>
        <w:rPr>
          <w:rFonts w:eastAsia="Times New Roman" w:cs="Times New Roman"/>
          <w:sz w:val="16"/>
          <w:szCs w:val="16"/>
          <w:lang w:eastAsia="en-NZ"/>
        </w:rPr>
        <w:t xml:space="preserve">; </w:t>
      </w:r>
      <w:r w:rsidRPr="00701EDE">
        <w:rPr>
          <w:rFonts w:eastAsia="Times New Roman" w:cs="Times New Roman"/>
          <w:b/>
          <w:bCs/>
          <w:sz w:val="16"/>
          <w:szCs w:val="16"/>
          <w:lang w:eastAsia="en-NZ"/>
        </w:rPr>
        <w:t>Rodriguez-Ruiz</w:t>
      </w:r>
      <w:r w:rsidRPr="00701EDE">
        <w:rPr>
          <w:rFonts w:eastAsia="Times New Roman" w:cs="Times New Roman"/>
          <w:sz w:val="16"/>
          <w:szCs w:val="16"/>
          <w:lang w:eastAsia="en-NZ"/>
        </w:rPr>
        <w:t xml:space="preserve"> A, Gubern-Merida A, Imhof-Tas M, Lardenoije S, Wanders AJT, Andersson I, Sechopoulos I. (2018). One-view digital breast tomosynthesis as a stand-alone modality for breast cancer detection: Do we need more? </w:t>
      </w:r>
      <w:r w:rsidRPr="00701EDE">
        <w:rPr>
          <w:rFonts w:eastAsia="Times New Roman" w:cs="Times New Roman"/>
          <w:i/>
          <w:iCs/>
          <w:sz w:val="16"/>
          <w:szCs w:val="16"/>
          <w:lang w:eastAsia="en-NZ"/>
        </w:rPr>
        <w:t>European Radiology</w:t>
      </w:r>
      <w:r w:rsidRPr="00701EDE">
        <w:rPr>
          <w:rFonts w:eastAsia="Times New Roman" w:cs="Times New Roman"/>
          <w:sz w:val="16"/>
          <w:szCs w:val="16"/>
          <w:lang w:eastAsia="en-NZ"/>
        </w:rPr>
        <w:t xml:space="preserve">, </w:t>
      </w:r>
      <w:r w:rsidRPr="00701EDE">
        <w:rPr>
          <w:rFonts w:eastAsia="Times New Roman" w:cs="Times New Roman"/>
          <w:i/>
          <w:iCs/>
          <w:sz w:val="16"/>
          <w:szCs w:val="16"/>
          <w:lang w:eastAsia="en-NZ"/>
        </w:rPr>
        <w:t>28</w:t>
      </w:r>
      <w:r w:rsidRPr="00701EDE">
        <w:rPr>
          <w:rFonts w:eastAsia="Times New Roman" w:cs="Times New Roman"/>
          <w:sz w:val="16"/>
          <w:szCs w:val="16"/>
          <w:lang w:eastAsia="en-NZ"/>
        </w:rPr>
        <w:t xml:space="preserve">(5), 1938–1948. </w:t>
      </w:r>
      <w:hyperlink r:id="rId15" w:history="1">
        <w:r w:rsidRPr="00701EDE">
          <w:rPr>
            <w:rFonts w:eastAsia="Times New Roman" w:cs="Times New Roman"/>
            <w:color w:val="0000FF"/>
            <w:sz w:val="16"/>
            <w:szCs w:val="16"/>
            <w:u w:val="single"/>
            <w:lang w:eastAsia="en-NZ"/>
          </w:rPr>
          <w:t>https://doi.org/10.1007/s00330-017-5167-3</w:t>
        </w:r>
      </w:hyperlink>
      <w:r>
        <w:rPr>
          <w:rFonts w:eastAsia="Times New Roman" w:cs="Times New Roman"/>
          <w:sz w:val="16"/>
          <w:szCs w:val="16"/>
          <w:lang w:eastAsia="en-NZ"/>
        </w:rPr>
        <w:t xml:space="preserve">; </w:t>
      </w:r>
    </w:p>
  </w:footnote>
  <w:footnote w:id="11">
    <w:p w14:paraId="7587F1C1" w14:textId="352FC2DD" w:rsidR="00387823" w:rsidRDefault="00387823" w:rsidP="00445865">
      <w:pPr>
        <w:pStyle w:val="FootnoteText"/>
      </w:pPr>
      <w:r>
        <w:rPr>
          <w:rStyle w:val="FootnoteReference"/>
        </w:rPr>
        <w:footnoteRef/>
      </w:r>
      <w:r>
        <w:t xml:space="preserve"> The Malmö trial compared one view DBT (DBT</w:t>
      </w:r>
      <w:r>
        <w:rPr>
          <w:vertAlign w:val="subscript"/>
        </w:rPr>
        <w:t>MLO)</w:t>
      </w:r>
      <w:r>
        <w:t xml:space="preserve"> to FFDM. The STORM trial compared FFDM to FFDM+DBT. The STORM-2 trial compared FFDM to FFDM+DBT and DBT+s2DM.</w:t>
      </w:r>
    </w:p>
  </w:footnote>
  <w:footnote w:id="12">
    <w:p w14:paraId="5807EF6E" w14:textId="0E9EDAB3" w:rsidR="00387823" w:rsidRDefault="00387823" w:rsidP="00A03872">
      <w:pPr>
        <w:pStyle w:val="FootnoteText"/>
      </w:pPr>
      <w:r>
        <w:rPr>
          <w:rStyle w:val="FootnoteReference"/>
        </w:rPr>
        <w:footnoteRef/>
      </w:r>
      <w:r>
        <w:t xml:space="preserve"> Although the CDR data presented in Marinovich et al.’s 2018 paper is the data for FFDM and FFDM+DBT imaging. The s2DM results are not included.</w:t>
      </w:r>
    </w:p>
  </w:footnote>
  <w:footnote w:id="13">
    <w:p w14:paraId="2B90E425" w14:textId="4DF16AF6" w:rsidR="00387823" w:rsidRDefault="00387823" w:rsidP="00A03872">
      <w:pPr>
        <w:pStyle w:val="FootnoteText"/>
      </w:pPr>
      <w:r>
        <w:rPr>
          <w:rStyle w:val="FootnoteReference"/>
        </w:rPr>
        <w:footnoteRef/>
      </w:r>
      <w:r>
        <w:t xml:space="preserve"> This includes the To-Be-1 RCT, Maroond1ah</w:t>
      </w:r>
    </w:p>
  </w:footnote>
  <w:footnote w:id="14">
    <w:p w14:paraId="473FC40D" w14:textId="075EA666" w:rsidR="00387823" w:rsidRDefault="00387823" w:rsidP="00A03872">
      <w:pPr>
        <w:pStyle w:val="FootnoteText"/>
      </w:pPr>
      <w:r>
        <w:rPr>
          <w:rStyle w:val="FootnoteReference"/>
        </w:rPr>
        <w:footnoteRef/>
      </w:r>
      <w:r>
        <w:t xml:space="preserve"> This includes tubular, cribriform and mucinous types (Maroondah); tubular and other not described (Malmö)</w:t>
      </w:r>
    </w:p>
  </w:footnote>
  <w:footnote w:id="15">
    <w:p w14:paraId="40E26379" w14:textId="488EFFBC" w:rsidR="00387823" w:rsidRDefault="00387823" w:rsidP="00A03872">
      <w:pPr>
        <w:pStyle w:val="FootnoteText"/>
      </w:pPr>
      <w:r>
        <w:rPr>
          <w:rStyle w:val="FootnoteReference"/>
        </w:rPr>
        <w:footnoteRef/>
      </w:r>
      <w:r>
        <w:t xml:space="preserve"> None of the OR calculated for the differences between cancer type by screening protocol were significant.</w:t>
      </w:r>
    </w:p>
  </w:footnote>
  <w:footnote w:id="16">
    <w:p w14:paraId="6CADD4EE" w14:textId="4F0C1FFA" w:rsidR="00387823" w:rsidRPr="00A03872" w:rsidRDefault="00387823" w:rsidP="00A03872">
      <w:pPr>
        <w:pStyle w:val="FootnoteText"/>
      </w:pPr>
      <w:r w:rsidRPr="00A03872">
        <w:rPr>
          <w:rStyle w:val="FootnoteReference"/>
        </w:rPr>
        <w:footnoteRef/>
      </w:r>
      <w:r w:rsidRPr="00A03872">
        <w:t xml:space="preserve"> </w:t>
      </w:r>
      <w:r>
        <w:t>F</w:t>
      </w:r>
      <w:r w:rsidRPr="00A03872">
        <w:t>igures are the number of additional cancers detected with</w:t>
      </w:r>
      <w:r>
        <w:t xml:space="preserve"> DBT</w:t>
      </w:r>
      <w:r>
        <w:rPr>
          <w:vertAlign w:val="subscript"/>
        </w:rPr>
        <w:t>MLO</w:t>
      </w:r>
      <w:r>
        <w:t xml:space="preserve"> compared to the number of cancers detected in the DM arm (i.e., the cancers only detected by DBT compared to the cancers detected by FFDM).</w:t>
      </w:r>
    </w:p>
  </w:footnote>
  <w:footnote w:id="17">
    <w:p w14:paraId="4BACE8B0" w14:textId="4C92AC83" w:rsidR="00387823" w:rsidRDefault="00387823" w:rsidP="00A03872">
      <w:pPr>
        <w:pStyle w:val="FootnoteText"/>
      </w:pPr>
      <w:r>
        <w:rPr>
          <w:rStyle w:val="FootnoteReference"/>
        </w:rPr>
        <w:footnoteRef/>
      </w:r>
      <w:r>
        <w:t xml:space="preserve"> Receptors include oestrogen and progesterone receptors (OR and ER respectively). A key protein involved in growth of cancer is the human epidermal growth factor receptor 2 (HER-2). Oestrogen, progesterone and HER-2 stimulate cell growth and are important contributors to the aggressiveness of cancers. There are a range of treatments for many hormone-sensitive cancers which positively affect prognosis. A triple negative cancer (ER-,PR-, HER-2-) does not respond to these treatments and may have a poorer prognosis.</w:t>
      </w:r>
    </w:p>
  </w:footnote>
  <w:footnote w:id="18">
    <w:p w14:paraId="4E989A0D" w14:textId="4CF62B25" w:rsidR="00387823" w:rsidRDefault="00387823" w:rsidP="00A03872">
      <w:pPr>
        <w:pStyle w:val="FootnoteText"/>
      </w:pPr>
      <w:r>
        <w:rPr>
          <w:rStyle w:val="FootnoteReference"/>
        </w:rPr>
        <w:footnoteRef/>
      </w:r>
      <w:r>
        <w:t xml:space="preserve"> </w:t>
      </w:r>
      <w:r w:rsidRPr="00F50906">
        <w:t>Ki</w:t>
      </w:r>
      <w:r>
        <w:t>6</w:t>
      </w:r>
      <w:r w:rsidRPr="00F50906">
        <w:t>7</w:t>
      </w:r>
      <w:r>
        <w:t xml:space="preserve"> is a biopsy-based laboratory test that uses the presence of Ki67 protein to determine the aggressiveness of a cancer. Large amounts of Ki67 indicate faster cell proliferation. Results over 20% indicate a more aggressive tumour but studies reported different cut-off ranges (eg, </w:t>
      </w:r>
      <w:r>
        <w:rPr>
          <w:u w:val="single"/>
        </w:rPr>
        <w:t>&lt;</w:t>
      </w:r>
      <w:r>
        <w:t xml:space="preserve">20% or </w:t>
      </w:r>
      <w:r>
        <w:rPr>
          <w:u w:val="single"/>
        </w:rPr>
        <w:t>&lt;</w:t>
      </w:r>
      <w:r>
        <w:t>30%)</w:t>
      </w:r>
      <w:r>
        <w:rPr>
          <w:rFonts w:ascii="PT Serif" w:hAnsi="PT Serif"/>
          <w:color w:val="4D4D4D"/>
          <w:sz w:val="23"/>
          <w:szCs w:val="23"/>
          <w:shd w:val="clear" w:color="auto" w:fill="FFFFFF"/>
        </w:rPr>
        <w:t xml:space="preserve">. </w:t>
      </w:r>
    </w:p>
  </w:footnote>
  <w:footnote w:id="19">
    <w:p w14:paraId="3C31F02C" w14:textId="77777777" w:rsidR="00387823" w:rsidRDefault="00387823" w:rsidP="0096179A">
      <w:pPr>
        <w:pStyle w:val="FootnoteText"/>
      </w:pPr>
      <w:r>
        <w:rPr>
          <w:rStyle w:val="FootnoteReference"/>
        </w:rPr>
        <w:footnoteRef/>
      </w:r>
      <w:r>
        <w:t xml:space="preserve"> Indicates the number of FP recalls increased (↑) or decreased (↓) to the additional number of breast cancers detected by integrating 3D with 2D mammography for breast screening.</w:t>
      </w:r>
    </w:p>
  </w:footnote>
  <w:footnote w:id="20">
    <w:p w14:paraId="62D78C64" w14:textId="77777777" w:rsidR="00387823" w:rsidRDefault="00387823" w:rsidP="0096179A">
      <w:pPr>
        <w:pStyle w:val="FootnoteText"/>
      </w:pPr>
      <w:r>
        <w:rPr>
          <w:rStyle w:val="FootnoteReference"/>
        </w:rPr>
        <w:footnoteRef/>
      </w:r>
      <w:r>
        <w:t xml:space="preserve"> </w:t>
      </w:r>
      <w:r w:rsidRPr="005E4615">
        <w:t>Indicates the number of FP recalls increased (↑) or decreased (↓) to the additional number of breast cancers detected by integrating 3D with synthesised 2D mammography for breast screening.</w:t>
      </w:r>
    </w:p>
  </w:footnote>
  <w:footnote w:id="21">
    <w:p w14:paraId="3FEA5ED8" w14:textId="77777777" w:rsidR="00387823" w:rsidRPr="00246947" w:rsidRDefault="00387823" w:rsidP="0096179A">
      <w:pPr>
        <w:spacing w:after="0" w:line="240" w:lineRule="auto"/>
        <w:jc w:val="both"/>
        <w:rPr>
          <w:sz w:val="16"/>
          <w:szCs w:val="16"/>
        </w:rPr>
      </w:pPr>
      <w:r w:rsidRPr="00246947">
        <w:rPr>
          <w:rStyle w:val="FootnoteReference"/>
          <w:sz w:val="16"/>
          <w:szCs w:val="16"/>
        </w:rPr>
        <w:footnoteRef/>
      </w:r>
      <w:r w:rsidRPr="00246947">
        <w:rPr>
          <w:sz w:val="16"/>
          <w:szCs w:val="16"/>
        </w:rPr>
        <w:t xml:space="preserve"> FFDM compared to FFDM+DBT: Reader-adjusted difference -1.2% (95%CI: -1.7,-0.7%; </w:t>
      </w:r>
      <w:r w:rsidRPr="00246947">
        <w:rPr>
          <w:i/>
          <w:iCs/>
          <w:sz w:val="16"/>
          <w:szCs w:val="16"/>
        </w:rPr>
        <w:t>p</w:t>
      </w:r>
      <w:r w:rsidRPr="00246947">
        <w:rPr>
          <w:sz w:val="16"/>
          <w:szCs w:val="16"/>
        </w:rPr>
        <w:t>&lt;.001).</w:t>
      </w:r>
    </w:p>
  </w:footnote>
  <w:footnote w:id="22">
    <w:p w14:paraId="1D454882" w14:textId="705C140D" w:rsidR="00387823" w:rsidRPr="00246947" w:rsidRDefault="00387823" w:rsidP="0096179A">
      <w:pPr>
        <w:spacing w:after="0" w:line="240" w:lineRule="auto"/>
        <w:jc w:val="both"/>
        <w:rPr>
          <w:sz w:val="16"/>
          <w:szCs w:val="16"/>
        </w:rPr>
      </w:pPr>
      <w:r w:rsidRPr="00246947">
        <w:rPr>
          <w:rStyle w:val="FootnoteReference"/>
          <w:sz w:val="16"/>
          <w:szCs w:val="16"/>
        </w:rPr>
        <w:footnoteRef/>
      </w:r>
      <w:r w:rsidRPr="00246947">
        <w:rPr>
          <w:sz w:val="16"/>
          <w:szCs w:val="16"/>
        </w:rPr>
        <w:t xml:space="preserve"> FFDM compared to FFDM+CAD: Small and not significant (not stated). </w:t>
      </w:r>
    </w:p>
  </w:footnote>
  <w:footnote w:id="23">
    <w:p w14:paraId="05FB5402" w14:textId="77777777" w:rsidR="00387823" w:rsidRPr="00246947" w:rsidRDefault="00387823" w:rsidP="0096179A">
      <w:pPr>
        <w:spacing w:after="0" w:line="240" w:lineRule="auto"/>
        <w:jc w:val="both"/>
        <w:rPr>
          <w:sz w:val="16"/>
          <w:szCs w:val="16"/>
        </w:rPr>
      </w:pPr>
      <w:r w:rsidRPr="00246947">
        <w:rPr>
          <w:rStyle w:val="FootnoteReference"/>
          <w:sz w:val="16"/>
          <w:szCs w:val="16"/>
        </w:rPr>
        <w:footnoteRef/>
      </w:r>
      <w:r w:rsidRPr="00246947">
        <w:rPr>
          <w:sz w:val="16"/>
          <w:szCs w:val="16"/>
        </w:rPr>
        <w:t xml:space="preserve"> FFDM+DBT compared to DBT+s2DM: Reader-adjusted difference 1.0%(95% CI: -6.2%, 8.5%; </w:t>
      </w:r>
      <w:r w:rsidRPr="00FA7913">
        <w:rPr>
          <w:i/>
          <w:iCs/>
          <w:sz w:val="16"/>
          <w:szCs w:val="16"/>
        </w:rPr>
        <w:t>p</w:t>
      </w:r>
      <w:r w:rsidRPr="00246947">
        <w:rPr>
          <w:sz w:val="16"/>
          <w:szCs w:val="16"/>
        </w:rPr>
        <w:t>=.77)</w:t>
      </w:r>
    </w:p>
  </w:footnote>
  <w:footnote w:id="24">
    <w:p w14:paraId="15D28DB9" w14:textId="77777777" w:rsidR="00387823" w:rsidRDefault="00387823" w:rsidP="0096179A">
      <w:pPr>
        <w:pStyle w:val="BodyText"/>
        <w:spacing w:before="0" w:after="0" w:line="240" w:lineRule="auto"/>
      </w:pPr>
      <w:r w:rsidRPr="00246947">
        <w:rPr>
          <w:rStyle w:val="FootnoteReference"/>
          <w:sz w:val="16"/>
          <w:szCs w:val="16"/>
        </w:rPr>
        <w:footnoteRef/>
      </w:r>
      <w:r w:rsidRPr="00246947">
        <w:rPr>
          <w:sz w:val="16"/>
          <w:szCs w:val="16"/>
        </w:rPr>
        <w:t xml:space="preserve"> </w:t>
      </w:r>
      <w:r w:rsidRPr="00246947">
        <w:rPr>
          <w:rFonts w:cs="AGaramondPro-Regular"/>
          <w:sz w:val="16"/>
          <w:szCs w:val="16"/>
        </w:rPr>
        <w:t xml:space="preserve">FFDM Double compared to FFDM+DBT: Reader-adjusted difference 4.7%, 5.0% and 5.0% respectfully and a difference of -0.3% (95%: -0.8%, 0.2%; </w:t>
      </w:r>
      <w:r w:rsidRPr="00FA7913">
        <w:rPr>
          <w:rFonts w:cs="AGaramondPro-Regular"/>
          <w:i/>
          <w:iCs/>
          <w:sz w:val="16"/>
          <w:szCs w:val="16"/>
        </w:rPr>
        <w:t>p</w:t>
      </w:r>
      <w:r w:rsidRPr="00246947">
        <w:rPr>
          <w:rFonts w:cs="AGaramondPro-Regular"/>
          <w:sz w:val="16"/>
          <w:szCs w:val="16"/>
        </w:rPr>
        <w:t>=.23)</w:t>
      </w:r>
    </w:p>
  </w:footnote>
  <w:footnote w:id="25">
    <w:p w14:paraId="7492A2ED" w14:textId="42C2D9A6" w:rsidR="00387823" w:rsidRPr="00B47873" w:rsidRDefault="00387823" w:rsidP="005866B2">
      <w:pPr>
        <w:spacing w:after="0" w:line="240" w:lineRule="auto"/>
        <w:jc w:val="both"/>
        <w:rPr>
          <w:sz w:val="16"/>
          <w:szCs w:val="16"/>
        </w:rPr>
      </w:pPr>
      <w:r w:rsidRPr="00B47873">
        <w:rPr>
          <w:rStyle w:val="FootnoteReference"/>
          <w:sz w:val="16"/>
          <w:szCs w:val="16"/>
        </w:rPr>
        <w:footnoteRef/>
      </w:r>
      <w:r w:rsidRPr="00B47873">
        <w:rPr>
          <w:sz w:val="16"/>
          <w:szCs w:val="16"/>
        </w:rPr>
        <w:t xml:space="preserve"> Reader-adjusted difference in FPF of 21.2 percent (95%CI: 21.7</w:t>
      </w:r>
      <w:r>
        <w:rPr>
          <w:sz w:val="16"/>
          <w:szCs w:val="16"/>
        </w:rPr>
        <w:t xml:space="preserve">, </w:t>
      </w:r>
      <w:r w:rsidRPr="00B47873">
        <w:rPr>
          <w:sz w:val="16"/>
          <w:szCs w:val="16"/>
        </w:rPr>
        <w:t xml:space="preserve">20.7; </w:t>
      </w:r>
      <w:r w:rsidRPr="00B47873">
        <w:rPr>
          <w:i/>
          <w:iCs/>
          <w:sz w:val="16"/>
          <w:szCs w:val="16"/>
        </w:rPr>
        <w:t>p</w:t>
      </w:r>
      <w:r w:rsidRPr="00B47873">
        <w:rPr>
          <w:sz w:val="16"/>
          <w:szCs w:val="16"/>
        </w:rPr>
        <w:t>&lt;.001).</w:t>
      </w:r>
    </w:p>
  </w:footnote>
  <w:footnote w:id="26">
    <w:p w14:paraId="3881560F" w14:textId="3CF0777C" w:rsidR="00387823" w:rsidRPr="00B47873" w:rsidRDefault="00387823" w:rsidP="005866B2">
      <w:pPr>
        <w:spacing w:after="0" w:line="240" w:lineRule="auto"/>
        <w:jc w:val="both"/>
        <w:rPr>
          <w:sz w:val="16"/>
          <w:szCs w:val="16"/>
        </w:rPr>
      </w:pPr>
      <w:r w:rsidRPr="00B47873">
        <w:rPr>
          <w:rStyle w:val="FootnoteReference"/>
          <w:sz w:val="16"/>
          <w:szCs w:val="16"/>
        </w:rPr>
        <w:footnoteRef/>
      </w:r>
      <w:r w:rsidRPr="00B47873">
        <w:rPr>
          <w:sz w:val="16"/>
          <w:szCs w:val="16"/>
        </w:rPr>
        <w:t xml:space="preserve">  Reader-adjusted difference in FPF 0.2</w:t>
      </w:r>
      <w:r>
        <w:rPr>
          <w:sz w:val="16"/>
          <w:szCs w:val="16"/>
        </w:rPr>
        <w:t xml:space="preserve"> percent</w:t>
      </w:r>
      <w:r w:rsidRPr="00B47873">
        <w:rPr>
          <w:sz w:val="16"/>
          <w:szCs w:val="16"/>
        </w:rPr>
        <w:t xml:space="preserve"> (95%CI: 20.3</w:t>
      </w:r>
      <w:r>
        <w:rPr>
          <w:sz w:val="16"/>
          <w:szCs w:val="16"/>
        </w:rPr>
        <w:t>-</w:t>
      </w:r>
      <w:r w:rsidRPr="00B47873">
        <w:rPr>
          <w:sz w:val="16"/>
          <w:szCs w:val="16"/>
        </w:rPr>
        <w:t xml:space="preserve">0.7; </w:t>
      </w:r>
      <w:r>
        <w:rPr>
          <w:i/>
          <w:iCs/>
          <w:sz w:val="16"/>
          <w:szCs w:val="16"/>
        </w:rPr>
        <w:t>p</w:t>
      </w:r>
      <w:r w:rsidRPr="00B47873">
        <w:rPr>
          <w:sz w:val="16"/>
          <w:szCs w:val="16"/>
        </w:rPr>
        <w:t>=.47).</w:t>
      </w:r>
    </w:p>
  </w:footnote>
  <w:footnote w:id="27">
    <w:p w14:paraId="54CF4FF2" w14:textId="7024AE27" w:rsidR="00387823" w:rsidRPr="00B47873" w:rsidRDefault="00387823" w:rsidP="005866B2">
      <w:pPr>
        <w:spacing w:after="0" w:line="240" w:lineRule="auto"/>
        <w:jc w:val="both"/>
        <w:rPr>
          <w:sz w:val="16"/>
          <w:szCs w:val="16"/>
        </w:rPr>
      </w:pPr>
      <w:r w:rsidRPr="00B47873">
        <w:rPr>
          <w:rStyle w:val="FootnoteReference"/>
          <w:sz w:val="16"/>
          <w:szCs w:val="16"/>
        </w:rPr>
        <w:footnoteRef/>
      </w:r>
      <w:r w:rsidRPr="00B47873">
        <w:rPr>
          <w:sz w:val="16"/>
          <w:szCs w:val="16"/>
        </w:rPr>
        <w:t xml:space="preserve">  Reader-adjusted difference in FPF of 20.3 percent (95%CI: 20.8, </w:t>
      </w:r>
      <w:r w:rsidRPr="00B47873">
        <w:rPr>
          <w:i/>
          <w:iCs/>
          <w:sz w:val="16"/>
          <w:szCs w:val="16"/>
        </w:rPr>
        <w:t>p</w:t>
      </w:r>
      <w:r w:rsidRPr="00B47873">
        <w:rPr>
          <w:sz w:val="16"/>
          <w:szCs w:val="16"/>
        </w:rPr>
        <w:t>=.23).</w:t>
      </w:r>
    </w:p>
  </w:footnote>
  <w:footnote w:id="28">
    <w:p w14:paraId="303AD03B" w14:textId="1B182233" w:rsidR="00387823" w:rsidRPr="00B47873" w:rsidRDefault="00387823" w:rsidP="005866B2">
      <w:pPr>
        <w:pStyle w:val="BodyText"/>
        <w:spacing w:before="0" w:after="0" w:line="240" w:lineRule="auto"/>
        <w:rPr>
          <w:sz w:val="16"/>
          <w:szCs w:val="16"/>
        </w:rPr>
      </w:pPr>
      <w:r w:rsidRPr="00B47873">
        <w:rPr>
          <w:rStyle w:val="FootnoteReference"/>
          <w:sz w:val="16"/>
          <w:szCs w:val="16"/>
        </w:rPr>
        <w:footnoteRef/>
      </w:r>
      <w:r w:rsidRPr="00B47873">
        <w:rPr>
          <w:sz w:val="16"/>
          <w:szCs w:val="16"/>
        </w:rPr>
        <w:t xml:space="preserve"> </w:t>
      </w:r>
      <w:r w:rsidRPr="00B47873">
        <w:rPr>
          <w:rFonts w:ascii="AGaramondPro-Regular" w:hAnsi="AGaramondPro-Regular" w:cs="AGaramondPro-Regular"/>
          <w:sz w:val="16"/>
          <w:szCs w:val="16"/>
        </w:rPr>
        <w:t xml:space="preserve">Reader-adjusted difference of </w:t>
      </w:r>
      <w:r w:rsidRPr="00B47873">
        <w:rPr>
          <w:rFonts w:ascii="Universal-GreekwithMathPi" w:hAnsi="Universal-GreekwithMathPi" w:cs="Universal-GreekwithMathPi"/>
          <w:sz w:val="16"/>
          <w:szCs w:val="16"/>
        </w:rPr>
        <w:t>2</w:t>
      </w:r>
      <w:r w:rsidRPr="00B47873">
        <w:rPr>
          <w:rFonts w:ascii="AGaramondPro-Regular" w:hAnsi="AGaramondPro-Regular" w:cs="AGaramondPro-Regular"/>
          <w:sz w:val="16"/>
          <w:szCs w:val="16"/>
        </w:rPr>
        <w:t xml:space="preserve">1.9% (95%CI: </w:t>
      </w:r>
      <w:r w:rsidRPr="00B47873">
        <w:rPr>
          <w:rFonts w:ascii="Universal-GreekwithMathPi" w:hAnsi="Universal-GreekwithMathPi" w:cs="Universal-GreekwithMathPi"/>
          <w:sz w:val="16"/>
          <w:szCs w:val="16"/>
        </w:rPr>
        <w:t>2</w:t>
      </w:r>
      <w:r w:rsidRPr="00B47873">
        <w:rPr>
          <w:rFonts w:ascii="AGaramondPro-Regular" w:hAnsi="AGaramondPro-Regular" w:cs="AGaramondPro-Regular"/>
          <w:sz w:val="16"/>
          <w:szCs w:val="16"/>
        </w:rPr>
        <w:t xml:space="preserve">2.5, </w:t>
      </w:r>
      <w:r w:rsidRPr="00B47873">
        <w:rPr>
          <w:rFonts w:ascii="Universal-GreekwithMathPi" w:hAnsi="Universal-GreekwithMathPi" w:cs="Universal-GreekwithMathPi"/>
          <w:sz w:val="16"/>
          <w:szCs w:val="16"/>
        </w:rPr>
        <w:t>2</w:t>
      </w:r>
      <w:r w:rsidRPr="00B47873">
        <w:rPr>
          <w:rFonts w:ascii="AGaramondPro-Regular" w:hAnsi="AGaramondPro-Regular" w:cs="AGaramondPro-Regular"/>
          <w:sz w:val="16"/>
          <w:szCs w:val="16"/>
        </w:rPr>
        <w:t xml:space="preserve">1.3; </w:t>
      </w:r>
      <w:r>
        <w:rPr>
          <w:rFonts w:ascii="AGaramondPro-Italic" w:hAnsi="AGaramondPro-Italic" w:cs="AGaramondPro-Italic"/>
          <w:i/>
          <w:iCs/>
          <w:sz w:val="16"/>
          <w:szCs w:val="16"/>
        </w:rPr>
        <w:t>p</w:t>
      </w:r>
      <w:r w:rsidRPr="00B47873">
        <w:rPr>
          <w:rFonts w:ascii="AGaramondPro-Italic" w:hAnsi="AGaramondPro-Italic" w:cs="AGaramondPro-Italic"/>
          <w:i/>
          <w:iCs/>
          <w:sz w:val="16"/>
          <w:szCs w:val="16"/>
        </w:rPr>
        <w:t>&lt;</w:t>
      </w:r>
      <w:r w:rsidRPr="00B47873">
        <w:rPr>
          <w:rFonts w:ascii="AGaramondPro-Regular" w:hAnsi="AGaramondPro-Regular" w:cs="AGaramondPro-Regular"/>
          <w:sz w:val="16"/>
          <w:szCs w:val="16"/>
        </w:rPr>
        <w:t>.001).</w:t>
      </w:r>
    </w:p>
    <w:p w14:paraId="5B532EB0" w14:textId="77777777" w:rsidR="00387823" w:rsidRDefault="00387823" w:rsidP="005866B2">
      <w:pPr>
        <w:pStyle w:val="FootnoteText"/>
      </w:pPr>
    </w:p>
  </w:footnote>
  <w:footnote w:id="29">
    <w:p w14:paraId="23262080" w14:textId="09CA41FB" w:rsidR="00387823" w:rsidRDefault="00387823" w:rsidP="00DC3A2A">
      <w:pPr>
        <w:pStyle w:val="FootnoteText"/>
      </w:pPr>
      <w:r>
        <w:rPr>
          <w:rStyle w:val="FootnoteReference"/>
        </w:rPr>
        <w:footnoteRef/>
      </w:r>
      <w:r>
        <w:t xml:space="preserve"> Skaane et al. (2019) reported on the overall MGD for the OTS study population, stating the following (which are lower than the sub-study population rates reported by Østerås et al. (2019):</w:t>
      </w:r>
    </w:p>
    <w:p w14:paraId="59E49A8A" w14:textId="438412EB" w:rsidR="00387823" w:rsidRPr="00DC3A2A" w:rsidRDefault="00387823" w:rsidP="007E3481">
      <w:pPr>
        <w:pStyle w:val="List-BulletLvl1"/>
        <w:numPr>
          <w:ilvl w:val="0"/>
          <w:numId w:val="13"/>
        </w:numPr>
        <w:spacing w:after="0" w:line="240" w:lineRule="auto"/>
        <w:rPr>
          <w:sz w:val="16"/>
          <w:szCs w:val="16"/>
        </w:rPr>
      </w:pPr>
      <w:r w:rsidRPr="00DC3A2A">
        <w:rPr>
          <w:sz w:val="16"/>
          <w:szCs w:val="16"/>
        </w:rPr>
        <w:t>FFDM MGD: 1.</w:t>
      </w:r>
      <w:r>
        <w:rPr>
          <w:sz w:val="16"/>
          <w:szCs w:val="16"/>
        </w:rPr>
        <w:t>58</w:t>
      </w:r>
      <w:r w:rsidRPr="00DC3A2A">
        <w:rPr>
          <w:sz w:val="16"/>
          <w:szCs w:val="16"/>
        </w:rPr>
        <w:t xml:space="preserve"> mGy</w:t>
      </w:r>
    </w:p>
    <w:p w14:paraId="320976AD" w14:textId="4375AAD5" w:rsidR="00387823" w:rsidRPr="00DC3A2A" w:rsidRDefault="00387823" w:rsidP="007E3481">
      <w:pPr>
        <w:pStyle w:val="List-BulletLvl1"/>
        <w:numPr>
          <w:ilvl w:val="0"/>
          <w:numId w:val="13"/>
        </w:numPr>
        <w:spacing w:after="0" w:line="240" w:lineRule="auto"/>
        <w:rPr>
          <w:sz w:val="16"/>
          <w:szCs w:val="16"/>
        </w:rPr>
      </w:pPr>
      <w:r w:rsidRPr="00DC3A2A">
        <w:rPr>
          <w:sz w:val="16"/>
          <w:szCs w:val="16"/>
        </w:rPr>
        <w:t xml:space="preserve">DBT MGD: </w:t>
      </w:r>
      <w:r>
        <w:rPr>
          <w:sz w:val="16"/>
          <w:szCs w:val="16"/>
        </w:rPr>
        <w:t>1.95</w:t>
      </w:r>
      <w:r w:rsidRPr="00DC3A2A">
        <w:rPr>
          <w:sz w:val="16"/>
          <w:szCs w:val="16"/>
        </w:rPr>
        <w:t xml:space="preserve"> mGy, and</w:t>
      </w:r>
    </w:p>
    <w:p w14:paraId="1EB291CE" w14:textId="3A2391A8" w:rsidR="00387823" w:rsidRDefault="00387823" w:rsidP="007E3481">
      <w:pPr>
        <w:pStyle w:val="FootnoteText"/>
        <w:numPr>
          <w:ilvl w:val="0"/>
          <w:numId w:val="13"/>
        </w:numPr>
      </w:pPr>
      <w:r w:rsidRPr="00DC3A2A">
        <w:t>FFDM+DBT MGD: 3.</w:t>
      </w:r>
      <w:r>
        <w:t>53</w:t>
      </w:r>
      <w:r w:rsidRPr="00DC3A2A">
        <w:t xml:space="preserve"> mGy</w:t>
      </w:r>
      <w:r>
        <w:t>.</w:t>
      </w:r>
    </w:p>
  </w:footnote>
  <w:footnote w:id="30">
    <w:p w14:paraId="70C5933D" w14:textId="77777777" w:rsidR="00387823" w:rsidRDefault="00387823" w:rsidP="00161844">
      <w:pPr>
        <w:pStyle w:val="FootnoteText"/>
      </w:pPr>
      <w:r>
        <w:rPr>
          <w:rStyle w:val="FootnoteReference"/>
        </w:rPr>
        <w:footnoteRef/>
      </w:r>
      <w:r>
        <w:t xml:space="preserve"> C</w:t>
      </w:r>
      <w:r w:rsidRPr="005B6DA6">
        <w:t>ompression pressure; pressure is calculated by compression force divided by the breast contact area.</w:t>
      </w:r>
    </w:p>
  </w:footnote>
  <w:footnote w:id="31">
    <w:p w14:paraId="0829D762" w14:textId="1AFEF1B0" w:rsidR="00387823" w:rsidRDefault="00387823">
      <w:pPr>
        <w:pStyle w:val="FootnoteText"/>
      </w:pPr>
      <w:r>
        <w:rPr>
          <w:rStyle w:val="FootnoteReference"/>
        </w:rPr>
        <w:footnoteRef/>
      </w:r>
      <w:r>
        <w:t xml:space="preserve"> AUD 13.76 converted on 9 December 2019.</w:t>
      </w:r>
    </w:p>
  </w:footnote>
  <w:footnote w:id="32">
    <w:p w14:paraId="5DEFBDC3" w14:textId="7EA60F43" w:rsidR="00387823" w:rsidRDefault="00387823">
      <w:pPr>
        <w:pStyle w:val="FootnoteText"/>
      </w:pPr>
      <w:r>
        <w:rPr>
          <w:rStyle w:val="FootnoteReference"/>
        </w:rPr>
        <w:footnoteRef/>
      </w:r>
      <w:r>
        <w:t xml:space="preserve"> AUD 10.03 converted on 9 December 2019.</w:t>
      </w:r>
    </w:p>
  </w:footnote>
  <w:footnote w:id="33">
    <w:p w14:paraId="45A908E6" w14:textId="17E71574" w:rsidR="00387823" w:rsidRDefault="00387823">
      <w:pPr>
        <w:pStyle w:val="FootnoteText"/>
      </w:pPr>
      <w:r>
        <w:rPr>
          <w:rStyle w:val="FootnoteReference"/>
        </w:rPr>
        <w:footnoteRef/>
      </w:r>
      <w:r>
        <w:t xml:space="preserve"> AUD 15.86 converted on 9 December 2019.</w:t>
      </w:r>
    </w:p>
  </w:footnote>
  <w:footnote w:id="34">
    <w:p w14:paraId="1B0BB441" w14:textId="3068095B" w:rsidR="00387823" w:rsidRDefault="00387823">
      <w:pPr>
        <w:pStyle w:val="FootnoteText"/>
      </w:pPr>
      <w:r>
        <w:rPr>
          <w:rStyle w:val="FootnoteReference"/>
        </w:rPr>
        <w:footnoteRef/>
      </w:r>
      <w:r>
        <w:t xml:space="preserve"> AUD </w:t>
      </w:r>
      <w:r w:rsidRPr="00BC5B19">
        <w:t>3,048,359</w:t>
      </w:r>
      <w:r>
        <w:t xml:space="preserve"> converted on 9 December 2019</w:t>
      </w:r>
    </w:p>
  </w:footnote>
  <w:footnote w:id="35">
    <w:p w14:paraId="40FF0248" w14:textId="7800A778" w:rsidR="00387823" w:rsidRDefault="00387823">
      <w:pPr>
        <w:pStyle w:val="FootnoteText"/>
      </w:pPr>
      <w:r>
        <w:rPr>
          <w:rStyle w:val="FootnoteReference"/>
        </w:rPr>
        <w:footnoteRef/>
      </w:r>
      <w:r>
        <w:t xml:space="preserve"> AUD 191,053 to 229,23 converted at 9 December 2019.</w:t>
      </w:r>
    </w:p>
  </w:footnote>
  <w:footnote w:id="36">
    <w:p w14:paraId="46230629" w14:textId="5BC48E8C" w:rsidR="00387823" w:rsidRDefault="00387823">
      <w:pPr>
        <w:pStyle w:val="FootnoteText"/>
      </w:pPr>
      <w:r>
        <w:rPr>
          <w:rStyle w:val="FootnoteReference"/>
        </w:rPr>
        <w:footnoteRef/>
      </w:r>
      <w:r>
        <w:t xml:space="preserve"> AUD 578,946 to 652,375 converted at 9 December 2019.</w:t>
      </w:r>
    </w:p>
  </w:footnote>
  <w:footnote w:id="37">
    <w:p w14:paraId="491B0DF7" w14:textId="19D0B2A8" w:rsidR="00387823" w:rsidRDefault="00387823">
      <w:pPr>
        <w:pStyle w:val="FootnoteText"/>
      </w:pPr>
      <w:r>
        <w:rPr>
          <w:rStyle w:val="FootnoteReference"/>
        </w:rPr>
        <w:footnoteRef/>
      </w:r>
      <w:r>
        <w:t xml:space="preserve"> AUD 441328 to 776,636 converted at 9 December 2019.</w:t>
      </w:r>
    </w:p>
  </w:footnote>
  <w:footnote w:id="38">
    <w:p w14:paraId="05BA7DE5" w14:textId="3F59B887" w:rsidR="00387823" w:rsidRDefault="00387823">
      <w:pPr>
        <w:pStyle w:val="FootnoteText"/>
      </w:pPr>
      <w:r>
        <w:rPr>
          <w:rStyle w:val="FootnoteReference"/>
        </w:rPr>
        <w:footnoteRef/>
      </w:r>
      <w:r>
        <w:t xml:space="preserve"> AUD 210,940 to 264,654 converted at 9 December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9CC"/>
    <w:multiLevelType w:val="hybridMultilevel"/>
    <w:tmpl w:val="6100B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C7272"/>
    <w:multiLevelType w:val="multilevel"/>
    <w:tmpl w:val="3D86AAC2"/>
    <w:lvl w:ilvl="0">
      <w:start w:val="1"/>
      <w:numFmt w:val="decimal"/>
      <w:pStyle w:val="List-AlphanumericLvl1"/>
      <w:lvlText w:val="%1."/>
      <w:lvlJc w:val="left"/>
      <w:pPr>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2"/>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3" w15:restartNumberingAfterBreak="0">
    <w:nsid w:val="27726753"/>
    <w:multiLevelType w:val="hybridMultilevel"/>
    <w:tmpl w:val="4A74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743DFB"/>
    <w:multiLevelType w:val="multilevel"/>
    <w:tmpl w:val="164E1640"/>
    <w:lvl w:ilvl="0">
      <w:start w:val="1"/>
      <w:numFmt w:val="decimal"/>
      <w:pStyle w:val="NumberedHeading1"/>
      <w:lvlText w:val="%1."/>
      <w:lvlJc w:val="left"/>
      <w:pPr>
        <w:ind w:left="5359" w:hanging="68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3B740AF4"/>
    <w:multiLevelType w:val="hybridMultilevel"/>
    <w:tmpl w:val="E758AC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6E0996"/>
    <w:multiLevelType w:val="multilevel"/>
    <w:tmpl w:val="7B167C1A"/>
    <w:lvl w:ilvl="0">
      <w:start w:val="1"/>
      <w:numFmt w:val="bullet"/>
      <w:pStyle w:val="List-BulletLvl1"/>
      <w:lvlText w:val=""/>
      <w:lvlJc w:val="left"/>
      <w:pPr>
        <w:ind w:left="851" w:hanging="567"/>
      </w:pPr>
      <w:rPr>
        <w:rFonts w:ascii="Symbol" w:hAnsi="Symbol" w:hint="default"/>
        <w:color w:val="36424A" w:themeColor="text2"/>
        <w:sz w:val="22"/>
      </w:rPr>
    </w:lvl>
    <w:lvl w:ilvl="1">
      <w:start w:val="1"/>
      <w:numFmt w:val="bullet"/>
      <w:pStyle w:val="List-BulletLvl2"/>
      <w:lvlText w:val="-"/>
      <w:lvlJc w:val="left"/>
      <w:pPr>
        <w:ind w:left="1418" w:hanging="567"/>
      </w:pPr>
      <w:rPr>
        <w:rFonts w:ascii="Calibri" w:hAnsi="Calibri" w:hint="default"/>
        <w:color w:val="36424A" w:themeColor="text2"/>
        <w:sz w:val="24"/>
      </w:rPr>
    </w:lvl>
    <w:lvl w:ilvl="2">
      <w:start w:val="1"/>
      <w:numFmt w:val="bullet"/>
      <w:pStyle w:val="List-BulletLvl3"/>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8" w15:restartNumberingAfterBreak="0">
    <w:nsid w:val="69BE5A94"/>
    <w:multiLevelType w:val="hybridMultilevel"/>
    <w:tmpl w:val="46F47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4924B28"/>
    <w:multiLevelType w:val="hybridMultilevel"/>
    <w:tmpl w:val="1174D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
  </w:num>
  <w:num w:numId="2">
    <w:abstractNumId w:val="4"/>
  </w:num>
  <w:num w:numId="3">
    <w:abstractNumId w:val="6"/>
  </w:num>
  <w:num w:numId="4">
    <w:abstractNumId w:val="10"/>
  </w:num>
  <w:num w:numId="5">
    <w:abstractNumId w:val="2"/>
  </w:num>
  <w:num w:numId="6">
    <w:abstractNumId w:val="7"/>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2"/>
  <w:attachedTemplate r:id="rId1"/>
  <w:defaultTabStop w:val="720"/>
  <w:evenAndOddHeaders/>
  <w:drawingGridHorizontalSpacing w:val="110"/>
  <w:displayHorizontalDrawingGridEvery w:val="2"/>
  <w:characterSpacingControl w:val="doNotCompress"/>
  <w:hdrShapeDefaults>
    <o:shapedefaults v:ext="edit" spidmax="26625"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A"/>
    <w:rsid w:val="000002BE"/>
    <w:rsid w:val="00000D6D"/>
    <w:rsid w:val="00001721"/>
    <w:rsid w:val="00004A45"/>
    <w:rsid w:val="00004B56"/>
    <w:rsid w:val="00006472"/>
    <w:rsid w:val="0000762C"/>
    <w:rsid w:val="0001267F"/>
    <w:rsid w:val="000158A6"/>
    <w:rsid w:val="00020F69"/>
    <w:rsid w:val="00022015"/>
    <w:rsid w:val="0002451A"/>
    <w:rsid w:val="000251DB"/>
    <w:rsid w:val="0002688A"/>
    <w:rsid w:val="00030F0F"/>
    <w:rsid w:val="00030F54"/>
    <w:rsid w:val="00033F29"/>
    <w:rsid w:val="000340F4"/>
    <w:rsid w:val="00034318"/>
    <w:rsid w:val="00040386"/>
    <w:rsid w:val="00040B8E"/>
    <w:rsid w:val="000416B3"/>
    <w:rsid w:val="0004194B"/>
    <w:rsid w:val="0004229B"/>
    <w:rsid w:val="000429F7"/>
    <w:rsid w:val="00042E35"/>
    <w:rsid w:val="0004463D"/>
    <w:rsid w:val="00047587"/>
    <w:rsid w:val="000522FB"/>
    <w:rsid w:val="000531D2"/>
    <w:rsid w:val="000533DE"/>
    <w:rsid w:val="00053A21"/>
    <w:rsid w:val="00053E5E"/>
    <w:rsid w:val="0005400C"/>
    <w:rsid w:val="000543CC"/>
    <w:rsid w:val="0005451D"/>
    <w:rsid w:val="000549E6"/>
    <w:rsid w:val="000564C0"/>
    <w:rsid w:val="00056681"/>
    <w:rsid w:val="0006142E"/>
    <w:rsid w:val="00061512"/>
    <w:rsid w:val="0006193B"/>
    <w:rsid w:val="00062004"/>
    <w:rsid w:val="00062EF9"/>
    <w:rsid w:val="000664E6"/>
    <w:rsid w:val="00066772"/>
    <w:rsid w:val="00066779"/>
    <w:rsid w:val="000677C9"/>
    <w:rsid w:val="0007131F"/>
    <w:rsid w:val="00071A56"/>
    <w:rsid w:val="00074606"/>
    <w:rsid w:val="00074CFC"/>
    <w:rsid w:val="00074ED7"/>
    <w:rsid w:val="0007628E"/>
    <w:rsid w:val="00076336"/>
    <w:rsid w:val="00077951"/>
    <w:rsid w:val="00077E3D"/>
    <w:rsid w:val="000838A9"/>
    <w:rsid w:val="0008454F"/>
    <w:rsid w:val="0008483C"/>
    <w:rsid w:val="00084CFA"/>
    <w:rsid w:val="00084F67"/>
    <w:rsid w:val="00085C8A"/>
    <w:rsid w:val="00086A8B"/>
    <w:rsid w:val="00087F69"/>
    <w:rsid w:val="00090060"/>
    <w:rsid w:val="000902D4"/>
    <w:rsid w:val="00090A88"/>
    <w:rsid w:val="0009123B"/>
    <w:rsid w:val="00091BF0"/>
    <w:rsid w:val="000921B3"/>
    <w:rsid w:val="000942E7"/>
    <w:rsid w:val="0009589A"/>
    <w:rsid w:val="0009641C"/>
    <w:rsid w:val="0009688A"/>
    <w:rsid w:val="000968A5"/>
    <w:rsid w:val="000A117D"/>
    <w:rsid w:val="000A1A0A"/>
    <w:rsid w:val="000A2A82"/>
    <w:rsid w:val="000A4015"/>
    <w:rsid w:val="000A67F1"/>
    <w:rsid w:val="000A7887"/>
    <w:rsid w:val="000B1970"/>
    <w:rsid w:val="000B2111"/>
    <w:rsid w:val="000B2AFF"/>
    <w:rsid w:val="000B4721"/>
    <w:rsid w:val="000B4730"/>
    <w:rsid w:val="000B4F7F"/>
    <w:rsid w:val="000B64B8"/>
    <w:rsid w:val="000B6706"/>
    <w:rsid w:val="000C010F"/>
    <w:rsid w:val="000C054B"/>
    <w:rsid w:val="000C0773"/>
    <w:rsid w:val="000C1832"/>
    <w:rsid w:val="000C1BBA"/>
    <w:rsid w:val="000C3662"/>
    <w:rsid w:val="000C3C6A"/>
    <w:rsid w:val="000C503A"/>
    <w:rsid w:val="000C5381"/>
    <w:rsid w:val="000C6D09"/>
    <w:rsid w:val="000C6FF6"/>
    <w:rsid w:val="000C7847"/>
    <w:rsid w:val="000D02CC"/>
    <w:rsid w:val="000D06FA"/>
    <w:rsid w:val="000D12D6"/>
    <w:rsid w:val="000D2067"/>
    <w:rsid w:val="000D2833"/>
    <w:rsid w:val="000D4311"/>
    <w:rsid w:val="000D526B"/>
    <w:rsid w:val="000D526E"/>
    <w:rsid w:val="000D63E6"/>
    <w:rsid w:val="000D7A56"/>
    <w:rsid w:val="000E20A7"/>
    <w:rsid w:val="000E4532"/>
    <w:rsid w:val="000E45D4"/>
    <w:rsid w:val="000E57AB"/>
    <w:rsid w:val="000E60F8"/>
    <w:rsid w:val="000E63C1"/>
    <w:rsid w:val="000E690D"/>
    <w:rsid w:val="000E6C2F"/>
    <w:rsid w:val="000F15F6"/>
    <w:rsid w:val="000F1657"/>
    <w:rsid w:val="000F1F3F"/>
    <w:rsid w:val="000F2054"/>
    <w:rsid w:val="000F250B"/>
    <w:rsid w:val="000F4372"/>
    <w:rsid w:val="000F446C"/>
    <w:rsid w:val="000F5184"/>
    <w:rsid w:val="000F51E6"/>
    <w:rsid w:val="000F614D"/>
    <w:rsid w:val="000F6EB1"/>
    <w:rsid w:val="000F7F97"/>
    <w:rsid w:val="00100A83"/>
    <w:rsid w:val="00100F21"/>
    <w:rsid w:val="00100FC5"/>
    <w:rsid w:val="00102A42"/>
    <w:rsid w:val="001040D9"/>
    <w:rsid w:val="001044E9"/>
    <w:rsid w:val="00104FFF"/>
    <w:rsid w:val="00105558"/>
    <w:rsid w:val="00106AFA"/>
    <w:rsid w:val="00106F45"/>
    <w:rsid w:val="001076E3"/>
    <w:rsid w:val="001104BF"/>
    <w:rsid w:val="0011062D"/>
    <w:rsid w:val="00111723"/>
    <w:rsid w:val="001121DE"/>
    <w:rsid w:val="0011516D"/>
    <w:rsid w:val="00115BCE"/>
    <w:rsid w:val="00115E76"/>
    <w:rsid w:val="001160FE"/>
    <w:rsid w:val="0011610B"/>
    <w:rsid w:val="001169BA"/>
    <w:rsid w:val="001223C2"/>
    <w:rsid w:val="00122808"/>
    <w:rsid w:val="00122E57"/>
    <w:rsid w:val="00123256"/>
    <w:rsid w:val="00123737"/>
    <w:rsid w:val="00123D07"/>
    <w:rsid w:val="00124A69"/>
    <w:rsid w:val="00126210"/>
    <w:rsid w:val="00126857"/>
    <w:rsid w:val="001279F1"/>
    <w:rsid w:val="00130405"/>
    <w:rsid w:val="00130629"/>
    <w:rsid w:val="00130876"/>
    <w:rsid w:val="00130DBF"/>
    <w:rsid w:val="00131306"/>
    <w:rsid w:val="00131D91"/>
    <w:rsid w:val="00134A62"/>
    <w:rsid w:val="00134AA4"/>
    <w:rsid w:val="00135C00"/>
    <w:rsid w:val="00135F90"/>
    <w:rsid w:val="00136FE5"/>
    <w:rsid w:val="0013732B"/>
    <w:rsid w:val="00137395"/>
    <w:rsid w:val="00137E84"/>
    <w:rsid w:val="0014159E"/>
    <w:rsid w:val="00142097"/>
    <w:rsid w:val="0014216E"/>
    <w:rsid w:val="001426BF"/>
    <w:rsid w:val="0014273B"/>
    <w:rsid w:val="00143DB2"/>
    <w:rsid w:val="00144107"/>
    <w:rsid w:val="0014429B"/>
    <w:rsid w:val="00146DFA"/>
    <w:rsid w:val="00147953"/>
    <w:rsid w:val="00147A23"/>
    <w:rsid w:val="001500AE"/>
    <w:rsid w:val="00151006"/>
    <w:rsid w:val="00152A30"/>
    <w:rsid w:val="001558FD"/>
    <w:rsid w:val="00155D2A"/>
    <w:rsid w:val="00155E70"/>
    <w:rsid w:val="0015655E"/>
    <w:rsid w:val="001603F2"/>
    <w:rsid w:val="00161844"/>
    <w:rsid w:val="00161D6B"/>
    <w:rsid w:val="001626BA"/>
    <w:rsid w:val="00162940"/>
    <w:rsid w:val="00165C18"/>
    <w:rsid w:val="00166055"/>
    <w:rsid w:val="00167427"/>
    <w:rsid w:val="00167669"/>
    <w:rsid w:val="00170A80"/>
    <w:rsid w:val="001714C8"/>
    <w:rsid w:val="00171FB5"/>
    <w:rsid w:val="00172DA2"/>
    <w:rsid w:val="001730E7"/>
    <w:rsid w:val="001738A4"/>
    <w:rsid w:val="001740DE"/>
    <w:rsid w:val="0017460D"/>
    <w:rsid w:val="00174DD6"/>
    <w:rsid w:val="001758D9"/>
    <w:rsid w:val="00175A70"/>
    <w:rsid w:val="00175D49"/>
    <w:rsid w:val="00175E83"/>
    <w:rsid w:val="00176980"/>
    <w:rsid w:val="001809B2"/>
    <w:rsid w:val="00182C71"/>
    <w:rsid w:val="0018569C"/>
    <w:rsid w:val="00186BA3"/>
    <w:rsid w:val="00186D4E"/>
    <w:rsid w:val="001901D0"/>
    <w:rsid w:val="00193044"/>
    <w:rsid w:val="00194C62"/>
    <w:rsid w:val="00194E78"/>
    <w:rsid w:val="0019576D"/>
    <w:rsid w:val="0019605F"/>
    <w:rsid w:val="00196E0D"/>
    <w:rsid w:val="001A2820"/>
    <w:rsid w:val="001A37BE"/>
    <w:rsid w:val="001A3822"/>
    <w:rsid w:val="001A40F4"/>
    <w:rsid w:val="001A4551"/>
    <w:rsid w:val="001A5DB2"/>
    <w:rsid w:val="001A6A00"/>
    <w:rsid w:val="001A729F"/>
    <w:rsid w:val="001B04C9"/>
    <w:rsid w:val="001B1EC1"/>
    <w:rsid w:val="001B29A4"/>
    <w:rsid w:val="001B4473"/>
    <w:rsid w:val="001B4648"/>
    <w:rsid w:val="001B489A"/>
    <w:rsid w:val="001B4AF6"/>
    <w:rsid w:val="001B5EC8"/>
    <w:rsid w:val="001B615C"/>
    <w:rsid w:val="001B6530"/>
    <w:rsid w:val="001B7348"/>
    <w:rsid w:val="001B7659"/>
    <w:rsid w:val="001B7B2B"/>
    <w:rsid w:val="001B7DCD"/>
    <w:rsid w:val="001C08BA"/>
    <w:rsid w:val="001C092E"/>
    <w:rsid w:val="001C1988"/>
    <w:rsid w:val="001C3B58"/>
    <w:rsid w:val="001C3B9F"/>
    <w:rsid w:val="001C474B"/>
    <w:rsid w:val="001C7ABC"/>
    <w:rsid w:val="001D0827"/>
    <w:rsid w:val="001D206F"/>
    <w:rsid w:val="001D280F"/>
    <w:rsid w:val="001D3A23"/>
    <w:rsid w:val="001D4CEB"/>
    <w:rsid w:val="001D5E43"/>
    <w:rsid w:val="001D5F43"/>
    <w:rsid w:val="001E099D"/>
    <w:rsid w:val="001E0A63"/>
    <w:rsid w:val="001E2A1A"/>
    <w:rsid w:val="001E3423"/>
    <w:rsid w:val="001E429E"/>
    <w:rsid w:val="001E4DEB"/>
    <w:rsid w:val="001E5212"/>
    <w:rsid w:val="001E6FB3"/>
    <w:rsid w:val="001E716E"/>
    <w:rsid w:val="001F0CE8"/>
    <w:rsid w:val="001F1EEA"/>
    <w:rsid w:val="001F1FA5"/>
    <w:rsid w:val="001F37C5"/>
    <w:rsid w:val="001F42EF"/>
    <w:rsid w:val="001F5096"/>
    <w:rsid w:val="00200543"/>
    <w:rsid w:val="00201646"/>
    <w:rsid w:val="00201A16"/>
    <w:rsid w:val="00202EA5"/>
    <w:rsid w:val="00203FA0"/>
    <w:rsid w:val="002059C6"/>
    <w:rsid w:val="002070D0"/>
    <w:rsid w:val="002078B6"/>
    <w:rsid w:val="00211E9E"/>
    <w:rsid w:val="00213E81"/>
    <w:rsid w:val="00215CAC"/>
    <w:rsid w:val="00216DE3"/>
    <w:rsid w:val="00217209"/>
    <w:rsid w:val="00220CFD"/>
    <w:rsid w:val="00221D83"/>
    <w:rsid w:val="00222110"/>
    <w:rsid w:val="00222617"/>
    <w:rsid w:val="00222F20"/>
    <w:rsid w:val="0022347A"/>
    <w:rsid w:val="00223493"/>
    <w:rsid w:val="002239AE"/>
    <w:rsid w:val="00223D38"/>
    <w:rsid w:val="00223F37"/>
    <w:rsid w:val="002306E8"/>
    <w:rsid w:val="002308C9"/>
    <w:rsid w:val="00230B96"/>
    <w:rsid w:val="00230FAD"/>
    <w:rsid w:val="00231000"/>
    <w:rsid w:val="00231C05"/>
    <w:rsid w:val="002324C8"/>
    <w:rsid w:val="00232FE5"/>
    <w:rsid w:val="00233627"/>
    <w:rsid w:val="0023374E"/>
    <w:rsid w:val="0023471F"/>
    <w:rsid w:val="00234833"/>
    <w:rsid w:val="00236D7C"/>
    <w:rsid w:val="00237F7F"/>
    <w:rsid w:val="00240844"/>
    <w:rsid w:val="00241148"/>
    <w:rsid w:val="00241663"/>
    <w:rsid w:val="00242047"/>
    <w:rsid w:val="00242470"/>
    <w:rsid w:val="00242E9B"/>
    <w:rsid w:val="0024326B"/>
    <w:rsid w:val="00243CDA"/>
    <w:rsid w:val="002450FC"/>
    <w:rsid w:val="0024555D"/>
    <w:rsid w:val="002462DE"/>
    <w:rsid w:val="002463AC"/>
    <w:rsid w:val="0024768A"/>
    <w:rsid w:val="0025428D"/>
    <w:rsid w:val="00260214"/>
    <w:rsid w:val="002603C7"/>
    <w:rsid w:val="00260440"/>
    <w:rsid w:val="00260AC6"/>
    <w:rsid w:val="00260BD8"/>
    <w:rsid w:val="002629E6"/>
    <w:rsid w:val="00266748"/>
    <w:rsid w:val="00266880"/>
    <w:rsid w:val="00270150"/>
    <w:rsid w:val="00270FA5"/>
    <w:rsid w:val="002714AC"/>
    <w:rsid w:val="00272789"/>
    <w:rsid w:val="00273248"/>
    <w:rsid w:val="00273D38"/>
    <w:rsid w:val="002747F6"/>
    <w:rsid w:val="00274FCF"/>
    <w:rsid w:val="00275458"/>
    <w:rsid w:val="00275695"/>
    <w:rsid w:val="00275D51"/>
    <w:rsid w:val="0027632B"/>
    <w:rsid w:val="00276607"/>
    <w:rsid w:val="00277866"/>
    <w:rsid w:val="002810CE"/>
    <w:rsid w:val="0028141E"/>
    <w:rsid w:val="00281D82"/>
    <w:rsid w:val="0028298D"/>
    <w:rsid w:val="00283685"/>
    <w:rsid w:val="002836DD"/>
    <w:rsid w:val="00285D7E"/>
    <w:rsid w:val="00286B22"/>
    <w:rsid w:val="00287FB9"/>
    <w:rsid w:val="00293327"/>
    <w:rsid w:val="00293B68"/>
    <w:rsid w:val="00296429"/>
    <w:rsid w:val="0029683F"/>
    <w:rsid w:val="002A1C7F"/>
    <w:rsid w:val="002A283D"/>
    <w:rsid w:val="002A3883"/>
    <w:rsid w:val="002A3DCF"/>
    <w:rsid w:val="002A55C3"/>
    <w:rsid w:val="002A56FE"/>
    <w:rsid w:val="002A6228"/>
    <w:rsid w:val="002A78C5"/>
    <w:rsid w:val="002B1080"/>
    <w:rsid w:val="002B1282"/>
    <w:rsid w:val="002B32AF"/>
    <w:rsid w:val="002B3691"/>
    <w:rsid w:val="002B49D7"/>
    <w:rsid w:val="002B6770"/>
    <w:rsid w:val="002B74B0"/>
    <w:rsid w:val="002C0215"/>
    <w:rsid w:val="002C0A5C"/>
    <w:rsid w:val="002C19E7"/>
    <w:rsid w:val="002C2782"/>
    <w:rsid w:val="002C322B"/>
    <w:rsid w:val="002C34C3"/>
    <w:rsid w:val="002C4256"/>
    <w:rsid w:val="002C4577"/>
    <w:rsid w:val="002C488C"/>
    <w:rsid w:val="002C4BD9"/>
    <w:rsid w:val="002C64C8"/>
    <w:rsid w:val="002C65A1"/>
    <w:rsid w:val="002C6611"/>
    <w:rsid w:val="002C77C0"/>
    <w:rsid w:val="002D0783"/>
    <w:rsid w:val="002D12D1"/>
    <w:rsid w:val="002D152A"/>
    <w:rsid w:val="002D333C"/>
    <w:rsid w:val="002D62D9"/>
    <w:rsid w:val="002D790B"/>
    <w:rsid w:val="002E0E7F"/>
    <w:rsid w:val="002E1891"/>
    <w:rsid w:val="002E3588"/>
    <w:rsid w:val="002E44F2"/>
    <w:rsid w:val="002E795F"/>
    <w:rsid w:val="002F08F0"/>
    <w:rsid w:val="002F1FFE"/>
    <w:rsid w:val="002F3343"/>
    <w:rsid w:val="002F3AE5"/>
    <w:rsid w:val="002F4458"/>
    <w:rsid w:val="002F48B4"/>
    <w:rsid w:val="002F56A3"/>
    <w:rsid w:val="002F5791"/>
    <w:rsid w:val="00300959"/>
    <w:rsid w:val="00300998"/>
    <w:rsid w:val="00301B16"/>
    <w:rsid w:val="0030210A"/>
    <w:rsid w:val="0030317D"/>
    <w:rsid w:val="0030556C"/>
    <w:rsid w:val="00305807"/>
    <w:rsid w:val="003074E1"/>
    <w:rsid w:val="00307921"/>
    <w:rsid w:val="00311662"/>
    <w:rsid w:val="00316358"/>
    <w:rsid w:val="00316E5B"/>
    <w:rsid w:val="00316E8E"/>
    <w:rsid w:val="00317312"/>
    <w:rsid w:val="00317E26"/>
    <w:rsid w:val="00320D71"/>
    <w:rsid w:val="003219E5"/>
    <w:rsid w:val="00321F3F"/>
    <w:rsid w:val="0032253F"/>
    <w:rsid w:val="0032402A"/>
    <w:rsid w:val="003240AF"/>
    <w:rsid w:val="00324F8D"/>
    <w:rsid w:val="00326127"/>
    <w:rsid w:val="003261EE"/>
    <w:rsid w:val="003265FD"/>
    <w:rsid w:val="003269FA"/>
    <w:rsid w:val="00326EED"/>
    <w:rsid w:val="00330181"/>
    <w:rsid w:val="003314C8"/>
    <w:rsid w:val="00331AD0"/>
    <w:rsid w:val="00331BDC"/>
    <w:rsid w:val="00332B94"/>
    <w:rsid w:val="003331DE"/>
    <w:rsid w:val="00333478"/>
    <w:rsid w:val="0033347D"/>
    <w:rsid w:val="00333FC2"/>
    <w:rsid w:val="00334AB6"/>
    <w:rsid w:val="00335537"/>
    <w:rsid w:val="003366E7"/>
    <w:rsid w:val="003369CE"/>
    <w:rsid w:val="00337E05"/>
    <w:rsid w:val="0034054F"/>
    <w:rsid w:val="00340C49"/>
    <w:rsid w:val="00341AE4"/>
    <w:rsid w:val="00344B87"/>
    <w:rsid w:val="00345D63"/>
    <w:rsid w:val="003470C7"/>
    <w:rsid w:val="00350F00"/>
    <w:rsid w:val="00351543"/>
    <w:rsid w:val="003517C5"/>
    <w:rsid w:val="00351977"/>
    <w:rsid w:val="003520C8"/>
    <w:rsid w:val="0035222F"/>
    <w:rsid w:val="00352909"/>
    <w:rsid w:val="00352B45"/>
    <w:rsid w:val="0035319D"/>
    <w:rsid w:val="0035397C"/>
    <w:rsid w:val="00354B05"/>
    <w:rsid w:val="00357204"/>
    <w:rsid w:val="0035797F"/>
    <w:rsid w:val="003579A1"/>
    <w:rsid w:val="003603CE"/>
    <w:rsid w:val="00360E04"/>
    <w:rsid w:val="00360FA1"/>
    <w:rsid w:val="003611CF"/>
    <w:rsid w:val="00361F11"/>
    <w:rsid w:val="00364C3D"/>
    <w:rsid w:val="003678F9"/>
    <w:rsid w:val="00370232"/>
    <w:rsid w:val="00370756"/>
    <w:rsid w:val="00371380"/>
    <w:rsid w:val="00371837"/>
    <w:rsid w:val="00372897"/>
    <w:rsid w:val="00372BBE"/>
    <w:rsid w:val="00372FD9"/>
    <w:rsid w:val="0037313C"/>
    <w:rsid w:val="00373EAE"/>
    <w:rsid w:val="00374071"/>
    <w:rsid w:val="003743F7"/>
    <w:rsid w:val="003745D2"/>
    <w:rsid w:val="00375AE8"/>
    <w:rsid w:val="003761CF"/>
    <w:rsid w:val="00380A55"/>
    <w:rsid w:val="00382767"/>
    <w:rsid w:val="00382C2E"/>
    <w:rsid w:val="00383A4F"/>
    <w:rsid w:val="00383D40"/>
    <w:rsid w:val="00383F40"/>
    <w:rsid w:val="003841CD"/>
    <w:rsid w:val="00384CF1"/>
    <w:rsid w:val="0038585E"/>
    <w:rsid w:val="00386DD1"/>
    <w:rsid w:val="00387823"/>
    <w:rsid w:val="0039088F"/>
    <w:rsid w:val="00390AF8"/>
    <w:rsid w:val="003912D3"/>
    <w:rsid w:val="0039290A"/>
    <w:rsid w:val="003936DB"/>
    <w:rsid w:val="00393F8F"/>
    <w:rsid w:val="00396614"/>
    <w:rsid w:val="00396A03"/>
    <w:rsid w:val="00396BAC"/>
    <w:rsid w:val="00396E4B"/>
    <w:rsid w:val="003A00C9"/>
    <w:rsid w:val="003A01FC"/>
    <w:rsid w:val="003A0D66"/>
    <w:rsid w:val="003A23F3"/>
    <w:rsid w:val="003A2F70"/>
    <w:rsid w:val="003A3762"/>
    <w:rsid w:val="003A38A8"/>
    <w:rsid w:val="003A4358"/>
    <w:rsid w:val="003A634F"/>
    <w:rsid w:val="003A7995"/>
    <w:rsid w:val="003B0310"/>
    <w:rsid w:val="003B0D32"/>
    <w:rsid w:val="003B11D1"/>
    <w:rsid w:val="003B27C9"/>
    <w:rsid w:val="003B4C05"/>
    <w:rsid w:val="003B4EE9"/>
    <w:rsid w:val="003B6DA1"/>
    <w:rsid w:val="003C0272"/>
    <w:rsid w:val="003C03A8"/>
    <w:rsid w:val="003C19EE"/>
    <w:rsid w:val="003C1B26"/>
    <w:rsid w:val="003C1F87"/>
    <w:rsid w:val="003C2C66"/>
    <w:rsid w:val="003C2EC0"/>
    <w:rsid w:val="003C3B26"/>
    <w:rsid w:val="003C5E21"/>
    <w:rsid w:val="003D0313"/>
    <w:rsid w:val="003D1788"/>
    <w:rsid w:val="003D3136"/>
    <w:rsid w:val="003D37FD"/>
    <w:rsid w:val="003D5638"/>
    <w:rsid w:val="003D576A"/>
    <w:rsid w:val="003D7DD4"/>
    <w:rsid w:val="003E38A0"/>
    <w:rsid w:val="003E3A14"/>
    <w:rsid w:val="003E426E"/>
    <w:rsid w:val="003E4BF4"/>
    <w:rsid w:val="003E4DE3"/>
    <w:rsid w:val="003E674D"/>
    <w:rsid w:val="003F1239"/>
    <w:rsid w:val="003F134D"/>
    <w:rsid w:val="003F6027"/>
    <w:rsid w:val="003F7385"/>
    <w:rsid w:val="003F77EF"/>
    <w:rsid w:val="003F7C98"/>
    <w:rsid w:val="00401982"/>
    <w:rsid w:val="00401F87"/>
    <w:rsid w:val="00402B4E"/>
    <w:rsid w:val="00402C2C"/>
    <w:rsid w:val="004046BF"/>
    <w:rsid w:val="00404F23"/>
    <w:rsid w:val="0040689E"/>
    <w:rsid w:val="00411213"/>
    <w:rsid w:val="00411CFB"/>
    <w:rsid w:val="0041447D"/>
    <w:rsid w:val="004152FC"/>
    <w:rsid w:val="0041539B"/>
    <w:rsid w:val="00416AAE"/>
    <w:rsid w:val="004179A7"/>
    <w:rsid w:val="00417C9A"/>
    <w:rsid w:val="00417F12"/>
    <w:rsid w:val="0042010E"/>
    <w:rsid w:val="004240AA"/>
    <w:rsid w:val="00424286"/>
    <w:rsid w:val="00426097"/>
    <w:rsid w:val="00427E7D"/>
    <w:rsid w:val="00430030"/>
    <w:rsid w:val="00430F07"/>
    <w:rsid w:val="00431714"/>
    <w:rsid w:val="004325AB"/>
    <w:rsid w:val="00433265"/>
    <w:rsid w:val="00433A09"/>
    <w:rsid w:val="00433CCF"/>
    <w:rsid w:val="00436259"/>
    <w:rsid w:val="00436476"/>
    <w:rsid w:val="0043766A"/>
    <w:rsid w:val="004376AD"/>
    <w:rsid w:val="004378EB"/>
    <w:rsid w:val="00437E3D"/>
    <w:rsid w:val="00441A6C"/>
    <w:rsid w:val="00442B43"/>
    <w:rsid w:val="00442B5B"/>
    <w:rsid w:val="00444116"/>
    <w:rsid w:val="00444325"/>
    <w:rsid w:val="00444FFF"/>
    <w:rsid w:val="0044524C"/>
    <w:rsid w:val="004454A7"/>
    <w:rsid w:val="00445865"/>
    <w:rsid w:val="0044784A"/>
    <w:rsid w:val="0044790D"/>
    <w:rsid w:val="0045093E"/>
    <w:rsid w:val="00451CA4"/>
    <w:rsid w:val="004521ED"/>
    <w:rsid w:val="004527DE"/>
    <w:rsid w:val="00453470"/>
    <w:rsid w:val="00453F73"/>
    <w:rsid w:val="004548E5"/>
    <w:rsid w:val="0045594F"/>
    <w:rsid w:val="00455A39"/>
    <w:rsid w:val="004575A8"/>
    <w:rsid w:val="00460269"/>
    <w:rsid w:val="00460352"/>
    <w:rsid w:val="0046180F"/>
    <w:rsid w:val="00461927"/>
    <w:rsid w:val="004620D1"/>
    <w:rsid w:val="0046296D"/>
    <w:rsid w:val="0046539D"/>
    <w:rsid w:val="00467140"/>
    <w:rsid w:val="00467381"/>
    <w:rsid w:val="00470C28"/>
    <w:rsid w:val="00470FFE"/>
    <w:rsid w:val="00472549"/>
    <w:rsid w:val="00473D69"/>
    <w:rsid w:val="004742E5"/>
    <w:rsid w:val="004748AA"/>
    <w:rsid w:val="00475D6E"/>
    <w:rsid w:val="00475F14"/>
    <w:rsid w:val="0047667C"/>
    <w:rsid w:val="00476B6B"/>
    <w:rsid w:val="00476FDF"/>
    <w:rsid w:val="0048015B"/>
    <w:rsid w:val="00481296"/>
    <w:rsid w:val="004814F9"/>
    <w:rsid w:val="00481872"/>
    <w:rsid w:val="00483525"/>
    <w:rsid w:val="0048618B"/>
    <w:rsid w:val="0048688E"/>
    <w:rsid w:val="00492B10"/>
    <w:rsid w:val="00492E74"/>
    <w:rsid w:val="00493657"/>
    <w:rsid w:val="00497501"/>
    <w:rsid w:val="004A149C"/>
    <w:rsid w:val="004A1BC6"/>
    <w:rsid w:val="004A21C1"/>
    <w:rsid w:val="004A221D"/>
    <w:rsid w:val="004A2330"/>
    <w:rsid w:val="004A3134"/>
    <w:rsid w:val="004A3DAF"/>
    <w:rsid w:val="004A4B5D"/>
    <w:rsid w:val="004A4FD2"/>
    <w:rsid w:val="004A5449"/>
    <w:rsid w:val="004A5A39"/>
    <w:rsid w:val="004A7951"/>
    <w:rsid w:val="004B0284"/>
    <w:rsid w:val="004B1026"/>
    <w:rsid w:val="004B12A8"/>
    <w:rsid w:val="004B2442"/>
    <w:rsid w:val="004B2A7C"/>
    <w:rsid w:val="004B334E"/>
    <w:rsid w:val="004B4EA9"/>
    <w:rsid w:val="004B6BE6"/>
    <w:rsid w:val="004B7448"/>
    <w:rsid w:val="004C1578"/>
    <w:rsid w:val="004C2178"/>
    <w:rsid w:val="004C26A2"/>
    <w:rsid w:val="004C2A51"/>
    <w:rsid w:val="004C2ECE"/>
    <w:rsid w:val="004C4D0D"/>
    <w:rsid w:val="004C4E01"/>
    <w:rsid w:val="004C5A14"/>
    <w:rsid w:val="004C66B0"/>
    <w:rsid w:val="004D1C74"/>
    <w:rsid w:val="004D23A9"/>
    <w:rsid w:val="004D3D31"/>
    <w:rsid w:val="004D4492"/>
    <w:rsid w:val="004D4903"/>
    <w:rsid w:val="004D5FEC"/>
    <w:rsid w:val="004D6E2D"/>
    <w:rsid w:val="004D7F40"/>
    <w:rsid w:val="004E00AE"/>
    <w:rsid w:val="004E15CE"/>
    <w:rsid w:val="004E1897"/>
    <w:rsid w:val="004E1920"/>
    <w:rsid w:val="004E2527"/>
    <w:rsid w:val="004E2E97"/>
    <w:rsid w:val="004E3929"/>
    <w:rsid w:val="004E5A44"/>
    <w:rsid w:val="004E61BE"/>
    <w:rsid w:val="004E6321"/>
    <w:rsid w:val="004F0D75"/>
    <w:rsid w:val="004F0F9D"/>
    <w:rsid w:val="004F2956"/>
    <w:rsid w:val="004F3890"/>
    <w:rsid w:val="004F3A3E"/>
    <w:rsid w:val="004F52DC"/>
    <w:rsid w:val="004F5904"/>
    <w:rsid w:val="004F5B3B"/>
    <w:rsid w:val="004F5E50"/>
    <w:rsid w:val="004F6830"/>
    <w:rsid w:val="004F6A90"/>
    <w:rsid w:val="004F6C8A"/>
    <w:rsid w:val="004F7392"/>
    <w:rsid w:val="00500032"/>
    <w:rsid w:val="005028D6"/>
    <w:rsid w:val="005029BB"/>
    <w:rsid w:val="005035A8"/>
    <w:rsid w:val="00504C51"/>
    <w:rsid w:val="0050516A"/>
    <w:rsid w:val="00505245"/>
    <w:rsid w:val="00505430"/>
    <w:rsid w:val="00506989"/>
    <w:rsid w:val="00506A84"/>
    <w:rsid w:val="00511080"/>
    <w:rsid w:val="00511C0E"/>
    <w:rsid w:val="00512F0F"/>
    <w:rsid w:val="0051338A"/>
    <w:rsid w:val="00513395"/>
    <w:rsid w:val="00513F42"/>
    <w:rsid w:val="005146FE"/>
    <w:rsid w:val="00514B96"/>
    <w:rsid w:val="00515BB9"/>
    <w:rsid w:val="00515F93"/>
    <w:rsid w:val="005173BA"/>
    <w:rsid w:val="00517C0C"/>
    <w:rsid w:val="00520897"/>
    <w:rsid w:val="00520FD5"/>
    <w:rsid w:val="00522ADC"/>
    <w:rsid w:val="00523871"/>
    <w:rsid w:val="00523885"/>
    <w:rsid w:val="0052474F"/>
    <w:rsid w:val="00524E46"/>
    <w:rsid w:val="005259C5"/>
    <w:rsid w:val="0052685B"/>
    <w:rsid w:val="005269DB"/>
    <w:rsid w:val="00527BB2"/>
    <w:rsid w:val="00530146"/>
    <w:rsid w:val="00530B97"/>
    <w:rsid w:val="005366FA"/>
    <w:rsid w:val="00537EE9"/>
    <w:rsid w:val="00540052"/>
    <w:rsid w:val="0054036A"/>
    <w:rsid w:val="00542564"/>
    <w:rsid w:val="00542FD1"/>
    <w:rsid w:val="00543D60"/>
    <w:rsid w:val="00544B62"/>
    <w:rsid w:val="00547086"/>
    <w:rsid w:val="00547E99"/>
    <w:rsid w:val="005516AF"/>
    <w:rsid w:val="00551FFF"/>
    <w:rsid w:val="00552EFD"/>
    <w:rsid w:val="00555218"/>
    <w:rsid w:val="00555D3C"/>
    <w:rsid w:val="00557BF9"/>
    <w:rsid w:val="0056098F"/>
    <w:rsid w:val="0056118E"/>
    <w:rsid w:val="0056259D"/>
    <w:rsid w:val="005627C3"/>
    <w:rsid w:val="00562CD2"/>
    <w:rsid w:val="00562D6F"/>
    <w:rsid w:val="00563462"/>
    <w:rsid w:val="00563598"/>
    <w:rsid w:val="00563892"/>
    <w:rsid w:val="00563E8F"/>
    <w:rsid w:val="0056584D"/>
    <w:rsid w:val="00565CBD"/>
    <w:rsid w:val="00566354"/>
    <w:rsid w:val="00567297"/>
    <w:rsid w:val="0057013E"/>
    <w:rsid w:val="00570543"/>
    <w:rsid w:val="00571493"/>
    <w:rsid w:val="00571C35"/>
    <w:rsid w:val="005727A2"/>
    <w:rsid w:val="005735E3"/>
    <w:rsid w:val="00573FA5"/>
    <w:rsid w:val="00574F89"/>
    <w:rsid w:val="005757CC"/>
    <w:rsid w:val="00575D21"/>
    <w:rsid w:val="00575F64"/>
    <w:rsid w:val="005764C2"/>
    <w:rsid w:val="00576A6C"/>
    <w:rsid w:val="00576B86"/>
    <w:rsid w:val="00576BF0"/>
    <w:rsid w:val="00580A2B"/>
    <w:rsid w:val="00580C48"/>
    <w:rsid w:val="00580D93"/>
    <w:rsid w:val="005815F3"/>
    <w:rsid w:val="005816C5"/>
    <w:rsid w:val="005839ED"/>
    <w:rsid w:val="005845FC"/>
    <w:rsid w:val="00584C04"/>
    <w:rsid w:val="005860DE"/>
    <w:rsid w:val="0058610C"/>
    <w:rsid w:val="0058627F"/>
    <w:rsid w:val="005866B2"/>
    <w:rsid w:val="00586832"/>
    <w:rsid w:val="00587D2C"/>
    <w:rsid w:val="0059033D"/>
    <w:rsid w:val="00590D7B"/>
    <w:rsid w:val="00590F45"/>
    <w:rsid w:val="0059152E"/>
    <w:rsid w:val="00591AC8"/>
    <w:rsid w:val="00591AFA"/>
    <w:rsid w:val="00591C2B"/>
    <w:rsid w:val="00592914"/>
    <w:rsid w:val="00592E7C"/>
    <w:rsid w:val="00594A63"/>
    <w:rsid w:val="00595316"/>
    <w:rsid w:val="00595C6E"/>
    <w:rsid w:val="005966E4"/>
    <w:rsid w:val="00596A2D"/>
    <w:rsid w:val="00596B38"/>
    <w:rsid w:val="005977A2"/>
    <w:rsid w:val="00597876"/>
    <w:rsid w:val="005A2FA1"/>
    <w:rsid w:val="005A3ACE"/>
    <w:rsid w:val="005A5B01"/>
    <w:rsid w:val="005A6858"/>
    <w:rsid w:val="005A7581"/>
    <w:rsid w:val="005B0089"/>
    <w:rsid w:val="005B085A"/>
    <w:rsid w:val="005B17A2"/>
    <w:rsid w:val="005B1F67"/>
    <w:rsid w:val="005B2E0E"/>
    <w:rsid w:val="005B55DA"/>
    <w:rsid w:val="005B55FF"/>
    <w:rsid w:val="005B56EF"/>
    <w:rsid w:val="005C009D"/>
    <w:rsid w:val="005C101D"/>
    <w:rsid w:val="005C18C8"/>
    <w:rsid w:val="005C1D79"/>
    <w:rsid w:val="005C24EB"/>
    <w:rsid w:val="005C2E58"/>
    <w:rsid w:val="005C41C6"/>
    <w:rsid w:val="005C660F"/>
    <w:rsid w:val="005C6684"/>
    <w:rsid w:val="005C7123"/>
    <w:rsid w:val="005C73B0"/>
    <w:rsid w:val="005C79C0"/>
    <w:rsid w:val="005D01DA"/>
    <w:rsid w:val="005D0478"/>
    <w:rsid w:val="005D0B12"/>
    <w:rsid w:val="005D3634"/>
    <w:rsid w:val="005D4C37"/>
    <w:rsid w:val="005D5D14"/>
    <w:rsid w:val="005D71B4"/>
    <w:rsid w:val="005D7AED"/>
    <w:rsid w:val="005D7BA5"/>
    <w:rsid w:val="005E0ED8"/>
    <w:rsid w:val="005E1803"/>
    <w:rsid w:val="005E1ACB"/>
    <w:rsid w:val="005E1E34"/>
    <w:rsid w:val="005E20AB"/>
    <w:rsid w:val="005E25DD"/>
    <w:rsid w:val="005E2961"/>
    <w:rsid w:val="005E2FFC"/>
    <w:rsid w:val="005E40FF"/>
    <w:rsid w:val="005E4567"/>
    <w:rsid w:val="005E48FE"/>
    <w:rsid w:val="005E6B73"/>
    <w:rsid w:val="005F049E"/>
    <w:rsid w:val="005F2A94"/>
    <w:rsid w:val="005F2FC4"/>
    <w:rsid w:val="005F5227"/>
    <w:rsid w:val="005F609E"/>
    <w:rsid w:val="005F7948"/>
    <w:rsid w:val="0060069D"/>
    <w:rsid w:val="0060137C"/>
    <w:rsid w:val="0060269A"/>
    <w:rsid w:val="0060277B"/>
    <w:rsid w:val="00603B81"/>
    <w:rsid w:val="00604FE1"/>
    <w:rsid w:val="0060543D"/>
    <w:rsid w:val="00605724"/>
    <w:rsid w:val="00607302"/>
    <w:rsid w:val="00607625"/>
    <w:rsid w:val="00607766"/>
    <w:rsid w:val="00610614"/>
    <w:rsid w:val="006114F9"/>
    <w:rsid w:val="006127D3"/>
    <w:rsid w:val="00612FBB"/>
    <w:rsid w:val="006146D5"/>
    <w:rsid w:val="006148B7"/>
    <w:rsid w:val="006152C5"/>
    <w:rsid w:val="00615516"/>
    <w:rsid w:val="00616574"/>
    <w:rsid w:val="00616A08"/>
    <w:rsid w:val="00617931"/>
    <w:rsid w:val="00617FA1"/>
    <w:rsid w:val="0062072D"/>
    <w:rsid w:val="00623971"/>
    <w:rsid w:val="0062425E"/>
    <w:rsid w:val="00624563"/>
    <w:rsid w:val="00625005"/>
    <w:rsid w:val="00625B2F"/>
    <w:rsid w:val="006301C7"/>
    <w:rsid w:val="00630AF8"/>
    <w:rsid w:val="00630B87"/>
    <w:rsid w:val="00630F18"/>
    <w:rsid w:val="00631B61"/>
    <w:rsid w:val="00632F2A"/>
    <w:rsid w:val="0063493D"/>
    <w:rsid w:val="006352B7"/>
    <w:rsid w:val="006357EA"/>
    <w:rsid w:val="00635DFC"/>
    <w:rsid w:val="00636237"/>
    <w:rsid w:val="00636690"/>
    <w:rsid w:val="006370B8"/>
    <w:rsid w:val="00637509"/>
    <w:rsid w:val="0063783C"/>
    <w:rsid w:val="00641388"/>
    <w:rsid w:val="00642C05"/>
    <w:rsid w:val="00642C42"/>
    <w:rsid w:val="006432F1"/>
    <w:rsid w:val="00643B1B"/>
    <w:rsid w:val="00643F15"/>
    <w:rsid w:val="00645C4F"/>
    <w:rsid w:val="00646805"/>
    <w:rsid w:val="006500B4"/>
    <w:rsid w:val="006500E7"/>
    <w:rsid w:val="00650EEE"/>
    <w:rsid w:val="00651388"/>
    <w:rsid w:val="006513CB"/>
    <w:rsid w:val="00651B03"/>
    <w:rsid w:val="00652CBF"/>
    <w:rsid w:val="00654C3D"/>
    <w:rsid w:val="006557B2"/>
    <w:rsid w:val="00656C05"/>
    <w:rsid w:val="00657BED"/>
    <w:rsid w:val="0066075B"/>
    <w:rsid w:val="006631A4"/>
    <w:rsid w:val="0066579D"/>
    <w:rsid w:val="0066649C"/>
    <w:rsid w:val="00667A1E"/>
    <w:rsid w:val="00667B45"/>
    <w:rsid w:val="00673464"/>
    <w:rsid w:val="006735EE"/>
    <w:rsid w:val="006742A6"/>
    <w:rsid w:val="0067496C"/>
    <w:rsid w:val="006752AC"/>
    <w:rsid w:val="00675626"/>
    <w:rsid w:val="00676B7A"/>
    <w:rsid w:val="006772FD"/>
    <w:rsid w:val="00677562"/>
    <w:rsid w:val="006809D5"/>
    <w:rsid w:val="00680AD1"/>
    <w:rsid w:val="00685169"/>
    <w:rsid w:val="006859AE"/>
    <w:rsid w:val="006866F8"/>
    <w:rsid w:val="00687710"/>
    <w:rsid w:val="0068798C"/>
    <w:rsid w:val="00687EA2"/>
    <w:rsid w:val="00691335"/>
    <w:rsid w:val="006929E0"/>
    <w:rsid w:val="00692A31"/>
    <w:rsid w:val="00695B73"/>
    <w:rsid w:val="00696597"/>
    <w:rsid w:val="00696A0D"/>
    <w:rsid w:val="006A2832"/>
    <w:rsid w:val="006A2E6C"/>
    <w:rsid w:val="006A2FFF"/>
    <w:rsid w:val="006A3C41"/>
    <w:rsid w:val="006A4B82"/>
    <w:rsid w:val="006A4BF1"/>
    <w:rsid w:val="006A4D64"/>
    <w:rsid w:val="006A5219"/>
    <w:rsid w:val="006A6214"/>
    <w:rsid w:val="006A627C"/>
    <w:rsid w:val="006A7312"/>
    <w:rsid w:val="006B000A"/>
    <w:rsid w:val="006B0FEC"/>
    <w:rsid w:val="006B148A"/>
    <w:rsid w:val="006B1F48"/>
    <w:rsid w:val="006B26A1"/>
    <w:rsid w:val="006B27CE"/>
    <w:rsid w:val="006B28AE"/>
    <w:rsid w:val="006B3F51"/>
    <w:rsid w:val="006B5857"/>
    <w:rsid w:val="006B604A"/>
    <w:rsid w:val="006B75EE"/>
    <w:rsid w:val="006B7BED"/>
    <w:rsid w:val="006C01E1"/>
    <w:rsid w:val="006C6354"/>
    <w:rsid w:val="006C6BD3"/>
    <w:rsid w:val="006C70ED"/>
    <w:rsid w:val="006C7F11"/>
    <w:rsid w:val="006D0905"/>
    <w:rsid w:val="006D14E1"/>
    <w:rsid w:val="006D27BA"/>
    <w:rsid w:val="006D28E2"/>
    <w:rsid w:val="006D457E"/>
    <w:rsid w:val="006D5DA8"/>
    <w:rsid w:val="006D6416"/>
    <w:rsid w:val="006D6A02"/>
    <w:rsid w:val="006D7033"/>
    <w:rsid w:val="006D7719"/>
    <w:rsid w:val="006D773A"/>
    <w:rsid w:val="006E02AA"/>
    <w:rsid w:val="006E18AB"/>
    <w:rsid w:val="006E22E8"/>
    <w:rsid w:val="006E2780"/>
    <w:rsid w:val="006E2BBA"/>
    <w:rsid w:val="006E593E"/>
    <w:rsid w:val="006E5A43"/>
    <w:rsid w:val="006E5B76"/>
    <w:rsid w:val="006F2B10"/>
    <w:rsid w:val="006F3BC3"/>
    <w:rsid w:val="006F3F06"/>
    <w:rsid w:val="006F572A"/>
    <w:rsid w:val="006F585D"/>
    <w:rsid w:val="006F5E09"/>
    <w:rsid w:val="006F60B3"/>
    <w:rsid w:val="006F72D4"/>
    <w:rsid w:val="00701EDE"/>
    <w:rsid w:val="00702940"/>
    <w:rsid w:val="0070300E"/>
    <w:rsid w:val="0070363B"/>
    <w:rsid w:val="007044AB"/>
    <w:rsid w:val="0070563E"/>
    <w:rsid w:val="00705ED5"/>
    <w:rsid w:val="0070649C"/>
    <w:rsid w:val="00707313"/>
    <w:rsid w:val="0071053B"/>
    <w:rsid w:val="00710C82"/>
    <w:rsid w:val="00712E22"/>
    <w:rsid w:val="00713E0D"/>
    <w:rsid w:val="00715486"/>
    <w:rsid w:val="00715DB2"/>
    <w:rsid w:val="00715ED6"/>
    <w:rsid w:val="007165E8"/>
    <w:rsid w:val="00721CAA"/>
    <w:rsid w:val="0072369A"/>
    <w:rsid w:val="00724130"/>
    <w:rsid w:val="00724798"/>
    <w:rsid w:val="00725E1E"/>
    <w:rsid w:val="007274BF"/>
    <w:rsid w:val="00730969"/>
    <w:rsid w:val="00730982"/>
    <w:rsid w:val="00731BFE"/>
    <w:rsid w:val="00731E01"/>
    <w:rsid w:val="00732181"/>
    <w:rsid w:val="007345E9"/>
    <w:rsid w:val="00737B80"/>
    <w:rsid w:val="00737FDC"/>
    <w:rsid w:val="0074064F"/>
    <w:rsid w:val="00740AB8"/>
    <w:rsid w:val="00744A8A"/>
    <w:rsid w:val="00745A0F"/>
    <w:rsid w:val="00745A3C"/>
    <w:rsid w:val="0074737C"/>
    <w:rsid w:val="007508C4"/>
    <w:rsid w:val="00750ED0"/>
    <w:rsid w:val="00752ADB"/>
    <w:rsid w:val="00752E33"/>
    <w:rsid w:val="007532E1"/>
    <w:rsid w:val="00753A03"/>
    <w:rsid w:val="0075618D"/>
    <w:rsid w:val="007561AC"/>
    <w:rsid w:val="00757784"/>
    <w:rsid w:val="00757A21"/>
    <w:rsid w:val="0076124C"/>
    <w:rsid w:val="00762109"/>
    <w:rsid w:val="00762DD8"/>
    <w:rsid w:val="007648FA"/>
    <w:rsid w:val="0076538B"/>
    <w:rsid w:val="00766CFB"/>
    <w:rsid w:val="0076796D"/>
    <w:rsid w:val="00767CC6"/>
    <w:rsid w:val="0077052C"/>
    <w:rsid w:val="007706F3"/>
    <w:rsid w:val="00770763"/>
    <w:rsid w:val="0077198A"/>
    <w:rsid w:val="00772DB4"/>
    <w:rsid w:val="00773B4C"/>
    <w:rsid w:val="0077485D"/>
    <w:rsid w:val="00776505"/>
    <w:rsid w:val="00776B45"/>
    <w:rsid w:val="00780C5F"/>
    <w:rsid w:val="0078201C"/>
    <w:rsid w:val="007822EC"/>
    <w:rsid w:val="00782A8C"/>
    <w:rsid w:val="00783323"/>
    <w:rsid w:val="00783E1A"/>
    <w:rsid w:val="00783FEF"/>
    <w:rsid w:val="00784480"/>
    <w:rsid w:val="00785C88"/>
    <w:rsid w:val="00787930"/>
    <w:rsid w:val="00790BD8"/>
    <w:rsid w:val="007917C2"/>
    <w:rsid w:val="00791A5D"/>
    <w:rsid w:val="00793941"/>
    <w:rsid w:val="00795241"/>
    <w:rsid w:val="007963C5"/>
    <w:rsid w:val="00796A57"/>
    <w:rsid w:val="007A16CF"/>
    <w:rsid w:val="007A1982"/>
    <w:rsid w:val="007A210F"/>
    <w:rsid w:val="007A2126"/>
    <w:rsid w:val="007A3134"/>
    <w:rsid w:val="007A3487"/>
    <w:rsid w:val="007A4772"/>
    <w:rsid w:val="007A4C71"/>
    <w:rsid w:val="007A5162"/>
    <w:rsid w:val="007A5607"/>
    <w:rsid w:val="007A64EB"/>
    <w:rsid w:val="007A6AC0"/>
    <w:rsid w:val="007A74E1"/>
    <w:rsid w:val="007B3BBB"/>
    <w:rsid w:val="007B40E1"/>
    <w:rsid w:val="007B49D2"/>
    <w:rsid w:val="007B4E59"/>
    <w:rsid w:val="007B5B3B"/>
    <w:rsid w:val="007B5F63"/>
    <w:rsid w:val="007B66D3"/>
    <w:rsid w:val="007B689C"/>
    <w:rsid w:val="007C4504"/>
    <w:rsid w:val="007C576A"/>
    <w:rsid w:val="007C63FA"/>
    <w:rsid w:val="007C6560"/>
    <w:rsid w:val="007C7355"/>
    <w:rsid w:val="007C78FF"/>
    <w:rsid w:val="007D0658"/>
    <w:rsid w:val="007D31AA"/>
    <w:rsid w:val="007D33E2"/>
    <w:rsid w:val="007D70ED"/>
    <w:rsid w:val="007E3389"/>
    <w:rsid w:val="007E3481"/>
    <w:rsid w:val="007E3D00"/>
    <w:rsid w:val="007E5519"/>
    <w:rsid w:val="007E633D"/>
    <w:rsid w:val="007E6D74"/>
    <w:rsid w:val="007E7FF5"/>
    <w:rsid w:val="007F09C7"/>
    <w:rsid w:val="007F2820"/>
    <w:rsid w:val="007F43F0"/>
    <w:rsid w:val="007F4BC3"/>
    <w:rsid w:val="007F5349"/>
    <w:rsid w:val="007F6D2B"/>
    <w:rsid w:val="007F6FB7"/>
    <w:rsid w:val="007F7034"/>
    <w:rsid w:val="00800E00"/>
    <w:rsid w:val="00802F63"/>
    <w:rsid w:val="008035D9"/>
    <w:rsid w:val="00803FC2"/>
    <w:rsid w:val="00804622"/>
    <w:rsid w:val="00805590"/>
    <w:rsid w:val="00805AE7"/>
    <w:rsid w:val="00806F6C"/>
    <w:rsid w:val="00807B7E"/>
    <w:rsid w:val="00810019"/>
    <w:rsid w:val="0081001C"/>
    <w:rsid w:val="00810DCF"/>
    <w:rsid w:val="00811049"/>
    <w:rsid w:val="0081174B"/>
    <w:rsid w:val="008117DB"/>
    <w:rsid w:val="00812098"/>
    <w:rsid w:val="00812BCD"/>
    <w:rsid w:val="008132C6"/>
    <w:rsid w:val="008137D2"/>
    <w:rsid w:val="00815B6E"/>
    <w:rsid w:val="00815FC2"/>
    <w:rsid w:val="00816932"/>
    <w:rsid w:val="008170C1"/>
    <w:rsid w:val="008204F4"/>
    <w:rsid w:val="00820628"/>
    <w:rsid w:val="00821B90"/>
    <w:rsid w:val="00821BA3"/>
    <w:rsid w:val="00822067"/>
    <w:rsid w:val="00824CBC"/>
    <w:rsid w:val="008257B5"/>
    <w:rsid w:val="00827251"/>
    <w:rsid w:val="00830CF5"/>
    <w:rsid w:val="0083209B"/>
    <w:rsid w:val="0083335C"/>
    <w:rsid w:val="00833B78"/>
    <w:rsid w:val="0083402D"/>
    <w:rsid w:val="00834F2D"/>
    <w:rsid w:val="008351D2"/>
    <w:rsid w:val="00835613"/>
    <w:rsid w:val="00836F99"/>
    <w:rsid w:val="0083772F"/>
    <w:rsid w:val="00840798"/>
    <w:rsid w:val="0084124E"/>
    <w:rsid w:val="0084136E"/>
    <w:rsid w:val="00842035"/>
    <w:rsid w:val="008428B7"/>
    <w:rsid w:val="00842BBF"/>
    <w:rsid w:val="00843AA6"/>
    <w:rsid w:val="008442AE"/>
    <w:rsid w:val="008466A8"/>
    <w:rsid w:val="008472CC"/>
    <w:rsid w:val="0084747E"/>
    <w:rsid w:val="00850C9A"/>
    <w:rsid w:val="00850F2A"/>
    <w:rsid w:val="00850FC0"/>
    <w:rsid w:val="008516C3"/>
    <w:rsid w:val="00851A7D"/>
    <w:rsid w:val="008527B8"/>
    <w:rsid w:val="00853E95"/>
    <w:rsid w:val="00853FEB"/>
    <w:rsid w:val="00854647"/>
    <w:rsid w:val="00854CD0"/>
    <w:rsid w:val="00855B71"/>
    <w:rsid w:val="00855FDD"/>
    <w:rsid w:val="00856CF0"/>
    <w:rsid w:val="00861534"/>
    <w:rsid w:val="00862332"/>
    <w:rsid w:val="008634FD"/>
    <w:rsid w:val="00863CB6"/>
    <w:rsid w:val="008652CD"/>
    <w:rsid w:val="00865D75"/>
    <w:rsid w:val="00866643"/>
    <w:rsid w:val="00867836"/>
    <w:rsid w:val="008679BD"/>
    <w:rsid w:val="00870ABB"/>
    <w:rsid w:val="00870CB9"/>
    <w:rsid w:val="00873F23"/>
    <w:rsid w:val="008742A1"/>
    <w:rsid w:val="00874892"/>
    <w:rsid w:val="00874B62"/>
    <w:rsid w:val="00875648"/>
    <w:rsid w:val="00877B3B"/>
    <w:rsid w:val="00877BA5"/>
    <w:rsid w:val="0088001F"/>
    <w:rsid w:val="00880414"/>
    <w:rsid w:val="00880E9E"/>
    <w:rsid w:val="00884AF6"/>
    <w:rsid w:val="008850DA"/>
    <w:rsid w:val="0088545A"/>
    <w:rsid w:val="00885A1C"/>
    <w:rsid w:val="008870F2"/>
    <w:rsid w:val="00887D98"/>
    <w:rsid w:val="00890C14"/>
    <w:rsid w:val="0089104A"/>
    <w:rsid w:val="0089155C"/>
    <w:rsid w:val="00894163"/>
    <w:rsid w:val="0089439C"/>
    <w:rsid w:val="00896DD9"/>
    <w:rsid w:val="0089791D"/>
    <w:rsid w:val="008A0290"/>
    <w:rsid w:val="008A2489"/>
    <w:rsid w:val="008A3434"/>
    <w:rsid w:val="008A5E21"/>
    <w:rsid w:val="008A5E48"/>
    <w:rsid w:val="008A6F0B"/>
    <w:rsid w:val="008A6FEA"/>
    <w:rsid w:val="008A7FC6"/>
    <w:rsid w:val="008B1AFB"/>
    <w:rsid w:val="008B288D"/>
    <w:rsid w:val="008B36F0"/>
    <w:rsid w:val="008B3A5B"/>
    <w:rsid w:val="008B3CE6"/>
    <w:rsid w:val="008B4003"/>
    <w:rsid w:val="008B6D15"/>
    <w:rsid w:val="008B79D2"/>
    <w:rsid w:val="008C1B27"/>
    <w:rsid w:val="008C2304"/>
    <w:rsid w:val="008C2A7D"/>
    <w:rsid w:val="008C4A6A"/>
    <w:rsid w:val="008C4BDE"/>
    <w:rsid w:val="008C52B0"/>
    <w:rsid w:val="008C62E7"/>
    <w:rsid w:val="008C6618"/>
    <w:rsid w:val="008D03F6"/>
    <w:rsid w:val="008D0558"/>
    <w:rsid w:val="008D2634"/>
    <w:rsid w:val="008D3933"/>
    <w:rsid w:val="008D440E"/>
    <w:rsid w:val="008D56D8"/>
    <w:rsid w:val="008D5AEC"/>
    <w:rsid w:val="008D5C3D"/>
    <w:rsid w:val="008D64FA"/>
    <w:rsid w:val="008D67CE"/>
    <w:rsid w:val="008D69DE"/>
    <w:rsid w:val="008D7694"/>
    <w:rsid w:val="008E505A"/>
    <w:rsid w:val="008E60DA"/>
    <w:rsid w:val="008E6804"/>
    <w:rsid w:val="008F0E56"/>
    <w:rsid w:val="008F14B4"/>
    <w:rsid w:val="008F308F"/>
    <w:rsid w:val="008F336A"/>
    <w:rsid w:val="008F4011"/>
    <w:rsid w:val="008F4B4A"/>
    <w:rsid w:val="008F4D14"/>
    <w:rsid w:val="008F745B"/>
    <w:rsid w:val="0090097C"/>
    <w:rsid w:val="00900C65"/>
    <w:rsid w:val="00901883"/>
    <w:rsid w:val="009018FF"/>
    <w:rsid w:val="00901934"/>
    <w:rsid w:val="00901FB1"/>
    <w:rsid w:val="009035C7"/>
    <w:rsid w:val="00906091"/>
    <w:rsid w:val="00906751"/>
    <w:rsid w:val="0090703E"/>
    <w:rsid w:val="0091113B"/>
    <w:rsid w:val="00911379"/>
    <w:rsid w:val="009146C8"/>
    <w:rsid w:val="00914E8B"/>
    <w:rsid w:val="009158EC"/>
    <w:rsid w:val="00917046"/>
    <w:rsid w:val="0091756D"/>
    <w:rsid w:val="0091765D"/>
    <w:rsid w:val="00917C0F"/>
    <w:rsid w:val="0092014B"/>
    <w:rsid w:val="0092264B"/>
    <w:rsid w:val="00922D55"/>
    <w:rsid w:val="0092312D"/>
    <w:rsid w:val="009249BB"/>
    <w:rsid w:val="009255B3"/>
    <w:rsid w:val="009260CF"/>
    <w:rsid w:val="00926E77"/>
    <w:rsid w:val="00927813"/>
    <w:rsid w:val="00934159"/>
    <w:rsid w:val="00935D4C"/>
    <w:rsid w:val="009406BB"/>
    <w:rsid w:val="00940831"/>
    <w:rsid w:val="00940D29"/>
    <w:rsid w:val="009456A0"/>
    <w:rsid w:val="00945E23"/>
    <w:rsid w:val="00946114"/>
    <w:rsid w:val="00946786"/>
    <w:rsid w:val="00946AAF"/>
    <w:rsid w:val="00947983"/>
    <w:rsid w:val="009502C3"/>
    <w:rsid w:val="009506B6"/>
    <w:rsid w:val="00950A1F"/>
    <w:rsid w:val="009533C9"/>
    <w:rsid w:val="00953D07"/>
    <w:rsid w:val="00954790"/>
    <w:rsid w:val="0095602C"/>
    <w:rsid w:val="00956972"/>
    <w:rsid w:val="00957380"/>
    <w:rsid w:val="0096074E"/>
    <w:rsid w:val="009615CD"/>
    <w:rsid w:val="0096179A"/>
    <w:rsid w:val="00964351"/>
    <w:rsid w:val="00964F94"/>
    <w:rsid w:val="009662BC"/>
    <w:rsid w:val="009717EE"/>
    <w:rsid w:val="00971F64"/>
    <w:rsid w:val="00972C1B"/>
    <w:rsid w:val="00973F1C"/>
    <w:rsid w:val="00974FDA"/>
    <w:rsid w:val="0097730D"/>
    <w:rsid w:val="00980DC3"/>
    <w:rsid w:val="00981CC9"/>
    <w:rsid w:val="00983091"/>
    <w:rsid w:val="00983C97"/>
    <w:rsid w:val="00983D22"/>
    <w:rsid w:val="00984E91"/>
    <w:rsid w:val="00986C48"/>
    <w:rsid w:val="00986E5D"/>
    <w:rsid w:val="00990C29"/>
    <w:rsid w:val="0099314B"/>
    <w:rsid w:val="00993466"/>
    <w:rsid w:val="00993C4A"/>
    <w:rsid w:val="00994DFD"/>
    <w:rsid w:val="0099554C"/>
    <w:rsid w:val="00995D94"/>
    <w:rsid w:val="009960C1"/>
    <w:rsid w:val="009963F4"/>
    <w:rsid w:val="00996646"/>
    <w:rsid w:val="00997058"/>
    <w:rsid w:val="009976DD"/>
    <w:rsid w:val="009A0021"/>
    <w:rsid w:val="009A11FA"/>
    <w:rsid w:val="009A1486"/>
    <w:rsid w:val="009A2462"/>
    <w:rsid w:val="009A2A2D"/>
    <w:rsid w:val="009A3039"/>
    <w:rsid w:val="009A34D3"/>
    <w:rsid w:val="009A4306"/>
    <w:rsid w:val="009A4BA8"/>
    <w:rsid w:val="009A6F6C"/>
    <w:rsid w:val="009B1C24"/>
    <w:rsid w:val="009B1F5A"/>
    <w:rsid w:val="009B4F3D"/>
    <w:rsid w:val="009C01EB"/>
    <w:rsid w:val="009C036F"/>
    <w:rsid w:val="009C0CC9"/>
    <w:rsid w:val="009C1233"/>
    <w:rsid w:val="009C1E17"/>
    <w:rsid w:val="009C1E57"/>
    <w:rsid w:val="009C1E7B"/>
    <w:rsid w:val="009C2151"/>
    <w:rsid w:val="009C2E3B"/>
    <w:rsid w:val="009C3601"/>
    <w:rsid w:val="009C504C"/>
    <w:rsid w:val="009C6A0D"/>
    <w:rsid w:val="009D0A93"/>
    <w:rsid w:val="009D0CA7"/>
    <w:rsid w:val="009D1C8B"/>
    <w:rsid w:val="009D1E3F"/>
    <w:rsid w:val="009D3B59"/>
    <w:rsid w:val="009D3FEE"/>
    <w:rsid w:val="009D6541"/>
    <w:rsid w:val="009D6A92"/>
    <w:rsid w:val="009D7444"/>
    <w:rsid w:val="009D7DBF"/>
    <w:rsid w:val="009E066A"/>
    <w:rsid w:val="009E07A1"/>
    <w:rsid w:val="009E19BB"/>
    <w:rsid w:val="009E2DF4"/>
    <w:rsid w:val="009E3615"/>
    <w:rsid w:val="009E3D67"/>
    <w:rsid w:val="009E41BF"/>
    <w:rsid w:val="009E5998"/>
    <w:rsid w:val="009E74AB"/>
    <w:rsid w:val="009F0CBB"/>
    <w:rsid w:val="009F168C"/>
    <w:rsid w:val="009F1730"/>
    <w:rsid w:val="009F2105"/>
    <w:rsid w:val="009F41B3"/>
    <w:rsid w:val="009F590B"/>
    <w:rsid w:val="009F7E11"/>
    <w:rsid w:val="00A00DE1"/>
    <w:rsid w:val="00A010D4"/>
    <w:rsid w:val="00A0267B"/>
    <w:rsid w:val="00A02965"/>
    <w:rsid w:val="00A02BFF"/>
    <w:rsid w:val="00A03872"/>
    <w:rsid w:val="00A03B6D"/>
    <w:rsid w:val="00A0433B"/>
    <w:rsid w:val="00A05362"/>
    <w:rsid w:val="00A05F80"/>
    <w:rsid w:val="00A0741B"/>
    <w:rsid w:val="00A10108"/>
    <w:rsid w:val="00A102B2"/>
    <w:rsid w:val="00A10444"/>
    <w:rsid w:val="00A1054C"/>
    <w:rsid w:val="00A1058E"/>
    <w:rsid w:val="00A10E8A"/>
    <w:rsid w:val="00A11260"/>
    <w:rsid w:val="00A132F6"/>
    <w:rsid w:val="00A13E8D"/>
    <w:rsid w:val="00A141FB"/>
    <w:rsid w:val="00A1592A"/>
    <w:rsid w:val="00A175E1"/>
    <w:rsid w:val="00A21B01"/>
    <w:rsid w:val="00A21CF3"/>
    <w:rsid w:val="00A226FA"/>
    <w:rsid w:val="00A235D7"/>
    <w:rsid w:val="00A25375"/>
    <w:rsid w:val="00A27EC9"/>
    <w:rsid w:val="00A305FD"/>
    <w:rsid w:val="00A31521"/>
    <w:rsid w:val="00A31B5D"/>
    <w:rsid w:val="00A33B53"/>
    <w:rsid w:val="00A34449"/>
    <w:rsid w:val="00A34E1D"/>
    <w:rsid w:val="00A35751"/>
    <w:rsid w:val="00A366D8"/>
    <w:rsid w:val="00A37CF3"/>
    <w:rsid w:val="00A37FC4"/>
    <w:rsid w:val="00A4037F"/>
    <w:rsid w:val="00A407B4"/>
    <w:rsid w:val="00A41257"/>
    <w:rsid w:val="00A41790"/>
    <w:rsid w:val="00A41BFE"/>
    <w:rsid w:val="00A43F3E"/>
    <w:rsid w:val="00A44B47"/>
    <w:rsid w:val="00A44E72"/>
    <w:rsid w:val="00A4565B"/>
    <w:rsid w:val="00A4574C"/>
    <w:rsid w:val="00A458C8"/>
    <w:rsid w:val="00A47077"/>
    <w:rsid w:val="00A474AF"/>
    <w:rsid w:val="00A47AB9"/>
    <w:rsid w:val="00A50F2F"/>
    <w:rsid w:val="00A51594"/>
    <w:rsid w:val="00A53EB5"/>
    <w:rsid w:val="00A541F4"/>
    <w:rsid w:val="00A54D9D"/>
    <w:rsid w:val="00A57228"/>
    <w:rsid w:val="00A602E7"/>
    <w:rsid w:val="00A60C1C"/>
    <w:rsid w:val="00A61DDA"/>
    <w:rsid w:val="00A62A2E"/>
    <w:rsid w:val="00A65753"/>
    <w:rsid w:val="00A70D98"/>
    <w:rsid w:val="00A710FE"/>
    <w:rsid w:val="00A7117B"/>
    <w:rsid w:val="00A73014"/>
    <w:rsid w:val="00A7377E"/>
    <w:rsid w:val="00A737E4"/>
    <w:rsid w:val="00A74179"/>
    <w:rsid w:val="00A741E4"/>
    <w:rsid w:val="00A745B3"/>
    <w:rsid w:val="00A755D7"/>
    <w:rsid w:val="00A764B5"/>
    <w:rsid w:val="00A767D1"/>
    <w:rsid w:val="00A77B87"/>
    <w:rsid w:val="00A77D6E"/>
    <w:rsid w:val="00A81AD0"/>
    <w:rsid w:val="00A82369"/>
    <w:rsid w:val="00A846D5"/>
    <w:rsid w:val="00A85199"/>
    <w:rsid w:val="00A858C5"/>
    <w:rsid w:val="00A8590A"/>
    <w:rsid w:val="00A86650"/>
    <w:rsid w:val="00A872C1"/>
    <w:rsid w:val="00A90625"/>
    <w:rsid w:val="00A90B43"/>
    <w:rsid w:val="00A9108F"/>
    <w:rsid w:val="00A91304"/>
    <w:rsid w:val="00A935EB"/>
    <w:rsid w:val="00A95DDA"/>
    <w:rsid w:val="00A96D74"/>
    <w:rsid w:val="00AA13F2"/>
    <w:rsid w:val="00AA164F"/>
    <w:rsid w:val="00AA1E38"/>
    <w:rsid w:val="00AA3305"/>
    <w:rsid w:val="00AA4945"/>
    <w:rsid w:val="00AA5E71"/>
    <w:rsid w:val="00AB03D2"/>
    <w:rsid w:val="00AB18B5"/>
    <w:rsid w:val="00AB308B"/>
    <w:rsid w:val="00AB3AA4"/>
    <w:rsid w:val="00AB4457"/>
    <w:rsid w:val="00AB5A2F"/>
    <w:rsid w:val="00AB5E1C"/>
    <w:rsid w:val="00AB67E9"/>
    <w:rsid w:val="00AB6C6F"/>
    <w:rsid w:val="00AB782B"/>
    <w:rsid w:val="00AB7E64"/>
    <w:rsid w:val="00AC0C3C"/>
    <w:rsid w:val="00AC0D5D"/>
    <w:rsid w:val="00AC3DF2"/>
    <w:rsid w:val="00AC4223"/>
    <w:rsid w:val="00AC595D"/>
    <w:rsid w:val="00AC62EB"/>
    <w:rsid w:val="00AC694B"/>
    <w:rsid w:val="00AD1045"/>
    <w:rsid w:val="00AD375D"/>
    <w:rsid w:val="00AD44A6"/>
    <w:rsid w:val="00AD4813"/>
    <w:rsid w:val="00AD58AD"/>
    <w:rsid w:val="00AD5B79"/>
    <w:rsid w:val="00AD6615"/>
    <w:rsid w:val="00AD7A21"/>
    <w:rsid w:val="00AD7CFC"/>
    <w:rsid w:val="00AE20CA"/>
    <w:rsid w:val="00AE2276"/>
    <w:rsid w:val="00AE2363"/>
    <w:rsid w:val="00AE292B"/>
    <w:rsid w:val="00AE4669"/>
    <w:rsid w:val="00AE472C"/>
    <w:rsid w:val="00AE5033"/>
    <w:rsid w:val="00AE5990"/>
    <w:rsid w:val="00AE6A47"/>
    <w:rsid w:val="00AF0738"/>
    <w:rsid w:val="00AF09B3"/>
    <w:rsid w:val="00AF199A"/>
    <w:rsid w:val="00AF1BA3"/>
    <w:rsid w:val="00AF1F39"/>
    <w:rsid w:val="00AF22BD"/>
    <w:rsid w:val="00AF27D5"/>
    <w:rsid w:val="00AF2872"/>
    <w:rsid w:val="00AF2AC0"/>
    <w:rsid w:val="00AF2D45"/>
    <w:rsid w:val="00AF3845"/>
    <w:rsid w:val="00AF3DDA"/>
    <w:rsid w:val="00AF6DF3"/>
    <w:rsid w:val="00AF6F7D"/>
    <w:rsid w:val="00B00D2D"/>
    <w:rsid w:val="00B01BEF"/>
    <w:rsid w:val="00B02361"/>
    <w:rsid w:val="00B028EF"/>
    <w:rsid w:val="00B03764"/>
    <w:rsid w:val="00B03E95"/>
    <w:rsid w:val="00B05A51"/>
    <w:rsid w:val="00B0600E"/>
    <w:rsid w:val="00B071CC"/>
    <w:rsid w:val="00B07D11"/>
    <w:rsid w:val="00B11E87"/>
    <w:rsid w:val="00B125A9"/>
    <w:rsid w:val="00B12AA3"/>
    <w:rsid w:val="00B12ED8"/>
    <w:rsid w:val="00B13520"/>
    <w:rsid w:val="00B15A02"/>
    <w:rsid w:val="00B15F88"/>
    <w:rsid w:val="00B174E5"/>
    <w:rsid w:val="00B218FF"/>
    <w:rsid w:val="00B21B34"/>
    <w:rsid w:val="00B22EE9"/>
    <w:rsid w:val="00B2486D"/>
    <w:rsid w:val="00B2500F"/>
    <w:rsid w:val="00B25B47"/>
    <w:rsid w:val="00B2604A"/>
    <w:rsid w:val="00B26EA1"/>
    <w:rsid w:val="00B3092F"/>
    <w:rsid w:val="00B30A7D"/>
    <w:rsid w:val="00B31C37"/>
    <w:rsid w:val="00B3224C"/>
    <w:rsid w:val="00B324F0"/>
    <w:rsid w:val="00B344E3"/>
    <w:rsid w:val="00B35292"/>
    <w:rsid w:val="00B35875"/>
    <w:rsid w:val="00B37515"/>
    <w:rsid w:val="00B4056E"/>
    <w:rsid w:val="00B4385D"/>
    <w:rsid w:val="00B446BC"/>
    <w:rsid w:val="00B447BA"/>
    <w:rsid w:val="00B44B49"/>
    <w:rsid w:val="00B453C6"/>
    <w:rsid w:val="00B45F29"/>
    <w:rsid w:val="00B46A83"/>
    <w:rsid w:val="00B477E0"/>
    <w:rsid w:val="00B47873"/>
    <w:rsid w:val="00B50573"/>
    <w:rsid w:val="00B50973"/>
    <w:rsid w:val="00B50F76"/>
    <w:rsid w:val="00B51234"/>
    <w:rsid w:val="00B51A15"/>
    <w:rsid w:val="00B52146"/>
    <w:rsid w:val="00B52464"/>
    <w:rsid w:val="00B524B8"/>
    <w:rsid w:val="00B52E59"/>
    <w:rsid w:val="00B53B87"/>
    <w:rsid w:val="00B55DCC"/>
    <w:rsid w:val="00B57CEC"/>
    <w:rsid w:val="00B61B37"/>
    <w:rsid w:val="00B62998"/>
    <w:rsid w:val="00B62DF3"/>
    <w:rsid w:val="00B63265"/>
    <w:rsid w:val="00B63343"/>
    <w:rsid w:val="00B63533"/>
    <w:rsid w:val="00B6376E"/>
    <w:rsid w:val="00B63FFE"/>
    <w:rsid w:val="00B643CD"/>
    <w:rsid w:val="00B66140"/>
    <w:rsid w:val="00B67CC4"/>
    <w:rsid w:val="00B707B8"/>
    <w:rsid w:val="00B70B9F"/>
    <w:rsid w:val="00B714C8"/>
    <w:rsid w:val="00B74A78"/>
    <w:rsid w:val="00B7551D"/>
    <w:rsid w:val="00B75559"/>
    <w:rsid w:val="00B76164"/>
    <w:rsid w:val="00B76263"/>
    <w:rsid w:val="00B7691B"/>
    <w:rsid w:val="00B76BE5"/>
    <w:rsid w:val="00B76E92"/>
    <w:rsid w:val="00B773F2"/>
    <w:rsid w:val="00B80187"/>
    <w:rsid w:val="00B81799"/>
    <w:rsid w:val="00B81932"/>
    <w:rsid w:val="00B81E00"/>
    <w:rsid w:val="00B820A4"/>
    <w:rsid w:val="00B83800"/>
    <w:rsid w:val="00B84335"/>
    <w:rsid w:val="00B84EAD"/>
    <w:rsid w:val="00B85827"/>
    <w:rsid w:val="00B904F4"/>
    <w:rsid w:val="00B90EDF"/>
    <w:rsid w:val="00B91B48"/>
    <w:rsid w:val="00B92709"/>
    <w:rsid w:val="00B92772"/>
    <w:rsid w:val="00B93015"/>
    <w:rsid w:val="00B933C3"/>
    <w:rsid w:val="00B9352F"/>
    <w:rsid w:val="00B944CC"/>
    <w:rsid w:val="00B95350"/>
    <w:rsid w:val="00B97408"/>
    <w:rsid w:val="00B97652"/>
    <w:rsid w:val="00BA1DF8"/>
    <w:rsid w:val="00BA5328"/>
    <w:rsid w:val="00BA539B"/>
    <w:rsid w:val="00BA580E"/>
    <w:rsid w:val="00BA58D1"/>
    <w:rsid w:val="00BA635B"/>
    <w:rsid w:val="00BA6565"/>
    <w:rsid w:val="00BA6C35"/>
    <w:rsid w:val="00BA71E3"/>
    <w:rsid w:val="00BA73C8"/>
    <w:rsid w:val="00BB0F1D"/>
    <w:rsid w:val="00BB128B"/>
    <w:rsid w:val="00BB4401"/>
    <w:rsid w:val="00BB5617"/>
    <w:rsid w:val="00BB594E"/>
    <w:rsid w:val="00BB7163"/>
    <w:rsid w:val="00BB7BB4"/>
    <w:rsid w:val="00BB7BBA"/>
    <w:rsid w:val="00BC06EE"/>
    <w:rsid w:val="00BC0837"/>
    <w:rsid w:val="00BC39EF"/>
    <w:rsid w:val="00BC43DB"/>
    <w:rsid w:val="00BC44B4"/>
    <w:rsid w:val="00BC52D9"/>
    <w:rsid w:val="00BC5B19"/>
    <w:rsid w:val="00BC6669"/>
    <w:rsid w:val="00BD02AD"/>
    <w:rsid w:val="00BD1F5D"/>
    <w:rsid w:val="00BD2872"/>
    <w:rsid w:val="00BD38B5"/>
    <w:rsid w:val="00BD3AA6"/>
    <w:rsid w:val="00BD442D"/>
    <w:rsid w:val="00BD45AD"/>
    <w:rsid w:val="00BD4816"/>
    <w:rsid w:val="00BD571B"/>
    <w:rsid w:val="00BD67D8"/>
    <w:rsid w:val="00BD7F0C"/>
    <w:rsid w:val="00BE1A3E"/>
    <w:rsid w:val="00BE1B10"/>
    <w:rsid w:val="00BE25B4"/>
    <w:rsid w:val="00BE30E3"/>
    <w:rsid w:val="00BE3697"/>
    <w:rsid w:val="00BE3A60"/>
    <w:rsid w:val="00BE679B"/>
    <w:rsid w:val="00BE6B46"/>
    <w:rsid w:val="00BE7D4C"/>
    <w:rsid w:val="00BF0141"/>
    <w:rsid w:val="00BF0195"/>
    <w:rsid w:val="00BF1F8B"/>
    <w:rsid w:val="00BF2C4F"/>
    <w:rsid w:val="00BF4712"/>
    <w:rsid w:val="00BF6249"/>
    <w:rsid w:val="00BF6AFF"/>
    <w:rsid w:val="00BF7576"/>
    <w:rsid w:val="00BF7C90"/>
    <w:rsid w:val="00BF7F12"/>
    <w:rsid w:val="00C03C8C"/>
    <w:rsid w:val="00C040D4"/>
    <w:rsid w:val="00C04DB5"/>
    <w:rsid w:val="00C074E4"/>
    <w:rsid w:val="00C108E8"/>
    <w:rsid w:val="00C10A22"/>
    <w:rsid w:val="00C10CD1"/>
    <w:rsid w:val="00C11CCC"/>
    <w:rsid w:val="00C124D2"/>
    <w:rsid w:val="00C133B1"/>
    <w:rsid w:val="00C13DD2"/>
    <w:rsid w:val="00C1462F"/>
    <w:rsid w:val="00C163B5"/>
    <w:rsid w:val="00C16704"/>
    <w:rsid w:val="00C1745F"/>
    <w:rsid w:val="00C21A15"/>
    <w:rsid w:val="00C24820"/>
    <w:rsid w:val="00C248E3"/>
    <w:rsid w:val="00C250C5"/>
    <w:rsid w:val="00C25BD1"/>
    <w:rsid w:val="00C2601D"/>
    <w:rsid w:val="00C2614F"/>
    <w:rsid w:val="00C3089B"/>
    <w:rsid w:val="00C3098D"/>
    <w:rsid w:val="00C32B9F"/>
    <w:rsid w:val="00C343FD"/>
    <w:rsid w:val="00C34A3A"/>
    <w:rsid w:val="00C3757F"/>
    <w:rsid w:val="00C41180"/>
    <w:rsid w:val="00C41817"/>
    <w:rsid w:val="00C42660"/>
    <w:rsid w:val="00C429DD"/>
    <w:rsid w:val="00C44E60"/>
    <w:rsid w:val="00C46671"/>
    <w:rsid w:val="00C46EE4"/>
    <w:rsid w:val="00C50219"/>
    <w:rsid w:val="00C51A9C"/>
    <w:rsid w:val="00C51C3B"/>
    <w:rsid w:val="00C52316"/>
    <w:rsid w:val="00C5238A"/>
    <w:rsid w:val="00C52652"/>
    <w:rsid w:val="00C601D0"/>
    <w:rsid w:val="00C60847"/>
    <w:rsid w:val="00C62345"/>
    <w:rsid w:val="00C64860"/>
    <w:rsid w:val="00C64CEB"/>
    <w:rsid w:val="00C659E6"/>
    <w:rsid w:val="00C67AA7"/>
    <w:rsid w:val="00C70623"/>
    <w:rsid w:val="00C717EE"/>
    <w:rsid w:val="00C7191D"/>
    <w:rsid w:val="00C71DD3"/>
    <w:rsid w:val="00C7354C"/>
    <w:rsid w:val="00C7510A"/>
    <w:rsid w:val="00C75467"/>
    <w:rsid w:val="00C77B0A"/>
    <w:rsid w:val="00C77C09"/>
    <w:rsid w:val="00C8165B"/>
    <w:rsid w:val="00C82346"/>
    <w:rsid w:val="00C825AB"/>
    <w:rsid w:val="00C82FF9"/>
    <w:rsid w:val="00C83961"/>
    <w:rsid w:val="00C8516E"/>
    <w:rsid w:val="00C85303"/>
    <w:rsid w:val="00C85626"/>
    <w:rsid w:val="00C85AC8"/>
    <w:rsid w:val="00C85F8C"/>
    <w:rsid w:val="00C86D05"/>
    <w:rsid w:val="00C86F5A"/>
    <w:rsid w:val="00C87100"/>
    <w:rsid w:val="00C871FA"/>
    <w:rsid w:val="00C876A6"/>
    <w:rsid w:val="00C908CF"/>
    <w:rsid w:val="00C919B9"/>
    <w:rsid w:val="00C928D8"/>
    <w:rsid w:val="00C94FAF"/>
    <w:rsid w:val="00C97CCE"/>
    <w:rsid w:val="00CA0777"/>
    <w:rsid w:val="00CA196A"/>
    <w:rsid w:val="00CA2A35"/>
    <w:rsid w:val="00CA2A4B"/>
    <w:rsid w:val="00CA3071"/>
    <w:rsid w:val="00CA3F86"/>
    <w:rsid w:val="00CA4094"/>
    <w:rsid w:val="00CA40A7"/>
    <w:rsid w:val="00CA526E"/>
    <w:rsid w:val="00CA55FC"/>
    <w:rsid w:val="00CA5A37"/>
    <w:rsid w:val="00CA7957"/>
    <w:rsid w:val="00CB12B5"/>
    <w:rsid w:val="00CB12B9"/>
    <w:rsid w:val="00CB25CB"/>
    <w:rsid w:val="00CB3444"/>
    <w:rsid w:val="00CB3DC4"/>
    <w:rsid w:val="00CB4091"/>
    <w:rsid w:val="00CB63D6"/>
    <w:rsid w:val="00CB6B6E"/>
    <w:rsid w:val="00CB6F2E"/>
    <w:rsid w:val="00CB7094"/>
    <w:rsid w:val="00CB7995"/>
    <w:rsid w:val="00CB7C8B"/>
    <w:rsid w:val="00CC06BA"/>
    <w:rsid w:val="00CC0A9B"/>
    <w:rsid w:val="00CC0A9F"/>
    <w:rsid w:val="00CC118F"/>
    <w:rsid w:val="00CC4DDB"/>
    <w:rsid w:val="00CC5559"/>
    <w:rsid w:val="00CC7E41"/>
    <w:rsid w:val="00CD00BB"/>
    <w:rsid w:val="00CD050B"/>
    <w:rsid w:val="00CD12A5"/>
    <w:rsid w:val="00CD135E"/>
    <w:rsid w:val="00CD1BF3"/>
    <w:rsid w:val="00CD24CD"/>
    <w:rsid w:val="00CD300E"/>
    <w:rsid w:val="00CD32FE"/>
    <w:rsid w:val="00CD3C1C"/>
    <w:rsid w:val="00CD4021"/>
    <w:rsid w:val="00CD4163"/>
    <w:rsid w:val="00CD440B"/>
    <w:rsid w:val="00CD4661"/>
    <w:rsid w:val="00CD4F6F"/>
    <w:rsid w:val="00CD67C8"/>
    <w:rsid w:val="00CE06D7"/>
    <w:rsid w:val="00CE1346"/>
    <w:rsid w:val="00CE3204"/>
    <w:rsid w:val="00CE39F0"/>
    <w:rsid w:val="00CE5596"/>
    <w:rsid w:val="00CE5C4D"/>
    <w:rsid w:val="00CE7414"/>
    <w:rsid w:val="00CE76D6"/>
    <w:rsid w:val="00CF1146"/>
    <w:rsid w:val="00CF153E"/>
    <w:rsid w:val="00CF17DA"/>
    <w:rsid w:val="00CF2A03"/>
    <w:rsid w:val="00CF2E1C"/>
    <w:rsid w:val="00CF3CDE"/>
    <w:rsid w:val="00CF504E"/>
    <w:rsid w:val="00CF50A0"/>
    <w:rsid w:val="00CF5BD8"/>
    <w:rsid w:val="00CF66EE"/>
    <w:rsid w:val="00CF74FD"/>
    <w:rsid w:val="00CF798E"/>
    <w:rsid w:val="00D00851"/>
    <w:rsid w:val="00D01BE2"/>
    <w:rsid w:val="00D025D1"/>
    <w:rsid w:val="00D02A19"/>
    <w:rsid w:val="00D02FD6"/>
    <w:rsid w:val="00D0370E"/>
    <w:rsid w:val="00D039C4"/>
    <w:rsid w:val="00D03C73"/>
    <w:rsid w:val="00D04D6A"/>
    <w:rsid w:val="00D04DF4"/>
    <w:rsid w:val="00D04F6C"/>
    <w:rsid w:val="00D05C0E"/>
    <w:rsid w:val="00D05DC6"/>
    <w:rsid w:val="00D062EA"/>
    <w:rsid w:val="00D06746"/>
    <w:rsid w:val="00D06A08"/>
    <w:rsid w:val="00D0798A"/>
    <w:rsid w:val="00D119F4"/>
    <w:rsid w:val="00D11A2B"/>
    <w:rsid w:val="00D12249"/>
    <w:rsid w:val="00D144C7"/>
    <w:rsid w:val="00D16346"/>
    <w:rsid w:val="00D17582"/>
    <w:rsid w:val="00D20391"/>
    <w:rsid w:val="00D20A72"/>
    <w:rsid w:val="00D21259"/>
    <w:rsid w:val="00D21740"/>
    <w:rsid w:val="00D21B7E"/>
    <w:rsid w:val="00D21F40"/>
    <w:rsid w:val="00D23433"/>
    <w:rsid w:val="00D234C1"/>
    <w:rsid w:val="00D254AF"/>
    <w:rsid w:val="00D310C3"/>
    <w:rsid w:val="00D3298A"/>
    <w:rsid w:val="00D32BAF"/>
    <w:rsid w:val="00D35F60"/>
    <w:rsid w:val="00D365DF"/>
    <w:rsid w:val="00D36C03"/>
    <w:rsid w:val="00D3738B"/>
    <w:rsid w:val="00D40DB9"/>
    <w:rsid w:val="00D40FE4"/>
    <w:rsid w:val="00D41F92"/>
    <w:rsid w:val="00D42119"/>
    <w:rsid w:val="00D447F3"/>
    <w:rsid w:val="00D45B2C"/>
    <w:rsid w:val="00D47087"/>
    <w:rsid w:val="00D51893"/>
    <w:rsid w:val="00D51C8E"/>
    <w:rsid w:val="00D51D85"/>
    <w:rsid w:val="00D52582"/>
    <w:rsid w:val="00D527BC"/>
    <w:rsid w:val="00D53646"/>
    <w:rsid w:val="00D540EC"/>
    <w:rsid w:val="00D553C1"/>
    <w:rsid w:val="00D55F24"/>
    <w:rsid w:val="00D562FF"/>
    <w:rsid w:val="00D57575"/>
    <w:rsid w:val="00D575C7"/>
    <w:rsid w:val="00D60461"/>
    <w:rsid w:val="00D61D24"/>
    <w:rsid w:val="00D62A3A"/>
    <w:rsid w:val="00D62D9B"/>
    <w:rsid w:val="00D638A6"/>
    <w:rsid w:val="00D63D78"/>
    <w:rsid w:val="00D63FAC"/>
    <w:rsid w:val="00D6491C"/>
    <w:rsid w:val="00D65F36"/>
    <w:rsid w:val="00D6690B"/>
    <w:rsid w:val="00D678EB"/>
    <w:rsid w:val="00D7125F"/>
    <w:rsid w:val="00D718EE"/>
    <w:rsid w:val="00D71B64"/>
    <w:rsid w:val="00D723CB"/>
    <w:rsid w:val="00D738A5"/>
    <w:rsid w:val="00D73B55"/>
    <w:rsid w:val="00D73B71"/>
    <w:rsid w:val="00D76432"/>
    <w:rsid w:val="00D76BC3"/>
    <w:rsid w:val="00D77062"/>
    <w:rsid w:val="00D7726A"/>
    <w:rsid w:val="00D77E4E"/>
    <w:rsid w:val="00D823A0"/>
    <w:rsid w:val="00D8262C"/>
    <w:rsid w:val="00D8398E"/>
    <w:rsid w:val="00D83C6C"/>
    <w:rsid w:val="00D85032"/>
    <w:rsid w:val="00D85897"/>
    <w:rsid w:val="00D86A7B"/>
    <w:rsid w:val="00D86DE8"/>
    <w:rsid w:val="00D87384"/>
    <w:rsid w:val="00D87440"/>
    <w:rsid w:val="00D90251"/>
    <w:rsid w:val="00D9184B"/>
    <w:rsid w:val="00D91974"/>
    <w:rsid w:val="00D91C9A"/>
    <w:rsid w:val="00D93AE0"/>
    <w:rsid w:val="00D94F0F"/>
    <w:rsid w:val="00D95C70"/>
    <w:rsid w:val="00D95E51"/>
    <w:rsid w:val="00DA27B3"/>
    <w:rsid w:val="00DA3596"/>
    <w:rsid w:val="00DA4950"/>
    <w:rsid w:val="00DA4D95"/>
    <w:rsid w:val="00DA4E0F"/>
    <w:rsid w:val="00DA52CA"/>
    <w:rsid w:val="00DA53FF"/>
    <w:rsid w:val="00DA7E6B"/>
    <w:rsid w:val="00DB0743"/>
    <w:rsid w:val="00DB1440"/>
    <w:rsid w:val="00DB1494"/>
    <w:rsid w:val="00DB2501"/>
    <w:rsid w:val="00DB275E"/>
    <w:rsid w:val="00DB2E13"/>
    <w:rsid w:val="00DB3083"/>
    <w:rsid w:val="00DB4AEE"/>
    <w:rsid w:val="00DB5122"/>
    <w:rsid w:val="00DB53ED"/>
    <w:rsid w:val="00DB5F6A"/>
    <w:rsid w:val="00DB6761"/>
    <w:rsid w:val="00DB7016"/>
    <w:rsid w:val="00DB74A5"/>
    <w:rsid w:val="00DC04A4"/>
    <w:rsid w:val="00DC1183"/>
    <w:rsid w:val="00DC18A2"/>
    <w:rsid w:val="00DC1FE7"/>
    <w:rsid w:val="00DC2E66"/>
    <w:rsid w:val="00DC3A2A"/>
    <w:rsid w:val="00DC4037"/>
    <w:rsid w:val="00DC4346"/>
    <w:rsid w:val="00DC4711"/>
    <w:rsid w:val="00DC570A"/>
    <w:rsid w:val="00DC587E"/>
    <w:rsid w:val="00DC58DA"/>
    <w:rsid w:val="00DC5FB5"/>
    <w:rsid w:val="00DC6051"/>
    <w:rsid w:val="00DC7A1D"/>
    <w:rsid w:val="00DD0101"/>
    <w:rsid w:val="00DD1303"/>
    <w:rsid w:val="00DD3D08"/>
    <w:rsid w:val="00DD3DBF"/>
    <w:rsid w:val="00DD3FD3"/>
    <w:rsid w:val="00DD43B4"/>
    <w:rsid w:val="00DD4B07"/>
    <w:rsid w:val="00DD5556"/>
    <w:rsid w:val="00DD6DED"/>
    <w:rsid w:val="00DE13AE"/>
    <w:rsid w:val="00DE1F2A"/>
    <w:rsid w:val="00DE21F5"/>
    <w:rsid w:val="00DE2483"/>
    <w:rsid w:val="00DE28A9"/>
    <w:rsid w:val="00DE2F1E"/>
    <w:rsid w:val="00DE3780"/>
    <w:rsid w:val="00DE7606"/>
    <w:rsid w:val="00DF0D39"/>
    <w:rsid w:val="00DF1560"/>
    <w:rsid w:val="00DF1BD1"/>
    <w:rsid w:val="00DF1C87"/>
    <w:rsid w:val="00DF3278"/>
    <w:rsid w:val="00DF3581"/>
    <w:rsid w:val="00DF532B"/>
    <w:rsid w:val="00DF5AB3"/>
    <w:rsid w:val="00DF66F8"/>
    <w:rsid w:val="00DF679F"/>
    <w:rsid w:val="00DF724F"/>
    <w:rsid w:val="00DF7FB4"/>
    <w:rsid w:val="00E037A9"/>
    <w:rsid w:val="00E03BC1"/>
    <w:rsid w:val="00E0491C"/>
    <w:rsid w:val="00E06C98"/>
    <w:rsid w:val="00E075E7"/>
    <w:rsid w:val="00E100FF"/>
    <w:rsid w:val="00E10CE1"/>
    <w:rsid w:val="00E11D69"/>
    <w:rsid w:val="00E13BB7"/>
    <w:rsid w:val="00E14424"/>
    <w:rsid w:val="00E16337"/>
    <w:rsid w:val="00E1668D"/>
    <w:rsid w:val="00E17329"/>
    <w:rsid w:val="00E17DEB"/>
    <w:rsid w:val="00E20126"/>
    <w:rsid w:val="00E201AD"/>
    <w:rsid w:val="00E20341"/>
    <w:rsid w:val="00E2165B"/>
    <w:rsid w:val="00E22480"/>
    <w:rsid w:val="00E23FE8"/>
    <w:rsid w:val="00E24D85"/>
    <w:rsid w:val="00E253D3"/>
    <w:rsid w:val="00E25690"/>
    <w:rsid w:val="00E25A62"/>
    <w:rsid w:val="00E25CC5"/>
    <w:rsid w:val="00E2634B"/>
    <w:rsid w:val="00E265CE"/>
    <w:rsid w:val="00E268E1"/>
    <w:rsid w:val="00E278B5"/>
    <w:rsid w:val="00E27DE6"/>
    <w:rsid w:val="00E309BF"/>
    <w:rsid w:val="00E31E34"/>
    <w:rsid w:val="00E33A64"/>
    <w:rsid w:val="00E34F23"/>
    <w:rsid w:val="00E367F3"/>
    <w:rsid w:val="00E37EC7"/>
    <w:rsid w:val="00E40D21"/>
    <w:rsid w:val="00E43DFA"/>
    <w:rsid w:val="00E45406"/>
    <w:rsid w:val="00E45420"/>
    <w:rsid w:val="00E45517"/>
    <w:rsid w:val="00E46EDA"/>
    <w:rsid w:val="00E472B8"/>
    <w:rsid w:val="00E47428"/>
    <w:rsid w:val="00E503A2"/>
    <w:rsid w:val="00E53A0E"/>
    <w:rsid w:val="00E5420F"/>
    <w:rsid w:val="00E5469E"/>
    <w:rsid w:val="00E5553D"/>
    <w:rsid w:val="00E55A16"/>
    <w:rsid w:val="00E56D82"/>
    <w:rsid w:val="00E571C9"/>
    <w:rsid w:val="00E61527"/>
    <w:rsid w:val="00E628F6"/>
    <w:rsid w:val="00E62DFD"/>
    <w:rsid w:val="00E63C93"/>
    <w:rsid w:val="00E63F8D"/>
    <w:rsid w:val="00E658C0"/>
    <w:rsid w:val="00E67805"/>
    <w:rsid w:val="00E71863"/>
    <w:rsid w:val="00E71FF5"/>
    <w:rsid w:val="00E763B7"/>
    <w:rsid w:val="00E7797A"/>
    <w:rsid w:val="00E8165F"/>
    <w:rsid w:val="00E81935"/>
    <w:rsid w:val="00E82879"/>
    <w:rsid w:val="00E86F5A"/>
    <w:rsid w:val="00E87BA3"/>
    <w:rsid w:val="00E90023"/>
    <w:rsid w:val="00E91156"/>
    <w:rsid w:val="00E9115B"/>
    <w:rsid w:val="00E91BF1"/>
    <w:rsid w:val="00E9210C"/>
    <w:rsid w:val="00E92998"/>
    <w:rsid w:val="00E93643"/>
    <w:rsid w:val="00E94448"/>
    <w:rsid w:val="00E95926"/>
    <w:rsid w:val="00E96611"/>
    <w:rsid w:val="00E97524"/>
    <w:rsid w:val="00EA1AD2"/>
    <w:rsid w:val="00EA21F9"/>
    <w:rsid w:val="00EA2646"/>
    <w:rsid w:val="00EA5F39"/>
    <w:rsid w:val="00EA6817"/>
    <w:rsid w:val="00EA6AFC"/>
    <w:rsid w:val="00EA715D"/>
    <w:rsid w:val="00EB0960"/>
    <w:rsid w:val="00EB0B43"/>
    <w:rsid w:val="00EB240E"/>
    <w:rsid w:val="00EB3B2B"/>
    <w:rsid w:val="00EB5EAE"/>
    <w:rsid w:val="00EB6AD9"/>
    <w:rsid w:val="00EB7F8B"/>
    <w:rsid w:val="00EC105D"/>
    <w:rsid w:val="00EC2840"/>
    <w:rsid w:val="00EC2A6D"/>
    <w:rsid w:val="00EC2B7C"/>
    <w:rsid w:val="00EC38A7"/>
    <w:rsid w:val="00EC49A4"/>
    <w:rsid w:val="00EC4E94"/>
    <w:rsid w:val="00EC51E3"/>
    <w:rsid w:val="00EC61C2"/>
    <w:rsid w:val="00EC66D8"/>
    <w:rsid w:val="00EC6734"/>
    <w:rsid w:val="00EC6C3D"/>
    <w:rsid w:val="00EC6F2F"/>
    <w:rsid w:val="00EC70DB"/>
    <w:rsid w:val="00EC7269"/>
    <w:rsid w:val="00EC796D"/>
    <w:rsid w:val="00EC7994"/>
    <w:rsid w:val="00ED1EE2"/>
    <w:rsid w:val="00ED4F1E"/>
    <w:rsid w:val="00ED6701"/>
    <w:rsid w:val="00ED7249"/>
    <w:rsid w:val="00EE028B"/>
    <w:rsid w:val="00EE0B21"/>
    <w:rsid w:val="00EE0ECF"/>
    <w:rsid w:val="00EE1E2F"/>
    <w:rsid w:val="00EE22BD"/>
    <w:rsid w:val="00EE2640"/>
    <w:rsid w:val="00EE28B0"/>
    <w:rsid w:val="00EE4E34"/>
    <w:rsid w:val="00EE5CDF"/>
    <w:rsid w:val="00EE66AA"/>
    <w:rsid w:val="00EE78D1"/>
    <w:rsid w:val="00EF10C5"/>
    <w:rsid w:val="00EF13F6"/>
    <w:rsid w:val="00EF1FE6"/>
    <w:rsid w:val="00EF22A9"/>
    <w:rsid w:val="00EF28C8"/>
    <w:rsid w:val="00EF4955"/>
    <w:rsid w:val="00EF4D3B"/>
    <w:rsid w:val="00EF5533"/>
    <w:rsid w:val="00EF5899"/>
    <w:rsid w:val="00F0095D"/>
    <w:rsid w:val="00F01194"/>
    <w:rsid w:val="00F01C5E"/>
    <w:rsid w:val="00F02549"/>
    <w:rsid w:val="00F02A9B"/>
    <w:rsid w:val="00F02E54"/>
    <w:rsid w:val="00F04300"/>
    <w:rsid w:val="00F04D20"/>
    <w:rsid w:val="00F05AD2"/>
    <w:rsid w:val="00F07174"/>
    <w:rsid w:val="00F078E4"/>
    <w:rsid w:val="00F1532F"/>
    <w:rsid w:val="00F15721"/>
    <w:rsid w:val="00F161E7"/>
    <w:rsid w:val="00F173D9"/>
    <w:rsid w:val="00F20176"/>
    <w:rsid w:val="00F20687"/>
    <w:rsid w:val="00F20FD7"/>
    <w:rsid w:val="00F229B4"/>
    <w:rsid w:val="00F23446"/>
    <w:rsid w:val="00F23A05"/>
    <w:rsid w:val="00F248D8"/>
    <w:rsid w:val="00F26AA3"/>
    <w:rsid w:val="00F302DD"/>
    <w:rsid w:val="00F306BE"/>
    <w:rsid w:val="00F3263E"/>
    <w:rsid w:val="00F331E5"/>
    <w:rsid w:val="00F35332"/>
    <w:rsid w:val="00F3622D"/>
    <w:rsid w:val="00F36AF1"/>
    <w:rsid w:val="00F4149F"/>
    <w:rsid w:val="00F43CAC"/>
    <w:rsid w:val="00F43E91"/>
    <w:rsid w:val="00F44B87"/>
    <w:rsid w:val="00F4600A"/>
    <w:rsid w:val="00F4606A"/>
    <w:rsid w:val="00F464EE"/>
    <w:rsid w:val="00F5058A"/>
    <w:rsid w:val="00F50906"/>
    <w:rsid w:val="00F50CBB"/>
    <w:rsid w:val="00F53056"/>
    <w:rsid w:val="00F53ABC"/>
    <w:rsid w:val="00F54128"/>
    <w:rsid w:val="00F54EDD"/>
    <w:rsid w:val="00F5581D"/>
    <w:rsid w:val="00F56EA8"/>
    <w:rsid w:val="00F5727D"/>
    <w:rsid w:val="00F57B8B"/>
    <w:rsid w:val="00F604E3"/>
    <w:rsid w:val="00F63ED4"/>
    <w:rsid w:val="00F641AF"/>
    <w:rsid w:val="00F672EA"/>
    <w:rsid w:val="00F707A0"/>
    <w:rsid w:val="00F723A5"/>
    <w:rsid w:val="00F729B1"/>
    <w:rsid w:val="00F72DFB"/>
    <w:rsid w:val="00F748F1"/>
    <w:rsid w:val="00F77264"/>
    <w:rsid w:val="00F812A0"/>
    <w:rsid w:val="00F81329"/>
    <w:rsid w:val="00F81BF6"/>
    <w:rsid w:val="00F822B0"/>
    <w:rsid w:val="00F83AE4"/>
    <w:rsid w:val="00F85D68"/>
    <w:rsid w:val="00F85DDF"/>
    <w:rsid w:val="00F8666F"/>
    <w:rsid w:val="00F914B8"/>
    <w:rsid w:val="00F91686"/>
    <w:rsid w:val="00F94560"/>
    <w:rsid w:val="00F94AFE"/>
    <w:rsid w:val="00F94CCA"/>
    <w:rsid w:val="00F95422"/>
    <w:rsid w:val="00F9598A"/>
    <w:rsid w:val="00F95CB2"/>
    <w:rsid w:val="00F9641A"/>
    <w:rsid w:val="00F96771"/>
    <w:rsid w:val="00F96EDC"/>
    <w:rsid w:val="00F971A1"/>
    <w:rsid w:val="00F97464"/>
    <w:rsid w:val="00F974C3"/>
    <w:rsid w:val="00F97E15"/>
    <w:rsid w:val="00FA204C"/>
    <w:rsid w:val="00FA4631"/>
    <w:rsid w:val="00FA60C4"/>
    <w:rsid w:val="00FA6F60"/>
    <w:rsid w:val="00FA7502"/>
    <w:rsid w:val="00FA7913"/>
    <w:rsid w:val="00FA7E10"/>
    <w:rsid w:val="00FB1819"/>
    <w:rsid w:val="00FB2230"/>
    <w:rsid w:val="00FB278F"/>
    <w:rsid w:val="00FB2A78"/>
    <w:rsid w:val="00FB2B27"/>
    <w:rsid w:val="00FB3308"/>
    <w:rsid w:val="00FB3315"/>
    <w:rsid w:val="00FB66C8"/>
    <w:rsid w:val="00FB6A68"/>
    <w:rsid w:val="00FB7D05"/>
    <w:rsid w:val="00FC0020"/>
    <w:rsid w:val="00FC0076"/>
    <w:rsid w:val="00FC09B7"/>
    <w:rsid w:val="00FC3E39"/>
    <w:rsid w:val="00FC6204"/>
    <w:rsid w:val="00FC6784"/>
    <w:rsid w:val="00FC6EF4"/>
    <w:rsid w:val="00FC7E6E"/>
    <w:rsid w:val="00FD0173"/>
    <w:rsid w:val="00FD1023"/>
    <w:rsid w:val="00FD3BB5"/>
    <w:rsid w:val="00FD3DF9"/>
    <w:rsid w:val="00FD3EE7"/>
    <w:rsid w:val="00FD4951"/>
    <w:rsid w:val="00FD4A44"/>
    <w:rsid w:val="00FD4DE9"/>
    <w:rsid w:val="00FD5561"/>
    <w:rsid w:val="00FD7289"/>
    <w:rsid w:val="00FE0076"/>
    <w:rsid w:val="00FE3403"/>
    <w:rsid w:val="00FE3750"/>
    <w:rsid w:val="00FE4B9F"/>
    <w:rsid w:val="00FE5182"/>
    <w:rsid w:val="00FE6498"/>
    <w:rsid w:val="00FF1696"/>
    <w:rsid w:val="00FF31F5"/>
    <w:rsid w:val="00FF342F"/>
    <w:rsid w:val="00FF41AE"/>
    <w:rsid w:val="00FF75F0"/>
    <w:rsid w:val="00FF7CFD"/>
    <w:rsid w:val="00FF7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4:docId w14:val="2D685821"/>
  <w15:docId w15:val="{D1B00D38-A6CD-427A-A4BB-7136A3A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heading 1" w:locked="1" w:uiPriority="1" w:qFormat="1"/>
    <w:lsdException w:name="heading 2" w:locked="1" w:semiHidden="1" w:uiPriority="1" w:unhideWhenUsed="1" w:qFormat="1"/>
    <w:lsdException w:name="heading 3" w:locked="1"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3"/>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0" w:qFormat="1"/>
    <w:lsdException w:name="Intense Quote" w:semiHidden="1" w:uiPriority="3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2" w:unhideWhenUsed="1" w:qFormat="1"/>
    <w:lsdException w:name="Intense Reference" w:semiHidden="1" w:uiPriority="33"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3261EE"/>
    <w:rPr>
      <w:lang w:val="en-NZ"/>
    </w:rPr>
  </w:style>
  <w:style w:type="paragraph" w:styleId="Heading1">
    <w:name w:val="heading 1"/>
    <w:basedOn w:val="BodyText"/>
    <w:next w:val="BodyText"/>
    <w:link w:val="Heading1Char"/>
    <w:uiPriority w:val="1"/>
    <w:qFormat/>
    <w:locked/>
    <w:rsid w:val="00B174E5"/>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locked/>
    <w:rsid w:val="00B174E5"/>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locked/>
    <w:rsid w:val="00B174E5"/>
    <w:pPr>
      <w:keepNext/>
      <w:spacing w:before="240"/>
      <w:outlineLvl w:val="2"/>
    </w:pPr>
    <w:rPr>
      <w:rFonts w:asciiTheme="majorHAnsi" w:hAnsiTheme="majorHAnsi"/>
      <w:b/>
      <w:color w:val="36424A" w:themeColor="text2"/>
      <w:sz w:val="24"/>
    </w:rPr>
  </w:style>
  <w:style w:type="paragraph" w:styleId="Heading4">
    <w:name w:val="heading 4"/>
    <w:basedOn w:val="BodyText"/>
    <w:next w:val="BodyText"/>
    <w:link w:val="Heading4Char"/>
    <w:uiPriority w:val="1"/>
    <w:unhideWhenUsed/>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B9F"/>
    <w:rPr>
      <w:rFonts w:asciiTheme="majorHAnsi" w:hAnsiTheme="majorHAnsi"/>
      <w:b/>
      <w:caps/>
      <w:color w:val="36424A" w:themeColor="text2"/>
      <w:sz w:val="28"/>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rPr>
  </w:style>
  <w:style w:type="character" w:customStyle="1" w:styleId="Heading3Char">
    <w:name w:val="Heading 3 Char"/>
    <w:basedOn w:val="DefaultParagraphFont"/>
    <w:link w:val="Heading3"/>
    <w:uiPriority w:val="1"/>
    <w:rsid w:val="001C3B9F"/>
    <w:rPr>
      <w:rFonts w:asciiTheme="majorHAnsi" w:hAnsiTheme="majorHAnsi"/>
      <w:b/>
      <w:color w:val="36424A" w:themeColor="text2"/>
      <w:sz w:val="24"/>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basedOn w:val="Normal"/>
    <w:link w:val="ListParagraphChar"/>
    <w:uiPriority w:val="99"/>
    <w:semiHidden/>
    <w:rsid w:val="0047667C"/>
    <w:pPr>
      <w:spacing w:before="120" w:after="120"/>
      <w:ind w:left="851" w:hanging="567"/>
    </w:pPr>
  </w:style>
  <w:style w:type="paragraph" w:customStyle="1" w:styleId="List-BulletLvl1">
    <w:name w:val="List - Bullet Lvl 1"/>
    <w:basedOn w:val="BodyText"/>
    <w:link w:val="List-BulletLvl1Char"/>
    <w:uiPriority w:val="4"/>
    <w:qFormat/>
    <w:rsid w:val="002A78C5"/>
    <w:pPr>
      <w:numPr>
        <w:numId w:val="7"/>
      </w:numPr>
      <w:spacing w:before="0"/>
    </w:pPr>
  </w:style>
  <w:style w:type="paragraph" w:customStyle="1" w:styleId="List-AlphanumericLvl1">
    <w:name w:val="List - Alphanumeric Lvl 1"/>
    <w:basedOn w:val="ListParagraph"/>
    <w:link w:val="List-AlphanumericLvl1Char"/>
    <w:uiPriority w:val="99"/>
    <w:qFormat/>
    <w:rsid w:val="00F974C3"/>
    <w:pPr>
      <w:numPr>
        <w:numId w:val="5"/>
      </w:numPr>
      <w:ind w:left="851"/>
    </w:pPr>
  </w:style>
  <w:style w:type="character" w:customStyle="1" w:styleId="ListParagraphChar">
    <w:name w:val="List Paragraph Char"/>
    <w:basedOn w:val="DefaultParagraphFont"/>
    <w:link w:val="ListParagraph"/>
    <w:uiPriority w:val="99"/>
    <w:semiHidden/>
    <w:rsid w:val="005966E4"/>
  </w:style>
  <w:style w:type="character" w:customStyle="1" w:styleId="List-BulletLvl1Char">
    <w:name w:val="List - Bullet Lvl 1 Char"/>
    <w:basedOn w:val="ListParagraphChar"/>
    <w:link w:val="List-BulletLvl1"/>
    <w:uiPriority w:val="4"/>
    <w:rsid w:val="002A78C5"/>
    <w:rPr>
      <w:lang w:val="en-NZ"/>
    </w:rPr>
  </w:style>
  <w:style w:type="character" w:customStyle="1" w:styleId="List-AlphanumericLvl1Char">
    <w:name w:val="List - Alphanumeric Lvl 1 Char"/>
    <w:basedOn w:val="ListParagraphChar"/>
    <w:link w:val="List-AlphanumericLvl1"/>
    <w:uiPriority w:val="99"/>
    <w:rsid w:val="00F974C3"/>
    <w:rPr>
      <w:lang w:val="en-NZ"/>
    </w:rPr>
  </w:style>
  <w:style w:type="paragraph" w:customStyle="1" w:styleId="List-BulletLvl2">
    <w:name w:val="List - Bullet Lvl 2"/>
    <w:basedOn w:val="BodyText"/>
    <w:link w:val="List-BulletLvl2Char"/>
    <w:uiPriority w:val="99"/>
    <w:rsid w:val="002A78C5"/>
    <w:pPr>
      <w:numPr>
        <w:ilvl w:val="1"/>
        <w:numId w:val="7"/>
      </w:numPr>
    </w:pPr>
  </w:style>
  <w:style w:type="paragraph" w:customStyle="1" w:styleId="List-AlphanumericLvl2">
    <w:name w:val="List - Alphanumeric Lvl 2"/>
    <w:basedOn w:val="List-AlphanumericLvl1"/>
    <w:link w:val="List-AlphanumericLvl2Char"/>
    <w:uiPriority w:val="7"/>
    <w:rsid w:val="00F974C3"/>
    <w:pPr>
      <w:numPr>
        <w:ilvl w:val="1"/>
      </w:numPr>
      <w:ind w:left="1418"/>
    </w:pPr>
  </w:style>
  <w:style w:type="character" w:customStyle="1" w:styleId="List-BulletLvl2Char">
    <w:name w:val="List - Bullet Lvl 2 Char"/>
    <w:basedOn w:val="List-BulletLvl1Char"/>
    <w:link w:val="List-BulletLvl2"/>
    <w:uiPriority w:val="99"/>
    <w:rsid w:val="00106F45"/>
    <w:rPr>
      <w:lang w:val="en-NZ"/>
    </w:rPr>
  </w:style>
  <w:style w:type="paragraph" w:customStyle="1" w:styleId="List-AlphanumericLvl3">
    <w:name w:val="List - Alphanumeric Lvl 3"/>
    <w:basedOn w:val="List-AlphanumericLvl2"/>
    <w:link w:val="List-AlphanumericLvl3Char"/>
    <w:uiPriority w:val="99"/>
    <w:rsid w:val="00F974C3"/>
    <w:pPr>
      <w:numPr>
        <w:ilvl w:val="2"/>
      </w:numPr>
      <w:tabs>
        <w:tab w:val="left" w:pos="1985"/>
      </w:tabs>
      <w:ind w:left="1985"/>
    </w:pPr>
  </w:style>
  <w:style w:type="character" w:customStyle="1" w:styleId="List-AlphanumericLvl2Char">
    <w:name w:val="List - Alphanumeric Lvl 2 Char"/>
    <w:basedOn w:val="List-AlphanumericLvl1Char"/>
    <w:link w:val="List-AlphanumericLvl2"/>
    <w:uiPriority w:val="7"/>
    <w:rsid w:val="00F974C3"/>
    <w:rPr>
      <w:lang w:val="en-NZ"/>
    </w:rPr>
  </w:style>
  <w:style w:type="character" w:customStyle="1" w:styleId="List-AlphanumericLvl3Char">
    <w:name w:val="List - Alphanumeric Lvl 3 Char"/>
    <w:basedOn w:val="List-AlphanumericLvl2Char"/>
    <w:link w:val="List-AlphanumericLvl3"/>
    <w:uiPriority w:val="99"/>
    <w:rsid w:val="00F974C3"/>
    <w:rPr>
      <w:lang w:val="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NameChar">
    <w:name w:val="CV - Name Char"/>
    <w:basedOn w:val="DefaultParagraphFont"/>
    <w:link w:val="CV-Name"/>
    <w:uiPriority w:val="10"/>
    <w:rsid w:val="00D00851"/>
    <w:rPr>
      <w:b/>
      <w:color w:val="77B800"/>
      <w:sz w:val="32"/>
      <w:lang w:val="en-NZ"/>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QualsChar">
    <w:name w:val="CV - Quals Char"/>
    <w:basedOn w:val="DefaultParagraphFont"/>
    <w:link w:val="CV-Quals"/>
    <w:uiPriority w:val="10"/>
    <w:rsid w:val="008D0558"/>
    <w:rPr>
      <w:b/>
      <w:i/>
      <w:color w:val="36424A" w:themeColor="text2"/>
      <w:lang w:val="en-NZ"/>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E367F3"/>
    <w:rPr>
      <w:b/>
      <w:color w:val="77B800"/>
      <w:sz w:val="24"/>
      <w:lang w:val="en-NZ"/>
    </w:rPr>
  </w:style>
  <w:style w:type="character" w:customStyle="1" w:styleId="TitleChar">
    <w:name w:val="Title Char"/>
    <w:basedOn w:val="DefaultParagraphFont"/>
    <w:link w:val="Title"/>
    <w:uiPriority w:val="99"/>
    <w:semiHidden/>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8679BD"/>
    <w:pPr>
      <w:keepNext/>
      <w:numPr>
        <w:numId w:val="9"/>
      </w:numPr>
      <w:spacing w:before="360" w:after="240"/>
      <w:ind w:left="680"/>
      <w:outlineLvl w:val="0"/>
    </w:pPr>
    <w:rPr>
      <w:rFonts w:asciiTheme="majorHAnsi" w:hAnsiTheme="majorHAnsi"/>
      <w:b/>
      <w:caps/>
      <w:color w:val="36424A" w:themeColor="text2"/>
      <w:sz w:val="28"/>
    </w:rPr>
  </w:style>
  <w:style w:type="paragraph" w:customStyle="1" w:styleId="NumberedHeading2">
    <w:name w:val="Numbered Heading 2"/>
    <w:basedOn w:val="ListParagraph"/>
    <w:next w:val="BodyText"/>
    <w:link w:val="NumberedHeading2Char"/>
    <w:uiPriority w:val="2"/>
    <w:qFormat/>
    <w:rsid w:val="008679BD"/>
    <w:pPr>
      <w:keepNext/>
      <w:numPr>
        <w:ilvl w:val="1"/>
        <w:numId w:val="9"/>
      </w:numPr>
      <w:spacing w:before="360"/>
      <w:outlineLvl w:val="1"/>
    </w:pPr>
    <w:rPr>
      <w:rFonts w:asciiTheme="majorHAnsi" w:hAnsiTheme="majorHAnsi"/>
      <w:b/>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hAnsiTheme="majorHAnsi"/>
      <w:b/>
      <w:caps/>
      <w:color w:val="36424A" w:themeColor="text2"/>
      <w:sz w:val="28"/>
      <w:lang w:val="en-NZ"/>
    </w:rPr>
  </w:style>
  <w:style w:type="paragraph" w:customStyle="1" w:styleId="NumberedHeading3">
    <w:name w:val="Numbered Heading 3"/>
    <w:basedOn w:val="ListParagraph"/>
    <w:next w:val="BodyText"/>
    <w:link w:val="NumberedHeading3Char"/>
    <w:uiPriority w:val="2"/>
    <w:qFormat/>
    <w:rsid w:val="008679BD"/>
    <w:pPr>
      <w:keepNext/>
      <w:numPr>
        <w:ilvl w:val="2"/>
        <w:numId w:val="2"/>
      </w:numPr>
      <w:spacing w:before="240"/>
      <w:outlineLvl w:val="2"/>
    </w:pPr>
    <w:rPr>
      <w:rFonts w:asciiTheme="majorHAnsi" w:hAnsiTheme="majorHAnsi"/>
      <w:b/>
      <w:color w:val="36424A" w:themeColor="text2"/>
      <w:sz w:val="24"/>
    </w:rPr>
  </w:style>
  <w:style w:type="character" w:customStyle="1" w:styleId="NumberedHeading2Char">
    <w:name w:val="Numbered Heading 2 Char"/>
    <w:basedOn w:val="Heading2Char"/>
    <w:link w:val="NumberedHeading2"/>
    <w:uiPriority w:val="2"/>
    <w:rsid w:val="0077052C"/>
    <w:rPr>
      <w:rFonts w:asciiTheme="majorHAnsi" w:hAnsiTheme="majorHAnsi"/>
      <w:b/>
      <w:color w:val="36424A" w:themeColor="text2"/>
      <w:sz w:val="28"/>
      <w:lang w:val="en-NZ"/>
    </w:rPr>
  </w:style>
  <w:style w:type="paragraph" w:customStyle="1" w:styleId="NumberedHeading4">
    <w:name w:val="Numbered Heading 4"/>
    <w:basedOn w:val="ListParagraph"/>
    <w:next w:val="BodyText"/>
    <w:link w:val="NumberedHeading4Char"/>
    <w:uiPriority w:val="2"/>
    <w:unhideWhenUsed/>
    <w:rsid w:val="008679BD"/>
    <w:pPr>
      <w:keepNext/>
      <w:numPr>
        <w:ilvl w:val="3"/>
        <w:numId w:val="9"/>
      </w:numPr>
      <w:outlineLvl w:val="3"/>
    </w:pPr>
    <w:rPr>
      <w:rFonts w:asciiTheme="majorHAnsi" w:hAnsiTheme="majorHAnsi"/>
      <w:b/>
      <w:i/>
      <w:color w:val="36424A" w:themeColor="text2"/>
      <w:sz w:val="24"/>
    </w:rPr>
  </w:style>
  <w:style w:type="character" w:customStyle="1" w:styleId="NumberedHeading3Char">
    <w:name w:val="Numbered Heading 3 Char"/>
    <w:basedOn w:val="Heading3Char"/>
    <w:link w:val="NumberedHeading3"/>
    <w:uiPriority w:val="2"/>
    <w:rsid w:val="008679BD"/>
    <w:rPr>
      <w:rFonts w:asciiTheme="majorHAnsi" w:hAnsiTheme="majorHAnsi"/>
      <w:b/>
      <w:color w:val="36424A" w:themeColor="text2"/>
      <w:sz w:val="24"/>
      <w:lang w:val="en-NZ"/>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hAnsiTheme="majorHAnsi"/>
      <w:i/>
      <w:color w:val="36424A" w:themeColor="text2"/>
    </w:rPr>
  </w:style>
  <w:style w:type="character" w:customStyle="1" w:styleId="NumberedHeading4Char">
    <w:name w:val="Numbered Heading 4 Char"/>
    <w:basedOn w:val="Heading4Char"/>
    <w:link w:val="NumberedHeading4"/>
    <w:uiPriority w:val="2"/>
    <w:rsid w:val="0077052C"/>
    <w:rPr>
      <w:rFonts w:asciiTheme="majorHAnsi" w:hAnsiTheme="majorHAnsi"/>
      <w:b/>
      <w:i/>
      <w:color w:val="36424A" w:themeColor="text2"/>
      <w:sz w:val="24"/>
      <w:lang w:val="en-NZ"/>
    </w:rPr>
  </w:style>
  <w:style w:type="character" w:customStyle="1" w:styleId="NumberedHeading5Char">
    <w:name w:val="Numbered Heading 5 Char"/>
    <w:basedOn w:val="Heading5Char"/>
    <w:link w:val="NumberedHeading5"/>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E367F3"/>
    <w:rPr>
      <w:rFonts w:asciiTheme="majorHAnsi" w:hAnsiTheme="majorHAnsi"/>
      <w:sz w:val="18"/>
      <w:lang w:val="en-NZ"/>
    </w:rPr>
  </w:style>
  <w:style w:type="table" w:customStyle="1" w:styleId="ACGreen-BandedTable">
    <w:name w:val="A+C Green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color w:val="FFFFFF" w:themeColor="background1"/>
      </w:rPr>
      <w:tblPr>
        <w:tblCellMar>
          <w:top w:w="57" w:type="dxa"/>
          <w:left w:w="28" w:type="dxa"/>
          <w:bottom w:w="57" w:type="dxa"/>
          <w:right w:w="28" w:type="dxa"/>
        </w:tblCellMa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654C3D"/>
    <w:rPr>
      <w:rFonts w:asciiTheme="majorHAnsi" w:hAnsiTheme="majorHAnsi"/>
      <w:sz w:val="18"/>
      <w:lang w:val="en-NZ"/>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FE5182"/>
    <w:pPr>
      <w:spacing w:after="0" w:line="240" w:lineRule="auto"/>
    </w:pPr>
    <w:rPr>
      <w:rFonts w:asciiTheme="majorHAnsi" w:hAnsiTheme="majorHAnsi"/>
      <w:sz w:val="21"/>
    </w:rPr>
    <w:tblPr>
      <w:tblStyleRowBandSize w:val="1"/>
      <w:tblStyleCol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9"/>
    <w:rsid w:val="0096074E"/>
    <w:pPr>
      <w:numPr>
        <w:numId w:val="1"/>
      </w:numPr>
      <w:tabs>
        <w:tab w:val="left" w:pos="426"/>
      </w:tabs>
      <w:spacing w:after="40"/>
      <w:ind w:left="426"/>
    </w:pPr>
    <w:rPr>
      <w:rFonts w:asciiTheme="majorHAnsi" w:hAnsiTheme="majorHAnsi"/>
      <w:sz w:val="21"/>
      <w:szCs w:val="21"/>
    </w:rPr>
  </w:style>
  <w:style w:type="paragraph" w:customStyle="1" w:styleId="Table-Heading">
    <w:name w:val="Table - Heading"/>
    <w:basedOn w:val="Normal"/>
    <w:next w:val="Table-para"/>
    <w:link w:val="Table-HeadingChar"/>
    <w:uiPriority w:val="11"/>
    <w:rsid w:val="00D87440"/>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9"/>
    <w:rsid w:val="0096074E"/>
    <w:rPr>
      <w:rFonts w:asciiTheme="majorHAnsi" w:hAnsiTheme="majorHAnsi"/>
      <w:sz w:val="21"/>
      <w:szCs w:val="21"/>
      <w:lang w:val="en-NZ"/>
    </w:rPr>
  </w:style>
  <w:style w:type="paragraph" w:customStyle="1" w:styleId="Table-para">
    <w:name w:val="Table - para"/>
    <w:basedOn w:val="Normal"/>
    <w:link w:val="Table-paraChar"/>
    <w:uiPriority w:val="11"/>
    <w:rsid w:val="00D87440"/>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137E84"/>
    <w:rPr>
      <w:rFonts w:asciiTheme="majorHAnsi" w:hAnsiTheme="majorHAnsi"/>
      <w:b/>
      <w:sz w:val="21"/>
      <w:szCs w:val="21"/>
      <w:lang w:val="en-NZ"/>
    </w:rPr>
  </w:style>
  <w:style w:type="character" w:customStyle="1" w:styleId="Table-paraChar">
    <w:name w:val="Table - para Char"/>
    <w:basedOn w:val="DefaultParagraphFont"/>
    <w:link w:val="Table-para"/>
    <w:uiPriority w:val="11"/>
    <w:rsid w:val="00D51C8E"/>
    <w:rPr>
      <w:rFonts w:asciiTheme="majorHAnsi" w:hAnsiTheme="majorHAnsi"/>
      <w:sz w:val="21"/>
      <w:szCs w:val="21"/>
      <w:lang w:val="en-NZ"/>
    </w:rPr>
  </w:style>
  <w:style w:type="paragraph" w:styleId="Quote">
    <w:name w:val="Quote"/>
    <w:basedOn w:val="BodyText"/>
    <w:next w:val="BodyText"/>
    <w:link w:val="QuoteChar"/>
    <w:uiPriority w:val="20"/>
    <w:qFormat/>
    <w:rsid w:val="00F02E54"/>
    <w:pPr>
      <w:ind w:left="1134" w:right="1089"/>
    </w:pPr>
    <w:rPr>
      <w:i/>
      <w:iCs/>
      <w:color w:val="000000" w:themeColor="text1"/>
    </w:rPr>
  </w:style>
  <w:style w:type="character" w:customStyle="1" w:styleId="QuoteChar">
    <w:name w:val="Quote Char"/>
    <w:basedOn w:val="DefaultParagraphFont"/>
    <w:link w:val="Quote"/>
    <w:uiPriority w:val="20"/>
    <w:rsid w:val="00E367F3"/>
    <w:rPr>
      <w:i/>
      <w:iCs/>
      <w:color w:val="000000" w:themeColor="text1"/>
      <w:lang w:val="en-NZ"/>
    </w:rPr>
  </w:style>
  <w:style w:type="paragraph" w:styleId="BodyText">
    <w:name w:val="Body Text"/>
    <w:link w:val="BodyTextChar"/>
    <w:uiPriority w:val="99"/>
    <w:qFormat/>
    <w:locked/>
    <w:rsid w:val="00E14424"/>
    <w:pPr>
      <w:spacing w:before="120" w:after="120" w:line="280" w:lineRule="exact"/>
      <w:jc w:val="both"/>
    </w:pPr>
    <w:rPr>
      <w:lang w:val="en-NZ"/>
    </w:rPr>
  </w:style>
  <w:style w:type="character" w:customStyle="1" w:styleId="BodyTextChar">
    <w:name w:val="Body Text Char"/>
    <w:basedOn w:val="DefaultParagraphFont"/>
    <w:link w:val="BodyText"/>
    <w:uiPriority w:val="99"/>
    <w:rsid w:val="00E14424"/>
    <w:rPr>
      <w:lang w:val="en-NZ"/>
    </w:rPr>
  </w:style>
  <w:style w:type="paragraph" w:styleId="Caption">
    <w:name w:val="caption"/>
    <w:basedOn w:val="Normal"/>
    <w:next w:val="Normal"/>
    <w:uiPriority w:val="14"/>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paragraph" w:customStyle="1" w:styleId="List-BulletLvl3">
    <w:name w:val="List - Bullet Lvl 3"/>
    <w:basedOn w:val="BodyText"/>
    <w:link w:val="List-BulletLvl3Char"/>
    <w:uiPriority w:val="4"/>
    <w:rsid w:val="002A78C5"/>
    <w:pPr>
      <w:numPr>
        <w:ilvl w:val="2"/>
        <w:numId w:val="7"/>
      </w:numPr>
    </w:p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ListBullet3Char">
    <w:name w:val="List Bullet 3 Char"/>
    <w:basedOn w:val="List-BulletLvl2Char"/>
    <w:link w:val="ListBullet3"/>
    <w:uiPriority w:val="99"/>
    <w:semiHidden/>
    <w:rsid w:val="005966E4"/>
    <w:rPr>
      <w:lang w:val="en-NZ"/>
    </w:rPr>
  </w:style>
  <w:style w:type="character" w:customStyle="1" w:styleId="List-BulletLvl3Char">
    <w:name w:val="List - Bullet Lvl 3 Char"/>
    <w:basedOn w:val="ListBullet3Char"/>
    <w:link w:val="List-BulletLvl3"/>
    <w:uiPriority w:val="4"/>
    <w:rsid w:val="00106F45"/>
    <w:rPr>
      <w:lang w:val="en-NZ"/>
    </w:rPr>
  </w:style>
  <w:style w:type="character" w:customStyle="1" w:styleId="CV-Heading2Char">
    <w:name w:val="CV - Heading 2 Char"/>
    <w:basedOn w:val="Heading5Char"/>
    <w:link w:val="CV-Heading2"/>
    <w:uiPriority w:val="11"/>
    <w:rsid w:val="00E367F3"/>
    <w:rPr>
      <w:rFonts w:asciiTheme="majorHAnsi" w:hAnsiTheme="majorHAnsi"/>
      <w:b/>
      <w:i w:val="0"/>
      <w:color w:val="36424A" w:themeColor="text2"/>
      <w:lang w:val="en-NZ"/>
    </w:rPr>
  </w:style>
  <w:style w:type="table" w:customStyle="1" w:styleId="ACGrey-BasicTable">
    <w:name w:val="A+C Grey - Basic Table"/>
    <w:basedOn w:val="TableNormal"/>
    <w:uiPriority w:val="99"/>
    <w:rsid w:val="00FE5182"/>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5966E4"/>
    <w:rPr>
      <w:lang w:val="en-NZ"/>
    </w:rPr>
  </w:style>
  <w:style w:type="paragraph" w:styleId="NoSpacing">
    <w:name w:val="No Spacing"/>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autoRedefine/>
    <w:uiPriority w:val="99"/>
    <w:rsid w:val="00A03872"/>
    <w:pPr>
      <w:spacing w:after="0" w:line="240" w:lineRule="auto"/>
      <w:jc w:val="both"/>
    </w:pPr>
    <w:rPr>
      <w:sz w:val="16"/>
      <w:szCs w:val="16"/>
    </w:rPr>
  </w:style>
  <w:style w:type="character" w:customStyle="1" w:styleId="FootnoteTextChar">
    <w:name w:val="Footnote Text Char"/>
    <w:basedOn w:val="DefaultParagraphFont"/>
    <w:link w:val="FootnoteText"/>
    <w:uiPriority w:val="99"/>
    <w:rsid w:val="00A03872"/>
    <w:rPr>
      <w:sz w:val="16"/>
      <w:szCs w:val="16"/>
      <w:lang w:val="en-NZ"/>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hAnsiTheme="majorHAnsi"/>
      <w:sz w:val="18"/>
      <w:lang w:val="en-NZ"/>
    </w:r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1-NOTinTOCChar">
    <w:name w:val="Heading 1 - NOT in TOC Char"/>
    <w:basedOn w:val="Heading1Char"/>
    <w:link w:val="Heading1-NOTinTOC"/>
    <w:uiPriority w:val="13"/>
    <w:rsid w:val="000968A5"/>
    <w:rPr>
      <w:rFonts w:asciiTheme="majorHAnsi" w:hAnsiTheme="majorHAnsi"/>
      <w:b/>
      <w:caps/>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paragraph" w:customStyle="1" w:styleId="BodyText-GREEN">
    <w:name w:val="Body Text - GREEN"/>
    <w:basedOn w:val="BodyText"/>
    <w:link w:val="BodyText-GREENChar"/>
    <w:qFormat/>
    <w:rsid w:val="00654C3D"/>
    <w:rPr>
      <w:color w:val="77B800" w:themeColor="background2"/>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654C3D"/>
    <w:rPr>
      <w:color w:val="77B800" w:themeColor="background2"/>
      <w:lang w:val="en-NZ"/>
    </w:rPr>
  </w:style>
  <w:style w:type="character" w:customStyle="1" w:styleId="ACReport-MainTitleChar">
    <w:name w:val="A+C Report - Main Title Char"/>
    <w:basedOn w:val="MainTitleHeadingChar"/>
    <w:link w:val="ACReport-MainTitle"/>
    <w:rsid w:val="00EE4E34"/>
    <w:rPr>
      <w:rFonts w:asciiTheme="majorHAnsi" w:hAnsiTheme="majorHAnsi"/>
      <w:b w:val="0"/>
      <w:caps w:val="0"/>
      <w:color w:val="FFFFFF" w:themeColor="background1"/>
      <w:sz w:val="96"/>
      <w:lang w:val="en-NZ"/>
    </w:rPr>
  </w:style>
  <w:style w:type="character" w:customStyle="1" w:styleId="ACReport-SubtitleChar">
    <w:name w:val="A+C Report - Subtitle Char"/>
    <w:basedOn w:val="SubTitleHeadingChar"/>
    <w:link w:val="ACReport-Subtitle"/>
    <w:rsid w:val="00EE4E34"/>
    <w:rPr>
      <w:rFonts w:asciiTheme="majorHAnsi" w:hAnsiTheme="majorHAnsi"/>
      <w:b/>
      <w:color w:val="FFFFFF" w:themeColor="background1"/>
      <w:sz w:val="32"/>
      <w:lang w:val="en-NZ"/>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hAnsiTheme="majorHAnsi"/>
      <w:b/>
      <w:color w:val="FFFFFF" w:themeColor="background1"/>
      <w:sz w:val="24"/>
      <w:lang w:val="en-NZ"/>
    </w:rPr>
  </w:style>
  <w:style w:type="character" w:styleId="CommentReference">
    <w:name w:val="annotation reference"/>
    <w:basedOn w:val="DefaultParagraphFont"/>
    <w:uiPriority w:val="99"/>
    <w:semiHidden/>
    <w:unhideWhenUsed/>
    <w:rsid w:val="00F53056"/>
    <w:rPr>
      <w:sz w:val="16"/>
      <w:szCs w:val="16"/>
    </w:rPr>
  </w:style>
  <w:style w:type="character" w:customStyle="1" w:styleId="term">
    <w:name w:val="term"/>
    <w:basedOn w:val="DefaultParagraphFont"/>
    <w:rsid w:val="0083772F"/>
  </w:style>
  <w:style w:type="character" w:customStyle="1" w:styleId="UnresolvedMention1">
    <w:name w:val="Unresolved Mention1"/>
    <w:basedOn w:val="DefaultParagraphFont"/>
    <w:uiPriority w:val="99"/>
    <w:semiHidden/>
    <w:unhideWhenUsed/>
    <w:rsid w:val="00701EDE"/>
    <w:rPr>
      <w:color w:val="605E5C"/>
      <w:shd w:val="clear" w:color="auto" w:fill="E1DFDD"/>
    </w:rPr>
  </w:style>
  <w:style w:type="paragraph" w:styleId="CommentText">
    <w:name w:val="annotation text"/>
    <w:basedOn w:val="Normal"/>
    <w:link w:val="CommentTextChar"/>
    <w:uiPriority w:val="99"/>
    <w:unhideWhenUsed/>
    <w:rsid w:val="00CE76D6"/>
    <w:pPr>
      <w:spacing w:line="240" w:lineRule="auto"/>
    </w:pPr>
    <w:rPr>
      <w:sz w:val="20"/>
      <w:szCs w:val="20"/>
    </w:rPr>
  </w:style>
  <w:style w:type="character" w:customStyle="1" w:styleId="CommentTextChar">
    <w:name w:val="Comment Text Char"/>
    <w:basedOn w:val="DefaultParagraphFont"/>
    <w:link w:val="CommentText"/>
    <w:uiPriority w:val="99"/>
    <w:rsid w:val="00CE76D6"/>
    <w:rPr>
      <w:sz w:val="20"/>
      <w:szCs w:val="20"/>
      <w:lang w:val="en-NZ"/>
    </w:rPr>
  </w:style>
  <w:style w:type="paragraph" w:styleId="CommentSubject">
    <w:name w:val="annotation subject"/>
    <w:basedOn w:val="CommentText"/>
    <w:next w:val="CommentText"/>
    <w:link w:val="CommentSubjectChar"/>
    <w:uiPriority w:val="99"/>
    <w:semiHidden/>
    <w:unhideWhenUsed/>
    <w:rsid w:val="00CE76D6"/>
    <w:rPr>
      <w:b/>
      <w:bCs/>
    </w:rPr>
  </w:style>
  <w:style w:type="character" w:customStyle="1" w:styleId="CommentSubjectChar">
    <w:name w:val="Comment Subject Char"/>
    <w:basedOn w:val="CommentTextChar"/>
    <w:link w:val="CommentSubject"/>
    <w:uiPriority w:val="99"/>
    <w:semiHidden/>
    <w:rsid w:val="00CE76D6"/>
    <w:rPr>
      <w:b/>
      <w:bCs/>
      <w:sz w:val="20"/>
      <w:szCs w:val="20"/>
      <w:lang w:val="en-NZ"/>
    </w:rPr>
  </w:style>
  <w:style w:type="paragraph" w:customStyle="1" w:styleId="Default">
    <w:name w:val="Default"/>
    <w:rsid w:val="00607302"/>
    <w:pPr>
      <w:autoSpaceDE w:val="0"/>
      <w:autoSpaceDN w:val="0"/>
      <w:adjustRightInd w:val="0"/>
      <w:spacing w:after="0" w:line="240" w:lineRule="auto"/>
    </w:pPr>
    <w:rPr>
      <w:rFonts w:ascii="Arial" w:hAnsi="Arial" w:cs="Arial"/>
      <w:color w:val="000000"/>
      <w:sz w:val="24"/>
      <w:szCs w:val="24"/>
      <w:lang w:val="en-NZ"/>
    </w:rPr>
  </w:style>
  <w:style w:type="paragraph" w:styleId="TOC4">
    <w:name w:val="toc 4"/>
    <w:basedOn w:val="Normal"/>
    <w:next w:val="Normal"/>
    <w:autoRedefine/>
    <w:uiPriority w:val="39"/>
    <w:unhideWhenUsed/>
    <w:rsid w:val="002C0215"/>
    <w:pPr>
      <w:spacing w:after="100"/>
      <w:ind w:left="660"/>
    </w:pPr>
    <w:rPr>
      <w:rFonts w:eastAsiaTheme="minorEastAsia"/>
      <w:lang w:eastAsia="en-NZ"/>
    </w:rPr>
  </w:style>
  <w:style w:type="paragraph" w:styleId="TOC5">
    <w:name w:val="toc 5"/>
    <w:basedOn w:val="Normal"/>
    <w:next w:val="Normal"/>
    <w:autoRedefine/>
    <w:uiPriority w:val="39"/>
    <w:unhideWhenUsed/>
    <w:rsid w:val="002C0215"/>
    <w:pPr>
      <w:spacing w:after="100"/>
      <w:ind w:left="880"/>
    </w:pPr>
    <w:rPr>
      <w:rFonts w:eastAsiaTheme="minorEastAsia"/>
      <w:lang w:eastAsia="en-NZ"/>
    </w:rPr>
  </w:style>
  <w:style w:type="paragraph" w:styleId="TOC6">
    <w:name w:val="toc 6"/>
    <w:basedOn w:val="Normal"/>
    <w:next w:val="Normal"/>
    <w:autoRedefine/>
    <w:uiPriority w:val="39"/>
    <w:unhideWhenUsed/>
    <w:rsid w:val="002C0215"/>
    <w:pPr>
      <w:spacing w:after="100"/>
      <w:ind w:left="1100"/>
    </w:pPr>
    <w:rPr>
      <w:rFonts w:eastAsiaTheme="minorEastAsia"/>
      <w:lang w:eastAsia="en-NZ"/>
    </w:rPr>
  </w:style>
  <w:style w:type="paragraph" w:styleId="TOC7">
    <w:name w:val="toc 7"/>
    <w:basedOn w:val="Normal"/>
    <w:next w:val="Normal"/>
    <w:autoRedefine/>
    <w:uiPriority w:val="39"/>
    <w:unhideWhenUsed/>
    <w:rsid w:val="002C0215"/>
    <w:pPr>
      <w:spacing w:after="100"/>
      <w:ind w:left="1320"/>
    </w:pPr>
    <w:rPr>
      <w:rFonts w:eastAsiaTheme="minorEastAsia"/>
      <w:lang w:eastAsia="en-NZ"/>
    </w:rPr>
  </w:style>
  <w:style w:type="paragraph" w:styleId="TOC8">
    <w:name w:val="toc 8"/>
    <w:basedOn w:val="Normal"/>
    <w:next w:val="Normal"/>
    <w:autoRedefine/>
    <w:uiPriority w:val="39"/>
    <w:unhideWhenUsed/>
    <w:rsid w:val="002C0215"/>
    <w:pPr>
      <w:spacing w:after="100"/>
      <w:ind w:left="1540"/>
    </w:pPr>
    <w:rPr>
      <w:rFonts w:eastAsiaTheme="minorEastAsia"/>
      <w:lang w:eastAsia="en-NZ"/>
    </w:rPr>
  </w:style>
  <w:style w:type="paragraph" w:styleId="TOC9">
    <w:name w:val="toc 9"/>
    <w:basedOn w:val="Normal"/>
    <w:next w:val="Normal"/>
    <w:autoRedefine/>
    <w:uiPriority w:val="39"/>
    <w:unhideWhenUsed/>
    <w:rsid w:val="002C0215"/>
    <w:pPr>
      <w:spacing w:after="100"/>
      <w:ind w:left="1760"/>
    </w:pPr>
    <w:rPr>
      <w:rFonts w:eastAsiaTheme="minorEastAsia"/>
      <w:lang w:eastAsia="en-NZ"/>
    </w:rPr>
  </w:style>
  <w:style w:type="table" w:styleId="GridTable1Light-Accent6">
    <w:name w:val="Grid Table 1 Light Accent 6"/>
    <w:basedOn w:val="TableNormal"/>
    <w:uiPriority w:val="46"/>
    <w:rsid w:val="0039290A"/>
    <w:pPr>
      <w:spacing w:after="0" w:line="240" w:lineRule="auto"/>
    </w:pPr>
    <w:rPr>
      <w:lang w:val="en-NZ"/>
    </w:rPr>
    <w:tblPr>
      <w:tblStyleRowBandSize w:val="1"/>
      <w:tblStyleColBandSize w:val="1"/>
      <w:tblBorders>
        <w:top w:val="single" w:sz="4" w:space="0" w:color="D0FF7C" w:themeColor="accent6" w:themeTint="66"/>
        <w:left w:val="single" w:sz="4" w:space="0" w:color="D0FF7C" w:themeColor="accent6" w:themeTint="66"/>
        <w:bottom w:val="single" w:sz="4" w:space="0" w:color="D0FF7C" w:themeColor="accent6" w:themeTint="66"/>
        <w:right w:val="single" w:sz="4" w:space="0" w:color="D0FF7C" w:themeColor="accent6" w:themeTint="66"/>
        <w:insideH w:val="single" w:sz="4" w:space="0" w:color="D0FF7C" w:themeColor="accent6" w:themeTint="66"/>
        <w:insideV w:val="single" w:sz="4" w:space="0" w:color="D0FF7C" w:themeColor="accent6" w:themeTint="66"/>
      </w:tblBorders>
    </w:tblPr>
    <w:tblStylePr w:type="firstRow">
      <w:rPr>
        <w:b/>
        <w:bCs/>
      </w:rPr>
      <w:tblPr/>
      <w:tcPr>
        <w:tcBorders>
          <w:bottom w:val="single" w:sz="12" w:space="0" w:color="B9FF3B" w:themeColor="accent6" w:themeTint="99"/>
        </w:tcBorders>
      </w:tcPr>
    </w:tblStylePr>
    <w:tblStylePr w:type="lastRow">
      <w:rPr>
        <w:b/>
        <w:bCs/>
      </w:rPr>
      <w:tblPr/>
      <w:tcPr>
        <w:tcBorders>
          <w:top w:val="double" w:sz="2" w:space="0" w:color="B9FF3B"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CF2E1C"/>
    <w:pPr>
      <w:spacing w:after="0" w:line="240" w:lineRule="auto"/>
    </w:pPr>
    <w:rPr>
      <w:lang w:val="en-NZ"/>
    </w:rPr>
  </w:style>
  <w:style w:type="paragraph" w:styleId="TOCHeading">
    <w:name w:val="TOC Heading"/>
    <w:basedOn w:val="Heading1"/>
    <w:next w:val="Normal"/>
    <w:uiPriority w:val="39"/>
    <w:unhideWhenUsed/>
    <w:qFormat/>
    <w:rsid w:val="00CF2E1C"/>
    <w:pPr>
      <w:keepLines/>
      <w:spacing w:before="240" w:after="0" w:line="259" w:lineRule="auto"/>
      <w:jc w:val="left"/>
      <w:outlineLvl w:val="9"/>
    </w:pPr>
    <w:rPr>
      <w:rFonts w:eastAsiaTheme="majorEastAsia" w:cstheme="majorBidi"/>
      <w:b w:val="0"/>
      <w:caps w:val="0"/>
      <w:color w:val="283137" w:themeColor="accent1" w:themeShade="BF"/>
      <w:sz w:val="32"/>
      <w:szCs w:val="32"/>
      <w:lang w:val="en-US"/>
    </w:rPr>
  </w:style>
  <w:style w:type="character" w:styleId="FollowedHyperlink">
    <w:name w:val="FollowedHyperlink"/>
    <w:basedOn w:val="DefaultParagraphFont"/>
    <w:uiPriority w:val="99"/>
    <w:semiHidden/>
    <w:unhideWhenUsed/>
    <w:rsid w:val="002747F6"/>
    <w:rPr>
      <w:color w:val="800080" w:themeColor="followedHyperlink"/>
      <w:u w:val="single"/>
    </w:rPr>
  </w:style>
  <w:style w:type="character" w:customStyle="1" w:styleId="UnresolvedMention">
    <w:name w:val="Unresolved Mention"/>
    <w:basedOn w:val="DefaultParagraphFont"/>
    <w:uiPriority w:val="99"/>
    <w:semiHidden/>
    <w:unhideWhenUsed/>
    <w:rsid w:val="00141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286088673">
      <w:bodyDiv w:val="1"/>
      <w:marLeft w:val="0"/>
      <w:marRight w:val="0"/>
      <w:marTop w:val="0"/>
      <w:marBottom w:val="0"/>
      <w:divBdr>
        <w:top w:val="none" w:sz="0" w:space="0" w:color="auto"/>
        <w:left w:val="none" w:sz="0" w:space="0" w:color="auto"/>
        <w:bottom w:val="none" w:sz="0" w:space="0" w:color="auto"/>
        <w:right w:val="none" w:sz="0" w:space="0" w:color="auto"/>
      </w:divBdr>
    </w:div>
    <w:div w:id="350687204">
      <w:bodyDiv w:val="1"/>
      <w:marLeft w:val="0"/>
      <w:marRight w:val="0"/>
      <w:marTop w:val="0"/>
      <w:marBottom w:val="0"/>
      <w:divBdr>
        <w:top w:val="none" w:sz="0" w:space="0" w:color="auto"/>
        <w:left w:val="none" w:sz="0" w:space="0" w:color="auto"/>
        <w:bottom w:val="none" w:sz="0" w:space="0" w:color="auto"/>
        <w:right w:val="none" w:sz="0" w:space="0" w:color="auto"/>
      </w:divBdr>
      <w:divsChild>
        <w:div w:id="263727641">
          <w:marLeft w:val="480"/>
          <w:marRight w:val="0"/>
          <w:marTop w:val="0"/>
          <w:marBottom w:val="0"/>
          <w:divBdr>
            <w:top w:val="none" w:sz="0" w:space="0" w:color="auto"/>
            <w:left w:val="none" w:sz="0" w:space="0" w:color="auto"/>
            <w:bottom w:val="none" w:sz="0" w:space="0" w:color="auto"/>
            <w:right w:val="none" w:sz="0" w:space="0" w:color="auto"/>
          </w:divBdr>
          <w:divsChild>
            <w:div w:id="1751388595">
              <w:marLeft w:val="0"/>
              <w:marRight w:val="0"/>
              <w:marTop w:val="0"/>
              <w:marBottom w:val="0"/>
              <w:divBdr>
                <w:top w:val="none" w:sz="0" w:space="0" w:color="auto"/>
                <w:left w:val="none" w:sz="0" w:space="0" w:color="auto"/>
                <w:bottom w:val="none" w:sz="0" w:space="0" w:color="auto"/>
                <w:right w:val="none" w:sz="0" w:space="0" w:color="auto"/>
              </w:divBdr>
            </w:div>
            <w:div w:id="153226365">
              <w:marLeft w:val="0"/>
              <w:marRight w:val="0"/>
              <w:marTop w:val="0"/>
              <w:marBottom w:val="0"/>
              <w:divBdr>
                <w:top w:val="none" w:sz="0" w:space="0" w:color="auto"/>
                <w:left w:val="none" w:sz="0" w:space="0" w:color="auto"/>
                <w:bottom w:val="none" w:sz="0" w:space="0" w:color="auto"/>
                <w:right w:val="none" w:sz="0" w:space="0" w:color="auto"/>
              </w:divBdr>
            </w:div>
            <w:div w:id="480850793">
              <w:marLeft w:val="0"/>
              <w:marRight w:val="0"/>
              <w:marTop w:val="0"/>
              <w:marBottom w:val="0"/>
              <w:divBdr>
                <w:top w:val="none" w:sz="0" w:space="0" w:color="auto"/>
                <w:left w:val="none" w:sz="0" w:space="0" w:color="auto"/>
                <w:bottom w:val="none" w:sz="0" w:space="0" w:color="auto"/>
                <w:right w:val="none" w:sz="0" w:space="0" w:color="auto"/>
              </w:divBdr>
            </w:div>
            <w:div w:id="1271090100">
              <w:marLeft w:val="0"/>
              <w:marRight w:val="0"/>
              <w:marTop w:val="0"/>
              <w:marBottom w:val="0"/>
              <w:divBdr>
                <w:top w:val="none" w:sz="0" w:space="0" w:color="auto"/>
                <w:left w:val="none" w:sz="0" w:space="0" w:color="auto"/>
                <w:bottom w:val="none" w:sz="0" w:space="0" w:color="auto"/>
                <w:right w:val="none" w:sz="0" w:space="0" w:color="auto"/>
              </w:divBdr>
            </w:div>
            <w:div w:id="1418362760">
              <w:marLeft w:val="0"/>
              <w:marRight w:val="0"/>
              <w:marTop w:val="0"/>
              <w:marBottom w:val="0"/>
              <w:divBdr>
                <w:top w:val="none" w:sz="0" w:space="0" w:color="auto"/>
                <w:left w:val="none" w:sz="0" w:space="0" w:color="auto"/>
                <w:bottom w:val="none" w:sz="0" w:space="0" w:color="auto"/>
                <w:right w:val="none" w:sz="0" w:space="0" w:color="auto"/>
              </w:divBdr>
            </w:div>
            <w:div w:id="587614823">
              <w:marLeft w:val="0"/>
              <w:marRight w:val="0"/>
              <w:marTop w:val="0"/>
              <w:marBottom w:val="0"/>
              <w:divBdr>
                <w:top w:val="none" w:sz="0" w:space="0" w:color="auto"/>
                <w:left w:val="none" w:sz="0" w:space="0" w:color="auto"/>
                <w:bottom w:val="none" w:sz="0" w:space="0" w:color="auto"/>
                <w:right w:val="none" w:sz="0" w:space="0" w:color="auto"/>
              </w:divBdr>
            </w:div>
            <w:div w:id="2116976321">
              <w:marLeft w:val="0"/>
              <w:marRight w:val="0"/>
              <w:marTop w:val="0"/>
              <w:marBottom w:val="0"/>
              <w:divBdr>
                <w:top w:val="none" w:sz="0" w:space="0" w:color="auto"/>
                <w:left w:val="none" w:sz="0" w:space="0" w:color="auto"/>
                <w:bottom w:val="none" w:sz="0" w:space="0" w:color="auto"/>
                <w:right w:val="none" w:sz="0" w:space="0" w:color="auto"/>
              </w:divBdr>
            </w:div>
            <w:div w:id="1301614932">
              <w:marLeft w:val="0"/>
              <w:marRight w:val="0"/>
              <w:marTop w:val="0"/>
              <w:marBottom w:val="0"/>
              <w:divBdr>
                <w:top w:val="none" w:sz="0" w:space="0" w:color="auto"/>
                <w:left w:val="none" w:sz="0" w:space="0" w:color="auto"/>
                <w:bottom w:val="none" w:sz="0" w:space="0" w:color="auto"/>
                <w:right w:val="none" w:sz="0" w:space="0" w:color="auto"/>
              </w:divBdr>
            </w:div>
            <w:div w:id="1155606706">
              <w:marLeft w:val="0"/>
              <w:marRight w:val="0"/>
              <w:marTop w:val="0"/>
              <w:marBottom w:val="0"/>
              <w:divBdr>
                <w:top w:val="none" w:sz="0" w:space="0" w:color="auto"/>
                <w:left w:val="none" w:sz="0" w:space="0" w:color="auto"/>
                <w:bottom w:val="none" w:sz="0" w:space="0" w:color="auto"/>
                <w:right w:val="none" w:sz="0" w:space="0" w:color="auto"/>
              </w:divBdr>
            </w:div>
            <w:div w:id="1084840599">
              <w:marLeft w:val="0"/>
              <w:marRight w:val="0"/>
              <w:marTop w:val="0"/>
              <w:marBottom w:val="0"/>
              <w:divBdr>
                <w:top w:val="none" w:sz="0" w:space="0" w:color="auto"/>
                <w:left w:val="none" w:sz="0" w:space="0" w:color="auto"/>
                <w:bottom w:val="none" w:sz="0" w:space="0" w:color="auto"/>
                <w:right w:val="none" w:sz="0" w:space="0" w:color="auto"/>
              </w:divBdr>
            </w:div>
            <w:div w:id="1675104471">
              <w:marLeft w:val="0"/>
              <w:marRight w:val="0"/>
              <w:marTop w:val="0"/>
              <w:marBottom w:val="0"/>
              <w:divBdr>
                <w:top w:val="none" w:sz="0" w:space="0" w:color="auto"/>
                <w:left w:val="none" w:sz="0" w:space="0" w:color="auto"/>
                <w:bottom w:val="none" w:sz="0" w:space="0" w:color="auto"/>
                <w:right w:val="none" w:sz="0" w:space="0" w:color="auto"/>
              </w:divBdr>
            </w:div>
            <w:div w:id="73548532">
              <w:marLeft w:val="0"/>
              <w:marRight w:val="0"/>
              <w:marTop w:val="0"/>
              <w:marBottom w:val="0"/>
              <w:divBdr>
                <w:top w:val="none" w:sz="0" w:space="0" w:color="auto"/>
                <w:left w:val="none" w:sz="0" w:space="0" w:color="auto"/>
                <w:bottom w:val="none" w:sz="0" w:space="0" w:color="auto"/>
                <w:right w:val="none" w:sz="0" w:space="0" w:color="auto"/>
              </w:divBdr>
            </w:div>
            <w:div w:id="912549603">
              <w:marLeft w:val="0"/>
              <w:marRight w:val="0"/>
              <w:marTop w:val="0"/>
              <w:marBottom w:val="0"/>
              <w:divBdr>
                <w:top w:val="none" w:sz="0" w:space="0" w:color="auto"/>
                <w:left w:val="none" w:sz="0" w:space="0" w:color="auto"/>
                <w:bottom w:val="none" w:sz="0" w:space="0" w:color="auto"/>
                <w:right w:val="none" w:sz="0" w:space="0" w:color="auto"/>
              </w:divBdr>
            </w:div>
            <w:div w:id="847596357">
              <w:marLeft w:val="0"/>
              <w:marRight w:val="0"/>
              <w:marTop w:val="0"/>
              <w:marBottom w:val="0"/>
              <w:divBdr>
                <w:top w:val="none" w:sz="0" w:space="0" w:color="auto"/>
                <w:left w:val="none" w:sz="0" w:space="0" w:color="auto"/>
                <w:bottom w:val="none" w:sz="0" w:space="0" w:color="auto"/>
                <w:right w:val="none" w:sz="0" w:space="0" w:color="auto"/>
              </w:divBdr>
            </w:div>
            <w:div w:id="606816794">
              <w:marLeft w:val="0"/>
              <w:marRight w:val="0"/>
              <w:marTop w:val="0"/>
              <w:marBottom w:val="0"/>
              <w:divBdr>
                <w:top w:val="none" w:sz="0" w:space="0" w:color="auto"/>
                <w:left w:val="none" w:sz="0" w:space="0" w:color="auto"/>
                <w:bottom w:val="none" w:sz="0" w:space="0" w:color="auto"/>
                <w:right w:val="none" w:sz="0" w:space="0" w:color="auto"/>
              </w:divBdr>
            </w:div>
            <w:div w:id="1844467956">
              <w:marLeft w:val="0"/>
              <w:marRight w:val="0"/>
              <w:marTop w:val="0"/>
              <w:marBottom w:val="0"/>
              <w:divBdr>
                <w:top w:val="none" w:sz="0" w:space="0" w:color="auto"/>
                <w:left w:val="none" w:sz="0" w:space="0" w:color="auto"/>
                <w:bottom w:val="none" w:sz="0" w:space="0" w:color="auto"/>
                <w:right w:val="none" w:sz="0" w:space="0" w:color="auto"/>
              </w:divBdr>
            </w:div>
            <w:div w:id="432015486">
              <w:marLeft w:val="0"/>
              <w:marRight w:val="0"/>
              <w:marTop w:val="0"/>
              <w:marBottom w:val="0"/>
              <w:divBdr>
                <w:top w:val="none" w:sz="0" w:space="0" w:color="auto"/>
                <w:left w:val="none" w:sz="0" w:space="0" w:color="auto"/>
                <w:bottom w:val="none" w:sz="0" w:space="0" w:color="auto"/>
                <w:right w:val="none" w:sz="0" w:space="0" w:color="auto"/>
              </w:divBdr>
            </w:div>
            <w:div w:id="1485584927">
              <w:marLeft w:val="0"/>
              <w:marRight w:val="0"/>
              <w:marTop w:val="0"/>
              <w:marBottom w:val="0"/>
              <w:divBdr>
                <w:top w:val="none" w:sz="0" w:space="0" w:color="auto"/>
                <w:left w:val="none" w:sz="0" w:space="0" w:color="auto"/>
                <w:bottom w:val="none" w:sz="0" w:space="0" w:color="auto"/>
                <w:right w:val="none" w:sz="0" w:space="0" w:color="auto"/>
              </w:divBdr>
            </w:div>
            <w:div w:id="1655723434">
              <w:marLeft w:val="0"/>
              <w:marRight w:val="0"/>
              <w:marTop w:val="0"/>
              <w:marBottom w:val="0"/>
              <w:divBdr>
                <w:top w:val="none" w:sz="0" w:space="0" w:color="auto"/>
                <w:left w:val="none" w:sz="0" w:space="0" w:color="auto"/>
                <w:bottom w:val="none" w:sz="0" w:space="0" w:color="auto"/>
                <w:right w:val="none" w:sz="0" w:space="0" w:color="auto"/>
              </w:divBdr>
            </w:div>
            <w:div w:id="2028365272">
              <w:marLeft w:val="0"/>
              <w:marRight w:val="0"/>
              <w:marTop w:val="0"/>
              <w:marBottom w:val="0"/>
              <w:divBdr>
                <w:top w:val="none" w:sz="0" w:space="0" w:color="auto"/>
                <w:left w:val="none" w:sz="0" w:space="0" w:color="auto"/>
                <w:bottom w:val="none" w:sz="0" w:space="0" w:color="auto"/>
                <w:right w:val="none" w:sz="0" w:space="0" w:color="auto"/>
              </w:divBdr>
            </w:div>
            <w:div w:id="832643936">
              <w:marLeft w:val="0"/>
              <w:marRight w:val="0"/>
              <w:marTop w:val="0"/>
              <w:marBottom w:val="0"/>
              <w:divBdr>
                <w:top w:val="none" w:sz="0" w:space="0" w:color="auto"/>
                <w:left w:val="none" w:sz="0" w:space="0" w:color="auto"/>
                <w:bottom w:val="none" w:sz="0" w:space="0" w:color="auto"/>
                <w:right w:val="none" w:sz="0" w:space="0" w:color="auto"/>
              </w:divBdr>
            </w:div>
            <w:div w:id="948463403">
              <w:marLeft w:val="0"/>
              <w:marRight w:val="0"/>
              <w:marTop w:val="0"/>
              <w:marBottom w:val="0"/>
              <w:divBdr>
                <w:top w:val="none" w:sz="0" w:space="0" w:color="auto"/>
                <w:left w:val="none" w:sz="0" w:space="0" w:color="auto"/>
                <w:bottom w:val="none" w:sz="0" w:space="0" w:color="auto"/>
                <w:right w:val="none" w:sz="0" w:space="0" w:color="auto"/>
              </w:divBdr>
            </w:div>
            <w:div w:id="135267578">
              <w:marLeft w:val="0"/>
              <w:marRight w:val="0"/>
              <w:marTop w:val="0"/>
              <w:marBottom w:val="0"/>
              <w:divBdr>
                <w:top w:val="none" w:sz="0" w:space="0" w:color="auto"/>
                <w:left w:val="none" w:sz="0" w:space="0" w:color="auto"/>
                <w:bottom w:val="none" w:sz="0" w:space="0" w:color="auto"/>
                <w:right w:val="none" w:sz="0" w:space="0" w:color="auto"/>
              </w:divBdr>
            </w:div>
            <w:div w:id="1970281946">
              <w:marLeft w:val="0"/>
              <w:marRight w:val="0"/>
              <w:marTop w:val="0"/>
              <w:marBottom w:val="0"/>
              <w:divBdr>
                <w:top w:val="none" w:sz="0" w:space="0" w:color="auto"/>
                <w:left w:val="none" w:sz="0" w:space="0" w:color="auto"/>
                <w:bottom w:val="none" w:sz="0" w:space="0" w:color="auto"/>
                <w:right w:val="none" w:sz="0" w:space="0" w:color="auto"/>
              </w:divBdr>
            </w:div>
            <w:div w:id="1043486691">
              <w:marLeft w:val="0"/>
              <w:marRight w:val="0"/>
              <w:marTop w:val="0"/>
              <w:marBottom w:val="0"/>
              <w:divBdr>
                <w:top w:val="none" w:sz="0" w:space="0" w:color="auto"/>
                <w:left w:val="none" w:sz="0" w:space="0" w:color="auto"/>
                <w:bottom w:val="none" w:sz="0" w:space="0" w:color="auto"/>
                <w:right w:val="none" w:sz="0" w:space="0" w:color="auto"/>
              </w:divBdr>
            </w:div>
            <w:div w:id="1002709133">
              <w:marLeft w:val="0"/>
              <w:marRight w:val="0"/>
              <w:marTop w:val="0"/>
              <w:marBottom w:val="0"/>
              <w:divBdr>
                <w:top w:val="none" w:sz="0" w:space="0" w:color="auto"/>
                <w:left w:val="none" w:sz="0" w:space="0" w:color="auto"/>
                <w:bottom w:val="none" w:sz="0" w:space="0" w:color="auto"/>
                <w:right w:val="none" w:sz="0" w:space="0" w:color="auto"/>
              </w:divBdr>
            </w:div>
            <w:div w:id="1262647809">
              <w:marLeft w:val="0"/>
              <w:marRight w:val="0"/>
              <w:marTop w:val="0"/>
              <w:marBottom w:val="0"/>
              <w:divBdr>
                <w:top w:val="none" w:sz="0" w:space="0" w:color="auto"/>
                <w:left w:val="none" w:sz="0" w:space="0" w:color="auto"/>
                <w:bottom w:val="none" w:sz="0" w:space="0" w:color="auto"/>
                <w:right w:val="none" w:sz="0" w:space="0" w:color="auto"/>
              </w:divBdr>
            </w:div>
            <w:div w:id="872696797">
              <w:marLeft w:val="0"/>
              <w:marRight w:val="0"/>
              <w:marTop w:val="0"/>
              <w:marBottom w:val="0"/>
              <w:divBdr>
                <w:top w:val="none" w:sz="0" w:space="0" w:color="auto"/>
                <w:left w:val="none" w:sz="0" w:space="0" w:color="auto"/>
                <w:bottom w:val="none" w:sz="0" w:space="0" w:color="auto"/>
                <w:right w:val="none" w:sz="0" w:space="0" w:color="auto"/>
              </w:divBdr>
            </w:div>
            <w:div w:id="125971597">
              <w:marLeft w:val="0"/>
              <w:marRight w:val="0"/>
              <w:marTop w:val="0"/>
              <w:marBottom w:val="0"/>
              <w:divBdr>
                <w:top w:val="none" w:sz="0" w:space="0" w:color="auto"/>
                <w:left w:val="none" w:sz="0" w:space="0" w:color="auto"/>
                <w:bottom w:val="none" w:sz="0" w:space="0" w:color="auto"/>
                <w:right w:val="none" w:sz="0" w:space="0" w:color="auto"/>
              </w:divBdr>
            </w:div>
            <w:div w:id="760636919">
              <w:marLeft w:val="0"/>
              <w:marRight w:val="0"/>
              <w:marTop w:val="0"/>
              <w:marBottom w:val="0"/>
              <w:divBdr>
                <w:top w:val="none" w:sz="0" w:space="0" w:color="auto"/>
                <w:left w:val="none" w:sz="0" w:space="0" w:color="auto"/>
                <w:bottom w:val="none" w:sz="0" w:space="0" w:color="auto"/>
                <w:right w:val="none" w:sz="0" w:space="0" w:color="auto"/>
              </w:divBdr>
            </w:div>
            <w:div w:id="1251354574">
              <w:marLeft w:val="0"/>
              <w:marRight w:val="0"/>
              <w:marTop w:val="0"/>
              <w:marBottom w:val="0"/>
              <w:divBdr>
                <w:top w:val="none" w:sz="0" w:space="0" w:color="auto"/>
                <w:left w:val="none" w:sz="0" w:space="0" w:color="auto"/>
                <w:bottom w:val="none" w:sz="0" w:space="0" w:color="auto"/>
                <w:right w:val="none" w:sz="0" w:space="0" w:color="auto"/>
              </w:divBdr>
            </w:div>
            <w:div w:id="548229952">
              <w:marLeft w:val="0"/>
              <w:marRight w:val="0"/>
              <w:marTop w:val="0"/>
              <w:marBottom w:val="0"/>
              <w:divBdr>
                <w:top w:val="none" w:sz="0" w:space="0" w:color="auto"/>
                <w:left w:val="none" w:sz="0" w:space="0" w:color="auto"/>
                <w:bottom w:val="none" w:sz="0" w:space="0" w:color="auto"/>
                <w:right w:val="none" w:sz="0" w:space="0" w:color="auto"/>
              </w:divBdr>
            </w:div>
            <w:div w:id="1440492161">
              <w:marLeft w:val="0"/>
              <w:marRight w:val="0"/>
              <w:marTop w:val="0"/>
              <w:marBottom w:val="0"/>
              <w:divBdr>
                <w:top w:val="none" w:sz="0" w:space="0" w:color="auto"/>
                <w:left w:val="none" w:sz="0" w:space="0" w:color="auto"/>
                <w:bottom w:val="none" w:sz="0" w:space="0" w:color="auto"/>
                <w:right w:val="none" w:sz="0" w:space="0" w:color="auto"/>
              </w:divBdr>
            </w:div>
            <w:div w:id="925114583">
              <w:marLeft w:val="0"/>
              <w:marRight w:val="0"/>
              <w:marTop w:val="0"/>
              <w:marBottom w:val="0"/>
              <w:divBdr>
                <w:top w:val="none" w:sz="0" w:space="0" w:color="auto"/>
                <w:left w:val="none" w:sz="0" w:space="0" w:color="auto"/>
                <w:bottom w:val="none" w:sz="0" w:space="0" w:color="auto"/>
                <w:right w:val="none" w:sz="0" w:space="0" w:color="auto"/>
              </w:divBdr>
            </w:div>
            <w:div w:id="1712806990">
              <w:marLeft w:val="0"/>
              <w:marRight w:val="0"/>
              <w:marTop w:val="0"/>
              <w:marBottom w:val="0"/>
              <w:divBdr>
                <w:top w:val="none" w:sz="0" w:space="0" w:color="auto"/>
                <w:left w:val="none" w:sz="0" w:space="0" w:color="auto"/>
                <w:bottom w:val="none" w:sz="0" w:space="0" w:color="auto"/>
                <w:right w:val="none" w:sz="0" w:space="0" w:color="auto"/>
              </w:divBdr>
            </w:div>
            <w:div w:id="943611812">
              <w:marLeft w:val="0"/>
              <w:marRight w:val="0"/>
              <w:marTop w:val="0"/>
              <w:marBottom w:val="0"/>
              <w:divBdr>
                <w:top w:val="none" w:sz="0" w:space="0" w:color="auto"/>
                <w:left w:val="none" w:sz="0" w:space="0" w:color="auto"/>
                <w:bottom w:val="none" w:sz="0" w:space="0" w:color="auto"/>
                <w:right w:val="none" w:sz="0" w:space="0" w:color="auto"/>
              </w:divBdr>
            </w:div>
            <w:div w:id="1290933995">
              <w:marLeft w:val="0"/>
              <w:marRight w:val="0"/>
              <w:marTop w:val="0"/>
              <w:marBottom w:val="0"/>
              <w:divBdr>
                <w:top w:val="none" w:sz="0" w:space="0" w:color="auto"/>
                <w:left w:val="none" w:sz="0" w:space="0" w:color="auto"/>
                <w:bottom w:val="none" w:sz="0" w:space="0" w:color="auto"/>
                <w:right w:val="none" w:sz="0" w:space="0" w:color="auto"/>
              </w:divBdr>
            </w:div>
            <w:div w:id="1249463149">
              <w:marLeft w:val="0"/>
              <w:marRight w:val="0"/>
              <w:marTop w:val="0"/>
              <w:marBottom w:val="0"/>
              <w:divBdr>
                <w:top w:val="none" w:sz="0" w:space="0" w:color="auto"/>
                <w:left w:val="none" w:sz="0" w:space="0" w:color="auto"/>
                <w:bottom w:val="none" w:sz="0" w:space="0" w:color="auto"/>
                <w:right w:val="none" w:sz="0" w:space="0" w:color="auto"/>
              </w:divBdr>
            </w:div>
            <w:div w:id="1076318967">
              <w:marLeft w:val="0"/>
              <w:marRight w:val="0"/>
              <w:marTop w:val="0"/>
              <w:marBottom w:val="0"/>
              <w:divBdr>
                <w:top w:val="none" w:sz="0" w:space="0" w:color="auto"/>
                <w:left w:val="none" w:sz="0" w:space="0" w:color="auto"/>
                <w:bottom w:val="none" w:sz="0" w:space="0" w:color="auto"/>
                <w:right w:val="none" w:sz="0" w:space="0" w:color="auto"/>
              </w:divBdr>
            </w:div>
            <w:div w:id="1583754558">
              <w:marLeft w:val="0"/>
              <w:marRight w:val="0"/>
              <w:marTop w:val="0"/>
              <w:marBottom w:val="0"/>
              <w:divBdr>
                <w:top w:val="none" w:sz="0" w:space="0" w:color="auto"/>
                <w:left w:val="none" w:sz="0" w:space="0" w:color="auto"/>
                <w:bottom w:val="none" w:sz="0" w:space="0" w:color="auto"/>
                <w:right w:val="none" w:sz="0" w:space="0" w:color="auto"/>
              </w:divBdr>
            </w:div>
            <w:div w:id="1276642943">
              <w:marLeft w:val="0"/>
              <w:marRight w:val="0"/>
              <w:marTop w:val="0"/>
              <w:marBottom w:val="0"/>
              <w:divBdr>
                <w:top w:val="none" w:sz="0" w:space="0" w:color="auto"/>
                <w:left w:val="none" w:sz="0" w:space="0" w:color="auto"/>
                <w:bottom w:val="none" w:sz="0" w:space="0" w:color="auto"/>
                <w:right w:val="none" w:sz="0" w:space="0" w:color="auto"/>
              </w:divBdr>
            </w:div>
            <w:div w:id="12693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044">
      <w:bodyDiv w:val="1"/>
      <w:marLeft w:val="0"/>
      <w:marRight w:val="0"/>
      <w:marTop w:val="0"/>
      <w:marBottom w:val="0"/>
      <w:divBdr>
        <w:top w:val="none" w:sz="0" w:space="0" w:color="auto"/>
        <w:left w:val="none" w:sz="0" w:space="0" w:color="auto"/>
        <w:bottom w:val="none" w:sz="0" w:space="0" w:color="auto"/>
        <w:right w:val="none" w:sz="0" w:space="0" w:color="auto"/>
      </w:divBdr>
      <w:divsChild>
        <w:div w:id="567307215">
          <w:marLeft w:val="480"/>
          <w:marRight w:val="0"/>
          <w:marTop w:val="0"/>
          <w:marBottom w:val="0"/>
          <w:divBdr>
            <w:top w:val="none" w:sz="0" w:space="0" w:color="auto"/>
            <w:left w:val="none" w:sz="0" w:space="0" w:color="auto"/>
            <w:bottom w:val="none" w:sz="0" w:space="0" w:color="auto"/>
            <w:right w:val="none" w:sz="0" w:space="0" w:color="auto"/>
          </w:divBdr>
          <w:divsChild>
            <w:div w:id="72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458">
      <w:bodyDiv w:val="1"/>
      <w:marLeft w:val="0"/>
      <w:marRight w:val="0"/>
      <w:marTop w:val="0"/>
      <w:marBottom w:val="0"/>
      <w:divBdr>
        <w:top w:val="none" w:sz="0" w:space="0" w:color="auto"/>
        <w:left w:val="none" w:sz="0" w:space="0" w:color="auto"/>
        <w:bottom w:val="none" w:sz="0" w:space="0" w:color="auto"/>
        <w:right w:val="none" w:sz="0" w:space="0" w:color="auto"/>
      </w:divBdr>
      <w:divsChild>
        <w:div w:id="1092354866">
          <w:marLeft w:val="480"/>
          <w:marRight w:val="0"/>
          <w:marTop w:val="0"/>
          <w:marBottom w:val="0"/>
          <w:divBdr>
            <w:top w:val="none" w:sz="0" w:space="0" w:color="auto"/>
            <w:left w:val="none" w:sz="0" w:space="0" w:color="auto"/>
            <w:bottom w:val="none" w:sz="0" w:space="0" w:color="auto"/>
            <w:right w:val="none" w:sz="0" w:space="0" w:color="auto"/>
          </w:divBdr>
          <w:divsChild>
            <w:div w:id="101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5037">
      <w:bodyDiv w:val="1"/>
      <w:marLeft w:val="0"/>
      <w:marRight w:val="0"/>
      <w:marTop w:val="0"/>
      <w:marBottom w:val="0"/>
      <w:divBdr>
        <w:top w:val="none" w:sz="0" w:space="0" w:color="auto"/>
        <w:left w:val="none" w:sz="0" w:space="0" w:color="auto"/>
        <w:bottom w:val="none" w:sz="0" w:space="0" w:color="auto"/>
        <w:right w:val="none" w:sz="0" w:space="0" w:color="auto"/>
      </w:divBdr>
    </w:div>
    <w:div w:id="1194804010">
      <w:bodyDiv w:val="1"/>
      <w:marLeft w:val="0"/>
      <w:marRight w:val="0"/>
      <w:marTop w:val="0"/>
      <w:marBottom w:val="0"/>
      <w:divBdr>
        <w:top w:val="none" w:sz="0" w:space="0" w:color="auto"/>
        <w:left w:val="none" w:sz="0" w:space="0" w:color="auto"/>
        <w:bottom w:val="none" w:sz="0" w:space="0" w:color="auto"/>
        <w:right w:val="none" w:sz="0" w:space="0" w:color="auto"/>
      </w:divBdr>
    </w:div>
    <w:div w:id="1241791387">
      <w:bodyDiv w:val="1"/>
      <w:marLeft w:val="0"/>
      <w:marRight w:val="0"/>
      <w:marTop w:val="0"/>
      <w:marBottom w:val="0"/>
      <w:divBdr>
        <w:top w:val="none" w:sz="0" w:space="0" w:color="auto"/>
        <w:left w:val="none" w:sz="0" w:space="0" w:color="auto"/>
        <w:bottom w:val="none" w:sz="0" w:space="0" w:color="auto"/>
        <w:right w:val="none" w:sz="0" w:space="0" w:color="auto"/>
      </w:divBdr>
      <w:divsChild>
        <w:div w:id="1024983195">
          <w:marLeft w:val="480"/>
          <w:marRight w:val="0"/>
          <w:marTop w:val="0"/>
          <w:marBottom w:val="0"/>
          <w:divBdr>
            <w:top w:val="none" w:sz="0" w:space="0" w:color="auto"/>
            <w:left w:val="none" w:sz="0" w:space="0" w:color="auto"/>
            <w:bottom w:val="none" w:sz="0" w:space="0" w:color="auto"/>
            <w:right w:val="none" w:sz="0" w:space="0" w:color="auto"/>
          </w:divBdr>
          <w:divsChild>
            <w:div w:id="20028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1891">
      <w:bodyDiv w:val="1"/>
      <w:marLeft w:val="0"/>
      <w:marRight w:val="0"/>
      <w:marTop w:val="0"/>
      <w:marBottom w:val="0"/>
      <w:divBdr>
        <w:top w:val="none" w:sz="0" w:space="0" w:color="auto"/>
        <w:left w:val="none" w:sz="0" w:space="0" w:color="auto"/>
        <w:bottom w:val="none" w:sz="0" w:space="0" w:color="auto"/>
        <w:right w:val="none" w:sz="0" w:space="0" w:color="auto"/>
      </w:divBdr>
    </w:div>
    <w:div w:id="131244616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92">
          <w:marLeft w:val="480"/>
          <w:marRight w:val="0"/>
          <w:marTop w:val="0"/>
          <w:marBottom w:val="0"/>
          <w:divBdr>
            <w:top w:val="none" w:sz="0" w:space="0" w:color="auto"/>
            <w:left w:val="none" w:sz="0" w:space="0" w:color="auto"/>
            <w:bottom w:val="none" w:sz="0" w:space="0" w:color="auto"/>
            <w:right w:val="none" w:sz="0" w:space="0" w:color="auto"/>
          </w:divBdr>
          <w:divsChild>
            <w:div w:id="1611813347">
              <w:marLeft w:val="0"/>
              <w:marRight w:val="0"/>
              <w:marTop w:val="0"/>
              <w:marBottom w:val="0"/>
              <w:divBdr>
                <w:top w:val="none" w:sz="0" w:space="0" w:color="auto"/>
                <w:left w:val="none" w:sz="0" w:space="0" w:color="auto"/>
                <w:bottom w:val="none" w:sz="0" w:space="0" w:color="auto"/>
                <w:right w:val="none" w:sz="0" w:space="0" w:color="auto"/>
              </w:divBdr>
            </w:div>
            <w:div w:id="447355663">
              <w:marLeft w:val="0"/>
              <w:marRight w:val="0"/>
              <w:marTop w:val="0"/>
              <w:marBottom w:val="0"/>
              <w:divBdr>
                <w:top w:val="none" w:sz="0" w:space="0" w:color="auto"/>
                <w:left w:val="none" w:sz="0" w:space="0" w:color="auto"/>
                <w:bottom w:val="none" w:sz="0" w:space="0" w:color="auto"/>
                <w:right w:val="none" w:sz="0" w:space="0" w:color="auto"/>
              </w:divBdr>
            </w:div>
            <w:div w:id="227615796">
              <w:marLeft w:val="0"/>
              <w:marRight w:val="0"/>
              <w:marTop w:val="0"/>
              <w:marBottom w:val="0"/>
              <w:divBdr>
                <w:top w:val="none" w:sz="0" w:space="0" w:color="auto"/>
                <w:left w:val="none" w:sz="0" w:space="0" w:color="auto"/>
                <w:bottom w:val="none" w:sz="0" w:space="0" w:color="auto"/>
                <w:right w:val="none" w:sz="0" w:space="0" w:color="auto"/>
              </w:divBdr>
            </w:div>
            <w:div w:id="2119182019">
              <w:marLeft w:val="0"/>
              <w:marRight w:val="0"/>
              <w:marTop w:val="0"/>
              <w:marBottom w:val="0"/>
              <w:divBdr>
                <w:top w:val="none" w:sz="0" w:space="0" w:color="auto"/>
                <w:left w:val="none" w:sz="0" w:space="0" w:color="auto"/>
                <w:bottom w:val="none" w:sz="0" w:space="0" w:color="auto"/>
                <w:right w:val="none" w:sz="0" w:space="0" w:color="auto"/>
              </w:divBdr>
            </w:div>
            <w:div w:id="298657763">
              <w:marLeft w:val="0"/>
              <w:marRight w:val="0"/>
              <w:marTop w:val="0"/>
              <w:marBottom w:val="0"/>
              <w:divBdr>
                <w:top w:val="none" w:sz="0" w:space="0" w:color="auto"/>
                <w:left w:val="none" w:sz="0" w:space="0" w:color="auto"/>
                <w:bottom w:val="none" w:sz="0" w:space="0" w:color="auto"/>
                <w:right w:val="none" w:sz="0" w:space="0" w:color="auto"/>
              </w:divBdr>
            </w:div>
            <w:div w:id="906913631">
              <w:marLeft w:val="0"/>
              <w:marRight w:val="0"/>
              <w:marTop w:val="0"/>
              <w:marBottom w:val="0"/>
              <w:divBdr>
                <w:top w:val="none" w:sz="0" w:space="0" w:color="auto"/>
                <w:left w:val="none" w:sz="0" w:space="0" w:color="auto"/>
                <w:bottom w:val="none" w:sz="0" w:space="0" w:color="auto"/>
                <w:right w:val="none" w:sz="0" w:space="0" w:color="auto"/>
              </w:divBdr>
            </w:div>
            <w:div w:id="1387604787">
              <w:marLeft w:val="0"/>
              <w:marRight w:val="0"/>
              <w:marTop w:val="0"/>
              <w:marBottom w:val="0"/>
              <w:divBdr>
                <w:top w:val="none" w:sz="0" w:space="0" w:color="auto"/>
                <w:left w:val="none" w:sz="0" w:space="0" w:color="auto"/>
                <w:bottom w:val="none" w:sz="0" w:space="0" w:color="auto"/>
                <w:right w:val="none" w:sz="0" w:space="0" w:color="auto"/>
              </w:divBdr>
            </w:div>
            <w:div w:id="1649046217">
              <w:marLeft w:val="0"/>
              <w:marRight w:val="0"/>
              <w:marTop w:val="0"/>
              <w:marBottom w:val="0"/>
              <w:divBdr>
                <w:top w:val="none" w:sz="0" w:space="0" w:color="auto"/>
                <w:left w:val="none" w:sz="0" w:space="0" w:color="auto"/>
                <w:bottom w:val="none" w:sz="0" w:space="0" w:color="auto"/>
                <w:right w:val="none" w:sz="0" w:space="0" w:color="auto"/>
              </w:divBdr>
            </w:div>
            <w:div w:id="1035885835">
              <w:marLeft w:val="0"/>
              <w:marRight w:val="0"/>
              <w:marTop w:val="0"/>
              <w:marBottom w:val="0"/>
              <w:divBdr>
                <w:top w:val="none" w:sz="0" w:space="0" w:color="auto"/>
                <w:left w:val="none" w:sz="0" w:space="0" w:color="auto"/>
                <w:bottom w:val="none" w:sz="0" w:space="0" w:color="auto"/>
                <w:right w:val="none" w:sz="0" w:space="0" w:color="auto"/>
              </w:divBdr>
            </w:div>
            <w:div w:id="286739865">
              <w:marLeft w:val="0"/>
              <w:marRight w:val="0"/>
              <w:marTop w:val="0"/>
              <w:marBottom w:val="0"/>
              <w:divBdr>
                <w:top w:val="none" w:sz="0" w:space="0" w:color="auto"/>
                <w:left w:val="none" w:sz="0" w:space="0" w:color="auto"/>
                <w:bottom w:val="none" w:sz="0" w:space="0" w:color="auto"/>
                <w:right w:val="none" w:sz="0" w:space="0" w:color="auto"/>
              </w:divBdr>
            </w:div>
            <w:div w:id="127020705">
              <w:marLeft w:val="0"/>
              <w:marRight w:val="0"/>
              <w:marTop w:val="0"/>
              <w:marBottom w:val="0"/>
              <w:divBdr>
                <w:top w:val="none" w:sz="0" w:space="0" w:color="auto"/>
                <w:left w:val="none" w:sz="0" w:space="0" w:color="auto"/>
                <w:bottom w:val="none" w:sz="0" w:space="0" w:color="auto"/>
                <w:right w:val="none" w:sz="0" w:space="0" w:color="auto"/>
              </w:divBdr>
            </w:div>
            <w:div w:id="1548373909">
              <w:marLeft w:val="0"/>
              <w:marRight w:val="0"/>
              <w:marTop w:val="0"/>
              <w:marBottom w:val="0"/>
              <w:divBdr>
                <w:top w:val="none" w:sz="0" w:space="0" w:color="auto"/>
                <w:left w:val="none" w:sz="0" w:space="0" w:color="auto"/>
                <w:bottom w:val="none" w:sz="0" w:space="0" w:color="auto"/>
                <w:right w:val="none" w:sz="0" w:space="0" w:color="auto"/>
              </w:divBdr>
            </w:div>
            <w:div w:id="360207802">
              <w:marLeft w:val="0"/>
              <w:marRight w:val="0"/>
              <w:marTop w:val="0"/>
              <w:marBottom w:val="0"/>
              <w:divBdr>
                <w:top w:val="none" w:sz="0" w:space="0" w:color="auto"/>
                <w:left w:val="none" w:sz="0" w:space="0" w:color="auto"/>
                <w:bottom w:val="none" w:sz="0" w:space="0" w:color="auto"/>
                <w:right w:val="none" w:sz="0" w:space="0" w:color="auto"/>
              </w:divBdr>
            </w:div>
            <w:div w:id="17129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713">
      <w:bodyDiv w:val="1"/>
      <w:marLeft w:val="0"/>
      <w:marRight w:val="0"/>
      <w:marTop w:val="0"/>
      <w:marBottom w:val="0"/>
      <w:divBdr>
        <w:top w:val="none" w:sz="0" w:space="0" w:color="auto"/>
        <w:left w:val="none" w:sz="0" w:space="0" w:color="auto"/>
        <w:bottom w:val="none" w:sz="0" w:space="0" w:color="auto"/>
        <w:right w:val="none" w:sz="0" w:space="0" w:color="auto"/>
      </w:divBdr>
    </w:div>
    <w:div w:id="1643778150">
      <w:bodyDiv w:val="1"/>
      <w:marLeft w:val="0"/>
      <w:marRight w:val="0"/>
      <w:marTop w:val="0"/>
      <w:marBottom w:val="0"/>
      <w:divBdr>
        <w:top w:val="none" w:sz="0" w:space="0" w:color="auto"/>
        <w:left w:val="none" w:sz="0" w:space="0" w:color="auto"/>
        <w:bottom w:val="none" w:sz="0" w:space="0" w:color="auto"/>
        <w:right w:val="none" w:sz="0" w:space="0" w:color="auto"/>
      </w:divBdr>
    </w:div>
    <w:div w:id="1701781762">
      <w:bodyDiv w:val="1"/>
      <w:marLeft w:val="0"/>
      <w:marRight w:val="0"/>
      <w:marTop w:val="0"/>
      <w:marBottom w:val="0"/>
      <w:divBdr>
        <w:top w:val="none" w:sz="0" w:space="0" w:color="auto"/>
        <w:left w:val="none" w:sz="0" w:space="0" w:color="auto"/>
        <w:bottom w:val="none" w:sz="0" w:space="0" w:color="auto"/>
        <w:right w:val="none" w:sz="0" w:space="0" w:color="auto"/>
      </w:divBdr>
    </w:div>
    <w:div w:id="2052878212">
      <w:bodyDiv w:val="1"/>
      <w:marLeft w:val="0"/>
      <w:marRight w:val="0"/>
      <w:marTop w:val="0"/>
      <w:marBottom w:val="0"/>
      <w:divBdr>
        <w:top w:val="none" w:sz="0" w:space="0" w:color="auto"/>
        <w:left w:val="none" w:sz="0" w:space="0" w:color="auto"/>
        <w:bottom w:val="none" w:sz="0" w:space="0" w:color="auto"/>
        <w:right w:val="none" w:sz="0" w:space="0" w:color="auto"/>
      </w:divBdr>
    </w:div>
    <w:div w:id="213544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4194">
          <w:marLeft w:val="480"/>
          <w:marRight w:val="0"/>
          <w:marTop w:val="0"/>
          <w:marBottom w:val="0"/>
          <w:divBdr>
            <w:top w:val="none" w:sz="0" w:space="0" w:color="auto"/>
            <w:left w:val="none" w:sz="0" w:space="0" w:color="auto"/>
            <w:bottom w:val="none" w:sz="0" w:space="0" w:color="auto"/>
            <w:right w:val="none" w:sz="0" w:space="0" w:color="auto"/>
          </w:divBdr>
          <w:divsChild>
            <w:div w:id="17712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inicaltrials.gov" TargetMode="External"/><Relationship Id="rId18" Type="http://schemas.openxmlformats.org/officeDocument/2006/relationships/footer" Target="footer2.xml"/><Relationship Id="rId26" Type="http://schemas.openxmlformats.org/officeDocument/2006/relationships/footer" Target="footer9.xml"/><Relationship Id="rId39" Type="http://schemas.openxmlformats.org/officeDocument/2006/relationships/hyperlink" Target="https://doi.org/10.1148/radiol.2019180760" TargetMode="External"/><Relationship Id="rId21" Type="http://schemas.openxmlformats.org/officeDocument/2006/relationships/footer" Target="footer4.xml"/><Relationship Id="rId34" Type="http://schemas.openxmlformats.org/officeDocument/2006/relationships/hyperlink" Target="https://doi.org/10.1016/S1470-2045%2816%2930101-2" TargetMode="External"/><Relationship Id="rId42" Type="http://schemas.openxmlformats.org/officeDocument/2006/relationships/hyperlink" Target="https://doi.org/10.2214/AJR.18.21060" TargetMode="External"/><Relationship Id="rId47" Type="http://schemas.openxmlformats.org/officeDocument/2006/relationships/hyperlink" Target="https://doi.org/10.1148/radiol.2018171361" TargetMode="External"/><Relationship Id="rId50" Type="http://schemas.openxmlformats.org/officeDocument/2006/relationships/hyperlink" Target="https://doi.org/10.1016/j.breast.2018.01.002" TargetMode="External"/><Relationship Id="rId55" Type="http://schemas.openxmlformats.org/officeDocument/2006/relationships/hyperlink" Target="https://doi.org/10.1148/radiol.2018181180" TargetMode="External"/><Relationship Id="rId63" Type="http://schemas.openxmlformats.org/officeDocument/2006/relationships/hyperlink" Target="https://doi.org/10.1148/radiol.2018172119" TargetMode="External"/><Relationship Id="rId68" Type="http://schemas.openxmlformats.org/officeDocument/2006/relationships/hyperlink" Target="https://doi.org/10.2214/AJR.18.20520" TargetMode="External"/><Relationship Id="rId76"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hyperlink" Target="https://doi.org/10.1016/j.crad.2018.03.013" TargetMode="Externa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doi.org/10.1007/s00330-018-5690-x" TargetMode="External"/><Relationship Id="rId11" Type="http://schemas.openxmlformats.org/officeDocument/2006/relationships/hyperlink" Target="http://www.cancerscreening.gov.au/internet/screening/publishing.nsf/Content/dbt." TargetMode="External"/><Relationship Id="rId24" Type="http://schemas.openxmlformats.org/officeDocument/2006/relationships/footer" Target="footer7.xml"/><Relationship Id="rId32" Type="http://schemas.openxmlformats.org/officeDocument/2006/relationships/hyperlink" Target="https://doi.org/10.1016/j.breast.2019.09.012" TargetMode="External"/><Relationship Id="rId37" Type="http://schemas.openxmlformats.org/officeDocument/2006/relationships/hyperlink" Target="https://doi.org/10.1007/s00330-018-5886-0" TargetMode="External"/><Relationship Id="rId40" Type="http://schemas.openxmlformats.org/officeDocument/2006/relationships/hyperlink" Target="https://doi.org/10.1001/jamaoncol.2018.7078" TargetMode="External"/><Relationship Id="rId45" Type="http://schemas.openxmlformats.org/officeDocument/2006/relationships/hyperlink" Target="https://doi.org/10.1016/j.breast.2016.01.002" TargetMode="External"/><Relationship Id="rId53" Type="http://schemas.openxmlformats.org/officeDocument/2006/relationships/hyperlink" Target="https://doi.org/10.1007/s00330-019-06264-y" TargetMode="External"/><Relationship Id="rId58" Type="http://schemas.openxmlformats.org/officeDocument/2006/relationships/hyperlink" Target="https://doi.org/10.1093/jnci/djz184" TargetMode="External"/><Relationship Id="rId66" Type="http://schemas.openxmlformats.org/officeDocument/2006/relationships/hyperlink" Target="https://doi.org/10.1007/s00330-017-5219-8" TargetMode="External"/><Relationship Id="rId74" Type="http://schemas.openxmlformats.org/officeDocument/2006/relationships/hyperlink" Target="https://doi.org/10.1016/S1470-2045(19)30287-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07/s10198-019-01094-7"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yperlink" Target="https://doi.org/10.1148/radiol.2019181637" TargetMode="External"/><Relationship Id="rId44" Type="http://schemas.openxmlformats.org/officeDocument/2006/relationships/hyperlink" Target="https://doi.org/10.1007/s00330-017-5024-4" TargetMode="External"/><Relationship Id="rId52" Type="http://schemas.openxmlformats.org/officeDocument/2006/relationships/hyperlink" Target="https://doi.org/10.1016/j.ejca.2014.03.017" TargetMode="External"/><Relationship Id="rId60" Type="http://schemas.openxmlformats.org/officeDocument/2006/relationships/hyperlink" Target="https://doi.org/10.1148/radiol.2019182305" TargetMode="External"/><Relationship Id="rId65" Type="http://schemas.openxmlformats.org/officeDocument/2006/relationships/hyperlink" Target="https://doi.org/10.1016/j.rx.2019.01.002" TargetMode="External"/><Relationship Id="rId73" Type="http://schemas.openxmlformats.org/officeDocument/2006/relationships/hyperlink" Target="https://doi.org/10.1016/j.crad.2018.12.02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linicaltrials.gov"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hyperlink" Target="https://doi.org/10.1016/j.acra.2017.12.015" TargetMode="External"/><Relationship Id="rId35" Type="http://schemas.openxmlformats.org/officeDocument/2006/relationships/hyperlink" Target="https://doi.org/10.1016/j.breast.2017.01.005" TargetMode="External"/><Relationship Id="rId43" Type="http://schemas.openxmlformats.org/officeDocument/2006/relationships/hyperlink" Target="https://doi.org/10.2214/AJR.18.20255" TargetMode="External"/><Relationship Id="rId48" Type="http://schemas.openxmlformats.org/officeDocument/2006/relationships/hyperlink" Target="https://doi.org/10.1016/j.acra.2019.01.020" TargetMode="External"/><Relationship Id="rId56" Type="http://schemas.openxmlformats.org/officeDocument/2006/relationships/hyperlink" Target="https://doi.org/10.1148/radiol.2019190181" TargetMode="External"/><Relationship Id="rId64" Type="http://schemas.openxmlformats.org/officeDocument/2006/relationships/hyperlink" Target="https://doi.org/10.1186/s12885-018-4263-3" TargetMode="External"/><Relationship Id="rId69" Type="http://schemas.openxmlformats.org/officeDocument/2006/relationships/hyperlink" Target="https://doi.org/10.1148/radiol.2019182394" TargetMode="External"/><Relationship Id="rId77"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hyperlink" Target="https://doi.org/10.1016/j.canep.2017.01.008" TargetMode="External"/><Relationship Id="rId72" Type="http://schemas.openxmlformats.org/officeDocument/2006/relationships/hyperlink" Target="https://doi.org/10.1016/j.ejrad.2018.08.004" TargetMode="External"/><Relationship Id="rId3" Type="http://schemas.openxmlformats.org/officeDocument/2006/relationships/styles" Target="styles.xml"/><Relationship Id="rId12" Type="http://schemas.openxmlformats.org/officeDocument/2006/relationships/hyperlink" Target="http://www.cancerscreening.gov.au/internet/screening/publishing.nsf/Content/dbt" TargetMode="External"/><Relationship Id="rId17" Type="http://schemas.openxmlformats.org/officeDocument/2006/relationships/footer" Target="footer1.xml"/><Relationship Id="rId25" Type="http://schemas.openxmlformats.org/officeDocument/2006/relationships/footer" Target="footer8.xml"/><Relationship Id="rId33" Type="http://schemas.openxmlformats.org/officeDocument/2006/relationships/hyperlink" Target="https://doi.org/10.1016/j.ejrad.2018.07.008" TargetMode="External"/><Relationship Id="rId38" Type="http://schemas.openxmlformats.org/officeDocument/2006/relationships/hyperlink" Target="https://doi.org/10.1007/s00330-018-5585-x" TargetMode="External"/><Relationship Id="rId46" Type="http://schemas.openxmlformats.org/officeDocument/2006/relationships/hyperlink" Target="https://doi.org/10.1016/S1470-2045(19)30161-5" TargetMode="External"/><Relationship Id="rId59" Type="http://schemas.openxmlformats.org/officeDocument/2006/relationships/hyperlink" Target="https://doi.org/10.1093/jnci/djy121" TargetMode="External"/><Relationship Id="rId67" Type="http://schemas.openxmlformats.org/officeDocument/2006/relationships/hyperlink" Target="https://doi.org/10.2214/AJR.17.18839" TargetMode="External"/><Relationship Id="rId20" Type="http://schemas.openxmlformats.org/officeDocument/2006/relationships/footer" Target="footer3.xml"/><Relationship Id="rId41" Type="http://schemas.openxmlformats.org/officeDocument/2006/relationships/hyperlink" Target="https://doi.org/10.1016/j.radi.2016.03.002" TargetMode="External"/><Relationship Id="rId54" Type="http://schemas.openxmlformats.org/officeDocument/2006/relationships/hyperlink" Target="https://doi.org/10.1148/radiol.2019190132" TargetMode="External"/><Relationship Id="rId62" Type="http://schemas.openxmlformats.org/officeDocument/2006/relationships/hyperlink" Target="https://doi.org/10.1088/1361-6560/aaa614" TargetMode="External"/><Relationship Id="rId70" Type="http://schemas.openxmlformats.org/officeDocument/2006/relationships/hyperlink" Target="https://doi.org/10.1007/s10549-018-4705-2" TargetMode="External"/><Relationship Id="rId75" Type="http://schemas.openxmlformats.org/officeDocument/2006/relationships/hyperlink" Target="https://doi.org/10.1016/S1470-2045(18)3052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linicaltrials.gov" TargetMode="External"/><Relationship Id="rId23" Type="http://schemas.openxmlformats.org/officeDocument/2006/relationships/footer" Target="footer6.xml"/><Relationship Id="rId28" Type="http://schemas.openxmlformats.org/officeDocument/2006/relationships/image" Target="media/image7.png"/><Relationship Id="rId36" Type="http://schemas.openxmlformats.org/officeDocument/2006/relationships/hyperlink" Target="https://doi.org/10.1148/radiol.2017170745" TargetMode="External"/><Relationship Id="rId49" Type="http://schemas.openxmlformats.org/officeDocument/2006/relationships/hyperlink" Target="https://doi.org/10.5694/mja2.50320" TargetMode="External"/><Relationship Id="rId57" Type="http://schemas.openxmlformats.org/officeDocument/2006/relationships/hyperlink" Target="https://doi.org/10.1080/14737140.2018.14832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footer7.xml.rels><?xml version="1.0" encoding="UTF-8" standalone="yes"?>
<Relationships xmlns="http://schemas.openxmlformats.org/package/2006/relationships"><Relationship Id="rId1" Type="http://schemas.openxmlformats.org/officeDocument/2006/relationships/image" Target="media/image5.jpg"/></Relationships>
</file>

<file path=word/_rels/footer9.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doi.org/10.1007/s12282-017-0805-9" TargetMode="External"/><Relationship Id="rId13" Type="http://schemas.openxmlformats.org/officeDocument/2006/relationships/hyperlink" Target="https://doi.org/10.1016/j.crad.2018.01.001" TargetMode="External"/><Relationship Id="rId3" Type="http://schemas.openxmlformats.org/officeDocument/2006/relationships/hyperlink" Target="https://doi.org/10.1148/radiol.2017171148" TargetMode="External"/><Relationship Id="rId7" Type="http://schemas.openxmlformats.org/officeDocument/2006/relationships/hyperlink" Target="https://doi.org/10.1007/s00330-017-4968-8" TargetMode="External"/><Relationship Id="rId12" Type="http://schemas.openxmlformats.org/officeDocument/2006/relationships/hyperlink" Target="https://doi.org/10.1016/j.clbc.2017.09.012" TargetMode="External"/><Relationship Id="rId2" Type="http://schemas.openxmlformats.org/officeDocument/2006/relationships/hyperlink" Target="https://doi.org/10.1016/j.clinimag.2017.08.002" TargetMode="External"/><Relationship Id="rId1" Type="http://schemas.openxmlformats.org/officeDocument/2006/relationships/hyperlink" Target="http://www.cancerscreening.gov.au/internet/screening/publishing.nsf/Content/dbt" TargetMode="External"/><Relationship Id="rId6" Type="http://schemas.openxmlformats.org/officeDocument/2006/relationships/hyperlink" Target="https://doi.org/10.1053/j.sult.2017.08.002" TargetMode="External"/><Relationship Id="rId11" Type="http://schemas.openxmlformats.org/officeDocument/2006/relationships/hyperlink" Target="https://doi.org/10.1177/0284185117732600" TargetMode="External"/><Relationship Id="rId5" Type="http://schemas.openxmlformats.org/officeDocument/2006/relationships/hyperlink" Target="https://doi.org/10.1007/s10549-018-4756-4" TargetMode="External"/><Relationship Id="rId15" Type="http://schemas.openxmlformats.org/officeDocument/2006/relationships/hyperlink" Target="https://doi.org/10.1007/s00330-017-5167-3" TargetMode="External"/><Relationship Id="rId10" Type="http://schemas.openxmlformats.org/officeDocument/2006/relationships/hyperlink" Target="https://doi.org/10.1007/s00330-017-4991-9" TargetMode="External"/><Relationship Id="rId4" Type="http://schemas.openxmlformats.org/officeDocument/2006/relationships/hyperlink" Target="https://doi.org/10.1177/0284185118756458" TargetMode="External"/><Relationship Id="rId9" Type="http://schemas.openxmlformats.org/officeDocument/2006/relationships/hyperlink" Target="https://doi.org/10.1007/s00330-017-5297-7" TargetMode="External"/><Relationship Id="rId14" Type="http://schemas.openxmlformats.org/officeDocument/2006/relationships/hyperlink" Target="https://doi.org/10.1016/j.jcma.2017.05.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Staff%20folders\Anna%20G\A+C%20templates\A+C%20BLANK%20Template%20Oct%202017%20.dotx" TargetMode="External"/></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A9E9-DBB7-442A-A702-D21D6710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BLANK Template Oct 2017 .dotx</Template>
  <TotalTime>8</TotalTime>
  <Pages>149</Pages>
  <Words>59776</Words>
  <Characters>340729</Characters>
  <Application>Microsoft Office Word</Application>
  <DocSecurity>0</DocSecurity>
  <Lines>2839</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Digital breast tomosynthesis – updated literature review</dc:title>
  <dc:subject>Cancer; Diagnostic imaging, scans and X-rays; Preventive health; Women's health</dc:subject>
  <dc:creator>Australian Government Department of Health</dc:creator>
  <cp:keywords>breast cancer; dbt</cp:keywords>
  <cp:lastModifiedBy>McCay, Meryl</cp:lastModifiedBy>
  <cp:revision>4</cp:revision>
  <cp:lastPrinted>2020-07-16T02:31:00Z</cp:lastPrinted>
  <dcterms:created xsi:type="dcterms:W3CDTF">2020-07-16T02:29:00Z</dcterms:created>
  <dcterms:modified xsi:type="dcterms:W3CDTF">2020-07-20T02:44:00Z</dcterms:modified>
  <cp:version>5 July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1464448932</vt:i4>
  </property>
</Properties>
</file>