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Borders>
          <w:top w:val="basicThinLines" w:sz="0" w:space="0" w:color="auto"/>
          <w:left w:val="basicThinLines" w:sz="0" w:space="0" w:color="auto"/>
          <w:bottom w:val="basicThinLines" w:sz="0" w:space="0" w:color="auto"/>
          <w:right w:val="basicThinLines" w:sz="0" w:space="0" w:color="auto"/>
          <w:insideH w:val="basicThinLines" w:sz="0" w:space="0" w:color="auto"/>
          <w:insideV w:val="basicThinLines" w:sz="0" w:space="0" w:color="auto"/>
        </w:tblBorders>
        <w:tblLayout w:type="fixed"/>
        <w:tblCellMar>
          <w:left w:w="10" w:type="dxa"/>
          <w:right w:w="10" w:type="dxa"/>
        </w:tblCellMar>
        <w:tblLook w:val="0000" w:firstRow="0" w:lastRow="0" w:firstColumn="0" w:lastColumn="0" w:noHBand="0" w:noVBand="0"/>
      </w:tblPr>
      <w:tblGrid>
        <w:gridCol w:w="9000"/>
      </w:tblGrid>
      <w:tr w:rsidR="00BB498D" w:rsidRPr="008A37F4" w:rsidTr="00BB498D">
        <w:trPr>
          <w:tblHeader/>
          <w:jc w:val="center"/>
        </w:trPr>
        <w:tc>
          <w:tcPr>
            <w:tcW w:w="9000" w:type="dxa"/>
            <w:shd w:val="clear" w:color="auto" w:fill="4F81BD"/>
          </w:tcPr>
          <w:p w:rsidR="00BB498D" w:rsidRPr="008A37F4" w:rsidRDefault="00BB498D">
            <w:pPr>
              <w:spacing w:before="3" w:after="3"/>
              <w:jc w:val="center"/>
              <w:rPr>
                <w:rFonts w:cstheme="minorHAnsi"/>
              </w:rPr>
            </w:pPr>
            <w:r w:rsidRPr="008A37F4">
              <w:rPr>
                <w:rFonts w:cstheme="minorHAnsi"/>
                <w:b/>
                <w:color w:val="FFFFFF"/>
                <w:sz w:val="24"/>
              </w:rPr>
              <w:t>Groupings</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12 - Knee</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12.01 - FEMORAL COMPONENT: TOTAL KNEE ARTHROPLASTY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12.01.01 - Cemented, Alloy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12.01.01.01 - Minimally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Fixed Stem</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12.01.01.02 - Posterior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12.01.01.03 - Totally Constrained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Hinged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 Hinged</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12.01.02 - Cemented, Alloy, PMMA Coating</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12.01.02.01 - Minimally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12.01.02.02 - Posterior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12.01.03 - Cemented, Non-Alloy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12.01.03.01 - Minimally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 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12.01.03.02 - Posterior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 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12.01.03.03 - Totally Constrained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 Hinged</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12.01.04 - Uncemented, Alloy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12.01.04.01 - Minimally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 SCP</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lastRenderedPageBreak/>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12.01.04.02 - Posterior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12.01.04.03 - Totally Constrained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12.01.05 - Uncemented, Alloy, HA Coating</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12.01.05.01 - Minimally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12.01.05.02 - Posterior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12.02 - FEMORAL COMPONENT: UNI-COMPARTMENTAL KNEE ARTHROPLASTY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12.02.01 - Cemented, 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12.02.01.01 - PMMA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12.02.02 - Cemented, Non-Alloy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12.02.03 - Uncemented, 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12.02.03.01 - HA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12.03 - TIBIAL TRAY COMPONENT - TOTAL KNEE ARTHROPLASTY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12.03.01 - Cemented, All polyethylene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12.03.02 - Cemented, 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Hinged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 Hinged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12.03.02.01 - PMMA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12.03.03 - Cemented, Alloy, </w:t>
            </w:r>
            <w:proofErr w:type="spellStart"/>
            <w:r w:rsidRPr="008A37F4">
              <w:rPr>
                <w:rFonts w:cstheme="minorHAnsi"/>
                <w:b/>
                <w:sz w:val="24"/>
              </w:rPr>
              <w:t>Moulded</w:t>
            </w:r>
            <w:proofErr w:type="spellEnd"/>
            <w:r w:rsidRPr="008A37F4">
              <w:rPr>
                <w:rFonts w:cstheme="minorHAnsi"/>
                <w:b/>
                <w:sz w:val="24"/>
              </w:rPr>
              <w:t xml:space="preserve"> Polyethylene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12.03.04 - Cemented, Alloy, for Mobile Insert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lastRenderedPageBreak/>
              <w:t>Extra Thick</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 Extra Thick</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 Hinged</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12.03.04.01 - PMMA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12.03.05 - Uncemented, 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12.03.05.01 - HA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12.03.06 - Uncemented, Alloy, </w:t>
            </w:r>
            <w:proofErr w:type="spellStart"/>
            <w:r w:rsidRPr="008A37F4">
              <w:rPr>
                <w:rFonts w:cstheme="minorHAnsi"/>
                <w:b/>
                <w:sz w:val="24"/>
              </w:rPr>
              <w:t>Moulded</w:t>
            </w:r>
            <w:proofErr w:type="spellEnd"/>
            <w:r w:rsidRPr="008A37F4">
              <w:rPr>
                <w:rFonts w:cstheme="minorHAnsi"/>
                <w:b/>
                <w:sz w:val="24"/>
              </w:rPr>
              <w:t xml:space="preserve"> Polyethylene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12.03.07 - Uncemented, Alloy, for Mobile Insert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12.03.07.01 - HA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12.04 - TIBIAL TRAY COMPONENT: UNI-COMPARTMENTAL KNEE ARTHROPLASTY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12.04.01 - Cemented, Alloy Polyethylene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12.04.02 - Cemented, 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12.04.03 - Cemented, Alloy, </w:t>
            </w:r>
            <w:proofErr w:type="spellStart"/>
            <w:r w:rsidRPr="008A37F4">
              <w:rPr>
                <w:rFonts w:cstheme="minorHAnsi"/>
                <w:b/>
                <w:sz w:val="24"/>
              </w:rPr>
              <w:t>Moulded</w:t>
            </w:r>
            <w:proofErr w:type="spellEnd"/>
            <w:r w:rsidRPr="008A37F4">
              <w:rPr>
                <w:rFonts w:cstheme="minorHAnsi"/>
                <w:b/>
                <w:sz w:val="24"/>
              </w:rPr>
              <w:t xml:space="preserve"> Polyethylene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12.04.04 - Cemented, Alloy, for Mobile Insert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12.04.05 - Uncemented, Alloy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12.04.05.01 - HA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12.04.06 - Uncemented, Alloy, for Mobile Insert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12.04.06.01 - HA Coating</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12.05 - TIBIAL INSERT: TOTAL KNEE ARTHROPLASTY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12.05.01 - Minimally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SCP</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12.05.02 - Posterior </w:t>
            </w:r>
            <w:proofErr w:type="spellStart"/>
            <w:r w:rsidRPr="008A37F4">
              <w:rPr>
                <w:rFonts w:cstheme="minorHAnsi"/>
                <w:b/>
                <w:sz w:val="24"/>
              </w:rPr>
              <w:t>Stabilised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12.05.03 - Totally Constrained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Axle included</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12.06 - TIBIAL INSERT: UNI-COMPARTMENTAL ARTHROPLASTY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12.06.01 - Tibial Insert: Uni-Compartmental Arthroplasty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12.07 - PATELLO FEMORAL REPLACEMENT - FEMORAL COMPONENT</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12.07.01 - 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12.07.02 - Non-Alloy</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Ceramic Surface</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12.08 - PATELLAR COMPONENT</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12.08.01 - Cemented, All Polyethylene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12.08.02 - Cemented, Polyethylene, Metal Backed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12.08.02.01 - Mobile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12.08.03 - Uncemented, Polyethylene, Metal Backed</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12.08.03.01 - Mobile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12.08.03.02 - </w:t>
            </w:r>
            <w:proofErr w:type="spellStart"/>
            <w:r w:rsidRPr="008A37F4">
              <w:rPr>
                <w:rFonts w:cstheme="minorHAnsi"/>
                <w:b/>
                <w:sz w:val="24"/>
              </w:rPr>
              <w:t>Moulded</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Revision</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12.08.04 - Polyethylene Insert for Mobile Patella</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12.09 - TUMOUR PRODUCTS</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12.09.01 - Distal Femur</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12.09.01.01 - Condylar only (only when combined with a proximal tibial replacement)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Hinge included</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12.09.01.02 - Condylar, including metaphyseal and/or diaphyseal</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Complex</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Hinge included</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12.09.02 - Proximal Tibia</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12.09.02.01 - Condylar only (only when combined with a proximal tibial replacement)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12.09.02.02 - Condylar, including metaphyseal and/or diaphyseal</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12.09.03 - Diaphyseal Extension Piece (Femoral or Tibial)</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lastRenderedPageBreak/>
              <w:t>12.09.03.01 - Incorporating Bone Fixation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12.09.04 - Bone Anchorage Piece</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12.09.04.01 - With Compression</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12.09.05 - Tibial Inserts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12.09.06 - Augments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12.09.07 - Stems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Stem Anchor</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12.09.08 - Couplers or adaptors, incorporating stem extenders, sleeves and other couplings</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12.09.08.01 - Collar</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12.09.08.02 - Adaptor</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Complex</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12.09.08.03 - Stem extender</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12.09.09 - Connectors and assembly for hinged prostheses</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12.10 - FEMORAL COMPONENT: TWO COMPARTMENTAL ARTHROPLASTY</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12.10.01 - Cemented</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12.11 - KNEE ACCESSORIES</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12.11.01 - Augments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12.11.02 - Axles for hinged prostheses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12.11.03 - Bolts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12.11.04 - Connectors for hinged prostheses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12.11.05 - Conversion modules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12.11.06 - End caps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12.11.07 - Offset couplers/adaptors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 xml:space="preserve">12.11.08 - Pegs, lugs, </w:t>
            </w:r>
            <w:proofErr w:type="spellStart"/>
            <w:r w:rsidRPr="008A37F4">
              <w:rPr>
                <w:rFonts w:cstheme="minorHAnsi"/>
                <w:b/>
                <w:sz w:val="24"/>
              </w:rPr>
              <w:t>etc</w:t>
            </w:r>
            <w:proofErr w:type="spellEnd"/>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lastRenderedPageBreak/>
              <w:t>12.11.09 - Screws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12.11.10 - Stems - straight or offset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12.11.11 - Stem Extenders, Sleeves and other couplings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jc w:val="center"/>
              <w:rPr>
                <w:rFonts w:cstheme="minorHAnsi"/>
                <w:b/>
              </w:rPr>
            </w:pPr>
            <w:r w:rsidRPr="008A37F4">
              <w:rPr>
                <w:rFonts w:cstheme="minorHAnsi"/>
                <w:b/>
                <w:sz w:val="24"/>
              </w:rPr>
              <w:t>Metaphyseal</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12.11.12 - Temporary Spacers</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12.12 - PARTIAL RESURFACING</w:t>
            </w: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12.12.01 - Articulating Component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r w:rsidR="00BB498D" w:rsidRPr="008A37F4" w:rsidTr="00BB498D">
        <w:trPr>
          <w:jc w:val="center"/>
        </w:trPr>
        <w:tc>
          <w:tcPr>
            <w:tcW w:w="9000" w:type="dxa"/>
          </w:tcPr>
          <w:p w:rsidR="00BB498D" w:rsidRPr="008A37F4" w:rsidRDefault="00BB498D">
            <w:pPr>
              <w:spacing w:before="3" w:after="3"/>
              <w:rPr>
                <w:rFonts w:cstheme="minorHAnsi"/>
                <w:b/>
              </w:rPr>
            </w:pPr>
            <w:r w:rsidRPr="008A37F4">
              <w:rPr>
                <w:rFonts w:cstheme="minorHAnsi"/>
                <w:b/>
                <w:sz w:val="24"/>
              </w:rPr>
              <w:t>12.12.02 - Fixation Component</w:t>
            </w:r>
          </w:p>
        </w:tc>
      </w:tr>
      <w:tr w:rsidR="00BB498D" w:rsidRPr="008A37F4" w:rsidTr="00BB498D">
        <w:trPr>
          <w:jc w:val="center"/>
        </w:trPr>
        <w:tc>
          <w:tcPr>
            <w:tcW w:w="9000" w:type="dxa"/>
          </w:tcPr>
          <w:p w:rsidR="00BB498D" w:rsidRPr="008A37F4" w:rsidRDefault="00BB498D">
            <w:pPr>
              <w:spacing w:before="3" w:after="3"/>
              <w:jc w:val="center"/>
              <w:rPr>
                <w:rFonts w:cstheme="minorHAnsi"/>
                <w:b/>
              </w:rPr>
            </w:pPr>
          </w:p>
        </w:tc>
      </w:tr>
    </w:tbl>
    <w:p w:rsidR="00CC3FE6" w:rsidRDefault="00CC3FE6">
      <w:pPr>
        <w:rPr>
          <w:rFonts w:cstheme="minorHAnsi"/>
        </w:rPr>
      </w:pPr>
    </w:p>
    <w:p w:rsidR="008A37F4" w:rsidRDefault="008A37F4" w:rsidP="008A37F4">
      <w:pPr>
        <w:rPr>
          <w:rFonts w:ascii="Arial" w:hAnsi="Arial" w:cs="Arial"/>
          <w:b/>
          <w:bCs/>
          <w:u w:val="single"/>
        </w:rPr>
      </w:pPr>
      <w:r>
        <w:rPr>
          <w:rFonts w:ascii="Arial" w:hAnsi="Arial" w:cs="Arial"/>
          <w:b/>
          <w:bCs/>
          <w:u w:val="single"/>
        </w:rPr>
        <w:t>SUFFIXES AND DEFINITIONS FOR KNEE</w:t>
      </w:r>
    </w:p>
    <w:p w:rsidR="008A37F4" w:rsidRPr="00BD12C2" w:rsidRDefault="008A37F4" w:rsidP="008A37F4">
      <w:pPr>
        <w:rPr>
          <w:rFonts w:ascii="Arial" w:hAnsi="Arial" w:cs="Arial"/>
          <w:b/>
          <w:bCs/>
          <w:u w:val="single"/>
        </w:rPr>
      </w:pPr>
    </w:p>
    <w:p w:rsidR="008A37F4" w:rsidRPr="00BD12C2" w:rsidRDefault="008A37F4" w:rsidP="008A37F4">
      <w:pPr>
        <w:tabs>
          <w:tab w:val="left" w:pos="1560"/>
        </w:tabs>
        <w:ind w:left="720" w:hanging="720"/>
        <w:rPr>
          <w:rFonts w:ascii="Arial" w:hAnsi="Arial" w:cs="Arial"/>
        </w:rPr>
      </w:pPr>
      <w:r w:rsidRPr="00BD12C2">
        <w:rPr>
          <w:rFonts w:ascii="Arial" w:hAnsi="Arial" w:cs="Arial"/>
          <w:b/>
        </w:rPr>
        <w:t>CS</w:t>
      </w:r>
      <w:r w:rsidRPr="00BD12C2">
        <w:rPr>
          <w:rFonts w:ascii="Arial" w:hAnsi="Arial" w:cs="Arial"/>
        </w:rPr>
        <w:tab/>
        <w:t>Ceramic Surface</w:t>
      </w:r>
    </w:p>
    <w:p w:rsidR="008A37F4" w:rsidRPr="00BD12C2" w:rsidRDefault="008A37F4" w:rsidP="008A37F4">
      <w:pPr>
        <w:tabs>
          <w:tab w:val="left" w:pos="1560"/>
        </w:tabs>
        <w:ind w:left="720" w:hanging="720"/>
        <w:rPr>
          <w:rFonts w:ascii="Arial" w:hAnsi="Arial" w:cs="Arial"/>
        </w:rPr>
      </w:pPr>
      <w:r w:rsidRPr="00BD12C2">
        <w:rPr>
          <w:rFonts w:ascii="Arial" w:hAnsi="Arial" w:cs="Arial"/>
          <w:b/>
        </w:rPr>
        <w:t>Rev</w:t>
      </w:r>
      <w:r w:rsidRPr="00BD12C2">
        <w:rPr>
          <w:rFonts w:ascii="Arial" w:hAnsi="Arial" w:cs="Arial"/>
        </w:rPr>
        <w:tab/>
        <w:t>Revision</w:t>
      </w:r>
    </w:p>
    <w:p w:rsidR="008A37F4" w:rsidRPr="00BD12C2" w:rsidRDefault="008A37F4" w:rsidP="008A37F4">
      <w:pPr>
        <w:tabs>
          <w:tab w:val="left" w:pos="1560"/>
        </w:tabs>
        <w:ind w:left="720" w:hanging="720"/>
        <w:rPr>
          <w:rFonts w:ascii="Arial" w:hAnsi="Arial" w:cs="Arial"/>
        </w:rPr>
      </w:pPr>
      <w:r w:rsidRPr="00BD12C2">
        <w:rPr>
          <w:rFonts w:ascii="Arial" w:hAnsi="Arial" w:cs="Arial"/>
          <w:b/>
        </w:rPr>
        <w:t>H</w:t>
      </w:r>
      <w:r w:rsidRPr="00BD12C2">
        <w:rPr>
          <w:rFonts w:ascii="Arial" w:hAnsi="Arial" w:cs="Arial"/>
        </w:rPr>
        <w:tab/>
        <w:t>Hinged</w:t>
      </w:r>
    </w:p>
    <w:p w:rsidR="008A37F4" w:rsidRPr="00BD12C2" w:rsidRDefault="008A37F4" w:rsidP="008A37F4">
      <w:pPr>
        <w:tabs>
          <w:tab w:val="left" w:pos="1560"/>
        </w:tabs>
        <w:ind w:left="720" w:hanging="720"/>
        <w:rPr>
          <w:rFonts w:ascii="Arial" w:hAnsi="Arial" w:cs="Arial"/>
        </w:rPr>
      </w:pPr>
      <w:r w:rsidRPr="00BD12C2">
        <w:rPr>
          <w:rFonts w:ascii="Arial" w:hAnsi="Arial" w:cs="Arial"/>
          <w:b/>
        </w:rPr>
        <w:t>SCP</w:t>
      </w:r>
      <w:r w:rsidRPr="00BD12C2">
        <w:rPr>
          <w:rFonts w:ascii="Arial" w:hAnsi="Arial" w:cs="Arial"/>
        </w:rPr>
        <w:tab/>
        <w:t>Superior Clinical Performance</w:t>
      </w:r>
    </w:p>
    <w:p w:rsidR="008A37F4" w:rsidRPr="00BD12C2" w:rsidRDefault="008A37F4" w:rsidP="008A37F4">
      <w:pPr>
        <w:tabs>
          <w:tab w:val="left" w:pos="1560"/>
        </w:tabs>
        <w:ind w:left="720" w:hanging="720"/>
        <w:rPr>
          <w:rFonts w:ascii="Arial" w:hAnsi="Arial" w:cs="Arial"/>
        </w:rPr>
      </w:pPr>
      <w:r w:rsidRPr="00BD12C2">
        <w:rPr>
          <w:rFonts w:ascii="Arial" w:hAnsi="Arial" w:cs="Arial"/>
          <w:b/>
        </w:rPr>
        <w:t>Com</w:t>
      </w:r>
      <w:r w:rsidRPr="00BD12C2">
        <w:rPr>
          <w:rFonts w:ascii="Arial" w:hAnsi="Arial" w:cs="Arial"/>
        </w:rPr>
        <w:tab/>
        <w:t>Complex</w:t>
      </w:r>
    </w:p>
    <w:p w:rsidR="008A37F4" w:rsidRPr="00BD12C2" w:rsidRDefault="008A37F4" w:rsidP="008A37F4">
      <w:pPr>
        <w:tabs>
          <w:tab w:val="left" w:pos="1560"/>
        </w:tabs>
        <w:ind w:left="720" w:hanging="720"/>
        <w:rPr>
          <w:rFonts w:ascii="Arial" w:hAnsi="Arial" w:cs="Arial"/>
        </w:rPr>
      </w:pPr>
      <w:r w:rsidRPr="00BD12C2">
        <w:rPr>
          <w:rFonts w:ascii="Arial" w:hAnsi="Arial" w:cs="Arial"/>
          <w:b/>
        </w:rPr>
        <w:t>FS</w:t>
      </w:r>
      <w:r w:rsidRPr="00BD12C2">
        <w:rPr>
          <w:rFonts w:ascii="Arial" w:hAnsi="Arial" w:cs="Arial"/>
        </w:rPr>
        <w:tab/>
        <w:t>Fixed Stem</w:t>
      </w:r>
    </w:p>
    <w:p w:rsidR="008A37F4" w:rsidRPr="00BD12C2" w:rsidRDefault="008A37F4" w:rsidP="008A37F4">
      <w:pPr>
        <w:tabs>
          <w:tab w:val="left" w:pos="1560"/>
        </w:tabs>
        <w:ind w:left="720" w:hanging="720"/>
        <w:rPr>
          <w:rFonts w:ascii="Arial" w:hAnsi="Arial" w:cs="Arial"/>
        </w:rPr>
      </w:pPr>
      <w:r w:rsidRPr="00BD12C2">
        <w:rPr>
          <w:rFonts w:ascii="Arial" w:hAnsi="Arial" w:cs="Arial"/>
          <w:b/>
        </w:rPr>
        <w:t>MET</w:t>
      </w:r>
      <w:r w:rsidRPr="00BD12C2">
        <w:rPr>
          <w:rFonts w:ascii="Arial" w:hAnsi="Arial" w:cs="Arial"/>
        </w:rPr>
        <w:tab/>
        <w:t>Metaphyseal</w:t>
      </w:r>
    </w:p>
    <w:p w:rsidR="008A37F4" w:rsidRPr="00BD12C2" w:rsidRDefault="008A37F4" w:rsidP="008A37F4">
      <w:pPr>
        <w:pStyle w:val="Heading1"/>
        <w:rPr>
          <w:rFonts w:ascii="Arial" w:hAnsi="Arial" w:cs="Arial"/>
          <w:sz w:val="22"/>
          <w:szCs w:val="22"/>
        </w:rPr>
      </w:pPr>
    </w:p>
    <w:p w:rsidR="008A37F4" w:rsidRPr="00BD12C2" w:rsidRDefault="008A37F4" w:rsidP="008A37F4">
      <w:pPr>
        <w:rPr>
          <w:rFonts w:ascii="Arial" w:hAnsi="Arial" w:cs="Arial"/>
        </w:rPr>
      </w:pPr>
    </w:p>
    <w:p w:rsidR="00E84419" w:rsidRPr="00BD12C2" w:rsidRDefault="008A37F4" w:rsidP="00BB498D">
      <w:pPr>
        <w:spacing w:line="360" w:lineRule="auto"/>
        <w:ind w:left="2880" w:hanging="2880"/>
        <w:rPr>
          <w:rFonts w:ascii="Arial" w:hAnsi="Arial" w:cs="Arial"/>
        </w:rPr>
      </w:pPr>
      <w:r w:rsidRPr="00BD12C2">
        <w:rPr>
          <w:rFonts w:ascii="Arial" w:hAnsi="Arial" w:cs="Arial"/>
          <w:b/>
        </w:rPr>
        <w:t>Stem Anchor</w:t>
      </w:r>
      <w:r w:rsidRPr="00BD12C2">
        <w:rPr>
          <w:rFonts w:ascii="Arial" w:hAnsi="Arial" w:cs="Arial"/>
        </w:rPr>
        <w:t xml:space="preserve"> </w:t>
      </w:r>
      <w:r w:rsidRPr="00BD12C2">
        <w:rPr>
          <w:rFonts w:ascii="Arial" w:hAnsi="Arial" w:cs="Arial"/>
        </w:rPr>
        <w:tab/>
        <w:t xml:space="preserve">applies to complex stems for knee </w:t>
      </w:r>
      <w:proofErr w:type="spellStart"/>
      <w:r w:rsidRPr="00BD12C2">
        <w:rPr>
          <w:rFonts w:ascii="Arial" w:hAnsi="Arial" w:cs="Arial"/>
        </w:rPr>
        <w:t>tumour</w:t>
      </w:r>
      <w:proofErr w:type="spellEnd"/>
      <w:r w:rsidRPr="00BD12C2">
        <w:rPr>
          <w:rFonts w:ascii="Arial" w:hAnsi="Arial" w:cs="Arial"/>
        </w:rPr>
        <w:t xml:space="preserve"> implants which include in the same implant a stem, a bone anchorage and a means of affixation to the diaphyseal component. If this suffix is applied then other items from groups 12.9.3.1, 12.9.4 or 12.9.8.3 will not apply for the portion (femoral or tibial) of the construct.</w:t>
      </w:r>
    </w:p>
    <w:p w:rsidR="008A37F4" w:rsidRPr="00BD12C2" w:rsidRDefault="008A37F4" w:rsidP="008A37F4">
      <w:pPr>
        <w:spacing w:line="360" w:lineRule="auto"/>
        <w:rPr>
          <w:rFonts w:ascii="Arial" w:hAnsi="Arial" w:cs="Arial"/>
        </w:rPr>
      </w:pPr>
      <w:r w:rsidRPr="00BD12C2">
        <w:rPr>
          <w:rFonts w:ascii="Arial" w:hAnsi="Arial" w:cs="Arial"/>
          <w:b/>
        </w:rPr>
        <w:t>Extra Thick</w:t>
      </w:r>
      <w:r w:rsidRPr="00BD12C2">
        <w:rPr>
          <w:rFonts w:ascii="Arial" w:hAnsi="Arial" w:cs="Arial"/>
        </w:rPr>
        <w:t xml:space="preserve"> </w:t>
      </w:r>
      <w:r>
        <w:rPr>
          <w:rFonts w:ascii="Arial" w:hAnsi="Arial" w:cs="Arial"/>
        </w:rPr>
        <w:tab/>
      </w:r>
      <w:r>
        <w:rPr>
          <w:rFonts w:ascii="Arial" w:hAnsi="Arial" w:cs="Arial"/>
        </w:rPr>
        <w:tab/>
      </w:r>
      <w:r>
        <w:rPr>
          <w:rFonts w:ascii="Arial" w:hAnsi="Arial" w:cs="Arial"/>
        </w:rPr>
        <w:tab/>
      </w:r>
      <w:r w:rsidRPr="00BD12C2">
        <w:rPr>
          <w:rFonts w:ascii="Arial" w:hAnsi="Arial" w:cs="Arial"/>
        </w:rPr>
        <w:t>will apply only to revision tibial components in which:</w:t>
      </w:r>
    </w:p>
    <w:p w:rsidR="008A37F4" w:rsidRPr="00BD12C2" w:rsidRDefault="008A37F4" w:rsidP="008A37F4">
      <w:pPr>
        <w:spacing w:after="0" w:line="360" w:lineRule="auto"/>
        <w:ind w:left="1440" w:firstLine="720"/>
        <w:rPr>
          <w:rFonts w:ascii="Arial" w:hAnsi="Arial" w:cs="Arial"/>
        </w:rPr>
      </w:pPr>
      <w:proofErr w:type="spellStart"/>
      <w:r w:rsidRPr="00BD12C2">
        <w:rPr>
          <w:rFonts w:ascii="Arial" w:hAnsi="Arial" w:cs="Arial"/>
          <w:b/>
        </w:rPr>
        <w:t>a</w:t>
      </w:r>
      <w:proofErr w:type="spellEnd"/>
      <w:r w:rsidRPr="00BD12C2">
        <w:rPr>
          <w:rFonts w:ascii="Arial" w:hAnsi="Arial" w:cs="Arial"/>
        </w:rPr>
        <w:t xml:space="preserve"> </w:t>
      </w:r>
      <w:r w:rsidRPr="00BD12C2">
        <w:rPr>
          <w:rFonts w:ascii="Arial" w:hAnsi="Arial" w:cs="Arial"/>
        </w:rPr>
        <w:tab/>
        <w:t>the thickness of the metal tray is greater than 15mm thick; and</w:t>
      </w:r>
    </w:p>
    <w:p w:rsidR="008A37F4" w:rsidRPr="00BD12C2" w:rsidRDefault="008A37F4" w:rsidP="008A37F4">
      <w:pPr>
        <w:spacing w:after="0" w:line="360" w:lineRule="auto"/>
        <w:ind w:left="2880" w:hanging="720"/>
        <w:rPr>
          <w:rFonts w:ascii="Arial" w:hAnsi="Arial" w:cs="Arial"/>
        </w:rPr>
      </w:pPr>
      <w:r w:rsidRPr="00BD12C2">
        <w:rPr>
          <w:rFonts w:ascii="Arial" w:hAnsi="Arial" w:cs="Arial"/>
          <w:b/>
        </w:rPr>
        <w:t>b</w:t>
      </w:r>
      <w:r w:rsidRPr="00BD12C2">
        <w:rPr>
          <w:rFonts w:ascii="Arial" w:hAnsi="Arial" w:cs="Arial"/>
        </w:rPr>
        <w:t xml:space="preserve"> </w:t>
      </w:r>
      <w:r w:rsidRPr="00BD12C2">
        <w:rPr>
          <w:rFonts w:ascii="Arial" w:hAnsi="Arial" w:cs="Arial"/>
        </w:rPr>
        <w:tab/>
        <w:t>the extra thickness of the implant obviates the need for the use of additional wedges blocks to replace proximal tibial bone loss.</w:t>
      </w:r>
    </w:p>
    <w:p w:rsidR="008A37F4" w:rsidRPr="00BD12C2" w:rsidRDefault="008A37F4" w:rsidP="008A37F4">
      <w:pPr>
        <w:spacing w:line="360" w:lineRule="auto"/>
        <w:ind w:left="360"/>
        <w:rPr>
          <w:rFonts w:ascii="Arial" w:hAnsi="Arial" w:cs="Arial"/>
        </w:rPr>
      </w:pPr>
    </w:p>
    <w:p w:rsidR="008A37F4" w:rsidRPr="00BD12C2" w:rsidRDefault="008A37F4" w:rsidP="008A37F4">
      <w:pPr>
        <w:spacing w:line="360" w:lineRule="auto"/>
        <w:ind w:left="2880" w:hanging="2880"/>
        <w:rPr>
          <w:rFonts w:ascii="Arial" w:hAnsi="Arial" w:cs="Arial"/>
        </w:rPr>
      </w:pPr>
      <w:r w:rsidRPr="00BD12C2">
        <w:rPr>
          <w:rFonts w:ascii="Arial" w:hAnsi="Arial" w:cs="Arial"/>
          <w:b/>
        </w:rPr>
        <w:lastRenderedPageBreak/>
        <w:t xml:space="preserve">H </w:t>
      </w:r>
      <w:r w:rsidRPr="00BD12C2">
        <w:rPr>
          <w:rFonts w:ascii="Arial" w:hAnsi="Arial" w:cs="Arial"/>
        </w:rPr>
        <w:t xml:space="preserve">included </w:t>
      </w:r>
      <w:r w:rsidRPr="00BD12C2">
        <w:rPr>
          <w:rFonts w:ascii="Arial" w:hAnsi="Arial" w:cs="Arial"/>
        </w:rPr>
        <w:tab/>
        <w:t xml:space="preserve">is required to differentiate what is included with a device. </w:t>
      </w:r>
      <w:r w:rsidRPr="00BD12C2">
        <w:rPr>
          <w:rFonts w:ascii="Arial" w:hAnsi="Arial" w:cs="Arial"/>
          <w:b/>
        </w:rPr>
        <w:t xml:space="preserve">H </w:t>
      </w:r>
      <w:r w:rsidRPr="00BD12C2">
        <w:rPr>
          <w:rFonts w:ascii="Arial" w:hAnsi="Arial" w:cs="Arial"/>
        </w:rPr>
        <w:t xml:space="preserve">included applies to a femoral component of a </w:t>
      </w:r>
      <w:proofErr w:type="spellStart"/>
      <w:r w:rsidRPr="00BD12C2">
        <w:rPr>
          <w:rFonts w:ascii="Arial" w:hAnsi="Arial" w:cs="Arial"/>
        </w:rPr>
        <w:t>tumour</w:t>
      </w:r>
      <w:proofErr w:type="spellEnd"/>
      <w:r w:rsidRPr="00BD12C2">
        <w:rPr>
          <w:rFonts w:ascii="Arial" w:hAnsi="Arial" w:cs="Arial"/>
        </w:rPr>
        <w:t xml:space="preserve"> or hinged prostheses where the componentry for the hinge mechanism is included in the packaging and/or is preassembled with the femoral device. If the suffix is used then no other hinge components may be included in the implant construct e.g. axle, bushes etc.</w:t>
      </w:r>
    </w:p>
    <w:p w:rsidR="008A37F4" w:rsidRDefault="008A37F4" w:rsidP="008A37F4">
      <w:pPr>
        <w:spacing w:line="360" w:lineRule="auto"/>
        <w:ind w:left="2880" w:hanging="2880"/>
        <w:rPr>
          <w:rFonts w:ascii="Arial" w:hAnsi="Arial" w:cs="Arial"/>
        </w:rPr>
      </w:pPr>
      <w:proofErr w:type="spellStart"/>
      <w:r w:rsidRPr="00BD12C2">
        <w:rPr>
          <w:rFonts w:ascii="Arial" w:hAnsi="Arial" w:cs="Arial"/>
          <w:b/>
        </w:rPr>
        <w:t>Tumour</w:t>
      </w:r>
      <w:proofErr w:type="spellEnd"/>
      <w:r w:rsidRPr="00BD12C2">
        <w:rPr>
          <w:rFonts w:ascii="Arial" w:hAnsi="Arial" w:cs="Arial"/>
          <w:b/>
        </w:rPr>
        <w:t xml:space="preserve"> Prostheses</w:t>
      </w:r>
      <w:r w:rsidRPr="00BD12C2">
        <w:rPr>
          <w:rFonts w:ascii="Arial" w:hAnsi="Arial" w:cs="Arial"/>
          <w:b/>
          <w:bCs/>
        </w:rPr>
        <w:tab/>
      </w:r>
      <w:r w:rsidRPr="00BD12C2">
        <w:rPr>
          <w:rFonts w:ascii="Arial" w:hAnsi="Arial" w:cs="Arial"/>
        </w:rPr>
        <w:t xml:space="preserve">Group 12.9 includes all components of knee replacement prostheses that have been designed for management of </w:t>
      </w:r>
      <w:proofErr w:type="spellStart"/>
      <w:r w:rsidRPr="00BD12C2">
        <w:rPr>
          <w:rFonts w:ascii="Arial" w:hAnsi="Arial" w:cs="Arial"/>
        </w:rPr>
        <w:t>tumours</w:t>
      </w:r>
      <w:proofErr w:type="spellEnd"/>
      <w:r w:rsidRPr="00BD12C2">
        <w:rPr>
          <w:rFonts w:ascii="Arial" w:hAnsi="Arial" w:cs="Arial"/>
        </w:rPr>
        <w:t xml:space="preserve"> around the knee. These limb salvage knee replacement prostheses are rarely used.  They are designed to replace significant cortical, metaphyseal +/- diaphyseal bone loss on either the femoral or tibial side of the knee joint.</w:t>
      </w:r>
    </w:p>
    <w:p w:rsidR="008A37F4" w:rsidRPr="00BD12C2" w:rsidRDefault="008A37F4" w:rsidP="008A37F4">
      <w:pPr>
        <w:spacing w:line="360" w:lineRule="auto"/>
        <w:ind w:left="2880"/>
        <w:rPr>
          <w:rFonts w:ascii="Arial" w:hAnsi="Arial" w:cs="Arial"/>
        </w:rPr>
      </w:pPr>
      <w:r w:rsidRPr="00BD12C2">
        <w:rPr>
          <w:rFonts w:ascii="Arial" w:hAnsi="Arial" w:cs="Arial"/>
        </w:rPr>
        <w:t>Significant refers to cortical bone loss extending proximally beyond the femoral epicondyles beyond the tibial tuberosity</w:t>
      </w:r>
    </w:p>
    <w:p w:rsidR="008A37F4" w:rsidRDefault="008A37F4" w:rsidP="008A37F4">
      <w:pPr>
        <w:spacing w:line="360" w:lineRule="auto"/>
        <w:ind w:left="2880" w:hanging="2880"/>
        <w:rPr>
          <w:rFonts w:ascii="Arial" w:hAnsi="Arial" w:cs="Arial"/>
        </w:rPr>
      </w:pPr>
      <w:r w:rsidRPr="00BD12C2">
        <w:rPr>
          <w:rFonts w:ascii="Arial" w:hAnsi="Arial" w:cs="Arial"/>
          <w:b/>
        </w:rPr>
        <w:t>Knee Revision</w:t>
      </w:r>
      <w:r>
        <w:rPr>
          <w:rFonts w:ascii="Arial" w:hAnsi="Arial" w:cs="Arial"/>
          <w:b/>
        </w:rPr>
        <w:tab/>
      </w:r>
      <w:r w:rsidRPr="00BD12C2">
        <w:rPr>
          <w:rFonts w:ascii="Arial" w:hAnsi="Arial" w:cs="Arial"/>
        </w:rPr>
        <w:t>A revision femoral or tibial component must, be</w:t>
      </w:r>
      <w:r>
        <w:rPr>
          <w:rFonts w:ascii="Arial" w:hAnsi="Arial" w:cs="Arial"/>
        </w:rPr>
        <w:t xml:space="preserve"> clearly designed to be used in </w:t>
      </w:r>
      <w:r w:rsidRPr="00BD12C2">
        <w:rPr>
          <w:rFonts w:ascii="Arial" w:hAnsi="Arial" w:cs="Arial"/>
        </w:rPr>
        <w:t>revision and/or difficult primary knee arthroplasty situations. These components must be suitably different from a primary implant to justify a revision suffix.</w:t>
      </w:r>
    </w:p>
    <w:p w:rsidR="008A37F4" w:rsidRPr="00BD12C2" w:rsidRDefault="008A37F4" w:rsidP="008A37F4">
      <w:pPr>
        <w:spacing w:line="360" w:lineRule="auto"/>
        <w:ind w:left="2880"/>
        <w:rPr>
          <w:rFonts w:ascii="Arial" w:hAnsi="Arial" w:cs="Arial"/>
        </w:rPr>
      </w:pPr>
      <w:r w:rsidRPr="00BD12C2">
        <w:rPr>
          <w:rFonts w:ascii="Arial" w:hAnsi="Arial" w:cs="Arial"/>
        </w:rPr>
        <w:t>The very fact that an implant may be used in a revision situation does not necessarily mean that it will be granted a revision suffix.</w:t>
      </w:r>
    </w:p>
    <w:p w:rsidR="008A37F4" w:rsidRPr="00BD12C2" w:rsidRDefault="008A37F4" w:rsidP="008A37F4">
      <w:pPr>
        <w:spacing w:line="360" w:lineRule="auto"/>
        <w:ind w:left="2880" w:hanging="2880"/>
        <w:rPr>
          <w:rFonts w:ascii="Arial" w:hAnsi="Arial" w:cs="Arial"/>
        </w:rPr>
      </w:pPr>
    </w:p>
    <w:p w:rsidR="008A37F4" w:rsidRPr="00BD12C2" w:rsidRDefault="008A37F4" w:rsidP="008A37F4">
      <w:pPr>
        <w:spacing w:line="360" w:lineRule="auto"/>
        <w:rPr>
          <w:rFonts w:ascii="Arial" w:hAnsi="Arial" w:cs="Arial"/>
        </w:rPr>
      </w:pPr>
      <w:r w:rsidRPr="00BD12C2">
        <w:rPr>
          <w:rFonts w:ascii="Arial" w:hAnsi="Arial" w:cs="Arial"/>
        </w:rPr>
        <w:t>.</w:t>
      </w:r>
    </w:p>
    <w:p w:rsidR="008A37F4" w:rsidRPr="00BD12C2" w:rsidRDefault="008A37F4" w:rsidP="008A37F4">
      <w:pPr>
        <w:spacing w:line="360" w:lineRule="auto"/>
        <w:rPr>
          <w:rFonts w:ascii="Arial" w:hAnsi="Arial" w:cs="Arial"/>
        </w:rPr>
      </w:pPr>
    </w:p>
    <w:p w:rsidR="008A37F4" w:rsidRPr="00BD12C2" w:rsidRDefault="008A37F4" w:rsidP="008A37F4">
      <w:pPr>
        <w:tabs>
          <w:tab w:val="right" w:pos="9356"/>
        </w:tabs>
        <w:spacing w:line="360" w:lineRule="auto"/>
        <w:ind w:right="142"/>
        <w:rPr>
          <w:rFonts w:ascii="Arial" w:hAnsi="Arial" w:cs="Arial"/>
        </w:rPr>
      </w:pPr>
    </w:p>
    <w:p w:rsidR="008A37F4" w:rsidRPr="008A37F4" w:rsidRDefault="008A37F4">
      <w:pPr>
        <w:rPr>
          <w:rFonts w:cstheme="minorHAnsi"/>
        </w:rPr>
      </w:pPr>
    </w:p>
    <w:sectPr w:rsidR="008A37F4" w:rsidRPr="008A37F4">
      <w:headerReference w:type="default" r:id="rId6"/>
      <w:footerReference w:type="default" r:id="rId7"/>
      <w:pgSz w:w="11900" w:h="16840"/>
      <w:pgMar w:top="72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9EF" w:rsidRDefault="001379EF" w:rsidP="008A37F4">
      <w:pPr>
        <w:spacing w:after="0" w:line="240" w:lineRule="auto"/>
      </w:pPr>
      <w:r>
        <w:separator/>
      </w:r>
    </w:p>
  </w:endnote>
  <w:endnote w:type="continuationSeparator" w:id="0">
    <w:p w:rsidR="001379EF" w:rsidRDefault="001379EF" w:rsidP="008A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229739"/>
      <w:docPartObj>
        <w:docPartGallery w:val="Page Numbers (Bottom of Page)"/>
        <w:docPartUnique/>
      </w:docPartObj>
    </w:sdtPr>
    <w:sdtEndPr/>
    <w:sdtContent>
      <w:sdt>
        <w:sdtPr>
          <w:id w:val="-1769616900"/>
          <w:docPartObj>
            <w:docPartGallery w:val="Page Numbers (Top of Page)"/>
            <w:docPartUnique/>
          </w:docPartObj>
        </w:sdtPr>
        <w:sdtEndPr/>
        <w:sdtContent>
          <w:p w:rsidR="00E84419" w:rsidRDefault="00E844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E84419" w:rsidRDefault="00E84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9EF" w:rsidRDefault="001379EF" w:rsidP="008A37F4">
      <w:pPr>
        <w:spacing w:after="0" w:line="240" w:lineRule="auto"/>
      </w:pPr>
      <w:r>
        <w:separator/>
      </w:r>
    </w:p>
  </w:footnote>
  <w:footnote w:type="continuationSeparator" w:id="0">
    <w:p w:rsidR="001379EF" w:rsidRDefault="001379EF" w:rsidP="008A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7F4" w:rsidRDefault="008A37F4">
    <w:pPr>
      <w:pStyle w:val="Header"/>
      <w:rPr>
        <w:b/>
        <w:sz w:val="28"/>
      </w:rPr>
    </w:pPr>
    <w:r w:rsidRPr="008A37F4">
      <w:rPr>
        <w:b/>
        <w:sz w:val="28"/>
      </w:rPr>
      <w:t xml:space="preserve">Knee Grouping Scheme and Benefits </w:t>
    </w:r>
    <w:r w:rsidRPr="008A37F4">
      <w:rPr>
        <w:b/>
        <w:sz w:val="28"/>
      </w:rPr>
      <w:ptab w:relativeTo="margin" w:alignment="center" w:leader="none"/>
    </w:r>
    <w:r w:rsidRPr="008A37F4">
      <w:rPr>
        <w:b/>
        <w:sz w:val="28"/>
      </w:rPr>
      <w:ptab w:relativeTo="margin" w:alignment="right" w:leader="none"/>
    </w:r>
  </w:p>
  <w:p w:rsidR="008A37F4" w:rsidRPr="008A37F4" w:rsidRDefault="008A37F4">
    <w:pPr>
      <w:pStyle w:val="Head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E5"/>
    <w:rsid w:val="001379EF"/>
    <w:rsid w:val="005559FC"/>
    <w:rsid w:val="008A37F4"/>
    <w:rsid w:val="00BB498D"/>
    <w:rsid w:val="00CC3FE6"/>
    <w:rsid w:val="00E34FE5"/>
    <w:rsid w:val="00E8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77EE"/>
  <w15:docId w15:val="{9588CFD0-8CF2-49C9-A9C6-82FF0BD3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37F4"/>
    <w:pPr>
      <w:keepNext/>
      <w:spacing w:after="0" w:line="240" w:lineRule="auto"/>
      <w:outlineLvl w:val="0"/>
    </w:pPr>
    <w:rPr>
      <w:rFonts w:ascii="Times New Roman" w:eastAsia="Times New Roman" w:hAnsi="Times New Roman" w:cs="Times New Roman"/>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7F4"/>
    <w:rPr>
      <w:rFonts w:ascii="Times New Roman" w:eastAsia="Times New Roman" w:hAnsi="Times New Roman" w:cs="Times New Roman"/>
      <w:b/>
      <w:bCs/>
      <w:sz w:val="20"/>
      <w:szCs w:val="20"/>
      <w:lang w:val="en-AU"/>
    </w:rPr>
  </w:style>
  <w:style w:type="paragraph" w:styleId="Header">
    <w:name w:val="header"/>
    <w:basedOn w:val="Normal"/>
    <w:link w:val="HeaderChar"/>
    <w:uiPriority w:val="99"/>
    <w:unhideWhenUsed/>
    <w:rsid w:val="008A3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7F4"/>
  </w:style>
  <w:style w:type="paragraph" w:styleId="Footer">
    <w:name w:val="footer"/>
    <w:basedOn w:val="Normal"/>
    <w:link w:val="FooterChar"/>
    <w:uiPriority w:val="99"/>
    <w:unhideWhenUsed/>
    <w:rsid w:val="008A3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Lara Gilfedder</cp:lastModifiedBy>
  <cp:revision>3</cp:revision>
  <dcterms:created xsi:type="dcterms:W3CDTF">2020-04-05T23:15:00Z</dcterms:created>
  <dcterms:modified xsi:type="dcterms:W3CDTF">2020-04-05T23:15:00Z</dcterms:modified>
</cp:coreProperties>
</file>